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47A" w:rsidRDefault="00945035" w:rsidP="00945035">
      <w:pPr>
        <w:jc w:val="center"/>
        <w:rPr>
          <w:b/>
          <w:sz w:val="28"/>
          <w:szCs w:val="28"/>
          <w:lang w:val="fr-FR"/>
        </w:rPr>
      </w:pPr>
      <w:r w:rsidRPr="006C6DF7">
        <w:rPr>
          <w:b/>
          <w:sz w:val="28"/>
          <w:szCs w:val="28"/>
          <w:lang w:val="fr-FR"/>
        </w:rPr>
        <w:t>Comité pour l’élimination de la discrimination raciale</w:t>
      </w:r>
    </w:p>
    <w:p w:rsidR="00945035" w:rsidRPr="006C6DF7" w:rsidRDefault="0097447A" w:rsidP="00945035">
      <w:pPr>
        <w:jc w:val="center"/>
        <w:rPr>
          <w:b/>
          <w:sz w:val="28"/>
          <w:szCs w:val="28"/>
          <w:lang w:val="fr-FR"/>
        </w:rPr>
      </w:pPr>
      <w:r>
        <w:rPr>
          <w:b/>
          <w:sz w:val="28"/>
          <w:szCs w:val="28"/>
          <w:lang w:val="fr-FR"/>
        </w:rPr>
        <w:t xml:space="preserve">Notes en vrac pour la présentation du </w:t>
      </w:r>
      <w:r w:rsidR="00945035" w:rsidRPr="006C6DF7">
        <w:rPr>
          <w:b/>
          <w:sz w:val="28"/>
          <w:szCs w:val="28"/>
          <w:lang w:val="fr-FR"/>
        </w:rPr>
        <w:t>jeudi 24 août</w:t>
      </w:r>
      <w:r w:rsidR="006F5E40">
        <w:rPr>
          <w:b/>
          <w:sz w:val="28"/>
          <w:szCs w:val="28"/>
          <w:lang w:val="fr-FR"/>
        </w:rPr>
        <w:t xml:space="preserve"> 2017</w:t>
      </w:r>
    </w:p>
    <w:p w:rsidR="00945035" w:rsidRPr="006C6DF7" w:rsidRDefault="00945035" w:rsidP="00945035">
      <w:pPr>
        <w:jc w:val="center"/>
        <w:rPr>
          <w:sz w:val="28"/>
          <w:szCs w:val="28"/>
          <w:lang w:val="fr-FR"/>
        </w:rPr>
      </w:pPr>
      <w:bookmarkStart w:id="0" w:name="_GoBack"/>
      <w:bookmarkEnd w:id="0"/>
    </w:p>
    <w:p w:rsidR="00EC400E" w:rsidRPr="006C6DF7" w:rsidRDefault="00F52889" w:rsidP="0081043A">
      <w:pPr>
        <w:rPr>
          <w:sz w:val="28"/>
          <w:szCs w:val="28"/>
          <w:lang w:val="fr-FR"/>
        </w:rPr>
      </w:pPr>
      <w:r w:rsidRPr="006C6DF7">
        <w:rPr>
          <w:sz w:val="28"/>
          <w:szCs w:val="28"/>
          <w:lang w:val="fr-FR"/>
        </w:rPr>
        <w:t xml:space="preserve">La </w:t>
      </w:r>
      <w:r w:rsidR="00EC400E" w:rsidRPr="006C6DF7">
        <w:rPr>
          <w:sz w:val="28"/>
          <w:szCs w:val="28"/>
          <w:lang w:val="fr-FR"/>
        </w:rPr>
        <w:t xml:space="preserve">Convention </w:t>
      </w:r>
      <w:r w:rsidR="00EC400E" w:rsidRPr="006C6DF7">
        <w:rPr>
          <w:b/>
          <w:sz w:val="28"/>
          <w:szCs w:val="28"/>
          <w:lang w:val="fr-FR"/>
        </w:rPr>
        <w:t>internationale sur</w:t>
      </w:r>
      <w:r w:rsidR="00EC400E" w:rsidRPr="006C6DF7">
        <w:rPr>
          <w:sz w:val="28"/>
          <w:szCs w:val="28"/>
          <w:lang w:val="fr-FR"/>
        </w:rPr>
        <w:t xml:space="preserve"> l’élimination de toutes les formes de discrimination raciale</w:t>
      </w:r>
    </w:p>
    <w:p w:rsidR="00EC400E" w:rsidRPr="006C6DF7" w:rsidRDefault="00EC400E" w:rsidP="0081043A">
      <w:pPr>
        <w:rPr>
          <w:sz w:val="28"/>
          <w:szCs w:val="28"/>
          <w:lang w:val="fr-FR"/>
        </w:rPr>
      </w:pPr>
    </w:p>
    <w:p w:rsidR="00EC400E" w:rsidRPr="006C6DF7" w:rsidRDefault="00EC400E" w:rsidP="0081043A">
      <w:pPr>
        <w:rPr>
          <w:sz w:val="28"/>
          <w:szCs w:val="28"/>
          <w:lang w:val="fr-FR"/>
        </w:rPr>
      </w:pPr>
      <w:r w:rsidRPr="006C6DF7">
        <w:rPr>
          <w:sz w:val="28"/>
          <w:szCs w:val="28"/>
          <w:lang w:val="fr-FR"/>
        </w:rPr>
        <w:t xml:space="preserve">Le Comité </w:t>
      </w:r>
      <w:r w:rsidRPr="006C6DF7">
        <w:rPr>
          <w:b/>
          <w:sz w:val="28"/>
          <w:szCs w:val="28"/>
          <w:lang w:val="fr-FR"/>
        </w:rPr>
        <w:t>pour</w:t>
      </w:r>
      <w:r w:rsidRPr="006C6DF7">
        <w:rPr>
          <w:sz w:val="28"/>
          <w:szCs w:val="28"/>
          <w:lang w:val="fr-FR"/>
        </w:rPr>
        <w:t xml:space="preserve"> l’élimination de la discrimination raciale</w:t>
      </w:r>
    </w:p>
    <w:p w:rsidR="00EC400E" w:rsidRPr="006C6DF7" w:rsidRDefault="00EC400E" w:rsidP="0081043A">
      <w:pPr>
        <w:rPr>
          <w:sz w:val="28"/>
          <w:szCs w:val="28"/>
          <w:lang w:val="fr-FR"/>
        </w:rPr>
      </w:pPr>
    </w:p>
    <w:p w:rsidR="0081043A" w:rsidRPr="006C6DF7" w:rsidRDefault="00E26C1F" w:rsidP="0081043A">
      <w:pPr>
        <w:rPr>
          <w:sz w:val="28"/>
          <w:szCs w:val="28"/>
          <w:lang w:val="fr-FR"/>
        </w:rPr>
      </w:pPr>
      <w:r w:rsidRPr="006C6DF7">
        <w:rPr>
          <w:sz w:val="28"/>
          <w:szCs w:val="28"/>
          <w:lang w:val="fr-FR"/>
        </w:rPr>
        <w:t xml:space="preserve">CERD : </w:t>
      </w:r>
      <w:r w:rsidR="00AD1D32">
        <w:rPr>
          <w:sz w:val="28"/>
          <w:szCs w:val="28"/>
          <w:lang w:val="fr-FR"/>
        </w:rPr>
        <w:t>ne pas</w:t>
      </w:r>
      <w:r w:rsidRPr="006C6DF7">
        <w:rPr>
          <w:sz w:val="28"/>
          <w:szCs w:val="28"/>
          <w:lang w:val="fr-FR"/>
        </w:rPr>
        <w:t xml:space="preserve"> employer le sigle dans les documents de l’</w:t>
      </w:r>
      <w:r w:rsidR="00907238" w:rsidRPr="006C6DF7">
        <w:rPr>
          <w:sz w:val="28"/>
          <w:szCs w:val="28"/>
          <w:lang w:val="fr-FR"/>
        </w:rPr>
        <w:t>ONU (sauf pour les cotes bien évidemment).</w:t>
      </w:r>
    </w:p>
    <w:p w:rsidR="00E26C1F" w:rsidRPr="006C6DF7" w:rsidRDefault="00E26C1F" w:rsidP="0081043A">
      <w:pPr>
        <w:rPr>
          <w:sz w:val="28"/>
          <w:szCs w:val="28"/>
          <w:lang w:val="fr-FR"/>
        </w:rPr>
      </w:pPr>
    </w:p>
    <w:p w:rsidR="00796321" w:rsidRPr="006C6DF7" w:rsidRDefault="00796321" w:rsidP="0081043A">
      <w:pPr>
        <w:rPr>
          <w:sz w:val="28"/>
          <w:szCs w:val="28"/>
          <w:lang w:val="fr-FR"/>
        </w:rPr>
      </w:pPr>
    </w:p>
    <w:p w:rsidR="002D4B0E" w:rsidRPr="006C6DF7" w:rsidRDefault="00114956" w:rsidP="002D4B0E">
      <w:pPr>
        <w:rPr>
          <w:sz w:val="28"/>
          <w:szCs w:val="28"/>
          <w:lang w:val="fr-FR"/>
        </w:rPr>
      </w:pPr>
      <w:r w:rsidRPr="006C6DF7">
        <w:rPr>
          <w:sz w:val="28"/>
          <w:szCs w:val="28"/>
          <w:lang w:val="fr-FR"/>
        </w:rPr>
        <w:t xml:space="preserve">La Convention date de décembre 1965 (elle </w:t>
      </w:r>
      <w:r w:rsidR="00907238" w:rsidRPr="006C6DF7">
        <w:rPr>
          <w:sz w:val="28"/>
          <w:szCs w:val="28"/>
          <w:lang w:val="fr-FR"/>
        </w:rPr>
        <w:t>v</w:t>
      </w:r>
      <w:r w:rsidRPr="006C6DF7">
        <w:rPr>
          <w:sz w:val="28"/>
          <w:szCs w:val="28"/>
          <w:lang w:val="fr-FR"/>
        </w:rPr>
        <w:t xml:space="preserve">a donc </w:t>
      </w:r>
      <w:r w:rsidR="00907238" w:rsidRPr="006C6DF7">
        <w:rPr>
          <w:sz w:val="28"/>
          <w:szCs w:val="28"/>
          <w:lang w:val="fr-FR"/>
        </w:rPr>
        <w:t xml:space="preserve">avoir </w:t>
      </w:r>
      <w:r w:rsidRPr="006C6DF7">
        <w:rPr>
          <w:sz w:val="28"/>
          <w:szCs w:val="28"/>
          <w:lang w:val="fr-FR"/>
        </w:rPr>
        <w:t>52 ans)</w:t>
      </w:r>
      <w:r w:rsidR="002D4B0E" w:rsidRPr="006C6DF7">
        <w:rPr>
          <w:sz w:val="28"/>
          <w:szCs w:val="28"/>
          <w:lang w:val="fr-FR"/>
        </w:rPr>
        <w:t>. Sur 193 États Membres,</w:t>
      </w:r>
      <w:r w:rsidR="004B1453">
        <w:rPr>
          <w:sz w:val="28"/>
          <w:szCs w:val="28"/>
          <w:lang w:val="fr-FR"/>
        </w:rPr>
        <w:t xml:space="preserve"> 177 ont ratifié la Convention à ce jour.</w:t>
      </w:r>
    </w:p>
    <w:p w:rsidR="002D4B0E" w:rsidRPr="006C6DF7" w:rsidRDefault="002D4B0E" w:rsidP="002D4B0E">
      <w:pPr>
        <w:rPr>
          <w:sz w:val="28"/>
          <w:szCs w:val="28"/>
          <w:lang w:val="fr-FR"/>
        </w:rPr>
      </w:pPr>
    </w:p>
    <w:p w:rsidR="000C5081" w:rsidRPr="006C6DF7" w:rsidRDefault="002D4B0E" w:rsidP="0081043A">
      <w:pPr>
        <w:rPr>
          <w:sz w:val="28"/>
          <w:szCs w:val="28"/>
          <w:lang w:val="fr-FR"/>
        </w:rPr>
      </w:pPr>
      <w:r w:rsidRPr="006C6DF7">
        <w:rPr>
          <w:sz w:val="28"/>
          <w:szCs w:val="28"/>
          <w:lang w:val="fr-FR"/>
        </w:rPr>
        <w:t>L</w:t>
      </w:r>
      <w:r w:rsidR="00114956" w:rsidRPr="006C6DF7">
        <w:rPr>
          <w:sz w:val="28"/>
          <w:szCs w:val="28"/>
          <w:lang w:val="fr-FR"/>
        </w:rPr>
        <w:t>e</w:t>
      </w:r>
      <w:r w:rsidR="00C505F8" w:rsidRPr="006C6DF7">
        <w:rPr>
          <w:sz w:val="28"/>
          <w:szCs w:val="28"/>
          <w:lang w:val="fr-FR"/>
        </w:rPr>
        <w:t xml:space="preserve"> Comité </w:t>
      </w:r>
      <w:r w:rsidR="00F27A0B" w:rsidRPr="006C6DF7">
        <w:rPr>
          <w:sz w:val="28"/>
          <w:szCs w:val="28"/>
          <w:lang w:val="fr-FR"/>
        </w:rPr>
        <w:t>a commencé ses travaux en 1969, c’est donc l’organe conventionnel le plus ancien.</w:t>
      </w:r>
      <w:r w:rsidR="00114956" w:rsidRPr="006C6DF7">
        <w:rPr>
          <w:sz w:val="28"/>
          <w:szCs w:val="28"/>
          <w:lang w:val="fr-FR"/>
        </w:rPr>
        <w:t xml:space="preserve"> Il est composé de 18 experts indépendants qui sont élus pour un mandat de quatre ans.</w:t>
      </w:r>
      <w:r w:rsidRPr="006C6DF7">
        <w:rPr>
          <w:sz w:val="28"/>
          <w:szCs w:val="28"/>
          <w:lang w:val="fr-FR"/>
        </w:rPr>
        <w:t xml:space="preserve"> </w:t>
      </w:r>
    </w:p>
    <w:p w:rsidR="002D4B0E" w:rsidRPr="006C6DF7" w:rsidRDefault="002D4B0E" w:rsidP="0081043A">
      <w:pPr>
        <w:rPr>
          <w:sz w:val="28"/>
          <w:szCs w:val="28"/>
          <w:lang w:val="fr-FR"/>
        </w:rPr>
      </w:pPr>
    </w:p>
    <w:p w:rsidR="005A7459" w:rsidRPr="006C6DF7" w:rsidRDefault="005A7459" w:rsidP="005A7459">
      <w:pPr>
        <w:rPr>
          <w:b/>
          <w:sz w:val="28"/>
          <w:szCs w:val="28"/>
          <w:lang w:val="fr-FR"/>
        </w:rPr>
      </w:pPr>
      <w:r w:rsidRPr="006C6DF7">
        <w:rPr>
          <w:b/>
          <w:sz w:val="28"/>
          <w:szCs w:val="28"/>
          <w:lang w:val="fr-FR"/>
        </w:rPr>
        <w:t>Article premier</w:t>
      </w:r>
    </w:p>
    <w:p w:rsidR="005A7459" w:rsidRPr="006C6DF7" w:rsidRDefault="005A7459" w:rsidP="005A7459">
      <w:pPr>
        <w:rPr>
          <w:b/>
          <w:sz w:val="28"/>
          <w:szCs w:val="28"/>
          <w:lang w:val="fr-FR"/>
        </w:rPr>
      </w:pPr>
    </w:p>
    <w:p w:rsidR="005A7459" w:rsidRPr="006C6DF7" w:rsidRDefault="005A7459" w:rsidP="005A7459">
      <w:pPr>
        <w:rPr>
          <w:sz w:val="28"/>
          <w:szCs w:val="28"/>
          <w:lang w:val="fr-FR"/>
        </w:rPr>
      </w:pPr>
      <w:r w:rsidRPr="006C6DF7">
        <w:rPr>
          <w:sz w:val="28"/>
          <w:szCs w:val="28"/>
          <w:lang w:val="fr-FR"/>
        </w:rPr>
        <w:t xml:space="preserve">Dans la présente Convention, l'expression «discrimination raciale» </w:t>
      </w:r>
      <w:r w:rsidRPr="006C6DF7">
        <w:rPr>
          <w:b/>
          <w:sz w:val="28"/>
          <w:szCs w:val="28"/>
          <w:lang w:val="fr-FR"/>
        </w:rPr>
        <w:t>vise toute distinction, exclusion, restriction ou préférence fondée sur la race, la couleur, l'ascendance ou l'origine nationale ou ethnique</w:t>
      </w:r>
      <w:r w:rsidRPr="006C6DF7">
        <w:rPr>
          <w:sz w:val="28"/>
          <w:szCs w:val="28"/>
          <w:lang w:val="fr-FR"/>
        </w:rPr>
        <w:t>, qui a pour but ou pour effet de détruire ou de compromettre la reconnaissance, la jouissance ou l'exercice, dans des conditions d'égalité, des droits de l'homme et des libertés fondamentales dans les domaines politique, économique, social et culturel ou dans tout autre domaine de la vie publique.</w:t>
      </w:r>
    </w:p>
    <w:p w:rsidR="005A7459" w:rsidRPr="006C6DF7" w:rsidRDefault="005A7459" w:rsidP="005A7459">
      <w:pPr>
        <w:rPr>
          <w:sz w:val="28"/>
          <w:szCs w:val="28"/>
          <w:lang w:val="fr-FR"/>
        </w:rPr>
      </w:pPr>
    </w:p>
    <w:p w:rsidR="005A7459" w:rsidRPr="006C6DF7" w:rsidRDefault="005A7459" w:rsidP="005A7459">
      <w:pPr>
        <w:rPr>
          <w:sz w:val="28"/>
          <w:szCs w:val="28"/>
          <w:lang w:val="fr-FR"/>
        </w:rPr>
      </w:pPr>
      <w:r w:rsidRPr="006C6DF7">
        <w:rPr>
          <w:sz w:val="28"/>
          <w:szCs w:val="28"/>
          <w:lang w:val="fr-FR"/>
        </w:rPr>
        <w:t xml:space="preserve">Il n’y a pas de hiérarchie entre ces cinq catégories. </w:t>
      </w:r>
    </w:p>
    <w:p w:rsidR="005A7459" w:rsidRPr="006C6DF7" w:rsidRDefault="005A7459" w:rsidP="005A7459">
      <w:pPr>
        <w:rPr>
          <w:sz w:val="28"/>
          <w:szCs w:val="28"/>
          <w:lang w:val="fr-FR"/>
        </w:rPr>
      </w:pPr>
    </w:p>
    <w:p w:rsidR="000C5081" w:rsidRPr="006C6DF7" w:rsidRDefault="00C31337" w:rsidP="00BD7FB6">
      <w:pPr>
        <w:suppressAutoHyphens w:val="0"/>
        <w:kinsoku/>
        <w:overflowPunct/>
        <w:snapToGrid/>
        <w:spacing w:line="240" w:lineRule="auto"/>
        <w:rPr>
          <w:sz w:val="28"/>
          <w:szCs w:val="28"/>
        </w:rPr>
      </w:pPr>
      <w:r w:rsidRPr="006C6DF7">
        <w:rPr>
          <w:sz w:val="28"/>
          <w:szCs w:val="28"/>
          <w:lang w:val="fr-FR"/>
        </w:rPr>
        <w:t>(L’un des grands intérêts du Comité est que s</w:t>
      </w:r>
      <w:r w:rsidR="005A7459" w:rsidRPr="006C6DF7">
        <w:rPr>
          <w:sz w:val="28"/>
          <w:szCs w:val="28"/>
          <w:lang w:val="fr-FR"/>
        </w:rPr>
        <w:t xml:space="preserve">es travaux </w:t>
      </w:r>
      <w:r w:rsidRPr="006C6DF7">
        <w:rPr>
          <w:sz w:val="28"/>
          <w:szCs w:val="28"/>
          <w:lang w:val="fr-FR"/>
        </w:rPr>
        <w:t xml:space="preserve">touchent à des questions très </w:t>
      </w:r>
      <w:r w:rsidR="00865F16" w:rsidRPr="006C6DF7">
        <w:rPr>
          <w:sz w:val="28"/>
          <w:szCs w:val="28"/>
          <w:lang w:val="fr-FR"/>
        </w:rPr>
        <w:t xml:space="preserve">sensibles et </w:t>
      </w:r>
      <w:r w:rsidRPr="006C6DF7">
        <w:rPr>
          <w:sz w:val="28"/>
          <w:szCs w:val="28"/>
          <w:lang w:val="fr-FR"/>
        </w:rPr>
        <w:t xml:space="preserve">polémiques : la notion de « race » donnant lieu à des débats houleux, parfois même entre experts du Comité. </w:t>
      </w:r>
      <w:r w:rsidR="002D4B0E" w:rsidRPr="006C6DF7">
        <w:rPr>
          <w:sz w:val="28"/>
          <w:szCs w:val="28"/>
          <w:lang w:val="fr-FR"/>
        </w:rPr>
        <w:t>Idem pour l</w:t>
      </w:r>
      <w:r w:rsidRPr="006C6DF7">
        <w:rPr>
          <w:sz w:val="28"/>
          <w:szCs w:val="28"/>
          <w:lang w:val="fr-FR"/>
        </w:rPr>
        <w:t xml:space="preserve">a question de la collecte des « statistiques ethniques », certains pays y sont farouchement opposés (la France par exemple), d’autres y sont très favorables et ne comprennent pas l’absence de </w:t>
      </w:r>
      <w:r w:rsidR="00945035" w:rsidRPr="006C6DF7">
        <w:rPr>
          <w:sz w:val="28"/>
          <w:szCs w:val="28"/>
          <w:lang w:val="fr-FR"/>
        </w:rPr>
        <w:t>statistiques</w:t>
      </w:r>
      <w:r w:rsidRPr="006C6DF7">
        <w:rPr>
          <w:sz w:val="28"/>
          <w:szCs w:val="28"/>
          <w:lang w:val="fr-FR"/>
        </w:rPr>
        <w:t xml:space="preserve"> ethniques (le Brésil par exemple). Les travaux du Comité </w:t>
      </w:r>
      <w:r w:rsidR="005A7459" w:rsidRPr="006C6DF7">
        <w:rPr>
          <w:sz w:val="28"/>
          <w:szCs w:val="28"/>
          <w:lang w:val="fr-FR"/>
        </w:rPr>
        <w:t xml:space="preserve">collent </w:t>
      </w:r>
      <w:r w:rsidRPr="006C6DF7">
        <w:rPr>
          <w:sz w:val="28"/>
          <w:szCs w:val="28"/>
          <w:lang w:val="fr-FR"/>
        </w:rPr>
        <w:t xml:space="preserve">vraiment </w:t>
      </w:r>
      <w:r w:rsidR="005A7459" w:rsidRPr="006C6DF7">
        <w:rPr>
          <w:sz w:val="28"/>
          <w:szCs w:val="28"/>
          <w:lang w:val="fr-FR"/>
        </w:rPr>
        <w:t xml:space="preserve">à l’actualité, </w:t>
      </w:r>
      <w:r w:rsidR="005A7459" w:rsidRPr="006C6DF7">
        <w:rPr>
          <w:sz w:val="28"/>
          <w:szCs w:val="28"/>
        </w:rPr>
        <w:t xml:space="preserve">notamment du fait de l’aggravation des conflits inter-ethniques et religieux, de la multiplication des politiques « sécuritaires » prises en réaction au </w:t>
      </w:r>
      <w:r w:rsidR="005A7459" w:rsidRPr="006C6DF7">
        <w:rPr>
          <w:sz w:val="28"/>
          <w:szCs w:val="28"/>
        </w:rPr>
        <w:lastRenderedPageBreak/>
        <w:t xml:space="preserve">terrorisme, de la montée des migrations et des déplacements massifs de </w:t>
      </w:r>
      <w:r w:rsidR="00D17010">
        <w:rPr>
          <w:sz w:val="28"/>
          <w:szCs w:val="28"/>
        </w:rPr>
        <w:t>personnes</w:t>
      </w:r>
      <w:r w:rsidR="005A7459" w:rsidRPr="006C6DF7">
        <w:rPr>
          <w:sz w:val="28"/>
          <w:szCs w:val="28"/>
        </w:rPr>
        <w:t>, des nouvelles formes de propagation des idées racistes sur Internet, de la diffusion par certains médias ou responsables politiques des discours de haine raciale, ethnique et religieuse, etc…</w:t>
      </w:r>
      <w:r w:rsidR="008020A8" w:rsidRPr="006C6DF7">
        <w:rPr>
          <w:sz w:val="28"/>
          <w:szCs w:val="28"/>
        </w:rPr>
        <w:t xml:space="preserve"> (ex : </w:t>
      </w:r>
      <w:r w:rsidR="00D17010">
        <w:rPr>
          <w:sz w:val="28"/>
          <w:szCs w:val="28"/>
        </w:rPr>
        <w:t xml:space="preserve">les événements de Charlottesville (août 2017, USA) qui ont donné lieu à la publication d’un communiqué de presse du Comité ; autre exemple, </w:t>
      </w:r>
      <w:r w:rsidR="00BD7FB6" w:rsidRPr="006C6DF7">
        <w:rPr>
          <w:sz w:val="28"/>
          <w:szCs w:val="28"/>
        </w:rPr>
        <w:t>pour la plupart des membres du Comité, l’affaire des caricatures de Mahomet publiée dans la presse danoise illustre aussi clairement la banalisation du racisme, de la discrimination et de la xénophobie</w:t>
      </w:r>
      <w:r w:rsidR="008020A8" w:rsidRPr="006C6DF7">
        <w:rPr>
          <w:sz w:val="28"/>
          <w:szCs w:val="28"/>
        </w:rPr>
        <w:t>).</w:t>
      </w:r>
    </w:p>
    <w:p w:rsidR="00BD7FB6" w:rsidRPr="006C6DF7" w:rsidRDefault="00BD7FB6" w:rsidP="00BD7FB6">
      <w:pPr>
        <w:suppressAutoHyphens w:val="0"/>
        <w:kinsoku/>
        <w:overflowPunct/>
        <w:snapToGrid/>
        <w:spacing w:line="240" w:lineRule="auto"/>
        <w:rPr>
          <w:sz w:val="28"/>
          <w:szCs w:val="28"/>
        </w:rPr>
      </w:pPr>
    </w:p>
    <w:p w:rsidR="00CD71D5" w:rsidRDefault="00D17010" w:rsidP="00BD7FB6">
      <w:pPr>
        <w:suppressAutoHyphens w:val="0"/>
        <w:kinsoku/>
        <w:overflowPunct/>
        <w:snapToGrid/>
        <w:spacing w:line="240" w:lineRule="auto"/>
        <w:rPr>
          <w:sz w:val="28"/>
          <w:szCs w:val="28"/>
        </w:rPr>
      </w:pPr>
      <w:r w:rsidRPr="00D17010">
        <w:rPr>
          <w:b/>
          <w:sz w:val="28"/>
          <w:szCs w:val="28"/>
        </w:rPr>
        <w:t>A</w:t>
      </w:r>
      <w:r w:rsidR="008930B2" w:rsidRPr="00D17010">
        <w:rPr>
          <w:b/>
          <w:sz w:val="28"/>
          <w:szCs w:val="28"/>
        </w:rPr>
        <w:t>rticle 4 de la Convention</w:t>
      </w:r>
      <w:r>
        <w:rPr>
          <w:sz w:val="28"/>
          <w:szCs w:val="28"/>
        </w:rPr>
        <w:t> </w:t>
      </w:r>
    </w:p>
    <w:p w:rsidR="008930B2" w:rsidRPr="006C6DF7" w:rsidRDefault="00CD71D5" w:rsidP="00BD7FB6">
      <w:pPr>
        <w:suppressAutoHyphens w:val="0"/>
        <w:kinsoku/>
        <w:overflowPunct/>
        <w:snapToGrid/>
        <w:spacing w:line="240" w:lineRule="auto"/>
        <w:rPr>
          <w:sz w:val="28"/>
          <w:szCs w:val="28"/>
        </w:rPr>
      </w:pPr>
      <w:r>
        <w:rPr>
          <w:sz w:val="28"/>
          <w:szCs w:val="28"/>
        </w:rPr>
        <w:t>L</w:t>
      </w:r>
      <w:r w:rsidR="008930B2" w:rsidRPr="006C6DF7">
        <w:rPr>
          <w:sz w:val="28"/>
          <w:szCs w:val="28"/>
        </w:rPr>
        <w:t xml:space="preserve">es États parties doivent déclarer délits punissables par la loi toute diffusion d’idées fondées sur la haine raciale et toute </w:t>
      </w:r>
      <w:r w:rsidR="00D17010">
        <w:rPr>
          <w:sz w:val="28"/>
          <w:szCs w:val="28"/>
        </w:rPr>
        <w:t>incitation</w:t>
      </w:r>
      <w:r w:rsidR="008930B2" w:rsidRPr="006C6DF7">
        <w:rPr>
          <w:sz w:val="28"/>
          <w:szCs w:val="28"/>
        </w:rPr>
        <w:t xml:space="preserve"> à la discrimination raciale.</w:t>
      </w:r>
    </w:p>
    <w:p w:rsidR="008930B2" w:rsidRPr="006C6DF7" w:rsidRDefault="008930B2" w:rsidP="00BD7FB6">
      <w:pPr>
        <w:suppressAutoHyphens w:val="0"/>
        <w:kinsoku/>
        <w:overflowPunct/>
        <w:snapToGrid/>
        <w:spacing w:line="240" w:lineRule="auto"/>
        <w:rPr>
          <w:sz w:val="28"/>
          <w:szCs w:val="28"/>
        </w:rPr>
      </w:pPr>
    </w:p>
    <w:p w:rsidR="00BD7FB6" w:rsidRPr="006C6DF7" w:rsidRDefault="00BD7FB6" w:rsidP="00BD7FB6">
      <w:pPr>
        <w:suppressAutoHyphens w:val="0"/>
        <w:kinsoku/>
        <w:overflowPunct/>
        <w:snapToGrid/>
        <w:spacing w:line="240" w:lineRule="auto"/>
        <w:rPr>
          <w:sz w:val="28"/>
          <w:szCs w:val="28"/>
        </w:rPr>
      </w:pPr>
      <w:r w:rsidRPr="006C6DF7">
        <w:rPr>
          <w:sz w:val="28"/>
          <w:szCs w:val="28"/>
        </w:rPr>
        <w:t xml:space="preserve">Certaines situations font qu’il est difficile de qualifier la discrimination. Par exemple, s’il s’agit de discrimination raciale ou religieuse, </w:t>
      </w:r>
      <w:r w:rsidR="00BA71FE" w:rsidRPr="006C6DF7">
        <w:rPr>
          <w:sz w:val="28"/>
          <w:szCs w:val="28"/>
        </w:rPr>
        <w:t>ou</w:t>
      </w:r>
      <w:r w:rsidRPr="006C6DF7">
        <w:rPr>
          <w:sz w:val="28"/>
          <w:szCs w:val="28"/>
        </w:rPr>
        <w:t xml:space="preserve"> de « discrimination croisée », c’est</w:t>
      </w:r>
      <w:r w:rsidR="00865F16" w:rsidRPr="006C6DF7">
        <w:rPr>
          <w:sz w:val="28"/>
          <w:szCs w:val="28"/>
        </w:rPr>
        <w:t>-</w:t>
      </w:r>
      <w:r w:rsidRPr="006C6DF7">
        <w:rPr>
          <w:sz w:val="28"/>
          <w:szCs w:val="28"/>
        </w:rPr>
        <w:t>à</w:t>
      </w:r>
      <w:r w:rsidR="00865F16" w:rsidRPr="006C6DF7">
        <w:rPr>
          <w:sz w:val="28"/>
          <w:szCs w:val="28"/>
        </w:rPr>
        <w:t>-</w:t>
      </w:r>
      <w:r w:rsidRPr="006C6DF7">
        <w:rPr>
          <w:sz w:val="28"/>
          <w:szCs w:val="28"/>
        </w:rPr>
        <w:t>dire une discrimination dont les causes peuvent être multiples.</w:t>
      </w:r>
    </w:p>
    <w:p w:rsidR="003F154B" w:rsidRPr="006C6DF7" w:rsidRDefault="003F154B" w:rsidP="0081043A">
      <w:pPr>
        <w:rPr>
          <w:sz w:val="28"/>
          <w:szCs w:val="28"/>
        </w:rPr>
      </w:pPr>
    </w:p>
    <w:p w:rsidR="003F154B" w:rsidRPr="006C6DF7" w:rsidRDefault="003F154B" w:rsidP="0081043A">
      <w:pPr>
        <w:rPr>
          <w:sz w:val="28"/>
          <w:szCs w:val="28"/>
          <w:lang w:val="fr-FR"/>
        </w:rPr>
      </w:pPr>
      <w:r w:rsidRPr="006C6DF7">
        <w:rPr>
          <w:b/>
          <w:sz w:val="28"/>
          <w:szCs w:val="28"/>
          <w:lang w:val="fr-FR"/>
        </w:rPr>
        <w:t>Soumission de rapports</w:t>
      </w:r>
      <w:r w:rsidR="007649A0">
        <w:rPr>
          <w:sz w:val="28"/>
          <w:szCs w:val="28"/>
          <w:lang w:val="fr-FR"/>
        </w:rPr>
        <w:t> </w:t>
      </w:r>
    </w:p>
    <w:p w:rsidR="003F154B" w:rsidRPr="006C6DF7" w:rsidRDefault="003F154B" w:rsidP="0081043A">
      <w:pPr>
        <w:rPr>
          <w:sz w:val="28"/>
          <w:szCs w:val="28"/>
          <w:lang w:val="fr-FR"/>
        </w:rPr>
      </w:pPr>
    </w:p>
    <w:p w:rsidR="003F154B" w:rsidRPr="006C6DF7" w:rsidRDefault="00C505F8" w:rsidP="0081043A">
      <w:pPr>
        <w:rPr>
          <w:sz w:val="28"/>
          <w:szCs w:val="28"/>
          <w:lang w:val="fr-FR"/>
        </w:rPr>
      </w:pPr>
      <w:r w:rsidRPr="006C6DF7">
        <w:rPr>
          <w:sz w:val="28"/>
          <w:szCs w:val="28"/>
          <w:lang w:val="fr-FR"/>
        </w:rPr>
        <w:t>En application de l’article 9 de la Convention, l</w:t>
      </w:r>
      <w:r w:rsidR="003F154B" w:rsidRPr="006C6DF7">
        <w:rPr>
          <w:sz w:val="28"/>
          <w:szCs w:val="28"/>
          <w:lang w:val="fr-FR"/>
        </w:rPr>
        <w:t>es États parties s’engagent à soumettre un rapport sur la mise en œuvre de la Convention dans un délai d’un an à compter de l’entrée en vigueur de l’instrument et, par la suite, tous les deux ans.</w:t>
      </w:r>
    </w:p>
    <w:p w:rsidR="00C505F8" w:rsidRPr="006C6DF7" w:rsidRDefault="00C505F8" w:rsidP="0081043A">
      <w:pPr>
        <w:rPr>
          <w:sz w:val="28"/>
          <w:szCs w:val="28"/>
          <w:lang w:val="fr-FR"/>
        </w:rPr>
      </w:pPr>
    </w:p>
    <w:p w:rsidR="00C505F8" w:rsidRPr="006C6DF7" w:rsidRDefault="00C505F8" w:rsidP="0081043A">
      <w:pPr>
        <w:rPr>
          <w:sz w:val="28"/>
          <w:szCs w:val="28"/>
          <w:lang w:val="fr-FR"/>
        </w:rPr>
      </w:pPr>
      <w:r w:rsidRPr="006C6DF7">
        <w:rPr>
          <w:b/>
          <w:sz w:val="28"/>
          <w:szCs w:val="28"/>
          <w:lang w:val="fr-FR"/>
        </w:rPr>
        <w:t>Communications émanant de particuliers</w:t>
      </w:r>
      <w:r w:rsidR="007649A0">
        <w:rPr>
          <w:sz w:val="28"/>
          <w:szCs w:val="28"/>
          <w:lang w:val="fr-FR"/>
        </w:rPr>
        <w:t> </w:t>
      </w:r>
    </w:p>
    <w:p w:rsidR="00470107" w:rsidRPr="006C6DF7" w:rsidRDefault="00470107" w:rsidP="0081043A">
      <w:pPr>
        <w:rPr>
          <w:sz w:val="28"/>
          <w:szCs w:val="28"/>
          <w:lang w:val="fr-FR"/>
        </w:rPr>
      </w:pPr>
    </w:p>
    <w:p w:rsidR="00C505F8" w:rsidRPr="006C6DF7" w:rsidRDefault="00C505F8" w:rsidP="0081043A">
      <w:pPr>
        <w:rPr>
          <w:sz w:val="28"/>
          <w:szCs w:val="28"/>
          <w:lang w:val="fr-FR"/>
        </w:rPr>
      </w:pPr>
      <w:r w:rsidRPr="006C6DF7">
        <w:rPr>
          <w:sz w:val="28"/>
          <w:szCs w:val="28"/>
          <w:lang w:val="fr-FR"/>
        </w:rPr>
        <w:t xml:space="preserve">Article 14 : tout État partie peut déclarer à tout moment qu’il reconnaît la compétence du Comité pour recevoir et examiner des communications émanant de personnes ou de groupes de personnes relevant de sa juridiction qui se plaignent d’être victimes d’une violation. Le Comité ne reçoit aucune communication concernant un État partie qui n’a </w:t>
      </w:r>
      <w:r w:rsidR="00D62110" w:rsidRPr="006C6DF7">
        <w:rPr>
          <w:sz w:val="28"/>
          <w:szCs w:val="28"/>
          <w:lang w:val="fr-FR"/>
        </w:rPr>
        <w:t>pas fait une telle déclaration.</w:t>
      </w:r>
    </w:p>
    <w:p w:rsidR="000C5081" w:rsidRPr="006C6DF7" w:rsidRDefault="000C5081" w:rsidP="0081043A">
      <w:pPr>
        <w:rPr>
          <w:sz w:val="28"/>
          <w:szCs w:val="28"/>
          <w:lang w:val="fr-FR"/>
        </w:rPr>
      </w:pPr>
    </w:p>
    <w:p w:rsidR="00470107" w:rsidRPr="006C6DF7" w:rsidRDefault="00470107" w:rsidP="0081043A">
      <w:pPr>
        <w:rPr>
          <w:sz w:val="28"/>
          <w:szCs w:val="28"/>
        </w:rPr>
      </w:pPr>
      <w:r w:rsidRPr="006C6DF7">
        <w:rPr>
          <w:sz w:val="28"/>
          <w:szCs w:val="28"/>
        </w:rPr>
        <w:t xml:space="preserve">57 États ont accepté à ce jour la procédure de communication et plus d’une cinquantaine de plaintes ont été reçues par le </w:t>
      </w:r>
      <w:r w:rsidR="008020A8" w:rsidRPr="006C6DF7">
        <w:rPr>
          <w:sz w:val="28"/>
          <w:szCs w:val="28"/>
        </w:rPr>
        <w:t>Comité</w:t>
      </w:r>
      <w:r w:rsidRPr="006C6DF7">
        <w:rPr>
          <w:sz w:val="28"/>
          <w:szCs w:val="28"/>
        </w:rPr>
        <w:t>.</w:t>
      </w:r>
      <w:r w:rsidR="008020A8" w:rsidRPr="006C6DF7">
        <w:rPr>
          <w:sz w:val="28"/>
          <w:szCs w:val="28"/>
        </w:rPr>
        <w:t xml:space="preserve">  Il s’agit souvent d’associations autochtones (par exemple des Sâmes qui se plaignent de discrimination raciale alors que leur affaire concerne la violation de leurs droits à la propriété).</w:t>
      </w:r>
    </w:p>
    <w:p w:rsidR="00470107" w:rsidRPr="006C6DF7" w:rsidRDefault="00470107" w:rsidP="0081043A">
      <w:pPr>
        <w:rPr>
          <w:sz w:val="28"/>
          <w:szCs w:val="28"/>
        </w:rPr>
      </w:pPr>
    </w:p>
    <w:p w:rsidR="000C5081" w:rsidRPr="006C6DF7" w:rsidRDefault="00470107" w:rsidP="0081043A">
      <w:pPr>
        <w:rPr>
          <w:sz w:val="28"/>
          <w:szCs w:val="28"/>
          <w:lang w:val="fr-FR"/>
        </w:rPr>
      </w:pPr>
      <w:r w:rsidRPr="006C6DF7">
        <w:rPr>
          <w:sz w:val="28"/>
          <w:szCs w:val="28"/>
          <w:lang w:val="fr-FR"/>
        </w:rPr>
        <w:t>Terminologie : l</w:t>
      </w:r>
      <w:r w:rsidR="000C5081" w:rsidRPr="006C6DF7">
        <w:rPr>
          <w:sz w:val="28"/>
          <w:szCs w:val="28"/>
          <w:lang w:val="fr-FR"/>
        </w:rPr>
        <w:t>’auteur(</w:t>
      </w:r>
      <w:r w:rsidR="000C5081" w:rsidRPr="006C6DF7">
        <w:rPr>
          <w:b/>
          <w:sz w:val="28"/>
          <w:szCs w:val="28"/>
          <w:lang w:val="fr-FR"/>
        </w:rPr>
        <w:t>e</w:t>
      </w:r>
      <w:r w:rsidR="000C5081" w:rsidRPr="006C6DF7">
        <w:rPr>
          <w:sz w:val="28"/>
          <w:szCs w:val="28"/>
          <w:lang w:val="fr-FR"/>
        </w:rPr>
        <w:t>) d’une communication</w:t>
      </w:r>
    </w:p>
    <w:p w:rsidR="00D62110" w:rsidRPr="006C6DF7" w:rsidRDefault="00D62110" w:rsidP="0081043A">
      <w:pPr>
        <w:rPr>
          <w:sz w:val="28"/>
          <w:szCs w:val="28"/>
          <w:lang w:val="fr-FR"/>
        </w:rPr>
      </w:pPr>
    </w:p>
    <w:p w:rsidR="00D62110" w:rsidRPr="006C6DF7" w:rsidRDefault="002A23D4" w:rsidP="0081043A">
      <w:pPr>
        <w:rPr>
          <w:b/>
          <w:sz w:val="28"/>
          <w:szCs w:val="28"/>
          <w:lang w:val="fr-FR"/>
        </w:rPr>
      </w:pPr>
      <w:r>
        <w:rPr>
          <w:b/>
          <w:sz w:val="28"/>
          <w:szCs w:val="28"/>
          <w:lang w:val="fr-FR"/>
        </w:rPr>
        <w:t>Recommandations générales </w:t>
      </w:r>
    </w:p>
    <w:p w:rsidR="00D62110" w:rsidRPr="006C6DF7" w:rsidRDefault="00D62110" w:rsidP="0081043A">
      <w:pPr>
        <w:rPr>
          <w:sz w:val="28"/>
          <w:szCs w:val="28"/>
          <w:lang w:val="fr-FR"/>
        </w:rPr>
      </w:pPr>
      <w:r w:rsidRPr="006C6DF7">
        <w:rPr>
          <w:sz w:val="28"/>
          <w:szCs w:val="28"/>
          <w:lang w:val="fr-FR"/>
        </w:rPr>
        <w:lastRenderedPageBreak/>
        <w:t>Attention à la numérotation, dans les précédents, chiffres romains, désormais systématiquement en chiffres arabes.</w:t>
      </w:r>
    </w:p>
    <w:p w:rsidR="00804067" w:rsidRPr="006C6DF7" w:rsidRDefault="00804067" w:rsidP="00804067">
      <w:pPr>
        <w:rPr>
          <w:sz w:val="28"/>
          <w:szCs w:val="28"/>
        </w:rPr>
      </w:pPr>
    </w:p>
    <w:p w:rsidR="00804067" w:rsidRPr="006C6DF7" w:rsidRDefault="00804067" w:rsidP="00804067">
      <w:pPr>
        <w:rPr>
          <w:sz w:val="28"/>
          <w:szCs w:val="28"/>
          <w:lang w:val="fr-FR"/>
        </w:rPr>
      </w:pPr>
      <w:r w:rsidRPr="006C6DF7">
        <w:rPr>
          <w:b/>
          <w:sz w:val="28"/>
          <w:szCs w:val="28"/>
          <w:lang w:val="fr-FR"/>
        </w:rPr>
        <w:t>La procédure dite d’alerte rapide et d’action urgente</w:t>
      </w:r>
      <w:r w:rsidRPr="006C6DF7">
        <w:rPr>
          <w:sz w:val="28"/>
          <w:szCs w:val="28"/>
          <w:lang w:val="fr-FR"/>
        </w:rPr>
        <w:t> (ea</w:t>
      </w:r>
      <w:r w:rsidR="002A23D4">
        <w:rPr>
          <w:sz w:val="28"/>
          <w:szCs w:val="28"/>
          <w:lang w:val="fr-FR"/>
        </w:rPr>
        <w:t>rly warning and urgent action)</w:t>
      </w:r>
    </w:p>
    <w:p w:rsidR="00804067" w:rsidRPr="006C6DF7" w:rsidRDefault="00804067" w:rsidP="00804067">
      <w:pPr>
        <w:rPr>
          <w:sz w:val="28"/>
          <w:szCs w:val="28"/>
          <w:lang w:val="fr-FR"/>
        </w:rPr>
      </w:pPr>
    </w:p>
    <w:p w:rsidR="00804067" w:rsidRPr="006C6DF7" w:rsidRDefault="00804067" w:rsidP="00804067">
      <w:pPr>
        <w:rPr>
          <w:sz w:val="28"/>
          <w:szCs w:val="28"/>
          <w:lang w:val="fr-FR"/>
        </w:rPr>
      </w:pPr>
      <w:r w:rsidRPr="006C6DF7">
        <w:rPr>
          <w:sz w:val="28"/>
          <w:szCs w:val="28"/>
          <w:lang w:val="fr-FR"/>
        </w:rPr>
        <w:t>Ce mécanisme n’avait pas été</w:t>
      </w:r>
      <w:r w:rsidR="002A23D4" w:rsidRPr="002A23D4">
        <w:rPr>
          <w:sz w:val="28"/>
          <w:szCs w:val="28"/>
          <w:lang w:val="fr-FR"/>
        </w:rPr>
        <w:t xml:space="preserve"> </w:t>
      </w:r>
      <w:r w:rsidR="002A23D4" w:rsidRPr="006C6DF7">
        <w:rPr>
          <w:sz w:val="28"/>
          <w:szCs w:val="28"/>
          <w:lang w:val="fr-FR"/>
        </w:rPr>
        <w:t>expressément</w:t>
      </w:r>
      <w:r w:rsidRPr="006C6DF7">
        <w:rPr>
          <w:sz w:val="28"/>
          <w:szCs w:val="28"/>
          <w:lang w:val="fr-FR"/>
        </w:rPr>
        <w:t xml:space="preserve"> </w:t>
      </w:r>
      <w:r w:rsidRPr="006C6DF7">
        <w:rPr>
          <w:sz w:val="28"/>
          <w:szCs w:val="28"/>
          <w:lang w:val="fr-FR"/>
        </w:rPr>
        <w:t xml:space="preserve">prévu par la Convention de 1965, mais le </w:t>
      </w:r>
      <w:r w:rsidR="000758E2">
        <w:rPr>
          <w:sz w:val="28"/>
          <w:szCs w:val="28"/>
          <w:lang w:val="fr-FR"/>
        </w:rPr>
        <w:t>Comité</w:t>
      </w:r>
      <w:r w:rsidRPr="006C6DF7">
        <w:rPr>
          <w:sz w:val="28"/>
          <w:szCs w:val="28"/>
          <w:lang w:val="fr-FR"/>
        </w:rPr>
        <w:t xml:space="preserve"> l’a instituée en 1993 pour réagir à des situations de crise et à la menace de phénomènes racistes graves et imminents.</w:t>
      </w:r>
    </w:p>
    <w:p w:rsidR="00804067" w:rsidRPr="006C6DF7" w:rsidRDefault="00804067" w:rsidP="00804067">
      <w:pPr>
        <w:rPr>
          <w:sz w:val="28"/>
          <w:szCs w:val="28"/>
          <w:lang w:val="fr-FR"/>
        </w:rPr>
      </w:pPr>
    </w:p>
    <w:p w:rsidR="00804067" w:rsidRPr="006C6DF7" w:rsidRDefault="00804067" w:rsidP="00804067">
      <w:pPr>
        <w:rPr>
          <w:sz w:val="28"/>
          <w:szCs w:val="28"/>
          <w:lang w:val="fr-FR"/>
        </w:rPr>
      </w:pPr>
      <w:r w:rsidRPr="006C6DF7">
        <w:rPr>
          <w:sz w:val="28"/>
          <w:szCs w:val="28"/>
          <w:lang w:val="fr-FR"/>
        </w:rPr>
        <w:t xml:space="preserve">À cet effet, le </w:t>
      </w:r>
      <w:r w:rsidR="000758E2">
        <w:rPr>
          <w:sz w:val="28"/>
          <w:szCs w:val="28"/>
          <w:lang w:val="fr-FR"/>
        </w:rPr>
        <w:t>Comité</w:t>
      </w:r>
      <w:r w:rsidRPr="006C6DF7">
        <w:rPr>
          <w:sz w:val="28"/>
          <w:szCs w:val="28"/>
          <w:lang w:val="fr-FR"/>
        </w:rPr>
        <w:t xml:space="preserve"> a défini les indicateurs des situations de crise justifiant de recourir à cette procédure, en l’étendant ensuite aux risques de génocides et en adoptant des </w:t>
      </w:r>
      <w:r w:rsidR="00A342F5" w:rsidRPr="006C6DF7">
        <w:rPr>
          <w:sz w:val="28"/>
          <w:szCs w:val="28"/>
          <w:lang w:val="fr-FR"/>
        </w:rPr>
        <w:t>d</w:t>
      </w:r>
      <w:r w:rsidRPr="006C6DF7">
        <w:rPr>
          <w:sz w:val="28"/>
          <w:szCs w:val="28"/>
          <w:lang w:val="fr-FR"/>
        </w:rPr>
        <w:t>irectives complètes en la matière.</w:t>
      </w:r>
    </w:p>
    <w:p w:rsidR="00804067" w:rsidRPr="006C6DF7" w:rsidRDefault="00804067" w:rsidP="00804067">
      <w:pPr>
        <w:rPr>
          <w:sz w:val="28"/>
          <w:szCs w:val="28"/>
          <w:lang w:val="fr-FR"/>
        </w:rPr>
      </w:pPr>
    </w:p>
    <w:p w:rsidR="00804067" w:rsidRPr="006C6DF7" w:rsidRDefault="00804067" w:rsidP="00804067">
      <w:pPr>
        <w:rPr>
          <w:sz w:val="28"/>
          <w:szCs w:val="28"/>
          <w:lang w:val="fr-FR"/>
        </w:rPr>
      </w:pPr>
      <w:r w:rsidRPr="006C6DF7">
        <w:rPr>
          <w:sz w:val="28"/>
          <w:szCs w:val="28"/>
          <w:lang w:val="fr-FR"/>
        </w:rPr>
        <w:t>Cette procédure a montré son utilité puisqu’elle a été appliquée à de nombreux cas et à l’égard de pays divers, par exemple, à la Libye, à la Syrie, au Mali, à la République Centrafricaine et à l’Iraq.</w:t>
      </w:r>
    </w:p>
    <w:p w:rsidR="00804067" w:rsidRPr="006C6DF7" w:rsidRDefault="00804067" w:rsidP="00804067">
      <w:pPr>
        <w:rPr>
          <w:sz w:val="28"/>
          <w:szCs w:val="28"/>
          <w:lang w:val="fr-FR"/>
        </w:rPr>
      </w:pPr>
    </w:p>
    <w:p w:rsidR="00804067" w:rsidRPr="006C6DF7" w:rsidRDefault="00804067" w:rsidP="00804067">
      <w:pPr>
        <w:rPr>
          <w:sz w:val="28"/>
          <w:szCs w:val="28"/>
          <w:lang w:val="fr-FR"/>
        </w:rPr>
      </w:pPr>
      <w:r w:rsidRPr="006C6DF7">
        <w:rPr>
          <w:sz w:val="28"/>
          <w:szCs w:val="28"/>
          <w:lang w:val="fr-FR"/>
        </w:rPr>
        <w:t xml:space="preserve">En outre, le Comité a été saisi </w:t>
      </w:r>
      <w:r w:rsidR="000758E2">
        <w:rPr>
          <w:sz w:val="28"/>
          <w:szCs w:val="28"/>
          <w:lang w:val="fr-FR"/>
        </w:rPr>
        <w:t>au</w:t>
      </w:r>
      <w:r w:rsidRPr="006C6DF7">
        <w:rPr>
          <w:sz w:val="28"/>
          <w:szCs w:val="28"/>
          <w:lang w:val="fr-FR"/>
        </w:rPr>
        <w:t xml:space="preserve"> titre </w:t>
      </w:r>
      <w:r w:rsidR="000758E2">
        <w:rPr>
          <w:sz w:val="28"/>
          <w:szCs w:val="28"/>
          <w:lang w:val="fr-FR"/>
        </w:rPr>
        <w:t>de cette procédure</w:t>
      </w:r>
      <w:r w:rsidRPr="006C6DF7">
        <w:rPr>
          <w:sz w:val="28"/>
          <w:szCs w:val="28"/>
          <w:lang w:val="fr-FR"/>
        </w:rPr>
        <w:t xml:space="preserve"> par de nombreuses communautés autochtones se plaignant de discrimination, notamment dans leurs droits concernant les terres ancestrales, par l’effet des exploitations extractives, minières ou forestières menées par des sociétés nationales ou transnationales, ainsi que de discrimination dans leurs droits économiques, sociaux et culturels.</w:t>
      </w:r>
    </w:p>
    <w:p w:rsidR="00804067" w:rsidRPr="006C6DF7" w:rsidRDefault="00804067" w:rsidP="0081043A">
      <w:pPr>
        <w:rPr>
          <w:sz w:val="28"/>
          <w:szCs w:val="28"/>
          <w:lang w:val="fr-FR"/>
        </w:rPr>
      </w:pPr>
    </w:p>
    <w:p w:rsidR="008020A8" w:rsidRPr="006C6DF7" w:rsidRDefault="008020A8" w:rsidP="008020A8">
      <w:pPr>
        <w:rPr>
          <w:sz w:val="28"/>
          <w:szCs w:val="28"/>
          <w:lang w:val="fr-FR"/>
        </w:rPr>
      </w:pPr>
      <w:r w:rsidRPr="006C6DF7">
        <w:rPr>
          <w:b/>
          <w:sz w:val="28"/>
          <w:szCs w:val="28"/>
          <w:lang w:val="fr-FR"/>
        </w:rPr>
        <w:t>Terminologie d’ordre général</w:t>
      </w:r>
    </w:p>
    <w:p w:rsidR="008020A8" w:rsidRPr="006C6DF7" w:rsidRDefault="008020A8" w:rsidP="008020A8">
      <w:pPr>
        <w:rPr>
          <w:sz w:val="28"/>
          <w:szCs w:val="28"/>
          <w:lang w:val="fr-FR"/>
        </w:rPr>
      </w:pPr>
    </w:p>
    <w:p w:rsidR="008020A8" w:rsidRPr="006C6DF7" w:rsidRDefault="008020A8" w:rsidP="008020A8">
      <w:pPr>
        <w:rPr>
          <w:sz w:val="28"/>
          <w:szCs w:val="28"/>
          <w:lang w:val="fr-FR"/>
        </w:rPr>
      </w:pPr>
      <w:r w:rsidRPr="006C6DF7">
        <w:rPr>
          <w:sz w:val="28"/>
          <w:szCs w:val="28"/>
          <w:lang w:val="fr-FR"/>
        </w:rPr>
        <w:t>faire l’objet de/être victime de/être en butte à la discrimination pas de « discriminé »</w:t>
      </w:r>
      <w:r w:rsidR="00EC0AB7">
        <w:rPr>
          <w:sz w:val="28"/>
          <w:szCs w:val="28"/>
          <w:lang w:val="fr-FR"/>
        </w:rPr>
        <w:t xml:space="preserve"> dans les textes de l’ONU. </w:t>
      </w:r>
      <w:r w:rsidRPr="006C6DF7">
        <w:rPr>
          <w:sz w:val="28"/>
          <w:szCs w:val="28"/>
          <w:lang w:val="fr-FR"/>
        </w:rPr>
        <w:t>De même, on ne « discrimine » personne : on pratique la discrimination/on se livre à des pratiques discriminatoires etc.</w:t>
      </w:r>
    </w:p>
    <w:p w:rsidR="00856850" w:rsidRPr="006C6DF7" w:rsidRDefault="00856850" w:rsidP="008020A8">
      <w:pPr>
        <w:rPr>
          <w:sz w:val="28"/>
          <w:szCs w:val="28"/>
          <w:lang w:val="fr-FR"/>
        </w:rPr>
      </w:pPr>
      <w:r w:rsidRPr="006C6DF7">
        <w:rPr>
          <w:sz w:val="28"/>
          <w:szCs w:val="28"/>
          <w:lang w:val="fr-FR"/>
        </w:rPr>
        <w:t xml:space="preserve">Idem, </w:t>
      </w:r>
      <w:r w:rsidR="00EC0AB7">
        <w:rPr>
          <w:sz w:val="28"/>
          <w:szCs w:val="28"/>
          <w:lang w:val="fr-FR"/>
        </w:rPr>
        <w:t xml:space="preserve">attention à </w:t>
      </w:r>
      <w:r w:rsidRPr="006C6DF7">
        <w:rPr>
          <w:sz w:val="28"/>
          <w:szCs w:val="28"/>
          <w:lang w:val="fr-FR"/>
        </w:rPr>
        <w:t>« la discrimination de tel ou tel groupe »</w:t>
      </w:r>
      <w:r w:rsidR="00EC0AB7">
        <w:rPr>
          <w:sz w:val="28"/>
          <w:szCs w:val="28"/>
          <w:lang w:val="fr-FR"/>
        </w:rPr>
        <w:t xml:space="preserve"> : envers/à l’égard de </w:t>
      </w:r>
    </w:p>
    <w:p w:rsidR="008020A8" w:rsidRPr="006C6DF7" w:rsidRDefault="008020A8" w:rsidP="008020A8">
      <w:pPr>
        <w:rPr>
          <w:sz w:val="28"/>
          <w:szCs w:val="28"/>
          <w:lang w:val="fr-FR"/>
        </w:rPr>
      </w:pPr>
      <w:r w:rsidRPr="006C6DF7">
        <w:rPr>
          <w:sz w:val="28"/>
          <w:szCs w:val="28"/>
          <w:lang w:val="fr-FR"/>
        </w:rPr>
        <w:t>Pas de « discrimination positive » pour « affirmative action » : action positive/palliative/corrective</w:t>
      </w:r>
    </w:p>
    <w:p w:rsidR="008020A8" w:rsidRPr="006C6DF7" w:rsidRDefault="008020A8" w:rsidP="008020A8">
      <w:pPr>
        <w:rPr>
          <w:sz w:val="28"/>
          <w:szCs w:val="28"/>
          <w:lang w:val="fr-FR"/>
        </w:rPr>
      </w:pPr>
      <w:r w:rsidRPr="006C6DF7">
        <w:rPr>
          <w:sz w:val="28"/>
          <w:szCs w:val="28"/>
          <w:lang w:val="fr-FR"/>
        </w:rPr>
        <w:t>« intersecting discrimination »: discrimination croisée</w:t>
      </w:r>
      <w:r w:rsidR="00E4348B" w:rsidRPr="006C6DF7">
        <w:rPr>
          <w:sz w:val="28"/>
          <w:szCs w:val="28"/>
          <w:lang w:val="fr-FR"/>
        </w:rPr>
        <w:t xml:space="preserve"> voire multiple</w:t>
      </w:r>
      <w:r w:rsidRPr="006C6DF7">
        <w:rPr>
          <w:sz w:val="28"/>
          <w:szCs w:val="28"/>
          <w:lang w:val="fr-FR"/>
        </w:rPr>
        <w:t xml:space="preserve"> (plutôt que « convergente »).</w:t>
      </w:r>
    </w:p>
    <w:p w:rsidR="008020A8" w:rsidRPr="006C6DF7" w:rsidRDefault="008020A8" w:rsidP="008020A8">
      <w:pPr>
        <w:rPr>
          <w:sz w:val="28"/>
          <w:szCs w:val="28"/>
          <w:lang w:val="fr-FR"/>
        </w:rPr>
      </w:pPr>
    </w:p>
    <w:p w:rsidR="008020A8" w:rsidRPr="006C6DF7" w:rsidRDefault="008020A8" w:rsidP="008020A8">
      <w:pPr>
        <w:rPr>
          <w:sz w:val="28"/>
          <w:szCs w:val="28"/>
          <w:lang w:val="fr-FR"/>
        </w:rPr>
      </w:pPr>
      <w:r w:rsidRPr="006C6DF7">
        <w:rPr>
          <w:sz w:val="28"/>
          <w:szCs w:val="28"/>
          <w:lang w:val="fr-FR"/>
        </w:rPr>
        <w:t>Pas d’ « indigènes » sauf s’il s’agit bien évidemment du titre de la Convention (n° 169) de l’Organisation internationale du Travail relative aux peuples indigènes et tribaux.</w:t>
      </w:r>
    </w:p>
    <w:p w:rsidR="008020A8" w:rsidRPr="006C6DF7" w:rsidRDefault="008020A8" w:rsidP="008020A8">
      <w:pPr>
        <w:rPr>
          <w:sz w:val="28"/>
          <w:szCs w:val="28"/>
          <w:lang w:val="fr-FR"/>
        </w:rPr>
      </w:pPr>
    </w:p>
    <w:p w:rsidR="008020A8" w:rsidRPr="006C6DF7" w:rsidRDefault="008020A8" w:rsidP="008020A8">
      <w:pPr>
        <w:rPr>
          <w:sz w:val="28"/>
          <w:szCs w:val="28"/>
          <w:lang w:val="fr-FR"/>
        </w:rPr>
      </w:pPr>
      <w:r w:rsidRPr="006C6DF7">
        <w:rPr>
          <w:sz w:val="28"/>
          <w:szCs w:val="28"/>
          <w:lang w:val="fr-FR"/>
        </w:rPr>
        <w:lastRenderedPageBreak/>
        <w:t xml:space="preserve">Il importe de respecter scrupuleusement l’original lorsqu’il est question de « peuple », « communauté », « groupe », « minorité » autochtones. Ces mots-là ne sont pas interchangeables. Certains États parties ne reconnaissent pas l’existence de « peuples autochtones », ils vont donc parler de « minorités/communautés/groupes autochtones » (par exemple), ou au contraire certains autochtones se définissent de telle ou telle façon. </w:t>
      </w:r>
    </w:p>
    <w:p w:rsidR="008020A8" w:rsidRPr="006C6DF7" w:rsidRDefault="008020A8" w:rsidP="008020A8">
      <w:pPr>
        <w:rPr>
          <w:sz w:val="28"/>
          <w:szCs w:val="28"/>
          <w:lang w:val="fr-FR"/>
        </w:rPr>
      </w:pPr>
      <w:r w:rsidRPr="006C6DF7">
        <w:rPr>
          <w:sz w:val="28"/>
          <w:szCs w:val="28"/>
          <w:lang w:val="fr-FR"/>
        </w:rPr>
        <w:t>Par exemple, aux États-Unis, les Navajos se définissent comme une nation et non comme un peuple. Si dans une communication émanant d’un particulier, il est question de la nation navajo, on respectera cette expression.</w:t>
      </w:r>
    </w:p>
    <w:p w:rsidR="008020A8" w:rsidRPr="006C6DF7" w:rsidRDefault="008020A8" w:rsidP="008020A8">
      <w:pPr>
        <w:rPr>
          <w:sz w:val="28"/>
          <w:szCs w:val="28"/>
          <w:lang w:val="fr-FR"/>
        </w:rPr>
      </w:pPr>
    </w:p>
    <w:p w:rsidR="008020A8" w:rsidRPr="006C6DF7" w:rsidRDefault="008020A8" w:rsidP="008020A8">
      <w:pPr>
        <w:rPr>
          <w:sz w:val="28"/>
          <w:szCs w:val="28"/>
          <w:lang w:val="fr-FR"/>
        </w:rPr>
      </w:pPr>
      <w:r w:rsidRPr="006C6DF7">
        <w:rPr>
          <w:sz w:val="28"/>
          <w:szCs w:val="28"/>
          <w:lang w:val="fr-FR"/>
        </w:rPr>
        <w:t>Accord des noms de peuples</w:t>
      </w:r>
    </w:p>
    <w:p w:rsidR="008020A8" w:rsidRPr="006C6DF7" w:rsidRDefault="008020A8" w:rsidP="008020A8">
      <w:pPr>
        <w:rPr>
          <w:sz w:val="28"/>
          <w:szCs w:val="28"/>
          <w:lang w:val="fr-FR"/>
        </w:rPr>
      </w:pPr>
      <w:r w:rsidRPr="006C6DF7">
        <w:rPr>
          <w:sz w:val="28"/>
          <w:szCs w:val="28"/>
          <w:lang w:val="fr-FR"/>
        </w:rPr>
        <w:t>Nous faisons obligatoirement l'accord en NOMBRE en utilisant la marque du pluriel française (</w:t>
      </w:r>
      <w:r w:rsidR="00EC0AB7">
        <w:rPr>
          <w:sz w:val="28"/>
          <w:szCs w:val="28"/>
          <w:lang w:val="fr-FR"/>
        </w:rPr>
        <w:t>le « s »</w:t>
      </w:r>
      <w:r w:rsidRPr="006C6DF7">
        <w:rPr>
          <w:sz w:val="28"/>
          <w:szCs w:val="28"/>
          <w:lang w:val="fr-FR"/>
        </w:rPr>
        <w:t xml:space="preserve">). Nous ne faisons pas obligatoirement l'accord en GENRE mais quand les peuples sont très connus (ex. les Maoris) et si l'écriture s'y prête (terminaison en voyelle par exemple), l'accord en genre est possible et souhaitable. Certains noms portent déjà la marque du pluriel; Ba-hutu, par exemple. Ba est la marque du pluriel; ici on écrira Hutus (avec un </w:t>
      </w:r>
      <w:r w:rsidR="00A2216C" w:rsidRPr="006C6DF7">
        <w:rPr>
          <w:sz w:val="28"/>
          <w:szCs w:val="28"/>
          <w:lang w:val="fr-FR"/>
        </w:rPr>
        <w:t>« s »</w:t>
      </w:r>
      <w:r w:rsidRPr="006C6DF7">
        <w:rPr>
          <w:sz w:val="28"/>
          <w:szCs w:val="28"/>
          <w:lang w:val="fr-FR"/>
        </w:rPr>
        <w:t>, sans Ba). Il y a toujours des exceptions et il y a certainement des cas moins clairs, qui se régleront individuellement, en visant l'objectif d'ha</w:t>
      </w:r>
      <w:r w:rsidR="00EC0AB7">
        <w:rPr>
          <w:sz w:val="28"/>
          <w:szCs w:val="28"/>
          <w:lang w:val="fr-FR"/>
        </w:rPr>
        <w:t>rmonisation (merci de consulter les réviseurs des droits de l’homme et les collègues qui travaillent sur le même texte).</w:t>
      </w:r>
    </w:p>
    <w:p w:rsidR="008020A8" w:rsidRPr="006C6DF7" w:rsidRDefault="008020A8" w:rsidP="008020A8">
      <w:pPr>
        <w:rPr>
          <w:sz w:val="28"/>
          <w:szCs w:val="28"/>
          <w:lang w:val="fr-FR"/>
        </w:rPr>
      </w:pPr>
    </w:p>
    <w:p w:rsidR="008020A8" w:rsidRPr="006C6DF7" w:rsidRDefault="008020A8" w:rsidP="0081043A">
      <w:pPr>
        <w:rPr>
          <w:sz w:val="28"/>
          <w:szCs w:val="28"/>
          <w:lang w:val="fr-FR"/>
        </w:rPr>
      </w:pPr>
    </w:p>
    <w:sectPr w:rsidR="008020A8" w:rsidRPr="006C6DF7" w:rsidSect="00B12372">
      <w:endnotePr>
        <w:numFmt w:val="decimal"/>
      </w:endnotePr>
      <w:pgSz w:w="11907" w:h="16840" w:code="9"/>
      <w:pgMar w:top="1701" w:right="1134" w:bottom="2268" w:left="1134" w:header="1134" w:footer="1701" w:gutter="0"/>
      <w:cols w:space="720"/>
      <w:docGrid w:linePitch="1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A65" w:rsidRPr="00927979" w:rsidRDefault="00DC7A65" w:rsidP="00927979">
      <w:pPr>
        <w:pStyle w:val="Pieddepage"/>
      </w:pPr>
    </w:p>
  </w:endnote>
  <w:endnote w:type="continuationSeparator" w:id="0">
    <w:p w:rsidR="00DC7A65" w:rsidRPr="00927979" w:rsidRDefault="00DC7A65" w:rsidP="00927979">
      <w:pPr>
        <w:pStyle w:val="Pieddepage"/>
      </w:pPr>
    </w:p>
  </w:endnote>
  <w:endnote w:type="continuationNotice" w:id="1">
    <w:p w:rsidR="00DC7A65" w:rsidRPr="00927979" w:rsidRDefault="00DC7A65">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A65" w:rsidRPr="00927979" w:rsidRDefault="00DC7A65" w:rsidP="00927979">
      <w:pPr>
        <w:pStyle w:val="Pieddepage"/>
        <w:tabs>
          <w:tab w:val="right" w:pos="2155"/>
        </w:tabs>
        <w:spacing w:after="80" w:line="240" w:lineRule="atLeast"/>
        <w:ind w:left="680"/>
        <w:rPr>
          <w:u w:val="single"/>
        </w:rPr>
      </w:pPr>
      <w:r w:rsidRPr="00927979">
        <w:rPr>
          <w:u w:val="single"/>
        </w:rPr>
        <w:tab/>
      </w:r>
    </w:p>
  </w:footnote>
  <w:footnote w:type="continuationSeparator" w:id="0">
    <w:p w:rsidR="00DC7A65" w:rsidRPr="00927979" w:rsidRDefault="00DC7A65" w:rsidP="00927979">
      <w:pPr>
        <w:pStyle w:val="Pieddepage"/>
        <w:tabs>
          <w:tab w:val="right" w:pos="2155"/>
        </w:tabs>
        <w:spacing w:after="80" w:line="240" w:lineRule="atLeast"/>
        <w:ind w:left="680"/>
        <w:rPr>
          <w:u w:val="single"/>
        </w:rPr>
      </w:pPr>
      <w:r>
        <w:rPr>
          <w:u w:val="single"/>
        </w:rPr>
        <w:tab/>
      </w:r>
    </w:p>
  </w:footnote>
  <w:footnote w:type="continuationNotice" w:id="1">
    <w:p w:rsidR="00DC7A65" w:rsidRPr="00927979" w:rsidRDefault="00DC7A65">
      <w:pPr>
        <w:spacing w:line="240" w:lineRule="auto"/>
        <w:rPr>
          <w:sz w:val="2"/>
          <w:szCs w:val="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6"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5"/>
  </w:num>
  <w:num w:numId="6">
    <w:abstractNumId w:val="3"/>
  </w:num>
  <w:num w:numId="7">
    <w:abstractNumId w:val="5"/>
  </w:num>
  <w:num w:numId="8">
    <w:abstractNumId w:val="3"/>
  </w:num>
  <w:num w:numId="9">
    <w:abstractNumId w:val="0"/>
  </w:num>
  <w:num w:numId="10">
    <w:abstractNumId w:val="5"/>
  </w:num>
  <w:num w:numId="11">
    <w:abstractNumId w:val="3"/>
  </w:num>
  <w:num w:numId="1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activeWritingStyle w:appName="MSWord" w:lang="fr-CH" w:vendorID="64" w:dllVersion="131078" w:nlCheck="1" w:checkStyle="1"/>
  <w:activeWritingStyle w:appName="MSWord" w:lang="fr-FR" w:vendorID="9" w:dllVersion="512"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rawingGridHorizontalSpacing w:val="39"/>
  <w:drawingGridVerticalSpacing w:val="107"/>
  <w:displayHorizontalDrawingGridEvery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C1F"/>
    <w:rsid w:val="00016E87"/>
    <w:rsid w:val="00021B5E"/>
    <w:rsid w:val="00023B43"/>
    <w:rsid w:val="000419F9"/>
    <w:rsid w:val="00042311"/>
    <w:rsid w:val="00063F96"/>
    <w:rsid w:val="000672C4"/>
    <w:rsid w:val="000758E2"/>
    <w:rsid w:val="000770C9"/>
    <w:rsid w:val="00092D7C"/>
    <w:rsid w:val="0009378E"/>
    <w:rsid w:val="00097564"/>
    <w:rsid w:val="000C5081"/>
    <w:rsid w:val="00114956"/>
    <w:rsid w:val="00127032"/>
    <w:rsid w:val="00151061"/>
    <w:rsid w:val="001A0959"/>
    <w:rsid w:val="001B5375"/>
    <w:rsid w:val="001E1154"/>
    <w:rsid w:val="0023799A"/>
    <w:rsid w:val="002509A0"/>
    <w:rsid w:val="0027216F"/>
    <w:rsid w:val="002803A1"/>
    <w:rsid w:val="0029019A"/>
    <w:rsid w:val="002948E5"/>
    <w:rsid w:val="002A23D4"/>
    <w:rsid w:val="002C4A37"/>
    <w:rsid w:val="002D4B0E"/>
    <w:rsid w:val="002E09B5"/>
    <w:rsid w:val="002F2A3C"/>
    <w:rsid w:val="002F5889"/>
    <w:rsid w:val="002F7E91"/>
    <w:rsid w:val="00323A01"/>
    <w:rsid w:val="003301D2"/>
    <w:rsid w:val="00345FEA"/>
    <w:rsid w:val="003539CE"/>
    <w:rsid w:val="00360972"/>
    <w:rsid w:val="0038728C"/>
    <w:rsid w:val="003F154B"/>
    <w:rsid w:val="004341FD"/>
    <w:rsid w:val="00455683"/>
    <w:rsid w:val="0045799B"/>
    <w:rsid w:val="00466DB9"/>
    <w:rsid w:val="00470107"/>
    <w:rsid w:val="00496A01"/>
    <w:rsid w:val="004A3DD6"/>
    <w:rsid w:val="004B1453"/>
    <w:rsid w:val="004D7BDB"/>
    <w:rsid w:val="004E720E"/>
    <w:rsid w:val="004F208D"/>
    <w:rsid w:val="0050022F"/>
    <w:rsid w:val="00516D23"/>
    <w:rsid w:val="005222DC"/>
    <w:rsid w:val="00550A7B"/>
    <w:rsid w:val="005A7459"/>
    <w:rsid w:val="00613335"/>
    <w:rsid w:val="006528E0"/>
    <w:rsid w:val="006735FE"/>
    <w:rsid w:val="00682AA0"/>
    <w:rsid w:val="0068337F"/>
    <w:rsid w:val="00692D28"/>
    <w:rsid w:val="00694616"/>
    <w:rsid w:val="006A1CEB"/>
    <w:rsid w:val="006B0EE1"/>
    <w:rsid w:val="006B6852"/>
    <w:rsid w:val="006C6DF7"/>
    <w:rsid w:val="006F5E40"/>
    <w:rsid w:val="00700EC6"/>
    <w:rsid w:val="00755E2A"/>
    <w:rsid w:val="007649A0"/>
    <w:rsid w:val="00796321"/>
    <w:rsid w:val="007E6C7F"/>
    <w:rsid w:val="008020A8"/>
    <w:rsid w:val="00804067"/>
    <w:rsid w:val="00807E38"/>
    <w:rsid w:val="0081043A"/>
    <w:rsid w:val="0081677C"/>
    <w:rsid w:val="008419AE"/>
    <w:rsid w:val="00856850"/>
    <w:rsid w:val="00865F16"/>
    <w:rsid w:val="00872593"/>
    <w:rsid w:val="008930B2"/>
    <w:rsid w:val="008A322F"/>
    <w:rsid w:val="008A3263"/>
    <w:rsid w:val="00907238"/>
    <w:rsid w:val="00917D92"/>
    <w:rsid w:val="00927979"/>
    <w:rsid w:val="00941536"/>
    <w:rsid w:val="00945035"/>
    <w:rsid w:val="00973FAE"/>
    <w:rsid w:val="0097447A"/>
    <w:rsid w:val="009B0328"/>
    <w:rsid w:val="009C6861"/>
    <w:rsid w:val="009D3700"/>
    <w:rsid w:val="009E5394"/>
    <w:rsid w:val="00A00E4B"/>
    <w:rsid w:val="00A16017"/>
    <w:rsid w:val="00A201F2"/>
    <w:rsid w:val="00A2216C"/>
    <w:rsid w:val="00A30C38"/>
    <w:rsid w:val="00A342F5"/>
    <w:rsid w:val="00A4074C"/>
    <w:rsid w:val="00A478BB"/>
    <w:rsid w:val="00A53843"/>
    <w:rsid w:val="00A5540C"/>
    <w:rsid w:val="00A66881"/>
    <w:rsid w:val="00AA4364"/>
    <w:rsid w:val="00AC3CF9"/>
    <w:rsid w:val="00AD1D32"/>
    <w:rsid w:val="00AF3B64"/>
    <w:rsid w:val="00B12372"/>
    <w:rsid w:val="00B23BF1"/>
    <w:rsid w:val="00B309B1"/>
    <w:rsid w:val="00B734B0"/>
    <w:rsid w:val="00B93053"/>
    <w:rsid w:val="00BA71FE"/>
    <w:rsid w:val="00BD41C1"/>
    <w:rsid w:val="00BD7FB6"/>
    <w:rsid w:val="00BF4D45"/>
    <w:rsid w:val="00C126C2"/>
    <w:rsid w:val="00C31337"/>
    <w:rsid w:val="00C34508"/>
    <w:rsid w:val="00C505F8"/>
    <w:rsid w:val="00C656A4"/>
    <w:rsid w:val="00C73D04"/>
    <w:rsid w:val="00C75821"/>
    <w:rsid w:val="00C85BB7"/>
    <w:rsid w:val="00C9345A"/>
    <w:rsid w:val="00CA061C"/>
    <w:rsid w:val="00CB42D0"/>
    <w:rsid w:val="00CD5628"/>
    <w:rsid w:val="00CD71D5"/>
    <w:rsid w:val="00CE1525"/>
    <w:rsid w:val="00CF0588"/>
    <w:rsid w:val="00D034A8"/>
    <w:rsid w:val="00D17010"/>
    <w:rsid w:val="00D478D1"/>
    <w:rsid w:val="00D51BBF"/>
    <w:rsid w:val="00D55762"/>
    <w:rsid w:val="00D62110"/>
    <w:rsid w:val="00D85AD4"/>
    <w:rsid w:val="00DC7A65"/>
    <w:rsid w:val="00DF5D16"/>
    <w:rsid w:val="00E02464"/>
    <w:rsid w:val="00E26C1F"/>
    <w:rsid w:val="00E4348B"/>
    <w:rsid w:val="00E57748"/>
    <w:rsid w:val="00E60A43"/>
    <w:rsid w:val="00E66241"/>
    <w:rsid w:val="00E66E56"/>
    <w:rsid w:val="00E812EF"/>
    <w:rsid w:val="00E862D7"/>
    <w:rsid w:val="00EC0AB7"/>
    <w:rsid w:val="00EC400E"/>
    <w:rsid w:val="00F268B8"/>
    <w:rsid w:val="00F27761"/>
    <w:rsid w:val="00F27A0B"/>
    <w:rsid w:val="00F3660C"/>
    <w:rsid w:val="00F52200"/>
    <w:rsid w:val="00F52889"/>
    <w:rsid w:val="00F6508F"/>
    <w:rsid w:val="00F81F99"/>
    <w:rsid w:val="00F841D8"/>
    <w:rsid w:val="00F94129"/>
    <w:rsid w:val="00FA3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14:docId w14:val="0EE19995"/>
  <w15:chartTrackingRefBased/>
  <w15:docId w15:val="{78C97BB3-036E-4A99-BEFD-3A49069EB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D16"/>
    <w:pPr>
      <w:suppressAutoHyphens/>
      <w:kinsoku w:val="0"/>
      <w:overflowPunct w:val="0"/>
      <w:autoSpaceDE w:val="0"/>
      <w:autoSpaceDN w:val="0"/>
      <w:adjustRightInd w:val="0"/>
      <w:snapToGrid w:val="0"/>
      <w:spacing w:line="240" w:lineRule="atLeast"/>
    </w:pPr>
    <w:rPr>
      <w:lang w:val="fr-CH"/>
    </w:rPr>
  </w:style>
  <w:style w:type="paragraph" w:styleId="Titre1">
    <w:name w:val="heading 1"/>
    <w:aliases w:val="Table_G"/>
    <w:basedOn w:val="SingleTxtG"/>
    <w:next w:val="SingleTxtG"/>
    <w:link w:val="Titre1Car"/>
    <w:qFormat/>
    <w:rsid w:val="00DF5D16"/>
    <w:pPr>
      <w:keepNext/>
      <w:keepLines/>
      <w:spacing w:after="0" w:line="240" w:lineRule="auto"/>
      <w:ind w:right="0"/>
      <w:jc w:val="left"/>
      <w:outlineLvl w:val="0"/>
    </w:pPr>
  </w:style>
  <w:style w:type="paragraph" w:styleId="Titre2">
    <w:name w:val="heading 2"/>
    <w:basedOn w:val="Normal"/>
    <w:next w:val="Normal"/>
    <w:qFormat/>
    <w:rsid w:val="00323A01"/>
    <w:pPr>
      <w:outlineLvl w:val="1"/>
    </w:pPr>
  </w:style>
  <w:style w:type="paragraph" w:styleId="Titre3">
    <w:name w:val="heading 3"/>
    <w:basedOn w:val="Normal"/>
    <w:next w:val="Normal"/>
    <w:qFormat/>
    <w:rsid w:val="00323A01"/>
    <w:pPr>
      <w:outlineLvl w:val="2"/>
    </w:pPr>
  </w:style>
  <w:style w:type="paragraph" w:styleId="Titre4">
    <w:name w:val="heading 4"/>
    <w:basedOn w:val="Normal"/>
    <w:next w:val="Normal"/>
    <w:qFormat/>
    <w:rsid w:val="00323A01"/>
    <w:pPr>
      <w:outlineLvl w:val="3"/>
    </w:pPr>
  </w:style>
  <w:style w:type="paragraph" w:styleId="Titre5">
    <w:name w:val="heading 5"/>
    <w:basedOn w:val="Normal"/>
    <w:next w:val="Normal"/>
    <w:qFormat/>
    <w:rsid w:val="00323A01"/>
    <w:pPr>
      <w:outlineLvl w:val="4"/>
    </w:pPr>
  </w:style>
  <w:style w:type="paragraph" w:styleId="Titre6">
    <w:name w:val="heading 6"/>
    <w:basedOn w:val="Normal"/>
    <w:next w:val="Normal"/>
    <w:qFormat/>
    <w:rsid w:val="00323A01"/>
    <w:pPr>
      <w:outlineLvl w:val="5"/>
    </w:pPr>
  </w:style>
  <w:style w:type="paragraph" w:styleId="Titre7">
    <w:name w:val="heading 7"/>
    <w:basedOn w:val="Normal"/>
    <w:next w:val="Normal"/>
    <w:qFormat/>
    <w:rsid w:val="00323A01"/>
    <w:pPr>
      <w:outlineLvl w:val="6"/>
    </w:pPr>
  </w:style>
  <w:style w:type="paragraph" w:styleId="Titre8">
    <w:name w:val="heading 8"/>
    <w:basedOn w:val="Normal"/>
    <w:next w:val="Normal"/>
    <w:qFormat/>
    <w:rsid w:val="00323A01"/>
    <w:pPr>
      <w:outlineLvl w:val="7"/>
    </w:pPr>
  </w:style>
  <w:style w:type="paragraph" w:styleId="Titre9">
    <w:name w:val="heading 9"/>
    <w:basedOn w:val="Normal"/>
    <w:next w:val="Normal"/>
    <w:qFormat/>
    <w:rsid w:val="00323A01"/>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aliases w:val="4_G"/>
    <w:rsid w:val="00DF5D16"/>
    <w:rPr>
      <w:rFonts w:ascii="Times New Roman" w:hAnsi="Times New Roman"/>
      <w:sz w:val="18"/>
      <w:vertAlign w:val="superscript"/>
      <w:lang w:val="fr-CH"/>
    </w:rPr>
  </w:style>
  <w:style w:type="paragraph" w:styleId="En-tte">
    <w:name w:val="header"/>
    <w:aliases w:val="6_G"/>
    <w:basedOn w:val="Normal"/>
    <w:next w:val="Normal"/>
    <w:link w:val="En-tteCar"/>
    <w:rsid w:val="00DF5D16"/>
    <w:pPr>
      <w:pBdr>
        <w:bottom w:val="single" w:sz="4" w:space="4" w:color="auto"/>
      </w:pBdr>
      <w:spacing w:line="240" w:lineRule="auto"/>
    </w:pPr>
    <w:rPr>
      <w:b/>
      <w:sz w:val="18"/>
    </w:rPr>
  </w:style>
  <w:style w:type="character" w:styleId="Numrodepage">
    <w:name w:val="page number"/>
    <w:aliases w:val="7_G"/>
    <w:rsid w:val="00DF5D16"/>
    <w:rPr>
      <w:rFonts w:ascii="Times New Roman" w:hAnsi="Times New Roman"/>
      <w:b/>
      <w:sz w:val="18"/>
      <w:lang w:val="fr-CH"/>
    </w:rPr>
  </w:style>
  <w:style w:type="paragraph" w:styleId="Pieddepage">
    <w:name w:val="footer"/>
    <w:aliases w:val="3_G"/>
    <w:basedOn w:val="Normal"/>
    <w:next w:val="Normal"/>
    <w:link w:val="PieddepageCar"/>
    <w:rsid w:val="00DF5D16"/>
    <w:pPr>
      <w:spacing w:line="240" w:lineRule="auto"/>
    </w:pPr>
    <w:rPr>
      <w:sz w:val="16"/>
    </w:rPr>
  </w:style>
  <w:style w:type="paragraph" w:styleId="Notedebasdepage">
    <w:name w:val="footnote text"/>
    <w:aliases w:val="5_G"/>
    <w:basedOn w:val="Normal"/>
    <w:link w:val="NotedebasdepageCar"/>
    <w:rsid w:val="00DF5D16"/>
    <w:pPr>
      <w:tabs>
        <w:tab w:val="right" w:pos="1021"/>
      </w:tabs>
      <w:spacing w:line="220" w:lineRule="exact"/>
      <w:ind w:left="1134" w:right="1134" w:hanging="1134"/>
    </w:pPr>
    <w:rPr>
      <w:sz w:val="18"/>
    </w:rPr>
  </w:style>
  <w:style w:type="character" w:styleId="Appeldenotedefin">
    <w:name w:val="endnote reference"/>
    <w:aliases w:val="1_G"/>
    <w:rsid w:val="00DF5D16"/>
    <w:rPr>
      <w:rFonts w:ascii="Times New Roman" w:hAnsi="Times New Roman"/>
      <w:sz w:val="18"/>
      <w:vertAlign w:val="superscript"/>
      <w:lang w:val="fr-CH"/>
    </w:rPr>
  </w:style>
  <w:style w:type="paragraph" w:styleId="Notedefin">
    <w:name w:val="endnote text"/>
    <w:aliases w:val="2_G"/>
    <w:basedOn w:val="Notedebasdepage"/>
    <w:link w:val="NotedefinCar"/>
    <w:rsid w:val="00DF5D16"/>
  </w:style>
  <w:style w:type="paragraph" w:customStyle="1" w:styleId="HMG">
    <w:name w:val="_ H __M_G"/>
    <w:basedOn w:val="Normal"/>
    <w:next w:val="Normal"/>
    <w:qFormat/>
    <w:rsid w:val="00DF5D1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DF5D16"/>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DF5D1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DF5D1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F5D1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F5D16"/>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F5D16"/>
    <w:pPr>
      <w:spacing w:after="120"/>
      <w:ind w:left="1134" w:right="1134"/>
      <w:jc w:val="both"/>
    </w:pPr>
  </w:style>
  <w:style w:type="paragraph" w:customStyle="1" w:styleId="SLG">
    <w:name w:val="__S_L_G"/>
    <w:basedOn w:val="Normal"/>
    <w:next w:val="Normal"/>
    <w:rsid w:val="00DF5D16"/>
    <w:pPr>
      <w:keepNext/>
      <w:keepLines/>
      <w:spacing w:before="240" w:after="240" w:line="580" w:lineRule="exact"/>
      <w:ind w:left="1134" w:right="1134"/>
    </w:pPr>
    <w:rPr>
      <w:b/>
      <w:sz w:val="56"/>
    </w:rPr>
  </w:style>
  <w:style w:type="paragraph" w:customStyle="1" w:styleId="SMG">
    <w:name w:val="__S_M_G"/>
    <w:basedOn w:val="Normal"/>
    <w:next w:val="Normal"/>
    <w:rsid w:val="00DF5D16"/>
    <w:pPr>
      <w:keepNext/>
      <w:keepLines/>
      <w:spacing w:before="240" w:after="240" w:line="420" w:lineRule="exact"/>
      <w:ind w:left="1134" w:right="1134"/>
    </w:pPr>
    <w:rPr>
      <w:b/>
      <w:sz w:val="40"/>
    </w:rPr>
  </w:style>
  <w:style w:type="paragraph" w:customStyle="1" w:styleId="SSG">
    <w:name w:val="__S_S_G"/>
    <w:basedOn w:val="Normal"/>
    <w:next w:val="Normal"/>
    <w:rsid w:val="00DF5D16"/>
    <w:pPr>
      <w:keepNext/>
      <w:keepLines/>
      <w:spacing w:before="240" w:after="240" w:line="300" w:lineRule="exact"/>
      <w:ind w:left="1134" w:right="1134"/>
    </w:pPr>
    <w:rPr>
      <w:b/>
      <w:sz w:val="28"/>
    </w:rPr>
  </w:style>
  <w:style w:type="paragraph" w:customStyle="1" w:styleId="XLargeG">
    <w:name w:val="__XLarge_G"/>
    <w:basedOn w:val="Normal"/>
    <w:next w:val="Normal"/>
    <w:rsid w:val="00DF5D16"/>
    <w:pPr>
      <w:keepNext/>
      <w:keepLines/>
      <w:spacing w:before="240" w:after="240" w:line="420" w:lineRule="exact"/>
      <w:ind w:left="1134" w:right="1134"/>
    </w:pPr>
    <w:rPr>
      <w:b/>
      <w:sz w:val="40"/>
    </w:rPr>
  </w:style>
  <w:style w:type="paragraph" w:customStyle="1" w:styleId="Bullet1G">
    <w:name w:val="_Bullet 1_G"/>
    <w:basedOn w:val="Normal"/>
    <w:qFormat/>
    <w:rsid w:val="00DF5D16"/>
    <w:pPr>
      <w:numPr>
        <w:numId w:val="10"/>
      </w:numPr>
      <w:spacing w:after="120"/>
      <w:ind w:right="1134"/>
      <w:jc w:val="both"/>
    </w:pPr>
  </w:style>
  <w:style w:type="paragraph" w:customStyle="1" w:styleId="Bullet2G">
    <w:name w:val="_Bullet 2_G"/>
    <w:basedOn w:val="Normal"/>
    <w:qFormat/>
    <w:rsid w:val="00DF5D16"/>
    <w:pPr>
      <w:numPr>
        <w:numId w:val="11"/>
      </w:numPr>
      <w:spacing w:after="120"/>
      <w:ind w:right="1134"/>
      <w:jc w:val="both"/>
    </w:pPr>
  </w:style>
  <w:style w:type="table" w:styleId="Grilledutableau">
    <w:name w:val="Table Grid"/>
    <w:basedOn w:val="TableauNormal"/>
    <w:rsid w:val="00DF5D1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semiHidden/>
    <w:rsid w:val="00DF5D16"/>
    <w:rPr>
      <w:color w:val="auto"/>
      <w:u w:val="none"/>
    </w:rPr>
  </w:style>
  <w:style w:type="character" w:styleId="Lienhypertextesuivivisit">
    <w:name w:val="FollowedHyperlink"/>
    <w:semiHidden/>
    <w:rsid w:val="00DF5D16"/>
    <w:rPr>
      <w:color w:val="auto"/>
      <w:u w:val="none"/>
    </w:rPr>
  </w:style>
  <w:style w:type="paragraph" w:customStyle="1" w:styleId="ParNoG">
    <w:name w:val="_ParNo_G"/>
    <w:basedOn w:val="SingleTxtG"/>
    <w:qFormat/>
    <w:rsid w:val="00DF5D16"/>
    <w:pPr>
      <w:numPr>
        <w:numId w:val="12"/>
      </w:numPr>
    </w:pPr>
  </w:style>
  <w:style w:type="character" w:customStyle="1" w:styleId="En-tteCar">
    <w:name w:val="En-tête Car"/>
    <w:aliases w:val="6_G Car"/>
    <w:link w:val="En-tte"/>
    <w:rsid w:val="00DF5D16"/>
    <w:rPr>
      <w:rFonts w:eastAsia="Times New Roman"/>
      <w:b/>
      <w:sz w:val="18"/>
      <w:lang w:eastAsia="en-US"/>
    </w:rPr>
  </w:style>
  <w:style w:type="character" w:customStyle="1" w:styleId="NotedebasdepageCar">
    <w:name w:val="Note de bas de page Car"/>
    <w:aliases w:val="5_G Car"/>
    <w:link w:val="Notedebasdepage"/>
    <w:rsid w:val="00DF5D16"/>
    <w:rPr>
      <w:rFonts w:eastAsia="Times New Roman"/>
      <w:sz w:val="18"/>
      <w:lang w:eastAsia="en-US"/>
    </w:rPr>
  </w:style>
  <w:style w:type="character" w:customStyle="1" w:styleId="NotedefinCar">
    <w:name w:val="Note de fin Car"/>
    <w:aliases w:val="2_G Car"/>
    <w:link w:val="Notedefin"/>
    <w:rsid w:val="00DF5D16"/>
    <w:rPr>
      <w:rFonts w:eastAsia="Times New Roman"/>
      <w:sz w:val="18"/>
      <w:lang w:eastAsia="en-US"/>
    </w:rPr>
  </w:style>
  <w:style w:type="character" w:customStyle="1" w:styleId="PieddepageCar">
    <w:name w:val="Pied de page Car"/>
    <w:aliases w:val="3_G Car"/>
    <w:link w:val="Pieddepage"/>
    <w:rsid w:val="00DF5D16"/>
    <w:rPr>
      <w:rFonts w:eastAsia="Times New Roman"/>
      <w:sz w:val="16"/>
      <w:lang w:eastAsia="en-US"/>
    </w:rPr>
  </w:style>
  <w:style w:type="character" w:customStyle="1" w:styleId="Titre1Car">
    <w:name w:val="Titre 1 Car"/>
    <w:aliases w:val="Table_G Car"/>
    <w:link w:val="Titre1"/>
    <w:rsid w:val="00DF5D16"/>
    <w:rPr>
      <w:rFonts w:eastAsia="Times New Roman"/>
      <w:lang w:eastAsia="en-US"/>
    </w:rPr>
  </w:style>
  <w:style w:type="character" w:styleId="Marquedecommentaire">
    <w:name w:val="annotation reference"/>
    <w:rsid w:val="004A3DD6"/>
    <w:rPr>
      <w:sz w:val="16"/>
      <w:szCs w:val="16"/>
    </w:rPr>
  </w:style>
  <w:style w:type="paragraph" w:styleId="Commentaire">
    <w:name w:val="annotation text"/>
    <w:basedOn w:val="Normal"/>
    <w:link w:val="CommentaireCar"/>
    <w:rsid w:val="004A3DD6"/>
  </w:style>
  <w:style w:type="character" w:customStyle="1" w:styleId="CommentaireCar">
    <w:name w:val="Commentaire Car"/>
    <w:link w:val="Commentaire"/>
    <w:rsid w:val="004A3DD6"/>
    <w:rPr>
      <w:rFonts w:eastAsia="Times New Roman"/>
      <w:lang w:eastAsia="en-US"/>
    </w:rPr>
  </w:style>
  <w:style w:type="paragraph" w:styleId="Objetducommentaire">
    <w:name w:val="annotation subject"/>
    <w:basedOn w:val="Commentaire"/>
    <w:next w:val="Commentaire"/>
    <w:link w:val="ObjetducommentaireCar"/>
    <w:rsid w:val="004A3DD6"/>
    <w:rPr>
      <w:b/>
      <w:bCs/>
    </w:rPr>
  </w:style>
  <w:style w:type="character" w:customStyle="1" w:styleId="ObjetducommentaireCar">
    <w:name w:val="Objet du commentaire Car"/>
    <w:link w:val="Objetducommentaire"/>
    <w:rsid w:val="004A3DD6"/>
    <w:rPr>
      <w:rFonts w:eastAsia="Times New Roman"/>
      <w:b/>
      <w:bCs/>
      <w:lang w:eastAsia="en-US"/>
    </w:rPr>
  </w:style>
  <w:style w:type="paragraph" w:styleId="Textedebulles">
    <w:name w:val="Balloon Text"/>
    <w:basedOn w:val="Normal"/>
    <w:link w:val="TextedebullesCar"/>
    <w:rsid w:val="004A3DD6"/>
    <w:pPr>
      <w:spacing w:line="240" w:lineRule="auto"/>
    </w:pPr>
    <w:rPr>
      <w:rFonts w:ascii="Tahoma" w:hAnsi="Tahoma" w:cs="Tahoma"/>
      <w:sz w:val="16"/>
      <w:szCs w:val="16"/>
    </w:rPr>
  </w:style>
  <w:style w:type="character" w:customStyle="1" w:styleId="TextedebullesCar">
    <w:name w:val="Texte de bulles Car"/>
    <w:link w:val="Textedebulles"/>
    <w:rsid w:val="004A3DD6"/>
    <w:rPr>
      <w:rFonts w:ascii="Tahoma" w:eastAsia="Times New Roman" w:hAnsi="Tahoma" w:cs="Tahoma"/>
      <w:sz w:val="16"/>
      <w:szCs w:val="16"/>
      <w:lang w:eastAsia="en-US"/>
    </w:rPr>
  </w:style>
  <w:style w:type="paragraph" w:styleId="NormalWeb">
    <w:name w:val="Normal (Web)"/>
    <w:basedOn w:val="Normal"/>
    <w:uiPriority w:val="99"/>
    <w:semiHidden/>
    <w:unhideWhenUsed/>
    <w:rsid w:val="0068337F"/>
    <w:pPr>
      <w:suppressAutoHyphens w:val="0"/>
      <w:kinsoku/>
      <w:overflowPunct/>
      <w:autoSpaceDE/>
      <w:autoSpaceDN/>
      <w:adjustRightInd/>
      <w:snapToGrid/>
      <w:spacing w:line="240" w:lineRule="auto"/>
    </w:pPr>
    <w:rPr>
      <w:rFonts w:eastAsia="Times New Roman"/>
      <w:sz w:val="24"/>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63058">
      <w:bodyDiv w:val="1"/>
      <w:marLeft w:val="0"/>
      <w:marRight w:val="0"/>
      <w:marTop w:val="0"/>
      <w:marBottom w:val="0"/>
      <w:divBdr>
        <w:top w:val="none" w:sz="0" w:space="0" w:color="auto"/>
        <w:left w:val="none" w:sz="0" w:space="0" w:color="auto"/>
        <w:bottom w:val="none" w:sz="0" w:space="0" w:color="auto"/>
        <w:right w:val="none" w:sz="0" w:space="0" w:color="auto"/>
      </w:divBdr>
    </w:div>
    <w:div w:id="505903313">
      <w:bodyDiv w:val="1"/>
      <w:marLeft w:val="0"/>
      <w:marRight w:val="0"/>
      <w:marTop w:val="0"/>
      <w:marBottom w:val="0"/>
      <w:divBdr>
        <w:top w:val="none" w:sz="0" w:space="0" w:color="auto"/>
        <w:left w:val="none" w:sz="0" w:space="0" w:color="auto"/>
        <w:bottom w:val="none" w:sz="0" w:space="0" w:color="auto"/>
        <w:right w:val="none" w:sz="0" w:space="0" w:color="auto"/>
      </w:divBdr>
      <w:divsChild>
        <w:div w:id="648904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1159</Words>
  <Characters>6300</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UNOG</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Jean-Baptiste FAURE</dc:creator>
  <cp:keywords/>
  <dc:description/>
  <cp:lastModifiedBy>Jean-Baptiste FAURE</cp:lastModifiedBy>
  <cp:revision>33</cp:revision>
  <cp:lastPrinted>2017-09-05T06:01:00Z</cp:lastPrinted>
  <dcterms:created xsi:type="dcterms:W3CDTF">2017-08-10T13:24:00Z</dcterms:created>
  <dcterms:modified xsi:type="dcterms:W3CDTF">2017-10-31T06:55:00Z</dcterms:modified>
</cp:coreProperties>
</file>