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27C" w14:textId="615C250F" w:rsidR="00657464" w:rsidRDefault="00657464" w:rsidP="00657464">
      <w:pPr>
        <w:pStyle w:val="HMG"/>
        <w:jc w:val="center"/>
      </w:pPr>
      <w:bookmarkStart w:id="0" w:name="_Hlk85786081"/>
      <w:r>
        <w:tab/>
      </w:r>
      <w:r>
        <w:tab/>
      </w:r>
      <w:bookmarkStart w:id="1" w:name="_Toc139302165"/>
      <w:r>
        <w:t xml:space="preserve">Instructions </w:t>
      </w:r>
      <w:r w:rsidR="00E35EC6">
        <w:t>générales</w:t>
      </w:r>
      <w:bookmarkEnd w:id="1"/>
      <w:r w:rsidR="008D3D0B">
        <w:t xml:space="preserve"> pour la traduction des </w:t>
      </w:r>
      <w:r w:rsidR="0087226B">
        <w:t>document</w:t>
      </w:r>
      <w:r w:rsidR="008D3D0B">
        <w:t>s de la CDI</w:t>
      </w:r>
    </w:p>
    <w:p w14:paraId="0E693091" w14:textId="18A52D0E" w:rsidR="00854EB3" w:rsidRPr="00854EB3" w:rsidRDefault="00854EB3" w:rsidP="00854EB3">
      <w:pPr>
        <w:spacing w:before="720" w:after="480"/>
        <w:rPr>
          <w:sz w:val="32"/>
          <w:szCs w:val="32"/>
        </w:rPr>
      </w:pPr>
      <w:r w:rsidRPr="00854EB3">
        <w:rPr>
          <w:sz w:val="32"/>
          <w:szCs w:val="32"/>
        </w:rPr>
        <w:t>Table des matières</w:t>
      </w:r>
    </w:p>
    <w:p w14:paraId="637018D6" w14:textId="242DB385" w:rsidR="00913B65" w:rsidRDefault="008D44AD">
      <w:pPr>
        <w:pStyle w:val="TM1"/>
        <w:rPr>
          <w:rFonts w:asciiTheme="minorHAnsi" w:eastAsiaTheme="minorEastAsia" w:hAnsiTheme="minorHAnsi" w:cstheme="minorBidi"/>
          <w:noProof/>
          <w:sz w:val="22"/>
          <w:szCs w:val="22"/>
          <w:lang w:val="en-US"/>
        </w:rPr>
      </w:pPr>
      <w:r>
        <w:rPr>
          <w:sz w:val="28"/>
        </w:rPr>
        <w:fldChar w:fldCharType="begin"/>
      </w:r>
      <w:r>
        <w:rPr>
          <w:sz w:val="28"/>
        </w:rPr>
        <w:instrText xml:space="preserve"> TOC \h \z \t "Titre 1;1;Titre 2;2;Titre 3;3;_ H _Ch_G;1;_ H_1_G;2;_ H_2/3_G;3" </w:instrText>
      </w:r>
      <w:r>
        <w:rPr>
          <w:sz w:val="28"/>
        </w:rPr>
        <w:fldChar w:fldCharType="separate"/>
      </w:r>
      <w:hyperlink w:anchor="_Toc139643357" w:history="1">
        <w:r w:rsidR="00913B65" w:rsidRPr="00CA6BDC">
          <w:rPr>
            <w:rStyle w:val="Lienhypertexte"/>
            <w:noProof/>
            <w:lang w:val="fr-FR"/>
          </w:rPr>
          <w:t>I.</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Projet d’article</w:t>
        </w:r>
        <w:r w:rsidR="00913B65">
          <w:rPr>
            <w:noProof/>
            <w:webHidden/>
          </w:rPr>
          <w:tab/>
        </w:r>
        <w:r w:rsidR="00913B65">
          <w:rPr>
            <w:noProof/>
            <w:webHidden/>
          </w:rPr>
          <w:fldChar w:fldCharType="begin"/>
        </w:r>
        <w:r w:rsidR="00913B65">
          <w:rPr>
            <w:noProof/>
            <w:webHidden/>
          </w:rPr>
          <w:instrText xml:space="preserve"> PAGEREF _Toc139643357 \h </w:instrText>
        </w:r>
        <w:r w:rsidR="00913B65">
          <w:rPr>
            <w:noProof/>
            <w:webHidden/>
          </w:rPr>
        </w:r>
        <w:r w:rsidR="00913B65">
          <w:rPr>
            <w:noProof/>
            <w:webHidden/>
          </w:rPr>
          <w:fldChar w:fldCharType="separate"/>
        </w:r>
        <w:r w:rsidR="00913B65">
          <w:rPr>
            <w:noProof/>
            <w:webHidden/>
          </w:rPr>
          <w:t>2</w:t>
        </w:r>
        <w:r w:rsidR="00913B65">
          <w:rPr>
            <w:noProof/>
            <w:webHidden/>
          </w:rPr>
          <w:fldChar w:fldCharType="end"/>
        </w:r>
      </w:hyperlink>
    </w:p>
    <w:p w14:paraId="5E75B3D7" w14:textId="3953BD09" w:rsidR="00913B65" w:rsidRDefault="00000000">
      <w:pPr>
        <w:pStyle w:val="TM1"/>
        <w:rPr>
          <w:rFonts w:asciiTheme="minorHAnsi" w:eastAsiaTheme="minorEastAsia" w:hAnsiTheme="minorHAnsi" w:cstheme="minorBidi"/>
          <w:noProof/>
          <w:sz w:val="22"/>
          <w:szCs w:val="22"/>
          <w:lang w:val="en-US"/>
        </w:rPr>
      </w:pPr>
      <w:hyperlink w:anchor="_Toc139643358" w:history="1">
        <w:r w:rsidR="00913B65" w:rsidRPr="00CA6BDC">
          <w:rPr>
            <w:rStyle w:val="Lienhypertexte"/>
            <w:noProof/>
            <w:lang w:val="fr-FR"/>
          </w:rPr>
          <w:t>II.</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 xml:space="preserve">Citations </w:t>
        </w:r>
        <w:r w:rsidR="00913B65" w:rsidRPr="00CA6BDC">
          <w:rPr>
            <w:rStyle w:val="Lienhypertexte"/>
            <w:noProof/>
          </w:rPr>
          <w:t>entre</w:t>
        </w:r>
        <w:r w:rsidR="00913B65" w:rsidRPr="00CA6BDC">
          <w:rPr>
            <w:rStyle w:val="Lienhypertexte"/>
            <w:noProof/>
            <w:lang w:val="fr-FR"/>
          </w:rPr>
          <w:t xml:space="preserve"> guillemets</w:t>
        </w:r>
        <w:r w:rsidR="00913B65">
          <w:rPr>
            <w:noProof/>
            <w:webHidden/>
          </w:rPr>
          <w:tab/>
        </w:r>
        <w:r w:rsidR="00913B65">
          <w:rPr>
            <w:noProof/>
            <w:webHidden/>
          </w:rPr>
          <w:fldChar w:fldCharType="begin"/>
        </w:r>
        <w:r w:rsidR="00913B65">
          <w:rPr>
            <w:noProof/>
            <w:webHidden/>
          </w:rPr>
          <w:instrText xml:space="preserve"> PAGEREF _Toc139643358 \h </w:instrText>
        </w:r>
        <w:r w:rsidR="00913B65">
          <w:rPr>
            <w:noProof/>
            <w:webHidden/>
          </w:rPr>
        </w:r>
        <w:r w:rsidR="00913B65">
          <w:rPr>
            <w:noProof/>
            <w:webHidden/>
          </w:rPr>
          <w:fldChar w:fldCharType="separate"/>
        </w:r>
        <w:r w:rsidR="00913B65">
          <w:rPr>
            <w:noProof/>
            <w:webHidden/>
          </w:rPr>
          <w:t>2</w:t>
        </w:r>
        <w:r w:rsidR="00913B65">
          <w:rPr>
            <w:noProof/>
            <w:webHidden/>
          </w:rPr>
          <w:fldChar w:fldCharType="end"/>
        </w:r>
      </w:hyperlink>
    </w:p>
    <w:p w14:paraId="648120BC" w14:textId="57C46CF4" w:rsidR="00913B65" w:rsidRDefault="00000000">
      <w:pPr>
        <w:pStyle w:val="TM2"/>
        <w:rPr>
          <w:rFonts w:asciiTheme="minorHAnsi" w:eastAsiaTheme="minorEastAsia" w:hAnsiTheme="minorHAnsi" w:cstheme="minorBidi"/>
          <w:noProof/>
          <w:sz w:val="22"/>
          <w:szCs w:val="22"/>
          <w:lang w:val="en-US"/>
        </w:rPr>
      </w:pPr>
      <w:hyperlink w:anchor="_Toc139643359" w:history="1">
        <w:r w:rsidR="00913B65" w:rsidRPr="00CA6BDC">
          <w:rPr>
            <w:rStyle w:val="Lienhypertexte"/>
            <w:noProof/>
            <w:lang w:val="fr-CA"/>
          </w:rPr>
          <w:t>A.</w:t>
        </w:r>
        <w:r w:rsidR="00913B65">
          <w:rPr>
            <w:rFonts w:asciiTheme="minorHAnsi" w:eastAsiaTheme="minorEastAsia" w:hAnsiTheme="minorHAnsi" w:cstheme="minorBidi"/>
            <w:noProof/>
            <w:sz w:val="22"/>
            <w:szCs w:val="22"/>
            <w:lang w:val="en-US"/>
          </w:rPr>
          <w:tab/>
        </w:r>
        <w:r w:rsidR="00913B65" w:rsidRPr="00CA6BDC">
          <w:rPr>
            <w:rStyle w:val="Lienhypertexte"/>
            <w:noProof/>
            <w:lang w:val="fr-CA"/>
          </w:rPr>
          <w:t>Il existe une version officielle française du document cité</w:t>
        </w:r>
        <w:r w:rsidR="00913B65">
          <w:rPr>
            <w:noProof/>
            <w:webHidden/>
          </w:rPr>
          <w:tab/>
        </w:r>
        <w:r w:rsidR="00913B65">
          <w:rPr>
            <w:noProof/>
            <w:webHidden/>
          </w:rPr>
          <w:fldChar w:fldCharType="begin"/>
        </w:r>
        <w:r w:rsidR="00913B65">
          <w:rPr>
            <w:noProof/>
            <w:webHidden/>
          </w:rPr>
          <w:instrText xml:space="preserve"> PAGEREF _Toc139643359 \h </w:instrText>
        </w:r>
        <w:r w:rsidR="00913B65">
          <w:rPr>
            <w:noProof/>
            <w:webHidden/>
          </w:rPr>
        </w:r>
        <w:r w:rsidR="00913B65">
          <w:rPr>
            <w:noProof/>
            <w:webHidden/>
          </w:rPr>
          <w:fldChar w:fldCharType="separate"/>
        </w:r>
        <w:r w:rsidR="00913B65">
          <w:rPr>
            <w:noProof/>
            <w:webHidden/>
          </w:rPr>
          <w:t>2</w:t>
        </w:r>
        <w:r w:rsidR="00913B65">
          <w:rPr>
            <w:noProof/>
            <w:webHidden/>
          </w:rPr>
          <w:fldChar w:fldCharType="end"/>
        </w:r>
      </w:hyperlink>
    </w:p>
    <w:p w14:paraId="48D1C023" w14:textId="10A9DF7D" w:rsidR="00913B65" w:rsidRDefault="00000000">
      <w:pPr>
        <w:pStyle w:val="TM2"/>
        <w:rPr>
          <w:rFonts w:asciiTheme="minorHAnsi" w:eastAsiaTheme="minorEastAsia" w:hAnsiTheme="minorHAnsi" w:cstheme="minorBidi"/>
          <w:noProof/>
          <w:sz w:val="22"/>
          <w:szCs w:val="22"/>
          <w:lang w:val="en-US"/>
        </w:rPr>
      </w:pPr>
      <w:hyperlink w:anchor="_Toc139643360" w:history="1">
        <w:r w:rsidR="00913B65" w:rsidRPr="00CA6BDC">
          <w:rPr>
            <w:rStyle w:val="Lienhypertexte"/>
            <w:rFonts w:eastAsia="Times New Roman"/>
            <w:noProof/>
            <w:lang w:val="fr-CA"/>
          </w:rPr>
          <w:t>B.</w:t>
        </w:r>
        <w:r w:rsidR="00913B65">
          <w:rPr>
            <w:rFonts w:asciiTheme="minorHAnsi" w:eastAsiaTheme="minorEastAsia" w:hAnsiTheme="minorHAnsi" w:cstheme="minorBidi"/>
            <w:noProof/>
            <w:sz w:val="22"/>
            <w:szCs w:val="22"/>
            <w:lang w:val="en-US"/>
          </w:rPr>
          <w:tab/>
        </w:r>
        <w:r w:rsidR="00913B65" w:rsidRPr="00CA6BDC">
          <w:rPr>
            <w:rStyle w:val="Lienhypertexte"/>
            <w:rFonts w:eastAsia="Times New Roman"/>
            <w:noProof/>
            <w:lang w:val="fr-CA"/>
          </w:rPr>
          <w:t xml:space="preserve">Il n’existe pas de version </w:t>
        </w:r>
        <w:r w:rsidR="00913B65" w:rsidRPr="00CA6BDC">
          <w:rPr>
            <w:rStyle w:val="Lienhypertexte"/>
            <w:noProof/>
            <w:lang w:val="fr-CA"/>
          </w:rPr>
          <w:t>officielle</w:t>
        </w:r>
        <w:r w:rsidR="00913B65" w:rsidRPr="00CA6BDC">
          <w:rPr>
            <w:rStyle w:val="Lienhypertexte"/>
            <w:rFonts w:eastAsia="Times New Roman"/>
            <w:noProof/>
            <w:lang w:val="fr-CA"/>
          </w:rPr>
          <w:t xml:space="preserve"> française du document cité</w:t>
        </w:r>
        <w:r w:rsidR="00913B65">
          <w:rPr>
            <w:noProof/>
            <w:webHidden/>
          </w:rPr>
          <w:tab/>
        </w:r>
        <w:r w:rsidR="00913B65">
          <w:rPr>
            <w:noProof/>
            <w:webHidden/>
          </w:rPr>
          <w:fldChar w:fldCharType="begin"/>
        </w:r>
        <w:r w:rsidR="00913B65">
          <w:rPr>
            <w:noProof/>
            <w:webHidden/>
          </w:rPr>
          <w:instrText xml:space="preserve"> PAGEREF _Toc139643360 \h </w:instrText>
        </w:r>
        <w:r w:rsidR="00913B65">
          <w:rPr>
            <w:noProof/>
            <w:webHidden/>
          </w:rPr>
        </w:r>
        <w:r w:rsidR="00913B65">
          <w:rPr>
            <w:noProof/>
            <w:webHidden/>
          </w:rPr>
          <w:fldChar w:fldCharType="separate"/>
        </w:r>
        <w:r w:rsidR="00913B65">
          <w:rPr>
            <w:noProof/>
            <w:webHidden/>
          </w:rPr>
          <w:t>2</w:t>
        </w:r>
        <w:r w:rsidR="00913B65">
          <w:rPr>
            <w:noProof/>
            <w:webHidden/>
          </w:rPr>
          <w:fldChar w:fldCharType="end"/>
        </w:r>
      </w:hyperlink>
    </w:p>
    <w:p w14:paraId="31C4D183" w14:textId="067FD01E" w:rsidR="00913B65" w:rsidRDefault="00000000">
      <w:pPr>
        <w:pStyle w:val="TM1"/>
        <w:rPr>
          <w:rFonts w:asciiTheme="minorHAnsi" w:eastAsiaTheme="minorEastAsia" w:hAnsiTheme="minorHAnsi" w:cstheme="minorBidi"/>
          <w:noProof/>
          <w:sz w:val="22"/>
          <w:szCs w:val="22"/>
          <w:lang w:val="en-US"/>
        </w:rPr>
      </w:pPr>
      <w:hyperlink w:anchor="_Toc139643361" w:history="1">
        <w:r w:rsidR="00913B65" w:rsidRPr="00CA6BDC">
          <w:rPr>
            <w:rStyle w:val="Lienhypertexte"/>
            <w:noProof/>
            <w:lang w:val="fr-CA"/>
          </w:rPr>
          <w:t>III.</w:t>
        </w:r>
        <w:r w:rsidR="00913B65">
          <w:rPr>
            <w:rFonts w:asciiTheme="minorHAnsi" w:eastAsiaTheme="minorEastAsia" w:hAnsiTheme="minorHAnsi" w:cstheme="minorBidi"/>
            <w:noProof/>
            <w:sz w:val="22"/>
            <w:szCs w:val="22"/>
            <w:lang w:val="en-US"/>
          </w:rPr>
          <w:tab/>
        </w:r>
        <w:r w:rsidR="00913B65" w:rsidRPr="00CA6BDC">
          <w:rPr>
            <w:rStyle w:val="Lienhypertexte"/>
            <w:noProof/>
            <w:lang w:val="fr-CA"/>
          </w:rPr>
          <w:t>Place des appels de note</w:t>
        </w:r>
        <w:r w:rsidR="00913B65">
          <w:rPr>
            <w:noProof/>
            <w:webHidden/>
          </w:rPr>
          <w:tab/>
        </w:r>
        <w:r w:rsidR="00913B65">
          <w:rPr>
            <w:noProof/>
            <w:webHidden/>
          </w:rPr>
          <w:fldChar w:fldCharType="begin"/>
        </w:r>
        <w:r w:rsidR="00913B65">
          <w:rPr>
            <w:noProof/>
            <w:webHidden/>
          </w:rPr>
          <w:instrText xml:space="preserve"> PAGEREF _Toc139643361 \h </w:instrText>
        </w:r>
        <w:r w:rsidR="00913B65">
          <w:rPr>
            <w:noProof/>
            <w:webHidden/>
          </w:rPr>
        </w:r>
        <w:r w:rsidR="00913B65">
          <w:rPr>
            <w:noProof/>
            <w:webHidden/>
          </w:rPr>
          <w:fldChar w:fldCharType="separate"/>
        </w:r>
        <w:r w:rsidR="00913B65">
          <w:rPr>
            <w:noProof/>
            <w:webHidden/>
          </w:rPr>
          <w:t>3</w:t>
        </w:r>
        <w:r w:rsidR="00913B65">
          <w:rPr>
            <w:noProof/>
            <w:webHidden/>
          </w:rPr>
          <w:fldChar w:fldCharType="end"/>
        </w:r>
      </w:hyperlink>
    </w:p>
    <w:p w14:paraId="66A65D6A" w14:textId="07B87DAF" w:rsidR="00913B65" w:rsidRDefault="00000000">
      <w:pPr>
        <w:pStyle w:val="TM2"/>
        <w:rPr>
          <w:rFonts w:asciiTheme="minorHAnsi" w:eastAsiaTheme="minorEastAsia" w:hAnsiTheme="minorHAnsi" w:cstheme="minorBidi"/>
          <w:noProof/>
          <w:sz w:val="22"/>
          <w:szCs w:val="22"/>
          <w:lang w:val="en-US"/>
        </w:rPr>
      </w:pPr>
      <w:hyperlink w:anchor="_Toc139643362" w:history="1">
        <w:r w:rsidR="00913B65" w:rsidRPr="00CA6BDC">
          <w:rPr>
            <w:rStyle w:val="Lienhypertexte"/>
            <w:noProof/>
            <w:lang w:val="fr-FR"/>
          </w:rPr>
          <w:t>A.</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affaires portées devant des institutions dont le français est une langue officielle (instruction générale)</w:t>
        </w:r>
        <w:r w:rsidR="00913B65">
          <w:rPr>
            <w:noProof/>
            <w:webHidden/>
          </w:rPr>
          <w:tab/>
        </w:r>
        <w:r w:rsidR="00913B65">
          <w:rPr>
            <w:noProof/>
            <w:webHidden/>
          </w:rPr>
          <w:fldChar w:fldCharType="begin"/>
        </w:r>
        <w:r w:rsidR="00913B65">
          <w:rPr>
            <w:noProof/>
            <w:webHidden/>
          </w:rPr>
          <w:instrText xml:space="preserve"> PAGEREF _Toc139643362 \h </w:instrText>
        </w:r>
        <w:r w:rsidR="00913B65">
          <w:rPr>
            <w:noProof/>
            <w:webHidden/>
          </w:rPr>
        </w:r>
        <w:r w:rsidR="00913B65">
          <w:rPr>
            <w:noProof/>
            <w:webHidden/>
          </w:rPr>
          <w:fldChar w:fldCharType="separate"/>
        </w:r>
        <w:r w:rsidR="00913B65">
          <w:rPr>
            <w:noProof/>
            <w:webHidden/>
          </w:rPr>
          <w:t>3</w:t>
        </w:r>
        <w:r w:rsidR="00913B65">
          <w:rPr>
            <w:noProof/>
            <w:webHidden/>
          </w:rPr>
          <w:fldChar w:fldCharType="end"/>
        </w:r>
      </w:hyperlink>
    </w:p>
    <w:p w14:paraId="175A88A6" w14:textId="425EBA2F" w:rsidR="00913B65" w:rsidRDefault="00000000">
      <w:pPr>
        <w:pStyle w:val="TM2"/>
        <w:rPr>
          <w:rFonts w:asciiTheme="minorHAnsi" w:eastAsiaTheme="minorEastAsia" w:hAnsiTheme="minorHAnsi" w:cstheme="minorBidi"/>
          <w:noProof/>
          <w:sz w:val="22"/>
          <w:szCs w:val="22"/>
          <w:lang w:val="en-US"/>
        </w:rPr>
      </w:pPr>
      <w:hyperlink w:anchor="_Toc139643363" w:history="1">
        <w:r w:rsidR="00913B65" w:rsidRPr="00CA6BDC">
          <w:rPr>
            <w:rStyle w:val="Lienhypertexte"/>
            <w:rFonts w:eastAsia="Times New Roman"/>
            <w:noProof/>
            <w:lang w:val="fr-FR"/>
          </w:rPr>
          <w:t>B.</w:t>
        </w:r>
        <w:r w:rsidR="00913B65">
          <w:rPr>
            <w:rFonts w:asciiTheme="minorHAnsi" w:eastAsiaTheme="minorEastAsia" w:hAnsiTheme="minorHAnsi" w:cstheme="minorBidi"/>
            <w:noProof/>
            <w:sz w:val="22"/>
            <w:szCs w:val="22"/>
            <w:lang w:val="en-US"/>
          </w:rPr>
          <w:tab/>
        </w:r>
        <w:r w:rsidR="00913B65" w:rsidRPr="00CA6BDC">
          <w:rPr>
            <w:rStyle w:val="Lienhypertexte"/>
            <w:rFonts w:eastAsia="Times New Roman"/>
            <w:noProof/>
            <w:lang w:val="fr-FR"/>
          </w:rPr>
          <w:t xml:space="preserve">Mode de citation des </w:t>
        </w:r>
        <w:r w:rsidR="00913B65" w:rsidRPr="00CA6BDC">
          <w:rPr>
            <w:rStyle w:val="Lienhypertexte"/>
            <w:noProof/>
            <w:lang w:val="fr-FR"/>
          </w:rPr>
          <w:t>arrêts</w:t>
        </w:r>
        <w:r w:rsidR="00913B65" w:rsidRPr="00CA6BDC">
          <w:rPr>
            <w:rStyle w:val="Lienhypertexte"/>
            <w:rFonts w:eastAsia="Times New Roman"/>
            <w:noProof/>
            <w:lang w:val="fr-FR"/>
          </w:rPr>
          <w:t xml:space="preserve"> de la Cour européenne des droits de l’homme</w:t>
        </w:r>
        <w:r w:rsidR="00913B65">
          <w:rPr>
            <w:noProof/>
            <w:webHidden/>
          </w:rPr>
          <w:tab/>
        </w:r>
        <w:r w:rsidR="00913B65">
          <w:rPr>
            <w:noProof/>
            <w:webHidden/>
          </w:rPr>
          <w:fldChar w:fldCharType="begin"/>
        </w:r>
        <w:r w:rsidR="00913B65">
          <w:rPr>
            <w:noProof/>
            <w:webHidden/>
          </w:rPr>
          <w:instrText xml:space="preserve"> PAGEREF _Toc139643363 \h </w:instrText>
        </w:r>
        <w:r w:rsidR="00913B65">
          <w:rPr>
            <w:noProof/>
            <w:webHidden/>
          </w:rPr>
        </w:r>
        <w:r w:rsidR="00913B65">
          <w:rPr>
            <w:noProof/>
            <w:webHidden/>
          </w:rPr>
          <w:fldChar w:fldCharType="separate"/>
        </w:r>
        <w:r w:rsidR="00913B65">
          <w:rPr>
            <w:noProof/>
            <w:webHidden/>
          </w:rPr>
          <w:t>3</w:t>
        </w:r>
        <w:r w:rsidR="00913B65">
          <w:rPr>
            <w:noProof/>
            <w:webHidden/>
          </w:rPr>
          <w:fldChar w:fldCharType="end"/>
        </w:r>
      </w:hyperlink>
    </w:p>
    <w:p w14:paraId="0738F351" w14:textId="0710B630" w:rsidR="00913B65" w:rsidRDefault="00000000">
      <w:pPr>
        <w:pStyle w:val="TM2"/>
        <w:rPr>
          <w:rFonts w:asciiTheme="minorHAnsi" w:eastAsiaTheme="minorEastAsia" w:hAnsiTheme="minorHAnsi" w:cstheme="minorBidi"/>
          <w:noProof/>
          <w:sz w:val="22"/>
          <w:szCs w:val="22"/>
          <w:lang w:val="en-US"/>
        </w:rPr>
      </w:pPr>
      <w:hyperlink w:anchor="_Toc139643364" w:history="1">
        <w:r w:rsidR="00913B65" w:rsidRPr="00CA6BDC">
          <w:rPr>
            <w:rStyle w:val="Lienhypertexte"/>
            <w:noProof/>
            <w:lang w:val="fr-FR"/>
          </w:rPr>
          <w:t>C.</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arrêts de la Cour interaméricaine  des droits de l’homme</w:t>
        </w:r>
        <w:r w:rsidR="00913B65">
          <w:rPr>
            <w:noProof/>
            <w:webHidden/>
          </w:rPr>
          <w:tab/>
        </w:r>
        <w:r w:rsidR="00913B65">
          <w:rPr>
            <w:noProof/>
            <w:webHidden/>
          </w:rPr>
          <w:fldChar w:fldCharType="begin"/>
        </w:r>
        <w:r w:rsidR="00913B65">
          <w:rPr>
            <w:noProof/>
            <w:webHidden/>
          </w:rPr>
          <w:instrText xml:space="preserve"> PAGEREF _Toc139643364 \h </w:instrText>
        </w:r>
        <w:r w:rsidR="00913B65">
          <w:rPr>
            <w:noProof/>
            <w:webHidden/>
          </w:rPr>
        </w:r>
        <w:r w:rsidR="00913B65">
          <w:rPr>
            <w:noProof/>
            <w:webHidden/>
          </w:rPr>
          <w:fldChar w:fldCharType="separate"/>
        </w:r>
        <w:r w:rsidR="00913B65">
          <w:rPr>
            <w:noProof/>
            <w:webHidden/>
          </w:rPr>
          <w:t>4</w:t>
        </w:r>
        <w:r w:rsidR="00913B65">
          <w:rPr>
            <w:noProof/>
            <w:webHidden/>
          </w:rPr>
          <w:fldChar w:fldCharType="end"/>
        </w:r>
      </w:hyperlink>
    </w:p>
    <w:p w14:paraId="2EDB27F1" w14:textId="11D94C62" w:rsidR="00913B65" w:rsidRDefault="00000000">
      <w:pPr>
        <w:pStyle w:val="TM2"/>
        <w:rPr>
          <w:rFonts w:asciiTheme="minorHAnsi" w:eastAsiaTheme="minorEastAsia" w:hAnsiTheme="minorHAnsi" w:cstheme="minorBidi"/>
          <w:noProof/>
          <w:sz w:val="22"/>
          <w:szCs w:val="22"/>
          <w:lang w:val="en-US"/>
        </w:rPr>
      </w:pPr>
      <w:hyperlink w:anchor="_Toc139643365" w:history="1">
        <w:r w:rsidR="00913B65" w:rsidRPr="00CA6BDC">
          <w:rPr>
            <w:rStyle w:val="Lienhypertexte"/>
            <w:noProof/>
          </w:rPr>
          <w:t>D.</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décisions de juridictions nationales</w:t>
        </w:r>
        <w:r w:rsidR="00913B65">
          <w:rPr>
            <w:noProof/>
            <w:webHidden/>
          </w:rPr>
          <w:tab/>
        </w:r>
        <w:r w:rsidR="00913B65">
          <w:rPr>
            <w:noProof/>
            <w:webHidden/>
          </w:rPr>
          <w:fldChar w:fldCharType="begin"/>
        </w:r>
        <w:r w:rsidR="00913B65">
          <w:rPr>
            <w:noProof/>
            <w:webHidden/>
          </w:rPr>
          <w:instrText xml:space="preserve"> PAGEREF _Toc139643365 \h </w:instrText>
        </w:r>
        <w:r w:rsidR="00913B65">
          <w:rPr>
            <w:noProof/>
            <w:webHidden/>
          </w:rPr>
        </w:r>
        <w:r w:rsidR="00913B65">
          <w:rPr>
            <w:noProof/>
            <w:webHidden/>
          </w:rPr>
          <w:fldChar w:fldCharType="separate"/>
        </w:r>
        <w:r w:rsidR="00913B65">
          <w:rPr>
            <w:noProof/>
            <w:webHidden/>
          </w:rPr>
          <w:t>4</w:t>
        </w:r>
        <w:r w:rsidR="00913B65">
          <w:rPr>
            <w:noProof/>
            <w:webHidden/>
          </w:rPr>
          <w:fldChar w:fldCharType="end"/>
        </w:r>
      </w:hyperlink>
    </w:p>
    <w:p w14:paraId="28982743" w14:textId="5FED6E64" w:rsidR="00913B65" w:rsidRDefault="00000000">
      <w:pPr>
        <w:pStyle w:val="TM2"/>
        <w:rPr>
          <w:rFonts w:asciiTheme="minorHAnsi" w:eastAsiaTheme="minorEastAsia" w:hAnsiTheme="minorHAnsi" w:cstheme="minorBidi"/>
          <w:noProof/>
          <w:sz w:val="22"/>
          <w:szCs w:val="22"/>
          <w:lang w:val="en-US"/>
        </w:rPr>
      </w:pPr>
      <w:hyperlink w:anchor="_Toc139643366" w:history="1">
        <w:r w:rsidR="00913B65" w:rsidRPr="00CA6BDC">
          <w:rPr>
            <w:rStyle w:val="Lienhypertexte"/>
            <w:noProof/>
            <w:lang w:val="fr-FR"/>
          </w:rPr>
          <w:t>E</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arrêts et avis consultatifs  de la Cour internationale de Justice</w:t>
        </w:r>
        <w:r w:rsidR="00913B65">
          <w:rPr>
            <w:noProof/>
            <w:webHidden/>
          </w:rPr>
          <w:tab/>
        </w:r>
        <w:r w:rsidR="00913B65">
          <w:rPr>
            <w:noProof/>
            <w:webHidden/>
          </w:rPr>
          <w:fldChar w:fldCharType="begin"/>
        </w:r>
        <w:r w:rsidR="00913B65">
          <w:rPr>
            <w:noProof/>
            <w:webHidden/>
          </w:rPr>
          <w:instrText xml:space="preserve"> PAGEREF _Toc139643366 \h </w:instrText>
        </w:r>
        <w:r w:rsidR="00913B65">
          <w:rPr>
            <w:noProof/>
            <w:webHidden/>
          </w:rPr>
        </w:r>
        <w:r w:rsidR="00913B65">
          <w:rPr>
            <w:noProof/>
            <w:webHidden/>
          </w:rPr>
          <w:fldChar w:fldCharType="separate"/>
        </w:r>
        <w:r w:rsidR="00913B65">
          <w:rPr>
            <w:noProof/>
            <w:webHidden/>
          </w:rPr>
          <w:t>4</w:t>
        </w:r>
        <w:r w:rsidR="00913B65">
          <w:rPr>
            <w:noProof/>
            <w:webHidden/>
          </w:rPr>
          <w:fldChar w:fldCharType="end"/>
        </w:r>
      </w:hyperlink>
    </w:p>
    <w:p w14:paraId="7026FF97" w14:textId="00FB02C2" w:rsidR="00913B65" w:rsidRDefault="00000000">
      <w:pPr>
        <w:pStyle w:val="TM3"/>
        <w:rPr>
          <w:rFonts w:asciiTheme="minorHAnsi" w:eastAsiaTheme="minorEastAsia" w:hAnsiTheme="minorHAnsi" w:cstheme="minorBidi"/>
          <w:noProof/>
          <w:sz w:val="22"/>
          <w:szCs w:val="22"/>
          <w:lang w:val="en-US"/>
        </w:rPr>
      </w:pPr>
      <w:hyperlink w:anchor="_Toc139643367" w:history="1">
        <w:r w:rsidR="00913B65" w:rsidRPr="00CA6BDC">
          <w:rPr>
            <w:rStyle w:val="Lienhypertexte"/>
            <w:noProof/>
          </w:rPr>
          <w:t>1.</w:t>
        </w:r>
        <w:r w:rsidR="00913B65">
          <w:rPr>
            <w:rFonts w:asciiTheme="minorHAnsi" w:eastAsiaTheme="minorEastAsia" w:hAnsiTheme="minorHAnsi" w:cstheme="minorBidi"/>
            <w:noProof/>
            <w:sz w:val="22"/>
            <w:szCs w:val="22"/>
            <w:lang w:val="en-US"/>
          </w:rPr>
          <w:tab/>
        </w:r>
        <w:r w:rsidR="00913B65" w:rsidRPr="00CA6BDC">
          <w:rPr>
            <w:rStyle w:val="Lienhypertexte"/>
            <w:noProof/>
          </w:rPr>
          <w:t>Arrêts</w:t>
        </w:r>
        <w:r w:rsidR="00913B65">
          <w:rPr>
            <w:noProof/>
            <w:webHidden/>
          </w:rPr>
          <w:tab/>
        </w:r>
        <w:r w:rsidR="00913B65">
          <w:rPr>
            <w:noProof/>
            <w:webHidden/>
          </w:rPr>
          <w:fldChar w:fldCharType="begin"/>
        </w:r>
        <w:r w:rsidR="00913B65">
          <w:rPr>
            <w:noProof/>
            <w:webHidden/>
          </w:rPr>
          <w:instrText xml:space="preserve"> PAGEREF _Toc139643367 \h </w:instrText>
        </w:r>
        <w:r w:rsidR="00913B65">
          <w:rPr>
            <w:noProof/>
            <w:webHidden/>
          </w:rPr>
        </w:r>
        <w:r w:rsidR="00913B65">
          <w:rPr>
            <w:noProof/>
            <w:webHidden/>
          </w:rPr>
          <w:fldChar w:fldCharType="separate"/>
        </w:r>
        <w:r w:rsidR="00913B65">
          <w:rPr>
            <w:noProof/>
            <w:webHidden/>
          </w:rPr>
          <w:t>4</w:t>
        </w:r>
        <w:r w:rsidR="00913B65">
          <w:rPr>
            <w:noProof/>
            <w:webHidden/>
          </w:rPr>
          <w:fldChar w:fldCharType="end"/>
        </w:r>
      </w:hyperlink>
    </w:p>
    <w:p w14:paraId="23284449" w14:textId="5047F5DD" w:rsidR="00913B65" w:rsidRDefault="00000000">
      <w:pPr>
        <w:pStyle w:val="TM3"/>
        <w:rPr>
          <w:rFonts w:asciiTheme="minorHAnsi" w:eastAsiaTheme="minorEastAsia" w:hAnsiTheme="minorHAnsi" w:cstheme="minorBidi"/>
          <w:noProof/>
          <w:sz w:val="22"/>
          <w:szCs w:val="22"/>
          <w:lang w:val="en-US"/>
        </w:rPr>
      </w:pPr>
      <w:hyperlink w:anchor="_Toc139643368" w:history="1">
        <w:r w:rsidR="00913B65" w:rsidRPr="00CA6BDC">
          <w:rPr>
            <w:rStyle w:val="Lienhypertexte"/>
            <w:noProof/>
          </w:rPr>
          <w:t>2.</w:t>
        </w:r>
        <w:r w:rsidR="00913B65">
          <w:rPr>
            <w:rFonts w:asciiTheme="minorHAnsi" w:eastAsiaTheme="minorEastAsia" w:hAnsiTheme="minorHAnsi" w:cstheme="minorBidi"/>
            <w:noProof/>
            <w:sz w:val="22"/>
            <w:szCs w:val="22"/>
            <w:lang w:val="en-US"/>
          </w:rPr>
          <w:tab/>
        </w:r>
        <w:r w:rsidR="00913B65" w:rsidRPr="00CA6BDC">
          <w:rPr>
            <w:rStyle w:val="Lienhypertexte"/>
            <w:noProof/>
          </w:rPr>
          <w:t>Avis consultatifs</w:t>
        </w:r>
        <w:r w:rsidR="00913B65">
          <w:rPr>
            <w:noProof/>
            <w:webHidden/>
          </w:rPr>
          <w:tab/>
        </w:r>
        <w:r w:rsidR="00913B65">
          <w:rPr>
            <w:noProof/>
            <w:webHidden/>
          </w:rPr>
          <w:fldChar w:fldCharType="begin"/>
        </w:r>
        <w:r w:rsidR="00913B65">
          <w:rPr>
            <w:noProof/>
            <w:webHidden/>
          </w:rPr>
          <w:instrText xml:space="preserve"> PAGEREF _Toc139643368 \h </w:instrText>
        </w:r>
        <w:r w:rsidR="00913B65">
          <w:rPr>
            <w:noProof/>
            <w:webHidden/>
          </w:rPr>
        </w:r>
        <w:r w:rsidR="00913B65">
          <w:rPr>
            <w:noProof/>
            <w:webHidden/>
          </w:rPr>
          <w:fldChar w:fldCharType="separate"/>
        </w:r>
        <w:r w:rsidR="00913B65">
          <w:rPr>
            <w:noProof/>
            <w:webHidden/>
          </w:rPr>
          <w:t>5</w:t>
        </w:r>
        <w:r w:rsidR="00913B65">
          <w:rPr>
            <w:noProof/>
            <w:webHidden/>
          </w:rPr>
          <w:fldChar w:fldCharType="end"/>
        </w:r>
      </w:hyperlink>
    </w:p>
    <w:p w14:paraId="5AD064E2" w14:textId="482BCB99" w:rsidR="00913B65" w:rsidRDefault="00000000">
      <w:pPr>
        <w:pStyle w:val="TM2"/>
        <w:rPr>
          <w:rFonts w:asciiTheme="minorHAnsi" w:eastAsiaTheme="minorEastAsia" w:hAnsiTheme="minorHAnsi" w:cstheme="minorBidi"/>
          <w:noProof/>
          <w:sz w:val="22"/>
          <w:szCs w:val="22"/>
          <w:lang w:val="en-US"/>
        </w:rPr>
      </w:pPr>
      <w:hyperlink w:anchor="_Toc139643369" w:history="1">
        <w:r w:rsidR="00913B65" w:rsidRPr="00CA6BDC">
          <w:rPr>
            <w:rStyle w:val="Lienhypertexte"/>
            <w:noProof/>
            <w:lang w:val="fr-FR"/>
          </w:rPr>
          <w:t>F.</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décisions du TPIY et du TPIR</w:t>
        </w:r>
        <w:r w:rsidR="00913B65">
          <w:rPr>
            <w:noProof/>
            <w:webHidden/>
          </w:rPr>
          <w:tab/>
        </w:r>
        <w:r w:rsidR="00913B65">
          <w:rPr>
            <w:noProof/>
            <w:webHidden/>
          </w:rPr>
          <w:fldChar w:fldCharType="begin"/>
        </w:r>
        <w:r w:rsidR="00913B65">
          <w:rPr>
            <w:noProof/>
            <w:webHidden/>
          </w:rPr>
          <w:instrText xml:space="preserve"> PAGEREF _Toc139643369 \h </w:instrText>
        </w:r>
        <w:r w:rsidR="00913B65">
          <w:rPr>
            <w:noProof/>
            <w:webHidden/>
          </w:rPr>
        </w:r>
        <w:r w:rsidR="00913B65">
          <w:rPr>
            <w:noProof/>
            <w:webHidden/>
          </w:rPr>
          <w:fldChar w:fldCharType="separate"/>
        </w:r>
        <w:r w:rsidR="00913B65">
          <w:rPr>
            <w:noProof/>
            <w:webHidden/>
          </w:rPr>
          <w:t>5</w:t>
        </w:r>
        <w:r w:rsidR="00913B65">
          <w:rPr>
            <w:noProof/>
            <w:webHidden/>
          </w:rPr>
          <w:fldChar w:fldCharType="end"/>
        </w:r>
      </w:hyperlink>
    </w:p>
    <w:p w14:paraId="07BB0D11" w14:textId="3B1070BE" w:rsidR="00913B65" w:rsidRDefault="00000000">
      <w:pPr>
        <w:pStyle w:val="TM2"/>
        <w:rPr>
          <w:rFonts w:asciiTheme="minorHAnsi" w:eastAsiaTheme="minorEastAsia" w:hAnsiTheme="minorHAnsi" w:cstheme="minorBidi"/>
          <w:noProof/>
          <w:sz w:val="22"/>
          <w:szCs w:val="22"/>
          <w:lang w:val="en-US"/>
        </w:rPr>
      </w:pPr>
      <w:hyperlink w:anchor="_Toc139643370" w:history="1">
        <w:r w:rsidR="00913B65" w:rsidRPr="00CA6BDC">
          <w:rPr>
            <w:rStyle w:val="Lienhypertexte"/>
            <w:noProof/>
            <w:lang w:val="fr-FR"/>
          </w:rPr>
          <w:t>G.</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décisions de la Cour pénale internationale</w:t>
        </w:r>
        <w:r w:rsidR="00913B65">
          <w:rPr>
            <w:noProof/>
            <w:webHidden/>
          </w:rPr>
          <w:tab/>
        </w:r>
        <w:r w:rsidR="00913B65">
          <w:rPr>
            <w:noProof/>
            <w:webHidden/>
          </w:rPr>
          <w:fldChar w:fldCharType="begin"/>
        </w:r>
        <w:r w:rsidR="00913B65">
          <w:rPr>
            <w:noProof/>
            <w:webHidden/>
          </w:rPr>
          <w:instrText xml:space="preserve"> PAGEREF _Toc139643370 \h </w:instrText>
        </w:r>
        <w:r w:rsidR="00913B65">
          <w:rPr>
            <w:noProof/>
            <w:webHidden/>
          </w:rPr>
        </w:r>
        <w:r w:rsidR="00913B65">
          <w:rPr>
            <w:noProof/>
            <w:webHidden/>
          </w:rPr>
          <w:fldChar w:fldCharType="separate"/>
        </w:r>
        <w:r w:rsidR="00913B65">
          <w:rPr>
            <w:noProof/>
            <w:webHidden/>
          </w:rPr>
          <w:t>5</w:t>
        </w:r>
        <w:r w:rsidR="00913B65">
          <w:rPr>
            <w:noProof/>
            <w:webHidden/>
          </w:rPr>
          <w:fldChar w:fldCharType="end"/>
        </w:r>
      </w:hyperlink>
    </w:p>
    <w:p w14:paraId="2DF10C49" w14:textId="2B92F8AF" w:rsidR="00913B65" w:rsidRDefault="00000000">
      <w:pPr>
        <w:pStyle w:val="TM2"/>
        <w:rPr>
          <w:rFonts w:asciiTheme="minorHAnsi" w:eastAsiaTheme="minorEastAsia" w:hAnsiTheme="minorHAnsi" w:cstheme="minorBidi"/>
          <w:noProof/>
          <w:sz w:val="22"/>
          <w:szCs w:val="22"/>
          <w:lang w:val="en-US"/>
        </w:rPr>
      </w:pPr>
      <w:hyperlink w:anchor="_Toc139643371" w:history="1">
        <w:r w:rsidR="00913B65" w:rsidRPr="00CA6BDC">
          <w:rPr>
            <w:rStyle w:val="Lienhypertexte"/>
            <w:noProof/>
          </w:rPr>
          <w:t>F.</w:t>
        </w:r>
        <w:r w:rsidR="00913B65">
          <w:rPr>
            <w:rFonts w:asciiTheme="minorHAnsi" w:eastAsiaTheme="minorEastAsia" w:hAnsiTheme="minorHAnsi" w:cstheme="minorBidi"/>
            <w:noProof/>
            <w:sz w:val="22"/>
            <w:szCs w:val="22"/>
            <w:lang w:val="en-US"/>
          </w:rPr>
          <w:tab/>
        </w:r>
        <w:r w:rsidR="00913B65" w:rsidRPr="00CA6BDC">
          <w:rPr>
            <w:rStyle w:val="Lienhypertexte"/>
            <w:noProof/>
          </w:rPr>
          <w:t>Mode de citation des sentences de la Cour permanente d’arbitrage</w:t>
        </w:r>
        <w:r w:rsidR="00913B65">
          <w:rPr>
            <w:noProof/>
            <w:webHidden/>
          </w:rPr>
          <w:tab/>
        </w:r>
        <w:r w:rsidR="00913B65">
          <w:rPr>
            <w:noProof/>
            <w:webHidden/>
          </w:rPr>
          <w:fldChar w:fldCharType="begin"/>
        </w:r>
        <w:r w:rsidR="00913B65">
          <w:rPr>
            <w:noProof/>
            <w:webHidden/>
          </w:rPr>
          <w:instrText xml:space="preserve"> PAGEREF _Toc139643371 \h </w:instrText>
        </w:r>
        <w:r w:rsidR="00913B65">
          <w:rPr>
            <w:noProof/>
            <w:webHidden/>
          </w:rPr>
        </w:r>
        <w:r w:rsidR="00913B65">
          <w:rPr>
            <w:noProof/>
            <w:webHidden/>
          </w:rPr>
          <w:fldChar w:fldCharType="separate"/>
        </w:r>
        <w:r w:rsidR="00913B65">
          <w:rPr>
            <w:noProof/>
            <w:webHidden/>
          </w:rPr>
          <w:t>5</w:t>
        </w:r>
        <w:r w:rsidR="00913B65">
          <w:rPr>
            <w:noProof/>
            <w:webHidden/>
          </w:rPr>
          <w:fldChar w:fldCharType="end"/>
        </w:r>
      </w:hyperlink>
    </w:p>
    <w:p w14:paraId="13710E76" w14:textId="09AD004B" w:rsidR="00913B65" w:rsidRDefault="00000000">
      <w:pPr>
        <w:pStyle w:val="TM2"/>
        <w:rPr>
          <w:rFonts w:asciiTheme="minorHAnsi" w:eastAsiaTheme="minorEastAsia" w:hAnsiTheme="minorHAnsi" w:cstheme="minorBidi"/>
          <w:noProof/>
          <w:sz w:val="22"/>
          <w:szCs w:val="22"/>
          <w:lang w:val="en-US"/>
        </w:rPr>
      </w:pPr>
      <w:hyperlink w:anchor="_Toc139643372" w:history="1">
        <w:r w:rsidR="00913B65" w:rsidRPr="00CA6BDC">
          <w:rPr>
            <w:rStyle w:val="Lienhypertexte"/>
            <w:noProof/>
            <w:lang w:val="fr-FR"/>
          </w:rPr>
          <w:t>G.</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Mode de citation des affaires dans lesquelles intervient le Centre international pour le règlement des différends</w:t>
        </w:r>
        <w:r w:rsidR="00913B65">
          <w:rPr>
            <w:noProof/>
            <w:webHidden/>
          </w:rPr>
          <w:tab/>
        </w:r>
        <w:r w:rsidR="00913B65">
          <w:rPr>
            <w:noProof/>
            <w:webHidden/>
          </w:rPr>
          <w:fldChar w:fldCharType="begin"/>
        </w:r>
        <w:r w:rsidR="00913B65">
          <w:rPr>
            <w:noProof/>
            <w:webHidden/>
          </w:rPr>
          <w:instrText xml:space="preserve"> PAGEREF _Toc139643372 \h </w:instrText>
        </w:r>
        <w:r w:rsidR="00913B65">
          <w:rPr>
            <w:noProof/>
            <w:webHidden/>
          </w:rPr>
        </w:r>
        <w:r w:rsidR="00913B65">
          <w:rPr>
            <w:noProof/>
            <w:webHidden/>
          </w:rPr>
          <w:fldChar w:fldCharType="separate"/>
        </w:r>
        <w:r w:rsidR="00913B65">
          <w:rPr>
            <w:noProof/>
            <w:webHidden/>
          </w:rPr>
          <w:t>6</w:t>
        </w:r>
        <w:r w:rsidR="00913B65">
          <w:rPr>
            <w:noProof/>
            <w:webHidden/>
          </w:rPr>
          <w:fldChar w:fldCharType="end"/>
        </w:r>
      </w:hyperlink>
    </w:p>
    <w:p w14:paraId="73447259" w14:textId="569AB327" w:rsidR="00913B65" w:rsidRDefault="00000000">
      <w:pPr>
        <w:pStyle w:val="TM1"/>
        <w:rPr>
          <w:rFonts w:asciiTheme="minorHAnsi" w:eastAsiaTheme="minorEastAsia" w:hAnsiTheme="minorHAnsi" w:cstheme="minorBidi"/>
          <w:noProof/>
          <w:sz w:val="22"/>
          <w:szCs w:val="22"/>
          <w:lang w:val="en-US"/>
        </w:rPr>
      </w:pPr>
      <w:hyperlink w:anchor="_Toc139643373" w:history="1">
        <w:r w:rsidR="00913B65" w:rsidRPr="00CA6BDC">
          <w:rPr>
            <w:rStyle w:val="Lienhypertexte"/>
            <w:noProof/>
            <w:lang w:val="fr-FR"/>
          </w:rPr>
          <w:t>IV.</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Place de la date dans les noms de conventions</w:t>
        </w:r>
        <w:r w:rsidR="00913B65">
          <w:rPr>
            <w:noProof/>
            <w:webHidden/>
          </w:rPr>
          <w:tab/>
        </w:r>
        <w:r w:rsidR="00913B65">
          <w:rPr>
            <w:noProof/>
            <w:webHidden/>
          </w:rPr>
          <w:fldChar w:fldCharType="begin"/>
        </w:r>
        <w:r w:rsidR="00913B65">
          <w:rPr>
            <w:noProof/>
            <w:webHidden/>
          </w:rPr>
          <w:instrText xml:space="preserve"> PAGEREF _Toc139643373 \h </w:instrText>
        </w:r>
        <w:r w:rsidR="00913B65">
          <w:rPr>
            <w:noProof/>
            <w:webHidden/>
          </w:rPr>
        </w:r>
        <w:r w:rsidR="00913B65">
          <w:rPr>
            <w:noProof/>
            <w:webHidden/>
          </w:rPr>
          <w:fldChar w:fldCharType="separate"/>
        </w:r>
        <w:r w:rsidR="00913B65">
          <w:rPr>
            <w:noProof/>
            <w:webHidden/>
          </w:rPr>
          <w:t>6</w:t>
        </w:r>
        <w:r w:rsidR="00913B65">
          <w:rPr>
            <w:noProof/>
            <w:webHidden/>
          </w:rPr>
          <w:fldChar w:fldCharType="end"/>
        </w:r>
      </w:hyperlink>
    </w:p>
    <w:p w14:paraId="23E3A3FD" w14:textId="1F9433D3" w:rsidR="00913B65" w:rsidRDefault="00000000">
      <w:pPr>
        <w:pStyle w:val="TM1"/>
        <w:rPr>
          <w:rFonts w:asciiTheme="minorHAnsi" w:eastAsiaTheme="minorEastAsia" w:hAnsiTheme="minorHAnsi" w:cstheme="minorBidi"/>
          <w:noProof/>
          <w:sz w:val="22"/>
          <w:szCs w:val="22"/>
          <w:lang w:val="en-US"/>
        </w:rPr>
      </w:pPr>
      <w:hyperlink w:anchor="_Toc139643374" w:history="1">
        <w:r w:rsidR="00913B65" w:rsidRPr="00CA6BDC">
          <w:rPr>
            <w:rStyle w:val="Lienhypertexte"/>
            <w:noProof/>
            <w:lang w:val="fr-FR"/>
          </w:rPr>
          <w:t>V.</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Rappels de note</w:t>
        </w:r>
        <w:r w:rsidR="00913B65">
          <w:rPr>
            <w:noProof/>
            <w:webHidden/>
          </w:rPr>
          <w:tab/>
        </w:r>
        <w:r w:rsidR="00913B65">
          <w:rPr>
            <w:noProof/>
            <w:webHidden/>
          </w:rPr>
          <w:fldChar w:fldCharType="begin"/>
        </w:r>
        <w:r w:rsidR="00913B65">
          <w:rPr>
            <w:noProof/>
            <w:webHidden/>
          </w:rPr>
          <w:instrText xml:space="preserve"> PAGEREF _Toc139643374 \h </w:instrText>
        </w:r>
        <w:r w:rsidR="00913B65">
          <w:rPr>
            <w:noProof/>
            <w:webHidden/>
          </w:rPr>
        </w:r>
        <w:r w:rsidR="00913B65">
          <w:rPr>
            <w:noProof/>
            <w:webHidden/>
          </w:rPr>
          <w:fldChar w:fldCharType="separate"/>
        </w:r>
        <w:r w:rsidR="00913B65">
          <w:rPr>
            <w:noProof/>
            <w:webHidden/>
          </w:rPr>
          <w:t>6</w:t>
        </w:r>
        <w:r w:rsidR="00913B65">
          <w:rPr>
            <w:noProof/>
            <w:webHidden/>
          </w:rPr>
          <w:fldChar w:fldCharType="end"/>
        </w:r>
      </w:hyperlink>
    </w:p>
    <w:p w14:paraId="6F16EADD" w14:textId="6CCBA14C" w:rsidR="00913B65" w:rsidRDefault="00000000">
      <w:pPr>
        <w:pStyle w:val="TM1"/>
        <w:rPr>
          <w:rFonts w:asciiTheme="minorHAnsi" w:eastAsiaTheme="minorEastAsia" w:hAnsiTheme="minorHAnsi" w:cstheme="minorBidi"/>
          <w:noProof/>
          <w:sz w:val="22"/>
          <w:szCs w:val="22"/>
          <w:lang w:val="en-US"/>
        </w:rPr>
      </w:pPr>
      <w:hyperlink w:anchor="_Toc139643375" w:history="1">
        <w:r w:rsidR="00913B65" w:rsidRPr="00CA6BDC">
          <w:rPr>
            <w:rStyle w:val="Lienhypertexte"/>
            <w:noProof/>
            <w:lang w:val="fr-FR"/>
          </w:rPr>
          <w:t>VI.</w:t>
        </w:r>
        <w:r w:rsidR="00913B65">
          <w:rPr>
            <w:rFonts w:asciiTheme="minorHAnsi" w:eastAsiaTheme="minorEastAsia" w:hAnsiTheme="minorHAnsi" w:cstheme="minorBidi"/>
            <w:noProof/>
            <w:sz w:val="22"/>
            <w:szCs w:val="22"/>
            <w:lang w:val="en-US"/>
          </w:rPr>
          <w:tab/>
        </w:r>
        <w:r w:rsidR="00913B65" w:rsidRPr="00CA6BDC">
          <w:rPr>
            <w:rStyle w:val="Lienhypertexte"/>
            <w:noProof/>
          </w:rPr>
          <w:t>Concordance</w:t>
        </w:r>
        <w:r w:rsidR="00913B65" w:rsidRPr="00CA6BDC">
          <w:rPr>
            <w:rStyle w:val="Lienhypertexte"/>
            <w:noProof/>
            <w:lang w:val="fr-FR"/>
          </w:rPr>
          <w:t xml:space="preserve"> des temps</w:t>
        </w:r>
        <w:r w:rsidR="00913B65">
          <w:rPr>
            <w:noProof/>
            <w:webHidden/>
          </w:rPr>
          <w:tab/>
        </w:r>
        <w:r w:rsidR="00913B65">
          <w:rPr>
            <w:noProof/>
            <w:webHidden/>
          </w:rPr>
          <w:fldChar w:fldCharType="begin"/>
        </w:r>
        <w:r w:rsidR="00913B65">
          <w:rPr>
            <w:noProof/>
            <w:webHidden/>
          </w:rPr>
          <w:instrText xml:space="preserve"> PAGEREF _Toc139643375 \h </w:instrText>
        </w:r>
        <w:r w:rsidR="00913B65">
          <w:rPr>
            <w:noProof/>
            <w:webHidden/>
          </w:rPr>
        </w:r>
        <w:r w:rsidR="00913B65">
          <w:rPr>
            <w:noProof/>
            <w:webHidden/>
          </w:rPr>
          <w:fldChar w:fldCharType="separate"/>
        </w:r>
        <w:r w:rsidR="00913B65">
          <w:rPr>
            <w:noProof/>
            <w:webHidden/>
          </w:rPr>
          <w:t>6</w:t>
        </w:r>
        <w:r w:rsidR="00913B65">
          <w:rPr>
            <w:noProof/>
            <w:webHidden/>
          </w:rPr>
          <w:fldChar w:fldCharType="end"/>
        </w:r>
      </w:hyperlink>
    </w:p>
    <w:p w14:paraId="5D3D04D6" w14:textId="47B5247E" w:rsidR="00913B65" w:rsidRDefault="00000000">
      <w:pPr>
        <w:pStyle w:val="TM1"/>
        <w:rPr>
          <w:rFonts w:asciiTheme="minorHAnsi" w:eastAsiaTheme="minorEastAsia" w:hAnsiTheme="minorHAnsi" w:cstheme="minorBidi"/>
          <w:noProof/>
          <w:sz w:val="22"/>
          <w:szCs w:val="22"/>
          <w:lang w:val="en-US"/>
        </w:rPr>
      </w:pPr>
      <w:hyperlink w:anchor="_Toc139643376" w:history="1">
        <w:r w:rsidR="00913B65" w:rsidRPr="00CA6BDC">
          <w:rPr>
            <w:rStyle w:val="Lienhypertexte"/>
            <w:noProof/>
            <w:lang w:val="fr-FR"/>
          </w:rPr>
          <w:t>VII.</w:t>
        </w:r>
        <w:r w:rsidR="00913B65">
          <w:rPr>
            <w:rFonts w:asciiTheme="minorHAnsi" w:eastAsiaTheme="minorEastAsia" w:hAnsiTheme="minorHAnsi" w:cstheme="minorBidi"/>
            <w:noProof/>
            <w:sz w:val="22"/>
            <w:szCs w:val="22"/>
            <w:lang w:val="en-US"/>
          </w:rPr>
          <w:tab/>
        </w:r>
        <w:r w:rsidR="00913B65" w:rsidRPr="00CA6BDC">
          <w:rPr>
            <w:rStyle w:val="Lienhypertexte"/>
            <w:noProof/>
          </w:rPr>
          <w:t>Commentaires</w:t>
        </w:r>
        <w:r w:rsidR="00913B65" w:rsidRPr="00CA6BDC">
          <w:rPr>
            <w:rStyle w:val="Lienhypertexte"/>
            <w:noProof/>
            <w:lang w:val="fr-FR"/>
          </w:rPr>
          <w:t xml:space="preserve"> des </w:t>
        </w:r>
        <w:r w:rsidR="00913B65" w:rsidRPr="00CA6BDC">
          <w:rPr>
            <w:rStyle w:val="Lienhypertexte"/>
            <w:noProof/>
          </w:rPr>
          <w:t>projets</w:t>
        </w:r>
        <w:r w:rsidR="00913B65" w:rsidRPr="00CA6BDC">
          <w:rPr>
            <w:rStyle w:val="Lienhypertexte"/>
            <w:noProof/>
            <w:lang w:val="fr-FR"/>
          </w:rPr>
          <w:t xml:space="preserve"> d’article</w:t>
        </w:r>
        <w:r w:rsidR="00913B65">
          <w:rPr>
            <w:noProof/>
            <w:webHidden/>
          </w:rPr>
          <w:tab/>
        </w:r>
        <w:r w:rsidR="00913B65">
          <w:rPr>
            <w:noProof/>
            <w:webHidden/>
          </w:rPr>
          <w:fldChar w:fldCharType="begin"/>
        </w:r>
        <w:r w:rsidR="00913B65">
          <w:rPr>
            <w:noProof/>
            <w:webHidden/>
          </w:rPr>
          <w:instrText xml:space="preserve"> PAGEREF _Toc139643376 \h </w:instrText>
        </w:r>
        <w:r w:rsidR="00913B65">
          <w:rPr>
            <w:noProof/>
            <w:webHidden/>
          </w:rPr>
        </w:r>
        <w:r w:rsidR="00913B65">
          <w:rPr>
            <w:noProof/>
            <w:webHidden/>
          </w:rPr>
          <w:fldChar w:fldCharType="separate"/>
        </w:r>
        <w:r w:rsidR="00913B65">
          <w:rPr>
            <w:noProof/>
            <w:webHidden/>
          </w:rPr>
          <w:t>6</w:t>
        </w:r>
        <w:r w:rsidR="00913B65">
          <w:rPr>
            <w:noProof/>
            <w:webHidden/>
          </w:rPr>
          <w:fldChar w:fldCharType="end"/>
        </w:r>
      </w:hyperlink>
    </w:p>
    <w:p w14:paraId="08EF7CF5" w14:textId="0F5F31C1" w:rsidR="00913B65" w:rsidRDefault="00000000">
      <w:pPr>
        <w:pStyle w:val="TM1"/>
        <w:rPr>
          <w:rFonts w:asciiTheme="minorHAnsi" w:eastAsiaTheme="minorEastAsia" w:hAnsiTheme="minorHAnsi" w:cstheme="minorBidi"/>
          <w:noProof/>
          <w:sz w:val="22"/>
          <w:szCs w:val="22"/>
          <w:lang w:val="en-US"/>
        </w:rPr>
      </w:pPr>
      <w:hyperlink w:anchor="_Toc139643377" w:history="1">
        <w:r w:rsidR="00913B65" w:rsidRPr="00CA6BDC">
          <w:rPr>
            <w:rStyle w:val="Lienhypertexte"/>
            <w:noProof/>
          </w:rPr>
          <w:t>VIII.</w:t>
        </w:r>
        <w:r w:rsidR="00913B65">
          <w:rPr>
            <w:rFonts w:asciiTheme="minorHAnsi" w:eastAsiaTheme="minorEastAsia" w:hAnsiTheme="minorHAnsi" w:cstheme="minorBidi"/>
            <w:noProof/>
            <w:sz w:val="22"/>
            <w:szCs w:val="22"/>
            <w:lang w:val="en-US"/>
          </w:rPr>
          <w:tab/>
        </w:r>
        <w:r w:rsidR="00913B65" w:rsidRPr="00CA6BDC">
          <w:rPr>
            <w:rStyle w:val="Lienhypertexte"/>
            <w:noProof/>
          </w:rPr>
          <w:t>Points de troncation</w:t>
        </w:r>
        <w:r w:rsidR="00913B65">
          <w:rPr>
            <w:noProof/>
            <w:webHidden/>
          </w:rPr>
          <w:tab/>
        </w:r>
        <w:r w:rsidR="00913B65">
          <w:rPr>
            <w:noProof/>
            <w:webHidden/>
          </w:rPr>
          <w:fldChar w:fldCharType="begin"/>
        </w:r>
        <w:r w:rsidR="00913B65">
          <w:rPr>
            <w:noProof/>
            <w:webHidden/>
          </w:rPr>
          <w:instrText xml:space="preserve"> PAGEREF _Toc139643377 \h </w:instrText>
        </w:r>
        <w:r w:rsidR="00913B65">
          <w:rPr>
            <w:noProof/>
            <w:webHidden/>
          </w:rPr>
        </w:r>
        <w:r w:rsidR="00913B65">
          <w:rPr>
            <w:noProof/>
            <w:webHidden/>
          </w:rPr>
          <w:fldChar w:fldCharType="separate"/>
        </w:r>
        <w:r w:rsidR="00913B65">
          <w:rPr>
            <w:noProof/>
            <w:webHidden/>
          </w:rPr>
          <w:t>7</w:t>
        </w:r>
        <w:r w:rsidR="00913B65">
          <w:rPr>
            <w:noProof/>
            <w:webHidden/>
          </w:rPr>
          <w:fldChar w:fldCharType="end"/>
        </w:r>
      </w:hyperlink>
    </w:p>
    <w:p w14:paraId="6699761A" w14:textId="41FBEB54" w:rsidR="00913B65" w:rsidRDefault="00000000">
      <w:pPr>
        <w:pStyle w:val="TM1"/>
        <w:rPr>
          <w:rFonts w:asciiTheme="minorHAnsi" w:eastAsiaTheme="minorEastAsia" w:hAnsiTheme="minorHAnsi" w:cstheme="minorBidi"/>
          <w:noProof/>
          <w:sz w:val="22"/>
          <w:szCs w:val="22"/>
          <w:lang w:val="en-US"/>
        </w:rPr>
      </w:pPr>
      <w:hyperlink w:anchor="_Toc139643378" w:history="1">
        <w:r w:rsidR="00913B65" w:rsidRPr="00CA6BDC">
          <w:rPr>
            <w:rStyle w:val="Lienhypertexte"/>
            <w:noProof/>
            <w:lang w:val="fr-FR"/>
          </w:rPr>
          <w:t>IX.</w:t>
        </w:r>
        <w:r w:rsidR="00913B65">
          <w:rPr>
            <w:rFonts w:asciiTheme="minorHAnsi" w:eastAsiaTheme="minorEastAsia" w:hAnsiTheme="minorHAnsi" w:cstheme="minorBidi"/>
            <w:noProof/>
            <w:sz w:val="22"/>
            <w:szCs w:val="22"/>
            <w:lang w:val="en-US"/>
          </w:rPr>
          <w:tab/>
        </w:r>
        <w:r w:rsidR="00913B65" w:rsidRPr="00CA6BDC">
          <w:rPr>
            <w:rStyle w:val="Lienhypertexte"/>
            <w:noProof/>
            <w:lang w:val="fr-FR"/>
          </w:rPr>
          <w:t xml:space="preserve">Notes de bas </w:t>
        </w:r>
        <w:r w:rsidR="00913B65" w:rsidRPr="00CA6BDC">
          <w:rPr>
            <w:rStyle w:val="Lienhypertexte"/>
            <w:noProof/>
          </w:rPr>
          <w:t>de</w:t>
        </w:r>
        <w:r w:rsidR="00913B65" w:rsidRPr="00CA6BDC">
          <w:rPr>
            <w:rStyle w:val="Lienhypertexte"/>
            <w:noProof/>
            <w:lang w:val="fr-FR"/>
          </w:rPr>
          <w:t xml:space="preserve"> page</w:t>
        </w:r>
        <w:r w:rsidR="00913B65">
          <w:rPr>
            <w:noProof/>
            <w:webHidden/>
          </w:rPr>
          <w:tab/>
        </w:r>
        <w:r w:rsidR="00913B65">
          <w:rPr>
            <w:noProof/>
            <w:webHidden/>
          </w:rPr>
          <w:fldChar w:fldCharType="begin"/>
        </w:r>
        <w:r w:rsidR="00913B65">
          <w:rPr>
            <w:noProof/>
            <w:webHidden/>
          </w:rPr>
          <w:instrText xml:space="preserve"> PAGEREF _Toc139643378 \h </w:instrText>
        </w:r>
        <w:r w:rsidR="00913B65">
          <w:rPr>
            <w:noProof/>
            <w:webHidden/>
          </w:rPr>
        </w:r>
        <w:r w:rsidR="00913B65">
          <w:rPr>
            <w:noProof/>
            <w:webHidden/>
          </w:rPr>
          <w:fldChar w:fldCharType="separate"/>
        </w:r>
        <w:r w:rsidR="00913B65">
          <w:rPr>
            <w:noProof/>
            <w:webHidden/>
          </w:rPr>
          <w:t>7</w:t>
        </w:r>
        <w:r w:rsidR="00913B65">
          <w:rPr>
            <w:noProof/>
            <w:webHidden/>
          </w:rPr>
          <w:fldChar w:fldCharType="end"/>
        </w:r>
      </w:hyperlink>
    </w:p>
    <w:p w14:paraId="17CFD76A" w14:textId="2854BF01" w:rsidR="00867A84" w:rsidRDefault="008D44AD" w:rsidP="00752DD3">
      <w:pPr>
        <w:rPr>
          <w:sz w:val="28"/>
        </w:rPr>
      </w:pPr>
      <w:r>
        <w:rPr>
          <w:sz w:val="28"/>
        </w:rPr>
        <w:fldChar w:fldCharType="end"/>
      </w:r>
    </w:p>
    <w:p w14:paraId="2606C65D" w14:textId="77777777" w:rsidR="00867A84" w:rsidRDefault="00867A84" w:rsidP="00752DD3">
      <w:pPr>
        <w:sectPr w:rsidR="00867A84" w:rsidSect="00234F27">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pPr>
    </w:p>
    <w:p w14:paraId="4B05FB20" w14:textId="0D1B32F1" w:rsidR="003B3C1D" w:rsidRPr="003B3C1D" w:rsidRDefault="00657464" w:rsidP="00657464">
      <w:pPr>
        <w:pStyle w:val="HChG"/>
        <w:rPr>
          <w:lang w:val="fr-FR"/>
        </w:rPr>
      </w:pPr>
      <w:r>
        <w:rPr>
          <w:lang w:val="fr-FR"/>
        </w:rPr>
        <w:lastRenderedPageBreak/>
        <w:tab/>
      </w:r>
      <w:bookmarkStart w:id="2" w:name="_Toc139302166"/>
      <w:bookmarkStart w:id="3" w:name="_Toc139643357"/>
      <w:r>
        <w:rPr>
          <w:lang w:val="fr-FR"/>
        </w:rPr>
        <w:t>I.</w:t>
      </w:r>
      <w:r>
        <w:rPr>
          <w:lang w:val="fr-FR"/>
        </w:rPr>
        <w:tab/>
      </w:r>
      <w:r w:rsidR="003B3C1D" w:rsidRPr="003B3C1D">
        <w:rPr>
          <w:lang w:val="fr-FR"/>
        </w:rPr>
        <w:t>Projet d’article</w:t>
      </w:r>
      <w:bookmarkEnd w:id="2"/>
      <w:bookmarkEnd w:id="3"/>
    </w:p>
    <w:p w14:paraId="3F7FC5B4" w14:textId="77777777" w:rsidR="003B3C1D" w:rsidRPr="003B3C1D" w:rsidRDefault="003B3C1D" w:rsidP="00657464">
      <w:pPr>
        <w:pStyle w:val="SingleTxtG"/>
        <w:rPr>
          <w:lang w:val="fr-CA"/>
        </w:rPr>
      </w:pPr>
      <w:r w:rsidRPr="003B3C1D">
        <w:rPr>
          <w:lang w:val="fr-CA"/>
        </w:rPr>
        <w:t>Pour rappel, ainsi qu’il est dit dans la bible du pool, on écrit :le projet d’article 1; les projets d’articles 2, 3 et 4; les projets d’article examinés [chaque projet portant sur un seul article et les numéros d’article n’étant pas précisés]; le projet d’articles sur la responsabilité des États [le projet portant sur l’ensemble des articles].</w:t>
      </w:r>
    </w:p>
    <w:p w14:paraId="0CA7BCDA" w14:textId="2F6E5B36" w:rsidR="003B3C1D" w:rsidRPr="003B3C1D" w:rsidRDefault="003B3C1D" w:rsidP="00657464">
      <w:pPr>
        <w:pStyle w:val="SingleTxtG"/>
        <w:rPr>
          <w:lang w:val="fr-CA"/>
        </w:rPr>
      </w:pPr>
      <w:r w:rsidRPr="003B3C1D">
        <w:rPr>
          <w:lang w:val="fr-CA"/>
        </w:rPr>
        <w:t>La même règle s’applique aux projets de conclusion et aux projets de directive.</w:t>
      </w:r>
    </w:p>
    <w:p w14:paraId="1A04A1FB" w14:textId="206FDC1D" w:rsidR="003B3C1D" w:rsidRPr="003B3C1D" w:rsidRDefault="00657464" w:rsidP="009E3E78">
      <w:pPr>
        <w:pStyle w:val="HChG"/>
        <w:rPr>
          <w:lang w:val="fr-FR"/>
        </w:rPr>
      </w:pPr>
      <w:r>
        <w:rPr>
          <w:lang w:val="fr-FR"/>
        </w:rPr>
        <w:tab/>
      </w:r>
      <w:bookmarkStart w:id="4" w:name="_Toc139302167"/>
      <w:bookmarkStart w:id="5" w:name="_Toc139643358"/>
      <w:r>
        <w:rPr>
          <w:lang w:val="fr-FR"/>
        </w:rPr>
        <w:t>II.</w:t>
      </w:r>
      <w:r>
        <w:rPr>
          <w:lang w:val="fr-FR"/>
        </w:rPr>
        <w:tab/>
      </w:r>
      <w:r w:rsidR="003B3C1D" w:rsidRPr="003B3C1D">
        <w:rPr>
          <w:lang w:val="fr-FR"/>
        </w:rPr>
        <w:t xml:space="preserve">Citations </w:t>
      </w:r>
      <w:r w:rsidR="003B3C1D" w:rsidRPr="009E3E78">
        <w:t>entre</w:t>
      </w:r>
      <w:r w:rsidR="003B3C1D" w:rsidRPr="003B3C1D">
        <w:rPr>
          <w:lang w:val="fr-FR"/>
        </w:rPr>
        <w:t xml:space="preserve"> guillemets</w:t>
      </w:r>
      <w:bookmarkStart w:id="6" w:name="_Toc208993632"/>
      <w:bookmarkEnd w:id="4"/>
      <w:bookmarkEnd w:id="5"/>
    </w:p>
    <w:p w14:paraId="3EC6E929" w14:textId="23859207" w:rsidR="003B3C1D" w:rsidRPr="003B3C1D" w:rsidRDefault="00657464" w:rsidP="00657464">
      <w:pPr>
        <w:pStyle w:val="H1G"/>
        <w:rPr>
          <w:lang w:val="fr-CA"/>
        </w:rPr>
      </w:pPr>
      <w:r>
        <w:rPr>
          <w:lang w:val="fr-CA"/>
        </w:rPr>
        <w:tab/>
      </w:r>
      <w:bookmarkStart w:id="7" w:name="_Toc139302168"/>
      <w:bookmarkStart w:id="8" w:name="_Toc139643359"/>
      <w:r>
        <w:rPr>
          <w:lang w:val="fr-CA"/>
        </w:rPr>
        <w:t>A.</w:t>
      </w:r>
      <w:r>
        <w:rPr>
          <w:lang w:val="fr-CA"/>
        </w:rPr>
        <w:tab/>
      </w:r>
      <w:r w:rsidR="003B3C1D" w:rsidRPr="003B3C1D">
        <w:rPr>
          <w:lang w:val="fr-CA"/>
        </w:rPr>
        <w:t>Il existe une version officielle française du document cité</w:t>
      </w:r>
      <w:bookmarkEnd w:id="7"/>
      <w:bookmarkEnd w:id="8"/>
    </w:p>
    <w:p w14:paraId="6FEB8E9A" w14:textId="77777777" w:rsidR="003B3C1D" w:rsidRPr="003B3C1D" w:rsidRDefault="003B3C1D" w:rsidP="00657464">
      <w:pPr>
        <w:pStyle w:val="SingleTxtG"/>
        <w:rPr>
          <w:lang w:val="fr-CA"/>
        </w:rPr>
      </w:pPr>
      <w:r w:rsidRPr="003B3C1D">
        <w:rPr>
          <w:lang w:val="fr-CA"/>
        </w:rPr>
        <w:t xml:space="preserve">Si le passage introductif et la citation forment une seule et même phrase, </w:t>
      </w:r>
      <w:r w:rsidRPr="003B3C1D">
        <w:t>grammaticalement</w:t>
      </w:r>
      <w:r w:rsidRPr="003B3C1D">
        <w:rPr>
          <w:lang w:val="fr-CA"/>
        </w:rPr>
        <w:t xml:space="preserve"> complète, la majuscule à l’initiale de la citation est remplacée par une minuscule entre crochets et</w:t>
      </w:r>
      <w:r w:rsidRPr="003B3C1D">
        <w:rPr>
          <w:u w:val="single"/>
          <w:lang w:val="fr-CA"/>
        </w:rPr>
        <w:t xml:space="preserve"> le point final se place </w:t>
      </w:r>
      <w:r w:rsidRPr="003B3C1D">
        <w:rPr>
          <w:i/>
          <w:u w:val="single"/>
          <w:lang w:val="fr-CA"/>
        </w:rPr>
        <w:t>après</w:t>
      </w:r>
      <w:r w:rsidRPr="003B3C1D">
        <w:rPr>
          <w:u w:val="single"/>
          <w:lang w:val="fr-CA"/>
        </w:rPr>
        <w:t xml:space="preserve"> les guillemets fermants </w:t>
      </w:r>
      <w:r w:rsidRPr="003B3C1D">
        <w:rPr>
          <w:lang w:val="fr-CA"/>
        </w:rPr>
        <w:t>:</w:t>
      </w:r>
    </w:p>
    <w:p w14:paraId="3ACA9970" w14:textId="77777777" w:rsidR="003B3C1D" w:rsidRPr="003B3C1D" w:rsidRDefault="003B3C1D" w:rsidP="00657464">
      <w:pPr>
        <w:pStyle w:val="SingleTxtG"/>
        <w:rPr>
          <w:lang w:val="fr-CA"/>
        </w:rPr>
      </w:pPr>
      <w:r w:rsidRPr="003B3C1D">
        <w:rPr>
          <w:lang w:val="fr-CA"/>
        </w:rPr>
        <w:t>L’article 31 du Statut dispose que « [l]e Tribunal international a son siège à La Haye ».</w:t>
      </w:r>
    </w:p>
    <w:p w14:paraId="096D4252" w14:textId="77777777" w:rsidR="003B3C1D" w:rsidRPr="003B3C1D" w:rsidRDefault="003B3C1D" w:rsidP="008C5AF4">
      <w:pPr>
        <w:pStyle w:val="SingleTxtG"/>
        <w:rPr>
          <w:lang w:val="fr-CA"/>
        </w:rPr>
      </w:pPr>
      <w:r w:rsidRPr="003B3C1D">
        <w:rPr>
          <w:lang w:val="fr-CA"/>
        </w:rPr>
        <w:t>Si le passage introductif et la citation forment chacun une phrase complète, la citation commence par une majuscule et l</w:t>
      </w:r>
      <w:r w:rsidRPr="003B3C1D">
        <w:rPr>
          <w:u w:val="single"/>
          <w:lang w:val="fr-CA"/>
        </w:rPr>
        <w:t xml:space="preserve">e point final se place </w:t>
      </w:r>
      <w:r w:rsidRPr="003B3C1D">
        <w:rPr>
          <w:i/>
          <w:u w:val="single"/>
          <w:lang w:val="fr-CA"/>
        </w:rPr>
        <w:t>avant</w:t>
      </w:r>
      <w:r w:rsidRPr="003B3C1D">
        <w:rPr>
          <w:u w:val="single"/>
          <w:lang w:val="fr-CA"/>
        </w:rPr>
        <w:t xml:space="preserve"> les guillemets fermants </w:t>
      </w:r>
      <w:r w:rsidRPr="003B3C1D">
        <w:rPr>
          <w:lang w:val="fr-CA"/>
        </w:rPr>
        <w:t>:</w:t>
      </w:r>
    </w:p>
    <w:p w14:paraId="3F95F518" w14:textId="77777777" w:rsidR="003B3C1D" w:rsidRPr="003B3C1D" w:rsidRDefault="003B3C1D" w:rsidP="008C5AF4">
      <w:pPr>
        <w:pStyle w:val="SingleTxtG"/>
        <w:rPr>
          <w:lang w:val="fr-CA"/>
        </w:rPr>
      </w:pPr>
      <w:r w:rsidRPr="003B3C1D">
        <w:rPr>
          <w:lang w:val="fr-CA"/>
        </w:rPr>
        <w:t>L’article 31 du Statut est ainsi libellé : « Le Tribunal international a son siège à La Haye. »</w:t>
      </w:r>
    </w:p>
    <w:p w14:paraId="76E8611F" w14:textId="77777777" w:rsidR="003B3C1D" w:rsidRPr="003B3C1D" w:rsidRDefault="003B3C1D" w:rsidP="008C5AF4">
      <w:pPr>
        <w:pStyle w:val="SingleTxtG"/>
        <w:rPr>
          <w:lang w:val="fr-CA"/>
        </w:rPr>
      </w:pPr>
      <w:r w:rsidRPr="003B3C1D">
        <w:rPr>
          <w:lang w:val="fr-CA"/>
        </w:rPr>
        <w:t>L</w:t>
      </w:r>
      <w:r w:rsidRPr="003B3C1D">
        <w:rPr>
          <w:lang w:val="fr-FR"/>
        </w:rPr>
        <w:t xml:space="preserve">a Cour internationale de Justice a fait observer ce qui suit dans l’affaire relative aux </w:t>
      </w:r>
      <w:r w:rsidRPr="003B3C1D">
        <w:rPr>
          <w:i/>
          <w:iCs/>
          <w:lang w:val="fr-FR"/>
        </w:rPr>
        <w:t>Questions concernant l’obligation de poursuivre ou d’extrader (Belgique c. Sénégal)</w:t>
      </w:r>
      <w:r w:rsidRPr="003B3C1D">
        <w:rPr>
          <w:iCs/>
          <w:lang w:val="fr-FR"/>
        </w:rPr>
        <w:t> :</w:t>
      </w:r>
    </w:p>
    <w:p w14:paraId="4BE2E66F" w14:textId="76E48ECB" w:rsidR="003B3C1D" w:rsidRPr="003B3C1D" w:rsidRDefault="003B3C1D" w:rsidP="008C5AF4">
      <w:pPr>
        <w:pStyle w:val="SingleTxtG"/>
        <w:ind w:left="1701"/>
        <w:rPr>
          <w:lang w:val="fr-CA"/>
        </w:rPr>
      </w:pPr>
      <w:r w:rsidRPr="003B3C1D">
        <w:rPr>
          <w:lang w:val="fr-FR"/>
        </w:rPr>
        <w:t>L’obligation de l’État d’incriminer la torture et d’établir sa compétence pour en connaître trouve son équivalent dans les dispositions de nombreuses conventions internationales de lutte contre les crimes internationaux. Cette obligation, qui doit être mise en œuvre par l’État concerné dès qu’il est lié par la convention, a notamment un caractère préventif et dissuasif puisque, en se dotant de l’arsenal juridique nécessaire pour poursuivre ce type d’infraction, les États parties garantissent l’intervention de leur système judiciaire à cet effet et s’engagent à coordonner leurs efforts pour éliminer tout risque d’impunité. Ce caractère préventif est d’autant plus marqué que le nombre des États parties est élevé.</w:t>
      </w:r>
      <w:r w:rsidRPr="003B3C1D">
        <w:rPr>
          <w:vertAlign w:val="superscript"/>
          <w:lang w:val="fr-FR"/>
        </w:rPr>
        <w:t>1</w:t>
      </w:r>
    </w:p>
    <w:p w14:paraId="5AAF1A0C" w14:textId="7DC4FA2E" w:rsidR="003B3C1D" w:rsidRPr="003B3C1D" w:rsidRDefault="008C5AF4" w:rsidP="008C5AF4">
      <w:pPr>
        <w:pStyle w:val="H1G"/>
        <w:rPr>
          <w:rFonts w:eastAsia="Times New Roman"/>
          <w:lang w:val="fr-CA"/>
        </w:rPr>
      </w:pPr>
      <w:r>
        <w:rPr>
          <w:rFonts w:eastAsia="Times New Roman"/>
          <w:lang w:val="fr-CA"/>
        </w:rPr>
        <w:tab/>
      </w:r>
      <w:bookmarkStart w:id="9" w:name="_Toc139302169"/>
      <w:bookmarkStart w:id="10" w:name="_Toc139643360"/>
      <w:r>
        <w:rPr>
          <w:rFonts w:eastAsia="Times New Roman"/>
          <w:lang w:val="fr-CA"/>
        </w:rPr>
        <w:t>B.</w:t>
      </w:r>
      <w:r>
        <w:rPr>
          <w:rFonts w:eastAsia="Times New Roman"/>
          <w:lang w:val="fr-CA"/>
        </w:rPr>
        <w:tab/>
      </w:r>
      <w:r w:rsidR="003B3C1D" w:rsidRPr="003B3C1D">
        <w:rPr>
          <w:rFonts w:eastAsia="Times New Roman"/>
          <w:lang w:val="fr-CA"/>
        </w:rPr>
        <w:t xml:space="preserve">Il n’existe pas de version </w:t>
      </w:r>
      <w:r w:rsidR="003B3C1D" w:rsidRPr="003B3C1D">
        <w:rPr>
          <w:lang w:val="fr-CA"/>
        </w:rPr>
        <w:t>officielle</w:t>
      </w:r>
      <w:r w:rsidR="003B3C1D" w:rsidRPr="003B3C1D">
        <w:rPr>
          <w:rFonts w:eastAsia="Times New Roman"/>
          <w:lang w:val="fr-CA"/>
        </w:rPr>
        <w:t xml:space="preserve"> française du document cité</w:t>
      </w:r>
      <w:bookmarkEnd w:id="9"/>
      <w:bookmarkEnd w:id="10"/>
    </w:p>
    <w:p w14:paraId="0A872384" w14:textId="77777777" w:rsidR="003B3C1D" w:rsidRPr="003B3C1D" w:rsidRDefault="003B3C1D" w:rsidP="008C5AF4">
      <w:pPr>
        <w:pStyle w:val="SingleTxtG"/>
        <w:rPr>
          <w:lang w:val="fr-FR"/>
        </w:rPr>
      </w:pPr>
      <w:r w:rsidRPr="003B3C1D">
        <w:rPr>
          <w:lang w:val="fr-FR"/>
        </w:rPr>
        <w:t>Si la citation représente une phrase entière ou plus, elle est traduite entre guillemets et suivie de la mention [traduction non officielle] :</w:t>
      </w:r>
    </w:p>
    <w:p w14:paraId="7D6A3AAB" w14:textId="77777777" w:rsidR="003B3C1D" w:rsidRPr="003B3C1D" w:rsidRDefault="003B3C1D" w:rsidP="008C5AF4">
      <w:pPr>
        <w:pStyle w:val="SingleTxtG"/>
        <w:rPr>
          <w:lang w:val="fr-FR"/>
        </w:rPr>
      </w:pPr>
      <w:r w:rsidRPr="003B3C1D">
        <w:rPr>
          <w:lang w:val="fr-FR"/>
        </w:rPr>
        <w:t xml:space="preserve">Voir aussi </w:t>
      </w:r>
      <w:r w:rsidRPr="003B3C1D">
        <w:rPr>
          <w:i/>
          <w:iCs/>
          <w:lang w:val="fr-FR"/>
        </w:rPr>
        <w:t>Kleinlein</w:t>
      </w:r>
      <w:r w:rsidRPr="003B3C1D">
        <w:rPr>
          <w:lang w:val="fr-FR"/>
        </w:rPr>
        <w:t xml:space="preserve"> (note 72 </w:t>
      </w:r>
      <w:r w:rsidRPr="000540F5">
        <w:rPr>
          <w:i/>
          <w:iCs/>
          <w:lang w:val="fr-FR"/>
        </w:rPr>
        <w:t>supra</w:t>
      </w:r>
      <w:r w:rsidRPr="003B3C1D">
        <w:rPr>
          <w:lang w:val="fr-FR"/>
        </w:rPr>
        <w:t>), p. 174 (« Les réserves à un traité multilatéral qui sont contraires à une norme impérative sont considérées comme inadmissibles. » [traduction non officielle]).</w:t>
      </w:r>
    </w:p>
    <w:p w14:paraId="6F59A968" w14:textId="77777777" w:rsidR="003B3C1D" w:rsidRPr="003B3C1D" w:rsidRDefault="003B3C1D" w:rsidP="008C5AF4">
      <w:pPr>
        <w:pStyle w:val="SingleTxtG"/>
        <w:rPr>
          <w:lang w:val="fr-FR"/>
        </w:rPr>
      </w:pPr>
      <w:r w:rsidRPr="003B3C1D">
        <w:rPr>
          <w:lang w:val="fr-FR"/>
        </w:rPr>
        <w:t>Si la citation est très brève (moins d’une phrase entière), elle est traduite entre guillemets et on n’insère pas la mention « [traduction non officielle] ».</w:t>
      </w:r>
    </w:p>
    <w:p w14:paraId="5DC4DB36" w14:textId="457C80E5" w:rsidR="003B3C1D" w:rsidRPr="003B3C1D" w:rsidRDefault="003B3C1D" w:rsidP="008C5AF4">
      <w:pPr>
        <w:pStyle w:val="SingleTxtG"/>
        <w:rPr>
          <w:lang w:val="fr-CA"/>
        </w:rPr>
      </w:pPr>
      <w:r w:rsidRPr="003B3C1D">
        <w:rPr>
          <w:lang w:val="fr-CA"/>
        </w:rPr>
        <w:t xml:space="preserve">Dans l’affaire </w:t>
      </w:r>
      <w:r w:rsidRPr="003B3C1D">
        <w:rPr>
          <w:i/>
          <w:iCs/>
          <w:lang w:val="fr-CA"/>
        </w:rPr>
        <w:t>Siderman de Blake v. the Republic of Argentina</w:t>
      </w:r>
      <w:r w:rsidRPr="003B3C1D">
        <w:rPr>
          <w:lang w:val="fr-CA"/>
        </w:rPr>
        <w:t>, la Cour d’appel des États-Unis a décrit les normes du jus cogens comme « un sous-ensemble supérieur de normes reconnues comme faisant partie du droit international coutumier</w:t>
      </w:r>
      <w:r w:rsidRPr="003B3C1D">
        <w:rPr>
          <w:vertAlign w:val="superscript"/>
          <w:lang w:val="fr-CA"/>
        </w:rPr>
        <w:t>1 </w:t>
      </w:r>
      <w:r w:rsidRPr="003B3C1D">
        <w:rPr>
          <w:lang w:val="fr-CA"/>
        </w:rPr>
        <w:t>». La Cour a aussi noté que, par opposition aux règles ordinaires du droit international coutumier, le jus cogens « est constitué de lois coutumières considérées comme liant toutes les nations</w:t>
      </w:r>
      <w:r w:rsidRPr="003B3C1D">
        <w:rPr>
          <w:vertAlign w:val="superscript"/>
          <w:lang w:val="fr-CA"/>
        </w:rPr>
        <w:t>2</w:t>
      </w:r>
      <w:r w:rsidRPr="003B3C1D">
        <w:rPr>
          <w:lang w:val="fr-CA"/>
        </w:rPr>
        <w:t xml:space="preserve"> ». Dans l’affaire </w:t>
      </w:r>
      <w:r w:rsidRPr="003B3C1D">
        <w:rPr>
          <w:i/>
          <w:iCs/>
          <w:lang w:val="fr-CA"/>
        </w:rPr>
        <w:t>Buell v. Mitchell</w:t>
      </w:r>
      <w:r w:rsidRPr="003B3C1D">
        <w:rPr>
          <w:lang w:val="fr-CA"/>
        </w:rPr>
        <w:t>, la Cour d’appel des États-Unis a noté que « certaines normes coutumières du droit international parviennent à un "statut plus élevé", à savoir celui de normes impératives du droit international général (jus cogens)</w:t>
      </w:r>
      <w:r w:rsidRPr="003B3C1D">
        <w:rPr>
          <w:vertAlign w:val="superscript"/>
          <w:lang w:val="fr-CA"/>
        </w:rPr>
        <w:t>3</w:t>
      </w:r>
      <w:r w:rsidRPr="003B3C1D">
        <w:rPr>
          <w:lang w:val="fr-CA"/>
        </w:rPr>
        <w:t> ».</w:t>
      </w:r>
    </w:p>
    <w:p w14:paraId="6C3126F6" w14:textId="77777777" w:rsidR="003B3C1D" w:rsidRPr="003B3C1D" w:rsidRDefault="003B3C1D" w:rsidP="00943543">
      <w:pPr>
        <w:pStyle w:val="SingleTxtG"/>
        <w:keepNext/>
        <w:rPr>
          <w:lang w:val="fr-CA"/>
        </w:rPr>
      </w:pPr>
      <w:r w:rsidRPr="003B3C1D">
        <w:rPr>
          <w:lang w:val="fr-CA"/>
        </w:rPr>
        <w:lastRenderedPageBreak/>
        <w:t xml:space="preserve">Si la citation est en </w:t>
      </w:r>
      <w:r w:rsidRPr="003B3C1D">
        <w:t>retrait</w:t>
      </w:r>
      <w:r w:rsidRPr="003B3C1D">
        <w:rPr>
          <w:lang w:val="fr-CA"/>
        </w:rPr>
        <w:t>, sans guillemets, elle est suivie de la mention « Traduction non officielle » (avec un « T » majuscule) entre crochets.</w:t>
      </w:r>
    </w:p>
    <w:p w14:paraId="34B09671" w14:textId="77777777" w:rsidR="003B3C1D" w:rsidRPr="003B3C1D" w:rsidRDefault="003B3C1D" w:rsidP="00943543">
      <w:pPr>
        <w:pStyle w:val="SingleTxtG"/>
        <w:keepNext/>
        <w:rPr>
          <w:lang w:val="fr-CA"/>
        </w:rPr>
      </w:pPr>
      <w:r w:rsidRPr="003B3C1D">
        <w:rPr>
          <w:lang w:val="fr-CA"/>
        </w:rPr>
        <w:t>[…] la Cour a fait l’observation suivante :</w:t>
      </w:r>
    </w:p>
    <w:p w14:paraId="05964737" w14:textId="32712AEB" w:rsidR="003B3C1D" w:rsidRPr="003B3C1D" w:rsidRDefault="003B3C1D" w:rsidP="009E3E78">
      <w:pPr>
        <w:pStyle w:val="SingleTxtG"/>
        <w:ind w:firstLine="567"/>
        <w:rPr>
          <w:lang w:val="fr-CA"/>
        </w:rPr>
      </w:pPr>
      <w:r w:rsidRPr="003B3C1D">
        <w:rPr>
          <w:lang w:val="fr-CA"/>
        </w:rPr>
        <w:t>De plus, puisque l’abolition de la peine de mort n’est pas une norme coutumière du droit international, elle ne peut s’être élevée au rang que la communauté internationale dans son ensemble reconnaît comme le jus cogens ou une norme à laquelle aucune dérogation n’est permise. [Traduction non officielle]</w:t>
      </w:r>
    </w:p>
    <w:p w14:paraId="7136B629" w14:textId="4ECE722C" w:rsidR="003B3C1D" w:rsidRPr="003B3C1D" w:rsidRDefault="003B3C1D" w:rsidP="005822C7">
      <w:pPr>
        <w:pStyle w:val="HChG"/>
        <w:rPr>
          <w:lang w:val="fr-CA"/>
        </w:rPr>
      </w:pPr>
      <w:r w:rsidRPr="003B3C1D">
        <w:rPr>
          <w:lang w:val="fr-CA"/>
        </w:rPr>
        <w:tab/>
      </w:r>
      <w:bookmarkStart w:id="11" w:name="_Toc139302170"/>
      <w:bookmarkStart w:id="12" w:name="_Toc139643361"/>
      <w:r w:rsidR="005822C7">
        <w:rPr>
          <w:lang w:val="fr-CA"/>
        </w:rPr>
        <w:t>III.</w:t>
      </w:r>
      <w:r w:rsidRPr="003B3C1D">
        <w:rPr>
          <w:lang w:val="fr-CA"/>
        </w:rPr>
        <w:tab/>
        <w:t>Place des appels de note</w:t>
      </w:r>
      <w:bookmarkEnd w:id="11"/>
      <w:bookmarkEnd w:id="12"/>
    </w:p>
    <w:p w14:paraId="5AF7310A" w14:textId="77777777" w:rsidR="003B3C1D" w:rsidRPr="003B3C1D" w:rsidRDefault="003B3C1D" w:rsidP="009E3E78">
      <w:pPr>
        <w:pStyle w:val="SingleTxtG"/>
        <w:rPr>
          <w:lang w:val="fr-CA"/>
        </w:rPr>
      </w:pPr>
      <w:r w:rsidRPr="003B3C1D">
        <w:rPr>
          <w:lang w:val="fr-CA"/>
        </w:rPr>
        <w:t>L’appel de note se place avant le point final de la phrase :</w:t>
      </w:r>
    </w:p>
    <w:p w14:paraId="58212712" w14:textId="77777777" w:rsidR="003B3C1D" w:rsidRPr="003B3C1D" w:rsidRDefault="003B3C1D" w:rsidP="009E3E78">
      <w:pPr>
        <w:pStyle w:val="SingleTxtG"/>
        <w:rPr>
          <w:lang w:val="fr-CA"/>
        </w:rPr>
      </w:pPr>
      <w:r w:rsidRPr="003B3C1D">
        <w:rPr>
          <w:lang w:val="fr-FR"/>
        </w:rPr>
        <w:t xml:space="preserve">Ce paragraphe s’inspire du </w:t>
      </w:r>
      <w:r w:rsidRPr="003B3C1D">
        <w:t>paragraphe</w:t>
      </w:r>
      <w:r w:rsidRPr="003B3C1D">
        <w:rPr>
          <w:lang w:val="fr-FR"/>
        </w:rPr>
        <w:t> 18 de l’article 46 de la Convention des Nations Unies contre la corruption</w:t>
      </w:r>
      <w:r w:rsidRPr="003B3C1D">
        <w:rPr>
          <w:vertAlign w:val="superscript"/>
          <w:lang w:val="fr-FR"/>
        </w:rPr>
        <w:t>1</w:t>
      </w:r>
      <w:r w:rsidRPr="003B3C1D">
        <w:rPr>
          <w:lang w:val="fr-FR"/>
        </w:rPr>
        <w:t>.</w:t>
      </w:r>
    </w:p>
    <w:p w14:paraId="0AE4C099" w14:textId="77777777" w:rsidR="003B3C1D" w:rsidRPr="003B3C1D" w:rsidRDefault="003B3C1D" w:rsidP="009E3E78">
      <w:pPr>
        <w:pStyle w:val="SingleTxtG"/>
        <w:rPr>
          <w:lang w:val="fr-CA"/>
        </w:rPr>
      </w:pPr>
      <w:r w:rsidRPr="003B3C1D">
        <w:rPr>
          <w:lang w:val="fr-CA"/>
        </w:rPr>
        <w:t>Si l’appel de note se rapporte à une citation entre guillemets, il se place avant les guillemets fermants :</w:t>
      </w:r>
    </w:p>
    <w:p w14:paraId="04BD6602" w14:textId="77777777" w:rsidR="003B3C1D" w:rsidRPr="003B3C1D" w:rsidRDefault="003B3C1D" w:rsidP="009E3E78">
      <w:pPr>
        <w:pStyle w:val="SingleTxtG"/>
        <w:rPr>
          <w:lang w:val="fr-CA"/>
        </w:rPr>
      </w:pPr>
      <w:r w:rsidRPr="003B3C1D">
        <w:rPr>
          <w:lang w:val="fr-FR"/>
        </w:rPr>
        <w:t>« Tout auteur d’un acte qui constitue un crime de droit international est responsable de ce chef et passible de châtiment.</w:t>
      </w:r>
      <w:r w:rsidRPr="003B3C1D">
        <w:rPr>
          <w:vertAlign w:val="superscript"/>
          <w:lang w:val="fr-FR"/>
        </w:rPr>
        <w:t>1</w:t>
      </w:r>
      <w:r w:rsidRPr="003B3C1D">
        <w:rPr>
          <w:lang w:val="fr-FR"/>
        </w:rPr>
        <w:t> »</w:t>
      </w:r>
    </w:p>
    <w:p w14:paraId="70FF0595" w14:textId="77777777" w:rsidR="003B3C1D" w:rsidRPr="003B3C1D" w:rsidRDefault="003B3C1D" w:rsidP="009E3E78">
      <w:pPr>
        <w:pStyle w:val="SingleTxtG"/>
        <w:rPr>
          <w:lang w:val="fr-CA"/>
        </w:rPr>
      </w:pPr>
      <w:r w:rsidRPr="003B3C1D">
        <w:rPr>
          <w:lang w:val="fr-CA"/>
        </w:rPr>
        <w:t>Si l’appel de note se rapporte à plusieurs citations entre guillemets, il se place avant le point final de la phrase :</w:t>
      </w:r>
    </w:p>
    <w:p w14:paraId="6EBD8659" w14:textId="6BD1CEE2" w:rsidR="003B3C1D" w:rsidRPr="003B3C1D" w:rsidRDefault="003B3C1D" w:rsidP="009E3E78">
      <w:pPr>
        <w:pStyle w:val="SingleTxtG"/>
        <w:rPr>
          <w:vertAlign w:val="superscript"/>
        </w:rPr>
      </w:pPr>
      <w:r w:rsidRPr="003B3C1D">
        <w:rPr>
          <w:lang w:val="fr-FR"/>
        </w:rPr>
        <w:t>Ainsi, en rédigeant l’article 8 du projet d’articles sur la prévention et la répression des infractions commises contre des agents diplomatiques, la Commission a affirmé que l’expression « traitement équitable à tous les stades de la procédure » était « censée englober toutes les garanties généralement accordées à une personne détenue ou accusée », et qu’« un exemple de garanties de ce genre figurait à l’article 14 du Pacte international relatif aux droits civils et politiques »</w:t>
      </w:r>
      <w:r w:rsidRPr="003B3C1D">
        <w:rPr>
          <w:vertAlign w:val="superscript"/>
          <w:lang w:val="fr-FR"/>
        </w:rPr>
        <w:t>1</w:t>
      </w:r>
      <w:r w:rsidRPr="003B3C1D">
        <w:rPr>
          <w:lang w:val="fr-FR"/>
        </w:rPr>
        <w:t>.</w:t>
      </w:r>
      <w:bookmarkStart w:id="13" w:name="_Toc208993633"/>
      <w:bookmarkStart w:id="14" w:name="_Toc480447778"/>
      <w:bookmarkEnd w:id="6"/>
    </w:p>
    <w:p w14:paraId="77D7FB2B" w14:textId="7CF07D13" w:rsidR="003B3C1D" w:rsidRPr="003B3C1D" w:rsidRDefault="009E3E78" w:rsidP="009E3E78">
      <w:pPr>
        <w:pStyle w:val="H1G"/>
        <w:rPr>
          <w:lang w:val="fr-CA"/>
        </w:rPr>
      </w:pPr>
      <w:r>
        <w:rPr>
          <w:lang w:val="fr-FR"/>
        </w:rPr>
        <w:tab/>
      </w:r>
      <w:bookmarkStart w:id="15" w:name="_Toc139302171"/>
      <w:bookmarkStart w:id="16" w:name="_Toc139643362"/>
      <w:r>
        <w:rPr>
          <w:lang w:val="fr-FR"/>
        </w:rPr>
        <w:t>A.</w:t>
      </w:r>
      <w:r>
        <w:rPr>
          <w:lang w:val="fr-FR"/>
        </w:rPr>
        <w:tab/>
      </w:r>
      <w:r w:rsidR="003B3C1D" w:rsidRPr="003B3C1D">
        <w:rPr>
          <w:lang w:val="fr-FR"/>
        </w:rPr>
        <w:t xml:space="preserve">Mode de citation des </w:t>
      </w:r>
      <w:r w:rsidR="00F00DF2">
        <w:rPr>
          <w:lang w:val="fr-FR"/>
        </w:rPr>
        <w:t xml:space="preserve">affaires portées devant des </w:t>
      </w:r>
      <w:r w:rsidR="003B3C1D" w:rsidRPr="003B3C1D">
        <w:rPr>
          <w:lang w:val="fr-FR"/>
        </w:rPr>
        <w:t xml:space="preserve">institutions </w:t>
      </w:r>
      <w:bookmarkEnd w:id="13"/>
      <w:bookmarkEnd w:id="14"/>
      <w:r w:rsidR="00AD0A74">
        <w:rPr>
          <w:lang w:val="fr-FR"/>
        </w:rPr>
        <w:t>dont le français est une langue officielle</w:t>
      </w:r>
      <w:r w:rsidR="00B34536">
        <w:rPr>
          <w:lang w:val="fr-FR"/>
        </w:rPr>
        <w:t xml:space="preserve"> (instruction générale)</w:t>
      </w:r>
      <w:bookmarkEnd w:id="15"/>
      <w:bookmarkEnd w:id="16"/>
    </w:p>
    <w:p w14:paraId="33CB94B0" w14:textId="6DB20253" w:rsidR="003B3C1D" w:rsidRPr="003B3C1D" w:rsidRDefault="003B3C1D" w:rsidP="009E3E78">
      <w:pPr>
        <w:pStyle w:val="SingleTxtG"/>
        <w:rPr>
          <w:snapToGrid w:val="0"/>
          <w:lang w:val="fr-FR"/>
        </w:rPr>
      </w:pPr>
      <w:r w:rsidRPr="003B3C1D">
        <w:rPr>
          <w:snapToGrid w:val="0"/>
          <w:lang w:val="fr-FR"/>
        </w:rPr>
        <w:t xml:space="preserve">Lorsqu’on cite </w:t>
      </w:r>
      <w:r w:rsidR="00152470">
        <w:rPr>
          <w:snapToGrid w:val="0"/>
          <w:lang w:val="fr-FR"/>
        </w:rPr>
        <w:t>une</w:t>
      </w:r>
      <w:r w:rsidRPr="003B3C1D">
        <w:rPr>
          <w:snapToGrid w:val="0"/>
          <w:lang w:val="fr-FR"/>
        </w:rPr>
        <w:t xml:space="preserve"> </w:t>
      </w:r>
      <w:r w:rsidR="00F00DF2" w:rsidRPr="008F78B1">
        <w:rPr>
          <w:b/>
          <w:bCs/>
          <w:snapToGrid w:val="0"/>
          <w:lang w:val="fr-FR"/>
        </w:rPr>
        <w:t>affaire</w:t>
      </w:r>
      <w:r w:rsidR="00F00DF2">
        <w:rPr>
          <w:snapToGrid w:val="0"/>
          <w:lang w:val="fr-FR"/>
        </w:rPr>
        <w:t xml:space="preserve"> portée devant </w:t>
      </w:r>
      <w:r w:rsidR="00152470">
        <w:rPr>
          <w:snapToGrid w:val="0"/>
          <w:lang w:val="fr-FR"/>
        </w:rPr>
        <w:t>une</w:t>
      </w:r>
      <w:r w:rsidRPr="003B3C1D">
        <w:rPr>
          <w:snapToGrid w:val="0"/>
          <w:lang w:val="fr-FR"/>
        </w:rPr>
        <w:t xml:space="preserve"> juridiction </w:t>
      </w:r>
      <w:r w:rsidR="00AD0A74">
        <w:rPr>
          <w:snapToGrid w:val="0"/>
          <w:lang w:val="fr-FR"/>
        </w:rPr>
        <w:t>dont le français est une langue officielle</w:t>
      </w:r>
      <w:r w:rsidRPr="003B3C1D">
        <w:rPr>
          <w:snapToGrid w:val="0"/>
          <w:lang w:val="fr-FR"/>
        </w:rPr>
        <w:t xml:space="preserve"> (CIJ, Cour européenne des droits de l’homme, etc.), </w:t>
      </w:r>
      <w:r w:rsidR="00445B18">
        <w:rPr>
          <w:snapToGrid w:val="0"/>
          <w:lang w:val="fr-FR"/>
        </w:rPr>
        <w:t xml:space="preserve">suivant la pratique généralement en vigueur dans ce type d’institution, </w:t>
      </w:r>
      <w:r w:rsidRPr="003B3C1D">
        <w:rPr>
          <w:snapToGrid w:val="0"/>
          <w:lang w:val="fr-FR"/>
        </w:rPr>
        <w:t>on donne le titre</w:t>
      </w:r>
      <w:r w:rsidRPr="003B3C1D">
        <w:rPr>
          <w:b/>
          <w:snapToGrid w:val="0"/>
          <w:lang w:val="fr-FR"/>
        </w:rPr>
        <w:t xml:space="preserve"> </w:t>
      </w:r>
      <w:r w:rsidRPr="003B3C1D">
        <w:rPr>
          <w:snapToGrid w:val="0"/>
          <w:lang w:val="fr-FR"/>
        </w:rPr>
        <w:t>de l’affaire et des parties</w:t>
      </w:r>
      <w:r w:rsidR="00A3540A" w:rsidRPr="00A3540A">
        <w:rPr>
          <w:b/>
          <w:snapToGrid w:val="0"/>
          <w:lang w:val="fr-FR"/>
        </w:rPr>
        <w:t xml:space="preserve"> </w:t>
      </w:r>
      <w:r w:rsidR="00A3540A" w:rsidRPr="008F78B1">
        <w:rPr>
          <w:bCs/>
          <w:snapToGrid w:val="0"/>
          <w:lang w:val="fr-FR"/>
        </w:rPr>
        <w:t>en français</w:t>
      </w:r>
      <w:r w:rsidR="001C3B0A">
        <w:rPr>
          <w:snapToGrid w:val="0"/>
          <w:lang w:val="fr-FR"/>
        </w:rPr>
        <w:t xml:space="preserve"> même lorsque le jugement ou l’arrêt n’a pas</w:t>
      </w:r>
      <w:r w:rsidR="00B61BFA">
        <w:rPr>
          <w:snapToGrid w:val="0"/>
          <w:lang w:val="fr-FR"/>
        </w:rPr>
        <w:t xml:space="preserve"> de version française</w:t>
      </w:r>
      <w:r w:rsidRPr="003B3C1D">
        <w:rPr>
          <w:snapToGrid w:val="0"/>
          <w:lang w:val="fr-FR"/>
        </w:rPr>
        <w:t> :</w:t>
      </w:r>
    </w:p>
    <w:p w14:paraId="2413E55A" w14:textId="77777777" w:rsidR="003B3C1D" w:rsidRPr="003B3C1D" w:rsidRDefault="003B3C1D" w:rsidP="009E3E78">
      <w:pPr>
        <w:pStyle w:val="SingleTxtG"/>
        <w:spacing w:after="0"/>
        <w:rPr>
          <w:snapToGrid w:val="0"/>
          <w:lang w:val="fr-FR"/>
        </w:rPr>
      </w:pPr>
      <w:r w:rsidRPr="00CB1944">
        <w:rPr>
          <w:i/>
          <w:iCs/>
          <w:snapToGrid w:val="0"/>
          <w:lang w:val="fr-FR"/>
        </w:rPr>
        <w:t>A</w:t>
      </w:r>
      <w:r w:rsidRPr="00CB1944">
        <w:rPr>
          <w:i/>
          <w:iCs/>
          <w:lang w:val="fr-FR"/>
        </w:rPr>
        <w:t>lle</w:t>
      </w:r>
      <w:r w:rsidRPr="00CB1944">
        <w:rPr>
          <w:i/>
          <w:iCs/>
          <w:snapToGrid w:val="0"/>
          <w:lang w:val="fr-FR"/>
        </w:rPr>
        <w:t>magne c. Suède</w:t>
      </w:r>
      <w:r w:rsidRPr="003B3C1D">
        <w:rPr>
          <w:snapToGrid w:val="0"/>
          <w:lang w:val="fr-FR"/>
        </w:rPr>
        <w:t xml:space="preserve"> (ou </w:t>
      </w:r>
      <w:r w:rsidRPr="00CB1944">
        <w:rPr>
          <w:i/>
          <w:iCs/>
          <w:snapToGrid w:val="0"/>
          <w:lang w:val="fr-FR"/>
        </w:rPr>
        <w:t>Allemagne c/ Suède</w:t>
      </w:r>
      <w:r w:rsidRPr="003B3C1D">
        <w:rPr>
          <w:snapToGrid w:val="0"/>
          <w:lang w:val="fr-FR"/>
        </w:rPr>
        <w:t>)</w:t>
      </w:r>
    </w:p>
    <w:p w14:paraId="2A527720" w14:textId="3A278316" w:rsidR="003B3C1D" w:rsidRPr="003B3C1D" w:rsidRDefault="003B3C1D" w:rsidP="009E3E78">
      <w:pPr>
        <w:pStyle w:val="SingleTxtG"/>
        <w:rPr>
          <w:snapToGrid w:val="0"/>
          <w:lang w:val="fr-FR"/>
        </w:rPr>
      </w:pPr>
      <w:r w:rsidRPr="003B3C1D">
        <w:rPr>
          <w:snapToGrid w:val="0"/>
          <w:lang w:val="fr-FR"/>
        </w:rPr>
        <w:t xml:space="preserve">(et non </w:t>
      </w:r>
      <w:r w:rsidRPr="00CB1944">
        <w:rPr>
          <w:i/>
          <w:iCs/>
          <w:snapToGrid w:val="0"/>
          <w:lang w:val="fr-FR"/>
        </w:rPr>
        <w:t>Germany v. Sweden</w:t>
      </w:r>
      <w:r w:rsidR="00B40B45">
        <w:rPr>
          <w:snapToGrid w:val="0"/>
          <w:lang w:val="fr-FR"/>
        </w:rPr>
        <w:t>, par exemple</w:t>
      </w:r>
      <w:r w:rsidRPr="003B3C1D">
        <w:rPr>
          <w:snapToGrid w:val="0"/>
          <w:lang w:val="fr-FR"/>
        </w:rPr>
        <w:t>)</w:t>
      </w:r>
    </w:p>
    <w:p w14:paraId="74AB8662" w14:textId="6110228F" w:rsidR="003B3C1D" w:rsidRDefault="003B3C1D" w:rsidP="009E3E78">
      <w:pPr>
        <w:pStyle w:val="SingleTxtG"/>
        <w:rPr>
          <w:snapToGrid w:val="0"/>
          <w:lang w:val="fr-FR"/>
        </w:rPr>
      </w:pPr>
      <w:r w:rsidRPr="003B3C1D">
        <w:rPr>
          <w:snapToGrid w:val="0"/>
          <w:lang w:val="fr-FR"/>
        </w:rPr>
        <w:t>En cas de doute, se reporter au site de l’institution concernée.</w:t>
      </w:r>
      <w:bookmarkStart w:id="17" w:name="_Toc208993634"/>
      <w:bookmarkStart w:id="18" w:name="_Toc480447779"/>
    </w:p>
    <w:p w14:paraId="430AC441" w14:textId="233F9303" w:rsidR="008F78B1" w:rsidRPr="003B3C1D" w:rsidRDefault="008F78B1" w:rsidP="009E3E78">
      <w:pPr>
        <w:pStyle w:val="SingleTxtG"/>
        <w:rPr>
          <w:snapToGrid w:val="0"/>
          <w:lang w:val="fr-FR"/>
        </w:rPr>
      </w:pPr>
      <w:r>
        <w:rPr>
          <w:snapToGrid w:val="0"/>
          <w:lang w:val="fr-FR"/>
        </w:rPr>
        <w:t xml:space="preserve">Cette règle n’a pas d’incidence sur celle énoncée au point G, selon laquelle le titre des </w:t>
      </w:r>
      <w:r w:rsidRPr="00D676BF">
        <w:rPr>
          <w:b/>
          <w:bCs/>
          <w:snapToGrid w:val="0"/>
          <w:lang w:val="fr-FR"/>
        </w:rPr>
        <w:t>décisions</w:t>
      </w:r>
      <w:r w:rsidR="00D676BF" w:rsidRPr="00D676BF">
        <w:rPr>
          <w:b/>
          <w:bCs/>
          <w:snapToGrid w:val="0"/>
          <w:lang w:val="fr-FR"/>
        </w:rPr>
        <w:t xml:space="preserve"> </w:t>
      </w:r>
      <w:r w:rsidR="00D676BF">
        <w:rPr>
          <w:snapToGrid w:val="0"/>
          <w:lang w:val="fr-FR"/>
        </w:rPr>
        <w:t>non traduites reste dans la langue de l’original.</w:t>
      </w:r>
    </w:p>
    <w:p w14:paraId="734F4CDE" w14:textId="1AC7B134" w:rsidR="003B3C1D" w:rsidRPr="003B3C1D" w:rsidRDefault="003B3C1D" w:rsidP="009E3E78">
      <w:pPr>
        <w:pStyle w:val="H1G"/>
        <w:rPr>
          <w:rFonts w:eastAsia="Times New Roman"/>
          <w:lang w:val="fr-CA"/>
        </w:rPr>
      </w:pPr>
      <w:r w:rsidRPr="003B3C1D">
        <w:rPr>
          <w:rFonts w:eastAsia="Times New Roman"/>
          <w:lang w:val="fr-FR"/>
        </w:rPr>
        <w:tab/>
      </w:r>
      <w:bookmarkStart w:id="19" w:name="_Toc139302172"/>
      <w:bookmarkStart w:id="20" w:name="_Toc139643363"/>
      <w:r w:rsidR="009E3E78">
        <w:rPr>
          <w:rFonts w:eastAsia="Times New Roman"/>
          <w:lang w:val="fr-FR"/>
        </w:rPr>
        <w:t>B.</w:t>
      </w:r>
      <w:r w:rsidRPr="003B3C1D">
        <w:rPr>
          <w:rFonts w:eastAsia="Times New Roman"/>
          <w:lang w:val="fr-FR"/>
        </w:rPr>
        <w:tab/>
        <w:t xml:space="preserve">Mode de citation des </w:t>
      </w:r>
      <w:r w:rsidRPr="003B3C1D">
        <w:rPr>
          <w:lang w:val="fr-FR"/>
        </w:rPr>
        <w:t>arrêts</w:t>
      </w:r>
      <w:r w:rsidRPr="003B3C1D">
        <w:rPr>
          <w:rFonts w:eastAsia="Times New Roman"/>
          <w:lang w:val="fr-FR"/>
        </w:rPr>
        <w:t xml:space="preserve"> de la Cour européenne</w:t>
      </w:r>
      <w:r w:rsidR="009E3E78">
        <w:rPr>
          <w:rFonts w:eastAsia="Times New Roman"/>
          <w:lang w:val="fr-FR"/>
        </w:rPr>
        <w:br/>
      </w:r>
      <w:r w:rsidRPr="003B3C1D">
        <w:rPr>
          <w:rFonts w:eastAsia="Times New Roman"/>
          <w:lang w:val="fr-FR"/>
        </w:rPr>
        <w:t>des droits de l’homme</w:t>
      </w:r>
      <w:bookmarkEnd w:id="17"/>
      <w:bookmarkEnd w:id="18"/>
      <w:bookmarkEnd w:id="19"/>
      <w:bookmarkEnd w:id="20"/>
    </w:p>
    <w:p w14:paraId="4444D6CF" w14:textId="77777777" w:rsidR="003B3C1D" w:rsidRPr="003B3C1D" w:rsidRDefault="003B3C1D" w:rsidP="00E41579">
      <w:pPr>
        <w:pStyle w:val="SingleTxtG"/>
        <w:rPr>
          <w:lang w:val="fr-FR"/>
        </w:rPr>
      </w:pPr>
      <w:r w:rsidRPr="003B3C1D">
        <w:rPr>
          <w:lang w:val="fr-FR"/>
        </w:rPr>
        <w:t>Dans les notes de bas de page :</w:t>
      </w:r>
    </w:p>
    <w:p w14:paraId="1FF1AE46" w14:textId="77777777" w:rsidR="003B3C1D" w:rsidRPr="003B3C1D" w:rsidRDefault="003B3C1D" w:rsidP="00E41579">
      <w:pPr>
        <w:pStyle w:val="SingleTxtG"/>
        <w:rPr>
          <w:lang w:val="fr-FR"/>
        </w:rPr>
      </w:pPr>
      <w:r w:rsidRPr="003B3C1D">
        <w:rPr>
          <w:lang w:val="fr-FR"/>
        </w:rPr>
        <w:t xml:space="preserve">Cour européenne des droits de l’homme, </w:t>
      </w:r>
      <w:r w:rsidRPr="003B3C1D">
        <w:rPr>
          <w:i/>
          <w:iCs/>
          <w:lang w:val="fr-FR"/>
        </w:rPr>
        <w:t>Dupont c. France</w:t>
      </w:r>
      <w:r w:rsidRPr="003B3C1D">
        <w:rPr>
          <w:lang w:val="fr-FR"/>
        </w:rPr>
        <w:t>, n° 45678/98, par. 24, CEDH 1999-II (mode de citation pour les affaires depuis novembre 1998).</w:t>
      </w:r>
    </w:p>
    <w:p w14:paraId="15B77C90" w14:textId="77777777" w:rsidR="003B3C1D" w:rsidRPr="003B3C1D" w:rsidRDefault="003B3C1D" w:rsidP="00E41579">
      <w:pPr>
        <w:pStyle w:val="SingleTxtG"/>
        <w:rPr>
          <w:lang w:val="fr-FR"/>
        </w:rPr>
      </w:pPr>
      <w:r w:rsidRPr="003B3C1D">
        <w:rPr>
          <w:lang w:val="fr-FR"/>
        </w:rPr>
        <w:t xml:space="preserve">Cour européenne des droits de l’homme, </w:t>
      </w:r>
      <w:r w:rsidRPr="003B3C1D">
        <w:rPr>
          <w:i/>
          <w:lang w:eastAsia="fr-CH"/>
        </w:rPr>
        <w:t>Dupont c. France</w:t>
      </w:r>
      <w:r w:rsidRPr="003B3C1D">
        <w:rPr>
          <w:lang w:eastAsia="fr-CH"/>
        </w:rPr>
        <w:t xml:space="preserve"> [GC], n</w:t>
      </w:r>
      <w:r w:rsidRPr="003B3C1D">
        <w:rPr>
          <w:lang w:val="fr-FR"/>
        </w:rPr>
        <w:t>° </w:t>
      </w:r>
      <w:r w:rsidRPr="003B3C1D">
        <w:rPr>
          <w:lang w:eastAsia="fr-CH"/>
        </w:rPr>
        <w:t>45678/98, par. 24, CEDH 1999-II (pour les arrêts rendus par la Grande Chambre)</w:t>
      </w:r>
    </w:p>
    <w:p w14:paraId="3B325E94" w14:textId="77777777" w:rsidR="003B3C1D" w:rsidRPr="003B3C1D" w:rsidRDefault="003B3C1D" w:rsidP="00E41579">
      <w:pPr>
        <w:pStyle w:val="SingleTxtG"/>
        <w:rPr>
          <w:lang w:val="fr-FR"/>
        </w:rPr>
      </w:pPr>
      <w:r w:rsidRPr="003B3C1D">
        <w:rPr>
          <w:lang w:val="fr-FR"/>
        </w:rPr>
        <w:t xml:space="preserve">Cour européenne des droits de l’homme, </w:t>
      </w:r>
      <w:r w:rsidRPr="003B3C1D">
        <w:rPr>
          <w:i/>
          <w:iCs/>
          <w:lang w:val="fr-FR"/>
        </w:rPr>
        <w:t>Delta c. France</w:t>
      </w:r>
      <w:r w:rsidRPr="003B3C1D">
        <w:rPr>
          <w:lang w:val="fr-FR"/>
        </w:rPr>
        <w:t xml:space="preserve"> (article 50), arrêt du 30 janvier 1990, série A no 191-A, p. ..., par. ..., (mode de citation des affaires les plus anciennes).</w:t>
      </w:r>
    </w:p>
    <w:p w14:paraId="16632B6F" w14:textId="77777777" w:rsidR="003B3C1D" w:rsidRPr="003B3C1D" w:rsidRDefault="003B3C1D" w:rsidP="00E41579">
      <w:pPr>
        <w:pStyle w:val="SingleTxtG"/>
        <w:rPr>
          <w:lang w:val="fr-FR"/>
        </w:rPr>
      </w:pPr>
      <w:r w:rsidRPr="003B3C1D">
        <w:rPr>
          <w:lang w:val="fr-FR"/>
        </w:rPr>
        <w:lastRenderedPageBreak/>
        <w:t>Cour européenne des droits de l’homme,</w:t>
      </w:r>
      <w:r w:rsidRPr="003B3C1D">
        <w:rPr>
          <w:i/>
          <w:iCs/>
          <w:lang w:val="fr-FR"/>
        </w:rPr>
        <w:t xml:space="preserve"> Allenet de Ribemont c. France</w:t>
      </w:r>
      <w:r w:rsidRPr="003B3C1D">
        <w:rPr>
          <w:lang w:val="fr-FR"/>
        </w:rPr>
        <w:t>, arrêt du 7 août 1996, Recueil des arrêts et décisions (puis aux occurrences suivantes : seulement « Recueil » pour les arrêts dans les années 1990) 1996</w:t>
      </w:r>
      <w:r w:rsidRPr="003B3C1D">
        <w:rPr>
          <w:lang w:val="fr-FR"/>
        </w:rPr>
        <w:noBreakHyphen/>
        <w:t>II.</w:t>
      </w:r>
    </w:p>
    <w:p w14:paraId="758608BA" w14:textId="77777777" w:rsidR="003B3C1D" w:rsidRPr="003B3C1D" w:rsidRDefault="003B3C1D" w:rsidP="00E41579">
      <w:pPr>
        <w:pStyle w:val="SingleTxtG"/>
        <w:rPr>
          <w:lang w:val="fr-FR"/>
        </w:rPr>
      </w:pPr>
      <w:r w:rsidRPr="003B3C1D">
        <w:rPr>
          <w:lang w:val="fr-FR"/>
        </w:rPr>
        <w:t xml:space="preserve">Cour européenne des droits de l’homme, </w:t>
      </w:r>
      <w:r w:rsidRPr="003B3C1D">
        <w:rPr>
          <w:i/>
          <w:lang w:val="fr-FR"/>
        </w:rPr>
        <w:t>Öneryildiz c. Turquie</w:t>
      </w:r>
      <w:r w:rsidRPr="003B3C1D">
        <w:rPr>
          <w:lang w:val="fr-FR"/>
        </w:rPr>
        <w:t>, n° 48939/99, arrêt du 30 novembre 2004, CEDH 2004-XII, par. 71.</w:t>
      </w:r>
    </w:p>
    <w:p w14:paraId="3209CBBF" w14:textId="77777777" w:rsidR="003B3C1D" w:rsidRPr="003B3C1D" w:rsidRDefault="003B3C1D" w:rsidP="00943543">
      <w:pPr>
        <w:pStyle w:val="SingleTxtG"/>
        <w:keepNext/>
        <w:rPr>
          <w:lang w:val="fr-FR"/>
        </w:rPr>
      </w:pPr>
      <w:r w:rsidRPr="003B3C1D">
        <w:rPr>
          <w:lang w:val="fr-FR"/>
        </w:rPr>
        <w:t xml:space="preserve">Dans le corps du texte : </w:t>
      </w:r>
    </w:p>
    <w:p w14:paraId="3CDA21BF" w14:textId="72ACCBC4" w:rsidR="003B3C1D" w:rsidRPr="003B3C1D" w:rsidRDefault="003B3C1D" w:rsidP="00943543">
      <w:pPr>
        <w:pStyle w:val="SingleTxtG"/>
        <w:keepNext/>
        <w:spacing w:after="0"/>
        <w:ind w:left="1701"/>
        <w:rPr>
          <w:i/>
          <w:iCs/>
          <w:lang w:val="fr-FR"/>
        </w:rPr>
      </w:pPr>
      <w:r w:rsidRPr="003B3C1D">
        <w:rPr>
          <w:lang w:val="fr-FR"/>
        </w:rPr>
        <w:t xml:space="preserve">affaire </w:t>
      </w:r>
      <w:r w:rsidR="00CB1944" w:rsidRPr="00CB1944">
        <w:rPr>
          <w:i/>
          <w:iCs/>
          <w:lang w:val="fr-FR"/>
        </w:rPr>
        <w:t>Dupont c. France</w:t>
      </w:r>
      <w:r w:rsidR="00CB1944" w:rsidRPr="003B3C1D">
        <w:rPr>
          <w:i/>
          <w:lang w:val="fr-FR"/>
        </w:rPr>
        <w:t xml:space="preserve"> </w:t>
      </w:r>
    </w:p>
    <w:p w14:paraId="174D818B" w14:textId="6A121F87" w:rsidR="003B3C1D" w:rsidRPr="003B3C1D" w:rsidRDefault="003B3C1D" w:rsidP="00943543">
      <w:pPr>
        <w:pStyle w:val="SingleTxtG"/>
        <w:keepNext/>
        <w:ind w:left="1701"/>
        <w:rPr>
          <w:lang w:val="fr-FR"/>
        </w:rPr>
      </w:pPr>
      <w:r w:rsidRPr="003B3C1D">
        <w:rPr>
          <w:lang w:val="fr-FR"/>
        </w:rPr>
        <w:t xml:space="preserve">arrêt </w:t>
      </w:r>
      <w:r w:rsidR="00CB1944" w:rsidRPr="00CB1944">
        <w:rPr>
          <w:iCs/>
          <w:lang w:val="fr-FR"/>
        </w:rPr>
        <w:t>Dupont</w:t>
      </w:r>
    </w:p>
    <w:p w14:paraId="34BDA7E7" w14:textId="7F195A2E" w:rsidR="003B3C1D" w:rsidRPr="003B3C1D" w:rsidRDefault="003B3C1D" w:rsidP="00233B28">
      <w:pPr>
        <w:pStyle w:val="SingleTxtG"/>
        <w:rPr>
          <w:color w:val="000000"/>
          <w:lang w:val="fr-FR"/>
        </w:rPr>
      </w:pPr>
      <w:r w:rsidRPr="003B3C1D">
        <w:rPr>
          <w:lang w:val="fr-FR"/>
        </w:rPr>
        <w:t>Si la citation dans l’original anglais manque de précision, se reporter à la liste de la CEDH,</w:t>
      </w:r>
      <w:r w:rsidRPr="003B3C1D">
        <w:rPr>
          <w:color w:val="000000"/>
          <w:lang w:val="fr-FR"/>
        </w:rPr>
        <w:t xml:space="preserve"> régulièrement mise à jour., à l’adresse</w:t>
      </w:r>
      <w:r w:rsidR="00233B28">
        <w:rPr>
          <w:color w:val="000000"/>
          <w:lang w:val="fr-FR"/>
        </w:rPr>
        <w:t xml:space="preserve"> </w:t>
      </w:r>
      <w:hyperlink r:id="rId13" w:history="1">
        <w:r w:rsidRPr="00A87EBB">
          <w:rPr>
            <w:rStyle w:val="Lienhypertexte"/>
            <w:lang w:val="fr-FR"/>
          </w:rPr>
          <w:t>https://www.echr.coe.int/Documents/Case</w:t>
        </w:r>
        <w:r w:rsidR="00A87EBB">
          <w:rPr>
            <w:rStyle w:val="Lienhypertexte"/>
            <w:lang w:val="fr-FR"/>
          </w:rPr>
          <w:br/>
        </w:r>
        <w:r w:rsidRPr="00A87EBB">
          <w:rPr>
            <w:rStyle w:val="Lienhypertexte"/>
            <w:lang w:val="fr-FR"/>
          </w:rPr>
          <w:t>_law_references_FRA.pdf</w:t>
        </w:r>
      </w:hyperlink>
      <w:r w:rsidRPr="003B3C1D">
        <w:rPr>
          <w:color w:val="000000"/>
          <w:lang w:val="fr-FR"/>
        </w:rPr>
        <w:t xml:space="preserve">, ou bien à </w:t>
      </w:r>
      <w:r w:rsidRPr="003B3C1D">
        <w:rPr>
          <w:lang w:val="fr-FR"/>
        </w:rPr>
        <w:t xml:space="preserve">la notice qui accompagne chaque affaire sur HUDOC (base de données de la CEDH). Pour plus de détails, voir </w:t>
      </w:r>
      <w:hyperlink r:id="rId14" w:history="1">
        <w:r w:rsidRPr="00233B28">
          <w:rPr>
            <w:rStyle w:val="Lienhypertexte"/>
            <w:lang w:val="fr-FR"/>
          </w:rPr>
          <w:t>https://www.echr.coe.int/Documents/Note_citation_FRA.pdf</w:t>
        </w:r>
      </w:hyperlink>
      <w:r w:rsidRPr="003B3C1D">
        <w:rPr>
          <w:color w:val="000000"/>
          <w:lang w:val="fr-FR"/>
        </w:rPr>
        <w:t>.</w:t>
      </w:r>
    </w:p>
    <w:p w14:paraId="6ADF2959" w14:textId="2E10DEF0" w:rsidR="003B3C1D" w:rsidRPr="003B3C1D" w:rsidRDefault="003B3C1D" w:rsidP="00233B28">
      <w:pPr>
        <w:pStyle w:val="H1G"/>
        <w:rPr>
          <w:lang w:val="fr-FR"/>
        </w:rPr>
      </w:pPr>
      <w:r w:rsidRPr="003B3C1D">
        <w:rPr>
          <w:lang w:val="fr-FR"/>
        </w:rPr>
        <w:tab/>
      </w:r>
      <w:bookmarkStart w:id="21" w:name="_Toc139302173"/>
      <w:bookmarkStart w:id="22" w:name="_Toc139643364"/>
      <w:r w:rsidR="00233B28">
        <w:rPr>
          <w:lang w:val="fr-FR"/>
        </w:rPr>
        <w:t>C.</w:t>
      </w:r>
      <w:r w:rsidRPr="003B3C1D">
        <w:rPr>
          <w:lang w:val="fr-FR"/>
        </w:rPr>
        <w:tab/>
        <w:t xml:space="preserve">Mode de citation des arrêts de la Cour interaméricaine </w:t>
      </w:r>
      <w:r w:rsidR="00233B28">
        <w:rPr>
          <w:lang w:val="fr-FR"/>
        </w:rPr>
        <w:br/>
      </w:r>
      <w:r w:rsidRPr="003B3C1D">
        <w:rPr>
          <w:lang w:val="fr-FR"/>
        </w:rPr>
        <w:t>des droits de l’homme</w:t>
      </w:r>
      <w:bookmarkEnd w:id="21"/>
      <w:bookmarkEnd w:id="22"/>
    </w:p>
    <w:p w14:paraId="0E4232C5" w14:textId="77777777" w:rsidR="003B3C1D" w:rsidRPr="003B3C1D" w:rsidRDefault="003B3C1D" w:rsidP="00233B28">
      <w:pPr>
        <w:pStyle w:val="SingleTxtG"/>
        <w:rPr>
          <w:b/>
          <w:lang w:val="fr-CA"/>
        </w:rPr>
      </w:pPr>
      <w:r w:rsidRPr="003B3C1D">
        <w:rPr>
          <w:lang w:val="fr-FR"/>
        </w:rPr>
        <w:t xml:space="preserve">Ces arrêts n’existent pas en français, mais il faut quand même en traduire le titre, selon la pratique de la Cour. </w:t>
      </w:r>
    </w:p>
    <w:p w14:paraId="1CA277BA" w14:textId="77777777" w:rsidR="003B3C1D" w:rsidRPr="003B3C1D" w:rsidRDefault="003B3C1D" w:rsidP="00233B28">
      <w:pPr>
        <w:pStyle w:val="SingleTxtG"/>
        <w:rPr>
          <w:lang w:val="fr-FR"/>
        </w:rPr>
      </w:pPr>
      <w:r w:rsidRPr="003B3C1D">
        <w:rPr>
          <w:lang w:val="fr-FR"/>
        </w:rPr>
        <w:t>Dans les notes :</w:t>
      </w:r>
    </w:p>
    <w:p w14:paraId="1FD7CAFA" w14:textId="77777777" w:rsidR="003B3C1D" w:rsidRPr="003B3C1D" w:rsidRDefault="003B3C1D" w:rsidP="00233B28">
      <w:pPr>
        <w:pStyle w:val="SingleTxtG"/>
      </w:pPr>
      <w:r w:rsidRPr="003B3C1D">
        <w:rPr>
          <w:lang w:val="fr-FR"/>
        </w:rPr>
        <w:t>Voir Cour interaméricaine des droits de l’homme,</w:t>
      </w:r>
      <w:r w:rsidRPr="003B3C1D">
        <w:rPr>
          <w:i/>
          <w:iCs/>
          <w:lang w:val="fr-FR"/>
        </w:rPr>
        <w:t xml:space="preserve"> Almonacid-Arellano et autres c.</w:t>
      </w:r>
      <w:r w:rsidRPr="003B3C1D">
        <w:rPr>
          <w:lang w:val="fr-FR"/>
        </w:rPr>
        <w:t> </w:t>
      </w:r>
      <w:r w:rsidRPr="003B3C1D">
        <w:rPr>
          <w:i/>
          <w:iCs/>
          <w:lang w:val="fr-FR"/>
        </w:rPr>
        <w:t>Chili</w:t>
      </w:r>
      <w:r w:rsidRPr="003B3C1D">
        <w:rPr>
          <w:lang w:val="fr-FR"/>
        </w:rPr>
        <w:t>, arrêt du 26 septembre 2006 (exceptions préliminaires, fond, réparations et dépens), série C, n</w:t>
      </w:r>
      <w:r w:rsidRPr="003B3C1D">
        <w:rPr>
          <w:vertAlign w:val="superscript"/>
          <w:lang w:val="fr-FR"/>
        </w:rPr>
        <w:t>o</w:t>
      </w:r>
      <w:r w:rsidRPr="003B3C1D">
        <w:rPr>
          <w:lang w:val="fr-FR"/>
        </w:rPr>
        <w:t> 154, par. 96.</w:t>
      </w:r>
    </w:p>
    <w:p w14:paraId="34929956" w14:textId="77777777" w:rsidR="003B3C1D" w:rsidRPr="003B3C1D" w:rsidRDefault="003B3C1D" w:rsidP="00233B28">
      <w:pPr>
        <w:pStyle w:val="SingleTxtG"/>
        <w:rPr>
          <w:lang w:val="fr-FR"/>
        </w:rPr>
      </w:pPr>
      <w:r w:rsidRPr="003B3C1D">
        <w:rPr>
          <w:i/>
          <w:lang w:val="fr-FR"/>
        </w:rPr>
        <w:t>Remarque :</w:t>
      </w:r>
      <w:r w:rsidRPr="003B3C1D">
        <w:rPr>
          <w:b/>
          <w:lang w:val="fr-FR"/>
        </w:rPr>
        <w:t xml:space="preserve"> </w:t>
      </w:r>
      <w:r w:rsidRPr="003B3C1D">
        <w:rPr>
          <w:lang w:val="fr-FR"/>
        </w:rPr>
        <w:t>En français, les cours rendent toujours des arrêts. Le terme anglais « judgment » se traduit donc par « arrêt » lorsqu’il désigne une décision rendue par une cour.</w:t>
      </w:r>
    </w:p>
    <w:p w14:paraId="77113AC7" w14:textId="77777777" w:rsidR="003B3C1D" w:rsidRPr="003B3C1D" w:rsidRDefault="003B3C1D" w:rsidP="00233B28">
      <w:pPr>
        <w:pStyle w:val="SingleTxtG"/>
        <w:rPr>
          <w:lang w:val="fr-FR"/>
        </w:rPr>
      </w:pPr>
      <w:r w:rsidRPr="003B3C1D">
        <w:rPr>
          <w:lang w:val="fr-FR"/>
        </w:rPr>
        <w:t xml:space="preserve">Dans le corps du texte : </w:t>
      </w:r>
    </w:p>
    <w:p w14:paraId="6B08C985" w14:textId="224AC333" w:rsidR="003B3C1D" w:rsidRPr="003B3C1D" w:rsidRDefault="003B3C1D" w:rsidP="00233B28">
      <w:pPr>
        <w:pStyle w:val="SingleTxtG"/>
        <w:spacing w:after="0"/>
        <w:ind w:left="1701"/>
        <w:rPr>
          <w:rFonts w:eastAsia="Times New Roman"/>
          <w:i/>
          <w:iCs/>
          <w:sz w:val="22"/>
          <w:szCs w:val="22"/>
          <w:lang w:val="es-ES"/>
        </w:rPr>
      </w:pPr>
      <w:r w:rsidRPr="00E35EC6">
        <w:rPr>
          <w:lang w:val="es-ES"/>
        </w:rPr>
        <w:t>affaire</w:t>
      </w:r>
      <w:r w:rsidRPr="003B3C1D">
        <w:rPr>
          <w:rFonts w:eastAsia="Times New Roman"/>
          <w:sz w:val="22"/>
          <w:szCs w:val="22"/>
          <w:lang w:val="es-ES"/>
        </w:rPr>
        <w:t xml:space="preserve"> </w:t>
      </w:r>
      <w:r w:rsidRPr="003B3C1D">
        <w:rPr>
          <w:rFonts w:eastAsia="Times New Roman"/>
          <w:i/>
          <w:iCs/>
          <w:sz w:val="22"/>
          <w:szCs w:val="22"/>
          <w:lang w:val="es-ES"/>
        </w:rPr>
        <w:t>Almonacid-Arellano</w:t>
      </w:r>
    </w:p>
    <w:p w14:paraId="4B27DC71" w14:textId="77777777" w:rsidR="003B3C1D" w:rsidRPr="003B3C1D" w:rsidRDefault="003B3C1D" w:rsidP="00233B28">
      <w:pPr>
        <w:pStyle w:val="SingleTxtG"/>
        <w:ind w:left="1701"/>
        <w:rPr>
          <w:lang w:val="es-ES"/>
        </w:rPr>
      </w:pPr>
      <w:r w:rsidRPr="003B3C1D">
        <w:rPr>
          <w:lang w:val="es-ES"/>
        </w:rPr>
        <w:t>arrêt Almonacid-Arellano</w:t>
      </w:r>
    </w:p>
    <w:p w14:paraId="5340AEE5" w14:textId="15D4FAB0" w:rsidR="003B3C1D" w:rsidRPr="003B3C1D" w:rsidRDefault="003B3C1D" w:rsidP="00233B28">
      <w:pPr>
        <w:pStyle w:val="H1G"/>
        <w:rPr>
          <w:lang w:val="fr-FR"/>
        </w:rPr>
      </w:pPr>
      <w:r w:rsidRPr="003B3C1D">
        <w:rPr>
          <w:lang w:val="es-ES"/>
        </w:rPr>
        <w:tab/>
      </w:r>
      <w:bookmarkStart w:id="23" w:name="_Toc139302174"/>
      <w:bookmarkStart w:id="24" w:name="_Toc139643365"/>
      <w:r w:rsidR="00233B28">
        <w:t>D.</w:t>
      </w:r>
      <w:r w:rsidRPr="00233B28">
        <w:tab/>
      </w:r>
      <w:r w:rsidRPr="003B3C1D">
        <w:rPr>
          <w:lang w:val="fr-FR"/>
        </w:rPr>
        <w:t xml:space="preserve">Mode de citation des </w:t>
      </w:r>
      <w:r w:rsidR="00B657EE">
        <w:rPr>
          <w:lang w:val="fr-FR"/>
        </w:rPr>
        <w:t>décisions</w:t>
      </w:r>
      <w:r w:rsidRPr="003B3C1D">
        <w:rPr>
          <w:lang w:val="fr-FR"/>
        </w:rPr>
        <w:t xml:space="preserve"> de juridictions nationales</w:t>
      </w:r>
      <w:bookmarkEnd w:id="23"/>
      <w:bookmarkEnd w:id="24"/>
    </w:p>
    <w:p w14:paraId="73826AD8" w14:textId="6C263CC5" w:rsidR="003B3C1D" w:rsidRPr="003B3C1D" w:rsidRDefault="003B3C1D" w:rsidP="00233B28">
      <w:pPr>
        <w:pStyle w:val="SingleTxtG"/>
        <w:rPr>
          <w:lang w:val="fr-FR"/>
        </w:rPr>
      </w:pPr>
      <w:r w:rsidRPr="003B3C1D">
        <w:rPr>
          <w:lang w:val="fr-FR"/>
        </w:rPr>
        <w:t>À moins qu’</w:t>
      </w:r>
      <w:r w:rsidR="00B657EE">
        <w:rPr>
          <w:lang w:val="fr-FR"/>
        </w:rPr>
        <w:t>elle</w:t>
      </w:r>
      <w:r w:rsidRPr="003B3C1D">
        <w:rPr>
          <w:lang w:val="fr-FR"/>
        </w:rPr>
        <w:t>s aient été rendu</w:t>
      </w:r>
      <w:r w:rsidR="00B657EE">
        <w:rPr>
          <w:lang w:val="fr-FR"/>
        </w:rPr>
        <w:t>e</w:t>
      </w:r>
      <w:r w:rsidRPr="003B3C1D">
        <w:rPr>
          <w:lang w:val="fr-FR"/>
        </w:rPr>
        <w:t xml:space="preserve">s par une juridiction francophone, auquel cas on fait les recherches nécessaires pour vérifier leur titre officiel, ces </w:t>
      </w:r>
      <w:r w:rsidR="00B657EE">
        <w:rPr>
          <w:lang w:val="fr-FR"/>
        </w:rPr>
        <w:t>décisions</w:t>
      </w:r>
      <w:r w:rsidRPr="003B3C1D">
        <w:rPr>
          <w:lang w:val="fr-FR"/>
        </w:rPr>
        <w:t xml:space="preserve"> n’existent pas en français. Il ne faut donc pas en traduire les titres.</w:t>
      </w:r>
    </w:p>
    <w:p w14:paraId="6D49D0A2" w14:textId="77777777" w:rsidR="003B3C1D" w:rsidRPr="003B3C1D" w:rsidRDefault="003B3C1D" w:rsidP="00233B28">
      <w:pPr>
        <w:pStyle w:val="SingleTxtG"/>
        <w:rPr>
          <w:lang w:val="fr-FR"/>
        </w:rPr>
      </w:pPr>
      <w:r w:rsidRPr="003B3C1D">
        <w:rPr>
          <w:lang w:val="fr-FR"/>
        </w:rPr>
        <w:t>Voir Cour suprême de l’Argentine,</w:t>
      </w:r>
      <w:r w:rsidRPr="003B3C1D">
        <w:rPr>
          <w:i/>
          <w:lang w:val="fr-FR"/>
        </w:rPr>
        <w:t xml:space="preserve"> Mazzeo, Julio Lilo y otros</w:t>
      </w:r>
      <w:r w:rsidRPr="003B3C1D">
        <w:rPr>
          <w:lang w:val="fr-FR"/>
        </w:rPr>
        <w:t xml:space="preserve">, arrêt, 13 juillet 2007, </w:t>
      </w:r>
      <w:r w:rsidRPr="003B3C1D">
        <w:rPr>
          <w:i/>
          <w:lang w:val="fr-FR"/>
        </w:rPr>
        <w:t xml:space="preserve">Fallos: </w:t>
      </w:r>
      <w:r w:rsidRPr="003B3C1D">
        <w:rPr>
          <w:lang w:val="fr-FR"/>
        </w:rPr>
        <w:t>330:3248, par. 15.</w:t>
      </w:r>
    </w:p>
    <w:p w14:paraId="43D5D3E8" w14:textId="78886670" w:rsidR="003B3C1D" w:rsidRPr="003B3C1D" w:rsidRDefault="003B3C1D" w:rsidP="00233B28">
      <w:pPr>
        <w:pStyle w:val="H1G"/>
        <w:rPr>
          <w:lang w:val="fr-FR"/>
        </w:rPr>
      </w:pPr>
      <w:r w:rsidRPr="003B3C1D">
        <w:rPr>
          <w:lang w:val="fr-FR"/>
        </w:rPr>
        <w:tab/>
      </w:r>
      <w:bookmarkStart w:id="25" w:name="_Toc139302175"/>
      <w:bookmarkStart w:id="26" w:name="_Toc139643366"/>
      <w:r w:rsidR="00233B28">
        <w:rPr>
          <w:lang w:val="fr-FR"/>
        </w:rPr>
        <w:t>E</w:t>
      </w:r>
      <w:r w:rsidRPr="003B3C1D">
        <w:rPr>
          <w:lang w:val="fr-FR"/>
        </w:rPr>
        <w:tab/>
        <w:t xml:space="preserve">Mode de citation des arrêts et avis consultatifs </w:t>
      </w:r>
      <w:r w:rsidR="00233B28">
        <w:rPr>
          <w:lang w:val="fr-FR"/>
        </w:rPr>
        <w:br/>
      </w:r>
      <w:r w:rsidRPr="003B3C1D">
        <w:rPr>
          <w:lang w:val="fr-FR"/>
        </w:rPr>
        <w:t>de la Cour internationale de Justice</w:t>
      </w:r>
      <w:bookmarkEnd w:id="25"/>
      <w:bookmarkEnd w:id="26"/>
    </w:p>
    <w:p w14:paraId="7D2F4B43" w14:textId="0D95D408" w:rsidR="003B3C1D" w:rsidRPr="00233B28" w:rsidRDefault="006B484C" w:rsidP="006B484C">
      <w:pPr>
        <w:pStyle w:val="H23G"/>
        <w:rPr>
          <w:lang w:val="fr-FR"/>
        </w:rPr>
      </w:pPr>
      <w:r>
        <w:tab/>
      </w:r>
      <w:bookmarkStart w:id="27" w:name="_Toc139643367"/>
      <w:r>
        <w:t>1.</w:t>
      </w:r>
      <w:r>
        <w:tab/>
      </w:r>
      <w:r w:rsidR="003B3C1D" w:rsidRPr="00233B28">
        <w:t>Arrêts</w:t>
      </w:r>
      <w:bookmarkEnd w:id="27"/>
    </w:p>
    <w:p w14:paraId="1A673D55" w14:textId="689E84E8" w:rsidR="003B3C1D" w:rsidRPr="003B3C1D" w:rsidRDefault="003115C4" w:rsidP="006B484C">
      <w:pPr>
        <w:pStyle w:val="H4G"/>
        <w:rPr>
          <w:lang w:val="fr-FR"/>
        </w:rPr>
      </w:pPr>
      <w:r>
        <w:rPr>
          <w:lang w:val="fr-FR"/>
        </w:rPr>
        <w:tab/>
      </w:r>
      <w:r>
        <w:rPr>
          <w:lang w:val="fr-FR"/>
        </w:rPr>
        <w:tab/>
      </w:r>
      <w:r w:rsidR="003B3C1D" w:rsidRPr="003B3C1D">
        <w:rPr>
          <w:lang w:val="fr-FR"/>
        </w:rPr>
        <w:t>Dans les notes :</w:t>
      </w:r>
    </w:p>
    <w:p w14:paraId="05A8A040" w14:textId="77777777" w:rsidR="003B3C1D" w:rsidRPr="003B3C1D" w:rsidRDefault="003B3C1D" w:rsidP="00233B28">
      <w:pPr>
        <w:pStyle w:val="SingleTxtG"/>
        <w:rPr>
          <w:lang w:val="fr-FR"/>
        </w:rPr>
      </w:pPr>
      <w:r w:rsidRPr="003B3C1D">
        <w:rPr>
          <w:lang w:val="fr-FR"/>
        </w:rPr>
        <w:t xml:space="preserve">Cour internationale de Justice, </w:t>
      </w:r>
      <w:r w:rsidRPr="00CB1944">
        <w:rPr>
          <w:i/>
          <w:iCs/>
          <w:lang w:val="fr-FR"/>
        </w:rPr>
        <w:t>Questions concernant l’obligation de poursuivre ou d’extrader (Belgique c. Sénégal), arrêt, C.I.J. Recueil 2012</w:t>
      </w:r>
      <w:r w:rsidRPr="003B3C1D">
        <w:rPr>
          <w:lang w:val="fr-FR"/>
        </w:rPr>
        <w:t>, p. 422.</w:t>
      </w:r>
    </w:p>
    <w:p w14:paraId="31187DD5" w14:textId="49F35C85" w:rsidR="003B3C1D" w:rsidRPr="003B3C1D" w:rsidRDefault="003B3C1D" w:rsidP="003115C4">
      <w:pPr>
        <w:pStyle w:val="SingleTxtG"/>
        <w:rPr>
          <w:lang w:val="fr-FR"/>
        </w:rPr>
      </w:pPr>
      <w:r w:rsidRPr="003B3C1D">
        <w:rPr>
          <w:lang w:val="fr-FR"/>
        </w:rPr>
        <w:t xml:space="preserve">Cour internationale de Justice, </w:t>
      </w:r>
      <w:r w:rsidRPr="00CB1944">
        <w:rPr>
          <w:i/>
          <w:iCs/>
          <w:lang w:val="fr-FR"/>
        </w:rPr>
        <w:t xml:space="preserve">Activités militaires et paramilitaires au Nicaragua et contre celui-ci (Nicaragua c. Etats-Unis d'Amérique), </w:t>
      </w:r>
      <w:r w:rsidR="00CB1944">
        <w:rPr>
          <w:i/>
          <w:iCs/>
          <w:lang w:val="fr-FR"/>
        </w:rPr>
        <w:t xml:space="preserve">compétence et recevabilité, </w:t>
      </w:r>
      <w:r w:rsidRPr="00CB1944">
        <w:rPr>
          <w:i/>
          <w:iCs/>
          <w:lang w:val="fr-FR"/>
        </w:rPr>
        <w:t>arrêt, C.I.J. Recueil 1984</w:t>
      </w:r>
      <w:r w:rsidRPr="003B3C1D">
        <w:rPr>
          <w:lang w:val="fr-FR"/>
        </w:rPr>
        <w:t>, p. 392.</w:t>
      </w:r>
    </w:p>
    <w:p w14:paraId="03B52509" w14:textId="378FE058" w:rsidR="003B3C1D" w:rsidRPr="003B3C1D" w:rsidRDefault="003115C4" w:rsidP="006B484C">
      <w:pPr>
        <w:pStyle w:val="H4G"/>
      </w:pPr>
      <w:r>
        <w:lastRenderedPageBreak/>
        <w:tab/>
      </w:r>
      <w:r>
        <w:tab/>
      </w:r>
      <w:r w:rsidR="003B3C1D" w:rsidRPr="003B3C1D">
        <w:t xml:space="preserve">Dans le corps du texte : </w:t>
      </w:r>
    </w:p>
    <w:p w14:paraId="575A84F0" w14:textId="77777777" w:rsidR="003B3C1D" w:rsidRPr="003B3C1D" w:rsidRDefault="003B3C1D" w:rsidP="006B484C">
      <w:pPr>
        <w:pStyle w:val="SingleTxtG"/>
        <w:rPr>
          <w:lang w:val="fr-FR"/>
        </w:rPr>
      </w:pPr>
      <w:r w:rsidRPr="003B3C1D">
        <w:rPr>
          <w:lang w:eastAsia="fr-CH"/>
        </w:rPr>
        <w:t xml:space="preserve">affaire </w:t>
      </w:r>
      <w:r w:rsidRPr="003B3C1D">
        <w:t>relative</w:t>
      </w:r>
      <w:r w:rsidRPr="003B3C1D">
        <w:rPr>
          <w:lang w:eastAsia="fr-CH"/>
        </w:rPr>
        <w:t xml:space="preserve"> à </w:t>
      </w:r>
      <w:r w:rsidRPr="006B484C">
        <w:rPr>
          <w:i/>
          <w:iCs/>
          <w:lang w:eastAsia="fr-CH"/>
        </w:rPr>
        <w:t>Certaines questions concernant l’entraide judiciaire en matière pénale (Djibouti c. France)</w:t>
      </w:r>
      <w:r w:rsidRPr="003B3C1D">
        <w:rPr>
          <w:lang w:val="fr-FR"/>
        </w:rPr>
        <w:t xml:space="preserve"> </w:t>
      </w:r>
    </w:p>
    <w:p w14:paraId="46AACDA5" w14:textId="77777777" w:rsidR="003B3C1D" w:rsidRPr="003B3C1D" w:rsidRDefault="003B3C1D" w:rsidP="006B484C">
      <w:pPr>
        <w:pStyle w:val="SingleTxtG"/>
        <w:rPr>
          <w:lang w:eastAsia="fr-CH"/>
        </w:rPr>
      </w:pPr>
      <w:r w:rsidRPr="003B3C1D">
        <w:rPr>
          <w:lang w:eastAsia="fr-CH"/>
        </w:rPr>
        <w:t xml:space="preserve">affaire des </w:t>
      </w:r>
      <w:r w:rsidRPr="006B484C">
        <w:rPr>
          <w:i/>
          <w:iCs/>
          <w:lang w:eastAsia="fr-CH"/>
        </w:rPr>
        <w:t>Activités militaires et paramilitaires au Nicaragua et contre celui-ci (Nicaragua c. Etats-Unis d'Amérique)</w:t>
      </w:r>
    </w:p>
    <w:p w14:paraId="1239FBCD" w14:textId="4D182BF8" w:rsidR="003B3C1D" w:rsidRPr="003B3C1D" w:rsidRDefault="006B484C" w:rsidP="006B484C">
      <w:pPr>
        <w:pStyle w:val="H23G"/>
        <w:rPr>
          <w:rFonts w:eastAsia="Times New Roman"/>
          <w:i/>
          <w:sz w:val="24"/>
          <w:u w:val="single"/>
          <w:lang w:val="fr-FR"/>
        </w:rPr>
      </w:pPr>
      <w:r>
        <w:tab/>
      </w:r>
      <w:bookmarkStart w:id="28" w:name="_Toc139643368"/>
      <w:r>
        <w:t>2.</w:t>
      </w:r>
      <w:r>
        <w:tab/>
      </w:r>
      <w:r w:rsidR="003B3C1D" w:rsidRPr="003B3C1D">
        <w:t>Avis</w:t>
      </w:r>
      <w:r w:rsidR="00C84C2B">
        <w:t xml:space="preserve"> </w:t>
      </w:r>
      <w:r w:rsidR="003B3C1D" w:rsidRPr="003B3C1D">
        <w:t>consultatifs</w:t>
      </w:r>
      <w:bookmarkEnd w:id="28"/>
    </w:p>
    <w:p w14:paraId="557D940E" w14:textId="451D0C3B" w:rsidR="003B3C1D" w:rsidRPr="003B3C1D" w:rsidRDefault="006B484C" w:rsidP="006B484C">
      <w:pPr>
        <w:pStyle w:val="H4G"/>
        <w:rPr>
          <w:lang w:val="fr-FR"/>
        </w:rPr>
      </w:pPr>
      <w:r>
        <w:rPr>
          <w:lang w:eastAsia="fr-CH"/>
        </w:rPr>
        <w:tab/>
      </w:r>
      <w:r>
        <w:rPr>
          <w:lang w:eastAsia="fr-CH"/>
        </w:rPr>
        <w:tab/>
      </w:r>
      <w:r w:rsidR="003B3C1D" w:rsidRPr="003B3C1D">
        <w:rPr>
          <w:lang w:eastAsia="fr-CH"/>
        </w:rPr>
        <w:t>Dans les notes :</w:t>
      </w:r>
      <w:r w:rsidR="003B3C1D" w:rsidRPr="003B3C1D">
        <w:rPr>
          <w:lang w:val="fr-FR"/>
        </w:rPr>
        <w:t xml:space="preserve"> </w:t>
      </w:r>
    </w:p>
    <w:p w14:paraId="4DA5B9D9" w14:textId="77777777" w:rsidR="003B3C1D" w:rsidRPr="003B3C1D" w:rsidRDefault="003B3C1D" w:rsidP="006B484C">
      <w:pPr>
        <w:pStyle w:val="SingleTxtG"/>
        <w:rPr>
          <w:lang w:val="fr-FR"/>
        </w:rPr>
      </w:pPr>
      <w:r w:rsidRPr="003B3C1D">
        <w:rPr>
          <w:lang w:val="fr-FR"/>
        </w:rPr>
        <w:t xml:space="preserve">Cour internationale de Justice, </w:t>
      </w:r>
      <w:r w:rsidRPr="00CB1944">
        <w:rPr>
          <w:i/>
          <w:iCs/>
          <w:lang w:eastAsia="fr-CH"/>
        </w:rPr>
        <w:t>Licéité de la menace ou de l’emploi d’armes nucléaires, avis consultatif, C.I.J. Recueil 1996</w:t>
      </w:r>
      <w:r w:rsidRPr="003B3C1D">
        <w:rPr>
          <w:lang w:eastAsia="fr-CH"/>
        </w:rPr>
        <w:t>, p. 226.</w:t>
      </w:r>
      <w:r w:rsidRPr="003B3C1D">
        <w:rPr>
          <w:lang w:val="fr-FR"/>
        </w:rPr>
        <w:t xml:space="preserve"> </w:t>
      </w:r>
    </w:p>
    <w:p w14:paraId="69D78EB9" w14:textId="217A921B" w:rsidR="003B3C1D" w:rsidRPr="003B3C1D" w:rsidRDefault="006B484C" w:rsidP="006B484C">
      <w:pPr>
        <w:pStyle w:val="H4G"/>
        <w:rPr>
          <w:lang w:val="fr-FR"/>
        </w:rPr>
      </w:pPr>
      <w:r>
        <w:rPr>
          <w:lang w:val="fr-FR"/>
        </w:rPr>
        <w:tab/>
      </w:r>
      <w:r>
        <w:rPr>
          <w:lang w:val="fr-FR"/>
        </w:rPr>
        <w:tab/>
      </w:r>
      <w:r w:rsidR="003B3C1D" w:rsidRPr="003B3C1D">
        <w:rPr>
          <w:lang w:val="fr-FR"/>
        </w:rPr>
        <w:t>Dans le corps du texte :</w:t>
      </w:r>
      <w:r w:rsidR="003B3C1D" w:rsidRPr="003B3C1D">
        <w:rPr>
          <w:sz w:val="27"/>
          <w:szCs w:val="27"/>
          <w:lang w:eastAsia="fr-CH"/>
        </w:rPr>
        <w:t xml:space="preserve"> </w:t>
      </w:r>
    </w:p>
    <w:p w14:paraId="0D8B47B2" w14:textId="77777777" w:rsidR="003B3C1D" w:rsidRPr="003B3C1D" w:rsidRDefault="003B3C1D" w:rsidP="006B484C">
      <w:pPr>
        <w:pStyle w:val="SingleTxtG"/>
        <w:rPr>
          <w:lang w:val="fr-FR"/>
        </w:rPr>
      </w:pPr>
      <w:r w:rsidRPr="003B3C1D">
        <w:rPr>
          <w:lang w:eastAsia="fr-CH"/>
        </w:rPr>
        <w:t xml:space="preserve">avis consultatif sur la </w:t>
      </w:r>
      <w:r w:rsidRPr="000540F5">
        <w:rPr>
          <w:i/>
          <w:iCs/>
          <w:lang w:eastAsia="fr-CH"/>
        </w:rPr>
        <w:t>Licéité de la menace ou de l’emploi d’armes nucléaires</w:t>
      </w:r>
    </w:p>
    <w:p w14:paraId="334A2E23" w14:textId="020BF0F2" w:rsidR="003B3C1D" w:rsidRPr="003B3C1D" w:rsidRDefault="009B2B2C" w:rsidP="006B484C">
      <w:pPr>
        <w:pStyle w:val="SingleTxtG"/>
        <w:rPr>
          <w:lang w:val="fr-FR"/>
        </w:rPr>
      </w:pPr>
      <w:r>
        <w:t xml:space="preserve">L’intitulé officiel de chaque affaire </w:t>
      </w:r>
      <w:r w:rsidR="00140F56">
        <w:t>doit</w:t>
      </w:r>
      <w:r>
        <w:t xml:space="preserve"> être vérifié sur la page consacrée à CDI sur le site de la Section, dans le document « Intitulé des affaires portées devant la CIJ »), et le mode </w:t>
      </w:r>
      <w:r w:rsidR="003B3C1D" w:rsidRPr="003B3C1D">
        <w:rPr>
          <w:lang w:val="fr-FR"/>
        </w:rPr>
        <w:t xml:space="preserve">de citation officiel dans </w:t>
      </w:r>
      <w:r>
        <w:rPr>
          <w:lang w:val="fr-FR"/>
        </w:rPr>
        <w:t xml:space="preserve">le texte de </w:t>
      </w:r>
      <w:r w:rsidR="003B3C1D" w:rsidRPr="003B3C1D">
        <w:rPr>
          <w:lang w:val="fr-FR"/>
        </w:rPr>
        <w:t>l’arrêt ou l’avis consultatif, sur le s</w:t>
      </w:r>
      <w:r>
        <w:rPr>
          <w:lang w:val="fr-FR"/>
        </w:rPr>
        <w:t xml:space="preserve">ite </w:t>
      </w:r>
      <w:r w:rsidR="003B3C1D" w:rsidRPr="003B3C1D">
        <w:rPr>
          <w:lang w:val="fr-FR"/>
        </w:rPr>
        <w:t>de la CIJ.</w:t>
      </w:r>
    </w:p>
    <w:p w14:paraId="3FD8D094" w14:textId="140C6D91" w:rsidR="003B3C1D" w:rsidRPr="003B3C1D" w:rsidRDefault="003B3C1D" w:rsidP="006B484C">
      <w:pPr>
        <w:pStyle w:val="H1G"/>
        <w:rPr>
          <w:lang w:val="fr-FR"/>
        </w:rPr>
      </w:pPr>
      <w:r w:rsidRPr="003B3C1D">
        <w:rPr>
          <w:lang w:val="fr-FR"/>
        </w:rPr>
        <w:tab/>
      </w:r>
      <w:bookmarkStart w:id="29" w:name="_Toc139302176"/>
      <w:bookmarkStart w:id="30" w:name="_Toc139643369"/>
      <w:r w:rsidR="006B484C">
        <w:rPr>
          <w:lang w:val="fr-FR"/>
        </w:rPr>
        <w:t>F.</w:t>
      </w:r>
      <w:r w:rsidRPr="003B3C1D">
        <w:rPr>
          <w:lang w:val="fr-FR"/>
        </w:rPr>
        <w:tab/>
        <w:t>Mode de citation des décisions</w:t>
      </w:r>
      <w:r w:rsidR="00B657EE">
        <w:rPr>
          <w:lang w:val="fr-FR"/>
        </w:rPr>
        <w:t xml:space="preserve"> </w:t>
      </w:r>
      <w:r w:rsidRPr="003B3C1D">
        <w:rPr>
          <w:lang w:val="fr-FR"/>
        </w:rPr>
        <w:t>du TPIY et du TPI</w:t>
      </w:r>
      <w:r w:rsidR="00830AE8" w:rsidRPr="003B3C1D">
        <w:rPr>
          <w:lang w:val="fr-FR"/>
        </w:rPr>
        <w:t>R</w:t>
      </w:r>
      <w:bookmarkEnd w:id="29"/>
      <w:bookmarkEnd w:id="30"/>
    </w:p>
    <w:p w14:paraId="7BC68BC3" w14:textId="51735669" w:rsidR="003B3C1D" w:rsidRPr="003B3C1D" w:rsidRDefault="004E41DD" w:rsidP="004E41DD">
      <w:pPr>
        <w:pStyle w:val="H4G"/>
        <w:rPr>
          <w:lang w:val="fr-FR"/>
        </w:rPr>
      </w:pPr>
      <w:r>
        <w:rPr>
          <w:lang w:val="fr-FR"/>
        </w:rPr>
        <w:tab/>
      </w:r>
      <w:r>
        <w:rPr>
          <w:lang w:val="fr-FR"/>
        </w:rPr>
        <w:tab/>
      </w:r>
      <w:r w:rsidR="003B3C1D" w:rsidRPr="003B3C1D">
        <w:rPr>
          <w:lang w:val="fr-FR"/>
        </w:rPr>
        <w:t>Dans les notes :</w:t>
      </w:r>
    </w:p>
    <w:p w14:paraId="0AECBB6B" w14:textId="77777777" w:rsidR="003B3C1D" w:rsidRPr="003B3C1D" w:rsidRDefault="003B3C1D" w:rsidP="004E41DD">
      <w:pPr>
        <w:pStyle w:val="SingleTxtG"/>
        <w:rPr>
          <w:lang w:val="fr-FR"/>
        </w:rPr>
      </w:pPr>
      <w:r w:rsidRPr="003B3C1D">
        <w:rPr>
          <w:lang w:eastAsia="fr-CH"/>
        </w:rPr>
        <w:t xml:space="preserve">Tribunal pénal international pour l’ex-Yougoslavie, </w:t>
      </w:r>
      <w:r w:rsidRPr="003B3C1D">
        <w:rPr>
          <w:i/>
          <w:lang w:eastAsia="fr-CH"/>
        </w:rPr>
        <w:t>Le Procureur c/ Dragoljub Kunarac, Radomir Kovač et Zoran Vuković</w:t>
      </w:r>
      <w:r w:rsidRPr="003B3C1D">
        <w:rPr>
          <w:lang w:eastAsia="fr-CH"/>
        </w:rPr>
        <w:t>, affaire n° IT-96-23-T &amp; IT-96-23/1-T, Décision relative à la requête aux fins d’acquittement, 3 juillet 2000.</w:t>
      </w:r>
      <w:r w:rsidRPr="003B3C1D">
        <w:rPr>
          <w:lang w:val="fr-FR"/>
        </w:rPr>
        <w:t xml:space="preserve"> </w:t>
      </w:r>
    </w:p>
    <w:p w14:paraId="36DEA9D9" w14:textId="77777777" w:rsidR="003B3C1D" w:rsidRPr="003B3C1D" w:rsidRDefault="003B3C1D" w:rsidP="004E41DD">
      <w:pPr>
        <w:pStyle w:val="SingleTxtG"/>
        <w:rPr>
          <w:lang w:eastAsia="fr-CH"/>
        </w:rPr>
      </w:pPr>
      <w:r w:rsidRPr="003B3C1D">
        <w:rPr>
          <w:lang w:eastAsia="fr-CH"/>
        </w:rPr>
        <w:t xml:space="preserve">Tribunal pénal international pour l’ex-Yougoslavie, </w:t>
      </w:r>
      <w:r w:rsidRPr="003B3C1D">
        <w:rPr>
          <w:i/>
          <w:lang w:eastAsia="fr-CH"/>
        </w:rPr>
        <w:t>Le Procureur c/ Dragoljub Kunarac, Radomir Kovač et Zoran Vuković</w:t>
      </w:r>
      <w:r w:rsidRPr="003B3C1D">
        <w:rPr>
          <w:lang w:eastAsia="fr-CH"/>
        </w:rPr>
        <w:t>, affaire n° IT-96-23-T &amp; IT-96-23/1-T, Jugement, 22 février 2001, p. 562.</w:t>
      </w:r>
    </w:p>
    <w:p w14:paraId="461084F0" w14:textId="77777777" w:rsidR="003B3C1D" w:rsidRPr="003B3C1D" w:rsidRDefault="003B3C1D" w:rsidP="004E41DD">
      <w:pPr>
        <w:pStyle w:val="SingleTxtG"/>
        <w:rPr>
          <w:lang w:val="fr-FR"/>
        </w:rPr>
      </w:pPr>
      <w:r w:rsidRPr="003B3C1D">
        <w:rPr>
          <w:i/>
          <w:lang w:val="fr-FR"/>
        </w:rPr>
        <w:t>Remarque :</w:t>
      </w:r>
      <w:r w:rsidRPr="003B3C1D">
        <w:rPr>
          <w:lang w:val="fr-FR"/>
        </w:rPr>
        <w:t xml:space="preserve"> On laisse la majuscule aux mots « Décision » et « Jugement », car ils font partie du titre des documents.</w:t>
      </w:r>
    </w:p>
    <w:p w14:paraId="6E1E2DFA" w14:textId="13EC605D" w:rsidR="003B3C1D" w:rsidRPr="003B3C1D" w:rsidRDefault="004E41DD" w:rsidP="004E41DD">
      <w:pPr>
        <w:pStyle w:val="H4G"/>
        <w:rPr>
          <w:lang w:val="fr-FR"/>
        </w:rPr>
      </w:pPr>
      <w:r>
        <w:rPr>
          <w:lang w:eastAsia="fr-CH"/>
        </w:rPr>
        <w:tab/>
      </w:r>
      <w:r>
        <w:rPr>
          <w:lang w:eastAsia="fr-CH"/>
        </w:rPr>
        <w:tab/>
      </w:r>
      <w:r w:rsidR="003B3C1D" w:rsidRPr="003B3C1D">
        <w:rPr>
          <w:lang w:eastAsia="fr-CH"/>
        </w:rPr>
        <w:t>Dans le corps du texte :</w:t>
      </w:r>
      <w:r w:rsidR="003B3C1D" w:rsidRPr="003B3C1D">
        <w:rPr>
          <w:lang w:val="fr-FR"/>
        </w:rPr>
        <w:t xml:space="preserve"> </w:t>
      </w:r>
    </w:p>
    <w:p w14:paraId="16D6B847" w14:textId="77777777" w:rsidR="003B3C1D" w:rsidRPr="003B3C1D" w:rsidRDefault="003B3C1D" w:rsidP="004E41DD">
      <w:pPr>
        <w:pStyle w:val="SingleTxtG"/>
        <w:rPr>
          <w:lang w:val="fr-FR"/>
        </w:rPr>
      </w:pPr>
      <w:r w:rsidRPr="003B3C1D">
        <w:rPr>
          <w:lang w:eastAsia="fr-CH"/>
        </w:rPr>
        <w:t xml:space="preserve">le jugement </w:t>
      </w:r>
      <w:r w:rsidRPr="003B3C1D">
        <w:rPr>
          <w:i/>
          <w:lang w:eastAsia="fr-CH"/>
        </w:rPr>
        <w:t>Kunarac</w:t>
      </w:r>
    </w:p>
    <w:p w14:paraId="466827ED" w14:textId="30702760" w:rsidR="003B3C1D" w:rsidRPr="003B3C1D" w:rsidRDefault="003B3C1D" w:rsidP="004E41DD">
      <w:pPr>
        <w:pStyle w:val="H1G"/>
        <w:rPr>
          <w:lang w:val="fr-FR"/>
        </w:rPr>
      </w:pPr>
      <w:r w:rsidRPr="003B3C1D">
        <w:rPr>
          <w:lang w:val="fr-FR"/>
        </w:rPr>
        <w:tab/>
      </w:r>
      <w:bookmarkStart w:id="31" w:name="_Toc139302177"/>
      <w:bookmarkStart w:id="32" w:name="_Toc139643370"/>
      <w:r w:rsidR="004E41DD">
        <w:rPr>
          <w:lang w:val="fr-FR"/>
        </w:rPr>
        <w:t>G.</w:t>
      </w:r>
      <w:r w:rsidRPr="003B3C1D">
        <w:rPr>
          <w:lang w:val="fr-FR"/>
        </w:rPr>
        <w:tab/>
        <w:t>Mode de citation des décisions de la Cour pénale internationale</w:t>
      </w:r>
      <w:bookmarkEnd w:id="31"/>
      <w:bookmarkEnd w:id="32"/>
    </w:p>
    <w:p w14:paraId="24D0886A" w14:textId="77777777" w:rsidR="003B3C1D" w:rsidRPr="003B3C1D" w:rsidRDefault="003B3C1D" w:rsidP="00F730FE">
      <w:pPr>
        <w:pStyle w:val="SingleTxtG"/>
        <w:rPr>
          <w:lang w:val="fr-FR"/>
        </w:rPr>
      </w:pPr>
      <w:r w:rsidRPr="003B3C1D">
        <w:rPr>
          <w:lang w:val="fr-FR"/>
        </w:rPr>
        <w:t xml:space="preserve">Cour pénale internationale, Chambre de première instance, </w:t>
      </w:r>
      <w:r w:rsidRPr="00F730FE">
        <w:rPr>
          <w:i/>
          <w:iCs/>
          <w:lang w:val="fr-FR"/>
        </w:rPr>
        <w:t>Le Procureur c. William Samoei Ruto et Joshua Arap Sang</w:t>
      </w:r>
      <w:r w:rsidRPr="003B3C1D">
        <w:rPr>
          <w:lang w:val="fr-FR"/>
        </w:rPr>
        <w:t xml:space="preserve">, affaire n° ICC-01/09-01/11, </w:t>
      </w:r>
      <w:r w:rsidRPr="00F730FE">
        <w:rPr>
          <w:i/>
          <w:iCs/>
          <w:lang w:val="fr-FR"/>
        </w:rPr>
        <w:t>Decision on Mr. Ruto’s Request for Excusal from Continuous Presence at Trial</w:t>
      </w:r>
      <w:r w:rsidRPr="003B3C1D">
        <w:rPr>
          <w:lang w:val="fr-FR"/>
        </w:rPr>
        <w:t>, 18 juin 2013, par. 90.</w:t>
      </w:r>
    </w:p>
    <w:p w14:paraId="6F0E11C3" w14:textId="6C1F0278" w:rsidR="003B3C1D" w:rsidRDefault="003B3C1D" w:rsidP="00F730FE">
      <w:pPr>
        <w:pStyle w:val="SingleTxtG"/>
        <w:rPr>
          <w:lang w:val="fr-FR"/>
        </w:rPr>
      </w:pPr>
      <w:r w:rsidRPr="003B3C1D">
        <w:rPr>
          <w:i/>
          <w:lang w:val="fr-FR"/>
        </w:rPr>
        <w:t>Remarque </w:t>
      </w:r>
      <w:r w:rsidRPr="0046687A">
        <w:rPr>
          <w:iCs/>
          <w:lang w:val="fr-FR"/>
        </w:rPr>
        <w:t>:</w:t>
      </w:r>
      <w:r w:rsidRPr="003B3C1D">
        <w:rPr>
          <w:lang w:val="fr-FR"/>
        </w:rPr>
        <w:t xml:space="preserve"> Lorsque la décision n’est pas traduite, comme c’est le cas de la décision susmentionnée, on laisse le titre en anglais et on le met en italiques.</w:t>
      </w:r>
    </w:p>
    <w:p w14:paraId="7CAEA05D" w14:textId="0BA98CF1" w:rsidR="00EE7772" w:rsidRPr="0046687A" w:rsidRDefault="00EE7772" w:rsidP="0046687A">
      <w:pPr>
        <w:pStyle w:val="H1G"/>
      </w:pPr>
      <w:r>
        <w:rPr>
          <w:lang w:val="fr-FR"/>
        </w:rPr>
        <w:tab/>
      </w:r>
      <w:bookmarkStart w:id="33" w:name="_Toc139643371"/>
      <w:r w:rsidRPr="0046687A">
        <w:t>F.</w:t>
      </w:r>
      <w:r w:rsidRPr="0046687A">
        <w:tab/>
        <w:t>Mode de citation des sentences de la Cour permanente d’arbitrage</w:t>
      </w:r>
      <w:bookmarkEnd w:id="33"/>
    </w:p>
    <w:p w14:paraId="079A9D50" w14:textId="6A36E8D5" w:rsidR="0046687A" w:rsidRDefault="00EE7772" w:rsidP="0046687A">
      <w:pPr>
        <w:pStyle w:val="SingleTxtG"/>
        <w:rPr>
          <w:lang w:val="fr-FR"/>
        </w:rPr>
      </w:pPr>
      <w:r>
        <w:rPr>
          <w:lang w:val="fr-FR"/>
        </w:rPr>
        <w:t xml:space="preserve">Cour permanente d’arbitrage, </w:t>
      </w:r>
      <w:r w:rsidRPr="0046687A">
        <w:rPr>
          <w:lang w:val="fr-FR"/>
        </w:rPr>
        <w:t xml:space="preserve">Sentence arbitrale relative à la délimitation de la région de l’Abyei entre le Gouvernement du Soudan et le Mouvement/Armée populaire de libération du Soudan, </w:t>
      </w:r>
      <w:r>
        <w:rPr>
          <w:lang w:val="fr-FR"/>
        </w:rPr>
        <w:t xml:space="preserve">affaire no 2008-7, sentence, 22 juillet 2009, Nations Unies, </w:t>
      </w:r>
      <w:r w:rsidRPr="000B6FC8">
        <w:rPr>
          <w:i/>
          <w:iCs/>
          <w:lang w:val="fr-FR"/>
        </w:rPr>
        <w:t>Recueil des sentences arbitrales</w:t>
      </w:r>
      <w:r>
        <w:rPr>
          <w:lang w:val="fr-FR"/>
        </w:rPr>
        <w:t>, vol. XXX, p. 145 à 416, à la page 299.</w:t>
      </w:r>
    </w:p>
    <w:p w14:paraId="5E5C96BE" w14:textId="4CF5D10C" w:rsidR="0046687A" w:rsidRDefault="0046687A" w:rsidP="0046687A">
      <w:pPr>
        <w:pStyle w:val="SingleTxtG"/>
        <w:rPr>
          <w:lang w:val="fr-FR"/>
        </w:rPr>
      </w:pPr>
      <w:r w:rsidRPr="0046687A">
        <w:rPr>
          <w:i/>
          <w:iCs/>
          <w:lang w:val="fr-FR"/>
        </w:rPr>
        <w:t>Remarque</w:t>
      </w:r>
      <w:r>
        <w:rPr>
          <w:lang w:val="fr-FR"/>
        </w:rPr>
        <w:t xml:space="preserve"> : On donne toujours le titre en français de la </w:t>
      </w:r>
      <w:r w:rsidR="000E2023">
        <w:rPr>
          <w:lang w:val="fr-FR"/>
        </w:rPr>
        <w:t>sentence</w:t>
      </w:r>
      <w:r w:rsidR="001C2894">
        <w:rPr>
          <w:lang w:val="fr-FR"/>
        </w:rPr>
        <w:t>,</w:t>
      </w:r>
      <w:r>
        <w:rPr>
          <w:lang w:val="fr-FR"/>
        </w:rPr>
        <w:t xml:space="preserve"> tel qu’il apparaît dans le Recueil des sentences arbitrales, suivant la pratique utilisée pour les Annuaires.</w:t>
      </w:r>
      <w:r w:rsidR="001C2894">
        <w:rPr>
          <w:lang w:val="fr-FR"/>
        </w:rPr>
        <w:t xml:space="preserve"> On peut aussi consulter la liste des affaires et des sentences à l’adresse suivante </w:t>
      </w:r>
      <w:r w:rsidR="001C2894" w:rsidRPr="001C2894">
        <w:rPr>
          <w:lang w:val="fr-FR"/>
        </w:rPr>
        <w:t>https://pca-cpa.org/en/cases/</w:t>
      </w:r>
    </w:p>
    <w:p w14:paraId="2714A258" w14:textId="5DA4CF20" w:rsidR="0046687A" w:rsidRDefault="0046687A" w:rsidP="0046687A">
      <w:pPr>
        <w:pStyle w:val="SingleTxtG"/>
        <w:rPr>
          <w:lang w:val="fr-FR"/>
        </w:rPr>
      </w:pPr>
    </w:p>
    <w:p w14:paraId="16AAF191" w14:textId="65C817FE" w:rsidR="0046687A" w:rsidRDefault="0046687A" w:rsidP="0046687A">
      <w:pPr>
        <w:pStyle w:val="H1G"/>
        <w:rPr>
          <w:lang w:val="fr-FR"/>
        </w:rPr>
      </w:pPr>
      <w:bookmarkStart w:id="34" w:name="_Toc139643372"/>
      <w:r>
        <w:rPr>
          <w:lang w:val="fr-FR"/>
        </w:rPr>
        <w:t>G.</w:t>
      </w:r>
      <w:r w:rsidR="00913B65">
        <w:rPr>
          <w:lang w:val="fr-FR"/>
        </w:rPr>
        <w:tab/>
      </w:r>
      <w:r>
        <w:rPr>
          <w:lang w:val="fr-FR"/>
        </w:rPr>
        <w:t xml:space="preserve">Mode de citation des </w:t>
      </w:r>
      <w:r w:rsidR="000E2023">
        <w:rPr>
          <w:lang w:val="fr-FR"/>
        </w:rPr>
        <w:t>affaires dans lesquelles intervient le</w:t>
      </w:r>
      <w:r>
        <w:rPr>
          <w:lang w:val="fr-FR"/>
        </w:rPr>
        <w:t xml:space="preserve"> Centre international pour le règlement des différends</w:t>
      </w:r>
      <w:bookmarkEnd w:id="34"/>
    </w:p>
    <w:p w14:paraId="63117D25" w14:textId="12C0EF99" w:rsidR="000E2023" w:rsidRDefault="000E2023" w:rsidP="000E2023">
      <w:pPr>
        <w:rPr>
          <w:rStyle w:val="ui-provider"/>
        </w:rPr>
      </w:pPr>
      <w:r>
        <w:rPr>
          <w:rStyle w:val="ui-provider"/>
        </w:rPr>
        <w:t xml:space="preserve">Centre international pour le règlement des différends relatifs aux investissements, </w:t>
      </w:r>
      <w:r>
        <w:rPr>
          <w:rStyle w:val="ui-provider"/>
          <w:i/>
          <w:iCs/>
        </w:rPr>
        <w:t>El Paso Energy International Company v. The Argentine Republic</w:t>
      </w:r>
      <w:r>
        <w:rPr>
          <w:rStyle w:val="ui-provider"/>
        </w:rPr>
        <w:t>, affaire no ARB/03/15, sentence, 31 octobre 2011, par. 622.</w:t>
      </w:r>
    </w:p>
    <w:p w14:paraId="0EB47EED" w14:textId="3D76025F" w:rsidR="000E2023" w:rsidRDefault="000E2023" w:rsidP="000E2023">
      <w:pPr>
        <w:rPr>
          <w:rStyle w:val="ui-provider"/>
        </w:rPr>
      </w:pPr>
    </w:p>
    <w:p w14:paraId="7345B9CB" w14:textId="12152380" w:rsidR="000E2023" w:rsidRPr="000E2023" w:rsidRDefault="000E2023" w:rsidP="000E2023">
      <w:pPr>
        <w:rPr>
          <w:lang w:val="fr-FR"/>
        </w:rPr>
      </w:pPr>
      <w:r w:rsidRPr="000E2023">
        <w:rPr>
          <w:rStyle w:val="ui-provider"/>
          <w:i/>
          <w:iCs/>
        </w:rPr>
        <w:t>Remarque </w:t>
      </w:r>
      <w:r>
        <w:rPr>
          <w:rStyle w:val="ui-provider"/>
        </w:rPr>
        <w:t>: Le titre des affaires reste toujours en anglais.</w:t>
      </w:r>
    </w:p>
    <w:p w14:paraId="09CC5C15" w14:textId="7DAE2180" w:rsidR="003B3C1D" w:rsidRPr="003B3C1D" w:rsidRDefault="003B3C1D" w:rsidP="00F730FE">
      <w:pPr>
        <w:pStyle w:val="HChG"/>
        <w:rPr>
          <w:lang w:val="fr-FR"/>
        </w:rPr>
      </w:pPr>
      <w:r w:rsidRPr="003B3C1D">
        <w:rPr>
          <w:lang w:val="fr-FR"/>
        </w:rPr>
        <w:tab/>
      </w:r>
      <w:bookmarkStart w:id="35" w:name="_Toc139302178"/>
      <w:bookmarkStart w:id="36" w:name="_Toc139643373"/>
      <w:r w:rsidR="00F730FE">
        <w:rPr>
          <w:lang w:val="fr-FR"/>
        </w:rPr>
        <w:t>IV.</w:t>
      </w:r>
      <w:r w:rsidRPr="003B3C1D">
        <w:rPr>
          <w:lang w:val="fr-FR"/>
        </w:rPr>
        <w:tab/>
        <w:t xml:space="preserve">Place de la date dans les noms de </w:t>
      </w:r>
      <w:r w:rsidR="00883F94">
        <w:rPr>
          <w:lang w:val="fr-FR"/>
        </w:rPr>
        <w:t>c</w:t>
      </w:r>
      <w:r w:rsidRPr="003B3C1D">
        <w:rPr>
          <w:lang w:val="fr-FR"/>
        </w:rPr>
        <w:t>onvention</w:t>
      </w:r>
      <w:r w:rsidR="00883F94">
        <w:rPr>
          <w:lang w:val="fr-FR"/>
        </w:rPr>
        <w:t>s</w:t>
      </w:r>
      <w:bookmarkEnd w:id="35"/>
      <w:bookmarkEnd w:id="36"/>
    </w:p>
    <w:p w14:paraId="7FF53704" w14:textId="16FB1323" w:rsidR="003B3C1D" w:rsidRPr="003B3C1D" w:rsidRDefault="003B3C1D" w:rsidP="00F730FE">
      <w:pPr>
        <w:pStyle w:val="SingleTxtG"/>
        <w:rPr>
          <w:lang w:val="fr-FR"/>
        </w:rPr>
      </w:pPr>
      <w:r w:rsidRPr="003B3C1D">
        <w:rPr>
          <w:lang w:val="fr-FR"/>
        </w:rPr>
        <w:t xml:space="preserve">La mention de la date se place après le descriptif de la </w:t>
      </w:r>
      <w:r w:rsidR="00883F94">
        <w:rPr>
          <w:lang w:val="fr-FR"/>
        </w:rPr>
        <w:t>c</w:t>
      </w:r>
      <w:r w:rsidRPr="003B3C1D">
        <w:rPr>
          <w:lang w:val="fr-FR"/>
        </w:rPr>
        <w:t>onvention, précédé d’une virgule.</w:t>
      </w:r>
    </w:p>
    <w:p w14:paraId="7D4C86CA" w14:textId="77777777" w:rsidR="003B3C1D" w:rsidRPr="003B3C1D" w:rsidRDefault="003B3C1D" w:rsidP="00F730FE">
      <w:pPr>
        <w:pStyle w:val="SingleTxtG"/>
        <w:rPr>
          <w:lang w:val="fr-FR"/>
        </w:rPr>
      </w:pPr>
      <w:r w:rsidRPr="003B3C1D">
        <w:rPr>
          <w:lang w:val="fr-FR"/>
        </w:rPr>
        <w:t>Convention internationale pour la protection de toutes les personnes contre les disparitions forcées, de 2006</w:t>
      </w:r>
    </w:p>
    <w:p w14:paraId="7BDBFAC6" w14:textId="77777777" w:rsidR="003B3C1D" w:rsidRPr="003B3C1D" w:rsidRDefault="003B3C1D" w:rsidP="00F730FE">
      <w:pPr>
        <w:pStyle w:val="SingleTxtG"/>
        <w:rPr>
          <w:lang w:val="fr-FR"/>
        </w:rPr>
      </w:pPr>
      <w:r w:rsidRPr="003B3C1D">
        <w:rPr>
          <w:lang w:val="fr-FR"/>
        </w:rPr>
        <w:t>Convention sur l’imprescriptibilité des crimes de guerre et des crimes contre l’humanité, de 1968</w:t>
      </w:r>
    </w:p>
    <w:p w14:paraId="413086D3" w14:textId="77777777" w:rsidR="003B3C1D" w:rsidRPr="003B3C1D" w:rsidRDefault="003B3C1D" w:rsidP="00F730FE">
      <w:pPr>
        <w:pStyle w:val="SingleTxtG"/>
        <w:rPr>
          <w:lang w:val="fr-FR"/>
        </w:rPr>
      </w:pPr>
      <w:r w:rsidRPr="003B3C1D">
        <w:rPr>
          <w:lang w:val="fr-FR"/>
        </w:rPr>
        <w:t>Convention des Nations Unies contre la criminalité transnationale organisée, de 2000</w:t>
      </w:r>
    </w:p>
    <w:p w14:paraId="7DB12118" w14:textId="25E26888" w:rsidR="003B3C1D" w:rsidRPr="003B3C1D" w:rsidRDefault="003B3C1D" w:rsidP="00F730FE">
      <w:pPr>
        <w:pStyle w:val="HChG"/>
        <w:rPr>
          <w:lang w:val="fr-FR"/>
        </w:rPr>
      </w:pPr>
      <w:r w:rsidRPr="003B3C1D">
        <w:rPr>
          <w:lang w:val="fr-FR"/>
        </w:rPr>
        <w:tab/>
      </w:r>
      <w:bookmarkStart w:id="37" w:name="_Toc139302179"/>
      <w:bookmarkStart w:id="38" w:name="_Toc139643374"/>
      <w:r w:rsidR="00F730FE">
        <w:rPr>
          <w:lang w:val="fr-FR"/>
        </w:rPr>
        <w:t>V.</w:t>
      </w:r>
      <w:r w:rsidRPr="003B3C1D">
        <w:rPr>
          <w:lang w:val="fr-FR"/>
        </w:rPr>
        <w:tab/>
        <w:t>Rappels de note</w:t>
      </w:r>
      <w:bookmarkEnd w:id="37"/>
      <w:bookmarkEnd w:id="38"/>
    </w:p>
    <w:p w14:paraId="0F4F8AC3" w14:textId="77777777" w:rsidR="003B3C1D" w:rsidRPr="003B3C1D" w:rsidRDefault="003B3C1D" w:rsidP="00F730FE">
      <w:pPr>
        <w:pStyle w:val="SingleTxtG"/>
        <w:rPr>
          <w:lang w:val="fr-CA"/>
        </w:rPr>
      </w:pPr>
      <w:r w:rsidRPr="003B3C1D">
        <w:rPr>
          <w:lang w:val="fr-FR"/>
        </w:rPr>
        <w:t>La précision renvoyant à une note antérieure varie selon que la note commence ou non par "Voir".</w:t>
      </w:r>
    </w:p>
    <w:p w14:paraId="798B03D3" w14:textId="77777777" w:rsidR="003B3C1D" w:rsidRPr="003B3C1D" w:rsidRDefault="003B3C1D" w:rsidP="00F730FE">
      <w:pPr>
        <w:pStyle w:val="SingleTxtG"/>
        <w:rPr>
          <w:lang w:val="fr-FR"/>
        </w:rPr>
      </w:pPr>
      <w:r w:rsidRPr="003B3C1D">
        <w:rPr>
          <w:lang w:val="fr-FR"/>
        </w:rPr>
        <w:t xml:space="preserve">Auteur, Titre, etc. (voir </w:t>
      </w:r>
      <w:r w:rsidRPr="003B3C1D">
        <w:rPr>
          <w:i/>
          <w:iCs/>
          <w:lang w:val="fr-FR"/>
        </w:rPr>
        <w:t xml:space="preserve">supra </w:t>
      </w:r>
      <w:r w:rsidRPr="003B3C1D">
        <w:rPr>
          <w:lang w:val="fr-FR"/>
        </w:rPr>
        <w:t>la note 36)</w:t>
      </w:r>
    </w:p>
    <w:p w14:paraId="651E9D34" w14:textId="77777777" w:rsidR="003B3C1D" w:rsidRPr="003B3C1D" w:rsidRDefault="003B3C1D" w:rsidP="00F730FE">
      <w:pPr>
        <w:pStyle w:val="SingleTxtG"/>
        <w:rPr>
          <w:lang w:val="fr-FR"/>
        </w:rPr>
      </w:pPr>
      <w:r w:rsidRPr="003B3C1D">
        <w:rPr>
          <w:lang w:val="fr-FR"/>
        </w:rPr>
        <w:t xml:space="preserve">Voir Auteur, Titre, etc. (note 36 </w:t>
      </w:r>
      <w:r w:rsidRPr="003B3C1D">
        <w:rPr>
          <w:i/>
          <w:iCs/>
          <w:lang w:val="fr-FR"/>
        </w:rPr>
        <w:t>supra</w:t>
      </w:r>
      <w:r w:rsidRPr="003B3C1D">
        <w:rPr>
          <w:lang w:val="fr-FR"/>
        </w:rPr>
        <w:t>)</w:t>
      </w:r>
    </w:p>
    <w:p w14:paraId="6281AEED" w14:textId="65469674" w:rsidR="003B3C1D" w:rsidRPr="003B3C1D" w:rsidRDefault="003B3C1D" w:rsidP="00F730FE">
      <w:pPr>
        <w:pStyle w:val="HChG"/>
        <w:rPr>
          <w:lang w:val="fr-FR"/>
        </w:rPr>
      </w:pPr>
      <w:r w:rsidRPr="003B3C1D">
        <w:rPr>
          <w:lang w:val="fr-FR"/>
        </w:rPr>
        <w:tab/>
      </w:r>
      <w:bookmarkStart w:id="39" w:name="_Toc139302180"/>
      <w:bookmarkStart w:id="40" w:name="_Toc139643375"/>
      <w:r w:rsidR="00F730FE">
        <w:rPr>
          <w:lang w:val="fr-FR"/>
        </w:rPr>
        <w:t>VI.</w:t>
      </w:r>
      <w:r w:rsidRPr="003B3C1D">
        <w:rPr>
          <w:lang w:val="fr-FR"/>
        </w:rPr>
        <w:tab/>
      </w:r>
      <w:r w:rsidRPr="00F730FE">
        <w:t>Concordance</w:t>
      </w:r>
      <w:r w:rsidRPr="003B3C1D">
        <w:rPr>
          <w:lang w:val="fr-FR"/>
        </w:rPr>
        <w:t xml:space="preserve"> des temps</w:t>
      </w:r>
      <w:bookmarkEnd w:id="39"/>
      <w:bookmarkEnd w:id="40"/>
    </w:p>
    <w:p w14:paraId="2420AE8A" w14:textId="77777777" w:rsidR="003B3C1D" w:rsidRPr="003B3C1D" w:rsidRDefault="003B3C1D" w:rsidP="00F730FE">
      <w:pPr>
        <w:pStyle w:val="SingleTxtG"/>
        <w:rPr>
          <w:lang w:val="fr-FR"/>
        </w:rPr>
      </w:pPr>
      <w:r w:rsidRPr="003B3C1D">
        <w:rPr>
          <w:i/>
          <w:lang w:val="fr-FR"/>
        </w:rPr>
        <w:t>Rappel de la règle :</w:t>
      </w:r>
      <w:r w:rsidRPr="003B3C1D">
        <w:rPr>
          <w:lang w:val="fr-FR"/>
        </w:rPr>
        <w:t xml:space="preserve"> Lorsque le verbe de la principale est à un temps du passé (par exemple, passé composé), le verbe de la subordonnée est au plus-que-parfait (lorsque l’action subordonnée est antérieure à l’action principale) et à l’imparfait (lorsque l’action subordonnée et l’action principale sont simultanées).</w:t>
      </w:r>
    </w:p>
    <w:p w14:paraId="14D4A1F4" w14:textId="77777777" w:rsidR="003B3C1D" w:rsidRPr="003B3C1D" w:rsidRDefault="003B3C1D" w:rsidP="00D11582">
      <w:pPr>
        <w:pStyle w:val="SingleTxtG"/>
        <w:spacing w:line="220" w:lineRule="atLeast"/>
        <w:rPr>
          <w:lang w:val="fr-FR"/>
        </w:rPr>
      </w:pPr>
      <w:r w:rsidRPr="003B3C1D">
        <w:rPr>
          <w:lang w:val="fr-FR"/>
        </w:rPr>
        <w:t>La Chambre constate que l’Accusé est père de trois enfants.</w:t>
      </w:r>
    </w:p>
    <w:p w14:paraId="3C55BB7F" w14:textId="77777777" w:rsidR="003B3C1D" w:rsidRPr="003B3C1D" w:rsidRDefault="003B3C1D" w:rsidP="00D11582">
      <w:pPr>
        <w:pStyle w:val="SingleTxtG"/>
        <w:spacing w:line="220" w:lineRule="atLeast"/>
        <w:rPr>
          <w:lang w:val="fr-FR"/>
        </w:rPr>
      </w:pPr>
      <w:r w:rsidRPr="003B3C1D">
        <w:rPr>
          <w:lang w:val="fr-FR"/>
        </w:rPr>
        <w:t>La Chambre a constaté que l’Accusé était le père de trois enfants.</w:t>
      </w:r>
    </w:p>
    <w:p w14:paraId="4006D745" w14:textId="77777777" w:rsidR="003B3C1D" w:rsidRPr="003B3C1D" w:rsidRDefault="003B3C1D" w:rsidP="00D11582">
      <w:pPr>
        <w:pStyle w:val="SingleTxtG"/>
        <w:spacing w:line="220" w:lineRule="atLeast"/>
        <w:rPr>
          <w:lang w:val="fr-FR"/>
        </w:rPr>
      </w:pPr>
      <w:r w:rsidRPr="003B3C1D">
        <w:rPr>
          <w:lang w:val="fr-FR"/>
        </w:rPr>
        <w:t xml:space="preserve">Toutefois, lorsque l’action subordonnée est une vérité intemporelle, on accepte l’exception à la règle. C’est parfois plus naturel, ou plus pratique, notamment lorsque la concordance des temps obligerait à apporter de nombreuses modifications à une citation entre guillemets. Dans la mesure du possible, on essaiera de se mettre d’accord dès le départ avec ses collègues sur la manière de procéder, pour des raisons d’harmonisation. </w:t>
      </w:r>
    </w:p>
    <w:p w14:paraId="617D4DA1" w14:textId="77777777" w:rsidR="003B3C1D" w:rsidRPr="003B3C1D" w:rsidRDefault="003B3C1D" w:rsidP="00D11582">
      <w:pPr>
        <w:pStyle w:val="SingleTxtG"/>
        <w:spacing w:line="220" w:lineRule="atLeast"/>
        <w:rPr>
          <w:lang w:val="fr-FR"/>
        </w:rPr>
      </w:pPr>
      <w:r w:rsidRPr="003B3C1D">
        <w:rPr>
          <w:lang w:val="fr-FR"/>
        </w:rPr>
        <w:t xml:space="preserve">La Cour a dit qu’il était généralement admis que l’interdiction des crimes contre l’humanité était une règle de </w:t>
      </w:r>
      <w:r w:rsidRPr="003B3C1D">
        <w:rPr>
          <w:i/>
          <w:iCs/>
          <w:lang w:val="fr-FR"/>
        </w:rPr>
        <w:t>jus cogens</w:t>
      </w:r>
      <w:r w:rsidRPr="003B3C1D">
        <w:rPr>
          <w:lang w:val="fr-FR"/>
        </w:rPr>
        <w:t>.</w:t>
      </w:r>
    </w:p>
    <w:p w14:paraId="1F17F1FB" w14:textId="4F6556AD" w:rsidR="003B3C1D" w:rsidRPr="003B3C1D" w:rsidRDefault="003B3C1D" w:rsidP="00D11582">
      <w:pPr>
        <w:pStyle w:val="SingleTxtG"/>
        <w:spacing w:line="220" w:lineRule="atLeast"/>
        <w:rPr>
          <w:lang w:val="fr-FR"/>
        </w:rPr>
      </w:pPr>
      <w:r w:rsidRPr="003B3C1D">
        <w:rPr>
          <w:lang w:val="fr-FR"/>
        </w:rPr>
        <w:t>La Chambre de première instance a en outre noté que, en raison de l’élément de politique, ces crimes « ne peuvent pas être l’œuvre de seuls individus isolés ».</w:t>
      </w:r>
    </w:p>
    <w:p w14:paraId="74AAF183" w14:textId="5A036763" w:rsidR="003B3C1D" w:rsidRPr="003B3C1D" w:rsidRDefault="003B3C1D" w:rsidP="00D11582">
      <w:pPr>
        <w:pStyle w:val="HChG"/>
        <w:spacing w:line="280" w:lineRule="exact"/>
        <w:rPr>
          <w:lang w:val="fr-FR"/>
        </w:rPr>
      </w:pPr>
      <w:r w:rsidRPr="003B3C1D">
        <w:rPr>
          <w:lang w:val="fr-FR"/>
        </w:rPr>
        <w:tab/>
      </w:r>
      <w:bookmarkStart w:id="41" w:name="_Toc139302181"/>
      <w:bookmarkStart w:id="42" w:name="_Toc139643376"/>
      <w:r w:rsidR="00F730FE">
        <w:rPr>
          <w:lang w:val="fr-FR"/>
        </w:rPr>
        <w:t>VII.</w:t>
      </w:r>
      <w:r w:rsidRPr="003B3C1D">
        <w:rPr>
          <w:lang w:val="fr-FR"/>
        </w:rPr>
        <w:tab/>
      </w:r>
      <w:r w:rsidRPr="003B3C1D">
        <w:t>Commentaires</w:t>
      </w:r>
      <w:r w:rsidRPr="003B3C1D">
        <w:rPr>
          <w:lang w:val="fr-FR"/>
        </w:rPr>
        <w:t xml:space="preserve"> des </w:t>
      </w:r>
      <w:r w:rsidRPr="00D11582">
        <w:t>projets</w:t>
      </w:r>
      <w:r w:rsidRPr="003B3C1D">
        <w:rPr>
          <w:lang w:val="fr-FR"/>
        </w:rPr>
        <w:t xml:space="preserve"> d’article</w:t>
      </w:r>
      <w:bookmarkEnd w:id="41"/>
      <w:bookmarkEnd w:id="42"/>
    </w:p>
    <w:p w14:paraId="5D002BCB" w14:textId="14E50538" w:rsidR="003B3C1D" w:rsidRPr="003B3C1D" w:rsidRDefault="00CB1944" w:rsidP="00D11582">
      <w:pPr>
        <w:pStyle w:val="SingleTxtG"/>
        <w:spacing w:line="220" w:lineRule="atLeast"/>
        <w:rPr>
          <w:lang w:val="fr-FR"/>
        </w:rPr>
      </w:pPr>
      <w:r w:rsidRPr="00CB1944">
        <w:rPr>
          <w:lang w:val="fr-FR"/>
        </w:rPr>
        <w:t>Dans le corps des paragraphes des commentaires</w:t>
      </w:r>
      <w:r w:rsidR="006B3385">
        <w:rPr>
          <w:lang w:val="fr-FR"/>
        </w:rPr>
        <w:t xml:space="preserve"> </w:t>
      </w:r>
      <w:r w:rsidR="006B3385">
        <w:t>et dans les comptes rendus des séances de la Commission</w:t>
      </w:r>
      <w:r w:rsidRPr="00CB1944">
        <w:rPr>
          <w:lang w:val="fr-FR"/>
        </w:rPr>
        <w:t>, le numéro de ces paragraphes n'est pas suivi d'une parenthèse</w:t>
      </w:r>
      <w:r>
        <w:rPr>
          <w:lang w:val="fr-FR"/>
        </w:rPr>
        <w:t> :</w:t>
      </w:r>
    </w:p>
    <w:p w14:paraId="6A9CF8AA" w14:textId="77777777" w:rsidR="003B3C1D" w:rsidRPr="00D11582" w:rsidRDefault="003B3C1D" w:rsidP="00D11582">
      <w:pPr>
        <w:pStyle w:val="SingleTxtG"/>
        <w:spacing w:line="220" w:lineRule="atLeast"/>
        <w:rPr>
          <w:lang w:val="fr-FR"/>
        </w:rPr>
      </w:pPr>
      <w:r w:rsidRPr="00D11582">
        <w:rPr>
          <w:lang w:val="fr-FR"/>
        </w:rPr>
        <w:t>le paragraphe 4 du commentaire du projet d’article 2</w:t>
      </w:r>
    </w:p>
    <w:p w14:paraId="4B679F58" w14:textId="449AD082" w:rsidR="003B3C1D" w:rsidRPr="003B3C1D" w:rsidRDefault="00F730FE" w:rsidP="00D11582">
      <w:pPr>
        <w:pStyle w:val="HChG"/>
        <w:spacing w:line="280" w:lineRule="exact"/>
      </w:pPr>
      <w:bookmarkStart w:id="43" w:name="_Toc529433359"/>
      <w:r>
        <w:lastRenderedPageBreak/>
        <w:tab/>
      </w:r>
      <w:bookmarkStart w:id="44" w:name="_Toc139302182"/>
      <w:bookmarkStart w:id="45" w:name="_Toc139643377"/>
      <w:r>
        <w:t>VIII.</w:t>
      </w:r>
      <w:r>
        <w:tab/>
      </w:r>
      <w:r w:rsidR="003B3C1D" w:rsidRPr="003B3C1D">
        <w:t xml:space="preserve">Points de </w:t>
      </w:r>
      <w:r w:rsidR="003B3C1D" w:rsidRPr="00F730FE">
        <w:t>troncation</w:t>
      </w:r>
      <w:bookmarkEnd w:id="43"/>
      <w:bookmarkEnd w:id="44"/>
      <w:bookmarkEnd w:id="45"/>
    </w:p>
    <w:p w14:paraId="6158D8DF" w14:textId="77777777" w:rsidR="003B3C1D" w:rsidRPr="003B3C1D" w:rsidRDefault="003B3C1D" w:rsidP="00D11582">
      <w:pPr>
        <w:pStyle w:val="SingleTxtG"/>
        <w:spacing w:line="220" w:lineRule="atLeast"/>
        <w:rPr>
          <w:lang w:val="fr-FR"/>
        </w:rPr>
      </w:pPr>
      <w:r w:rsidRPr="003B3C1D">
        <w:rPr>
          <w:lang w:val="fr-FR"/>
        </w:rPr>
        <w:t>En français, les points de troncation s’écrivent toujours entre crochets. Ils s’insèrent à la place du texte supprimé, sans incidence sur la ponctuation qui précède ni sur celle qui suit.</w:t>
      </w:r>
    </w:p>
    <w:p w14:paraId="2884BE0D" w14:textId="77777777" w:rsidR="003B3C1D" w:rsidRPr="003B3C1D" w:rsidRDefault="003B3C1D" w:rsidP="00D11582">
      <w:pPr>
        <w:pStyle w:val="SingleTxtG"/>
        <w:spacing w:line="220" w:lineRule="atLeast"/>
        <w:ind w:left="1701"/>
        <w:rPr>
          <w:lang w:val="fr-FR"/>
        </w:rPr>
      </w:pPr>
      <w:r w:rsidRPr="003B3C1D">
        <w:rPr>
          <w:lang w:val="fr-FR"/>
        </w:rPr>
        <w:t>Aux termes du préambule du Statut de Rome, « les crimes les plus graves qui touchent l’ensemble de la communauté internationale ne sauraient rester impunis et [...] leur répression doit être effectivement assurée par des mesures prises dans le cadre national et par le renforcement de la coopération internationale ».</w:t>
      </w:r>
    </w:p>
    <w:p w14:paraId="077BC6CD" w14:textId="77777777" w:rsidR="003B3C1D" w:rsidRPr="003B3C1D" w:rsidRDefault="003B3C1D" w:rsidP="00D11582">
      <w:pPr>
        <w:pStyle w:val="SingleTxtG"/>
        <w:spacing w:line="220" w:lineRule="atLeast"/>
        <w:ind w:left="1701"/>
        <w:rPr>
          <w:lang w:val="fr-FR"/>
        </w:rPr>
      </w:pPr>
      <w:r w:rsidRPr="003B3C1D">
        <w:rPr>
          <w:lang w:val="fr-FR"/>
        </w:rPr>
        <w:t>Le commentaire venait préciser que le « caractère d’un crime est ce qui le distingue d’un autre crime [...] La gravité d’un crime se déduit des circonstances de sa commission et des sentiments qui ont animé son auteur. »</w:t>
      </w:r>
    </w:p>
    <w:p w14:paraId="3286644A" w14:textId="77777777" w:rsidR="003B3C1D" w:rsidRPr="003B3C1D" w:rsidRDefault="003B3C1D" w:rsidP="00D11582">
      <w:pPr>
        <w:pStyle w:val="SingleTxtG"/>
        <w:spacing w:line="220" w:lineRule="atLeast"/>
        <w:rPr>
          <w:lang w:val="fr-FR"/>
        </w:rPr>
      </w:pPr>
      <w:r w:rsidRPr="003B3C1D">
        <w:rPr>
          <w:lang w:val="fr-FR"/>
        </w:rPr>
        <w:t>En début et en fin de citation, on n’utilise pas […] mais, respectivement, les crochets autour de la première lettre et autour de la ponctuation finale.</w:t>
      </w:r>
    </w:p>
    <w:p w14:paraId="7EFBA893" w14:textId="1C71916C" w:rsidR="003B3C1D" w:rsidRPr="003B3C1D" w:rsidRDefault="003B3C1D" w:rsidP="00D11582">
      <w:pPr>
        <w:pStyle w:val="SingleTxtG"/>
        <w:spacing w:line="220" w:lineRule="atLeast"/>
        <w:ind w:left="1701"/>
        <w:rPr>
          <w:lang w:val="fr-FR"/>
        </w:rPr>
      </w:pPr>
      <w:r w:rsidRPr="003B3C1D">
        <w:rPr>
          <w:lang w:val="fr-FR"/>
        </w:rPr>
        <w:t>Ainsi, « si l’acte criminel est juridiquement le même, les moyens et les procédés se situent à des degrés variables de dépravation et de cruauté. Ce sont tous ces éléments qui doivent guider le juge dans l’application de la peine. »</w:t>
      </w:r>
    </w:p>
    <w:p w14:paraId="177F1155" w14:textId="2EB90D1E" w:rsidR="003B3C1D" w:rsidRPr="003B3C1D" w:rsidRDefault="009E2B87" w:rsidP="00D11582">
      <w:pPr>
        <w:pStyle w:val="HChG"/>
        <w:spacing w:line="280" w:lineRule="exact"/>
        <w:rPr>
          <w:lang w:val="fr-FR"/>
        </w:rPr>
      </w:pPr>
      <w:r>
        <w:rPr>
          <w:lang w:val="fr-FR"/>
        </w:rPr>
        <w:tab/>
      </w:r>
      <w:bookmarkStart w:id="46" w:name="_Toc139302183"/>
      <w:bookmarkStart w:id="47" w:name="_Toc139643378"/>
      <w:r>
        <w:rPr>
          <w:lang w:val="fr-FR"/>
        </w:rPr>
        <w:t>IX.</w:t>
      </w:r>
      <w:r>
        <w:rPr>
          <w:lang w:val="fr-FR"/>
        </w:rPr>
        <w:tab/>
      </w:r>
      <w:r w:rsidR="003B3C1D" w:rsidRPr="003B3C1D">
        <w:rPr>
          <w:lang w:val="fr-FR"/>
        </w:rPr>
        <w:t xml:space="preserve">Notes de bas </w:t>
      </w:r>
      <w:r w:rsidR="003B3C1D" w:rsidRPr="00D11582">
        <w:t>de</w:t>
      </w:r>
      <w:r w:rsidR="003B3C1D" w:rsidRPr="003B3C1D">
        <w:rPr>
          <w:lang w:val="fr-FR"/>
        </w:rPr>
        <w:t xml:space="preserve"> page</w:t>
      </w:r>
      <w:bookmarkEnd w:id="46"/>
      <w:bookmarkEnd w:id="47"/>
    </w:p>
    <w:p w14:paraId="00C89C29" w14:textId="77777777" w:rsidR="003B3C1D" w:rsidRPr="003B3C1D" w:rsidRDefault="003B3C1D" w:rsidP="00752DD3">
      <w:pPr>
        <w:pStyle w:val="SingleTxtG"/>
        <w:keepNext/>
        <w:rPr>
          <w:lang w:val="fr-FR"/>
        </w:rPr>
      </w:pPr>
      <w:r w:rsidRPr="003B3C1D">
        <w:rPr>
          <w:lang w:val="fr-FR"/>
        </w:rPr>
        <w:t>On suivra les instructions ci-après pour la traduction des notes de bas de page.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641"/>
      </w:tblGrid>
      <w:tr w:rsidR="00FA51E0" w:rsidRPr="003B3C1D" w14:paraId="56436EA2"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2B1B7FCD" w14:textId="77777777" w:rsidR="00FA51E0" w:rsidRPr="003B3C1D" w:rsidRDefault="00FA51E0" w:rsidP="00752DD3">
            <w:pPr>
              <w:keepNext/>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See, for example,…</w:t>
            </w:r>
          </w:p>
        </w:tc>
        <w:tc>
          <w:tcPr>
            <w:tcW w:w="4641" w:type="dxa"/>
            <w:tcBorders>
              <w:top w:val="single" w:sz="4" w:space="0" w:color="auto"/>
              <w:left w:val="single" w:sz="4" w:space="0" w:color="auto"/>
              <w:bottom w:val="single" w:sz="4" w:space="0" w:color="auto"/>
              <w:right w:val="single" w:sz="4" w:space="0" w:color="auto"/>
            </w:tcBorders>
            <w:hideMark/>
          </w:tcPr>
          <w:p w14:paraId="5902AA13" w14:textId="77777777" w:rsidR="00FA51E0" w:rsidRPr="003B3C1D" w:rsidRDefault="00FA51E0" w:rsidP="00752DD3">
            <w:pPr>
              <w:keepNext/>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Voir, par exemple, …</w:t>
            </w:r>
          </w:p>
        </w:tc>
      </w:tr>
      <w:tr w:rsidR="00FA51E0" w:rsidRPr="003B3C1D" w14:paraId="555E35EA"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73F82932"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See also…</w:t>
            </w:r>
          </w:p>
        </w:tc>
        <w:tc>
          <w:tcPr>
            <w:tcW w:w="4641" w:type="dxa"/>
            <w:tcBorders>
              <w:top w:val="single" w:sz="4" w:space="0" w:color="auto"/>
              <w:left w:val="single" w:sz="4" w:space="0" w:color="auto"/>
              <w:bottom w:val="single" w:sz="4" w:space="0" w:color="auto"/>
              <w:right w:val="single" w:sz="4" w:space="0" w:color="auto"/>
            </w:tcBorders>
            <w:hideMark/>
          </w:tcPr>
          <w:p w14:paraId="12515608"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Voir aussi…</w:t>
            </w:r>
          </w:p>
        </w:tc>
      </w:tr>
      <w:tr w:rsidR="00FA51E0" w:rsidRPr="003B3C1D" w14:paraId="25F7D0F7"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1A473704"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See, generally, …</w:t>
            </w:r>
          </w:p>
        </w:tc>
        <w:tc>
          <w:tcPr>
            <w:tcW w:w="4641" w:type="dxa"/>
            <w:tcBorders>
              <w:top w:val="single" w:sz="4" w:space="0" w:color="auto"/>
              <w:left w:val="single" w:sz="4" w:space="0" w:color="auto"/>
              <w:bottom w:val="single" w:sz="4" w:space="0" w:color="auto"/>
              <w:right w:val="single" w:sz="4" w:space="0" w:color="auto"/>
            </w:tcBorders>
            <w:hideMark/>
          </w:tcPr>
          <w:p w14:paraId="3916423C"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Voir, de manière générale, …</w:t>
            </w:r>
          </w:p>
        </w:tc>
      </w:tr>
      <w:tr w:rsidR="00FA51E0" w:rsidRPr="003B3C1D" w14:paraId="7F75D9F5"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2F184D0D"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pp. 10-20</w:t>
            </w:r>
          </w:p>
        </w:tc>
        <w:tc>
          <w:tcPr>
            <w:tcW w:w="4641" w:type="dxa"/>
            <w:tcBorders>
              <w:top w:val="single" w:sz="4" w:space="0" w:color="auto"/>
              <w:left w:val="single" w:sz="4" w:space="0" w:color="auto"/>
              <w:bottom w:val="single" w:sz="4" w:space="0" w:color="auto"/>
              <w:right w:val="single" w:sz="4" w:space="0" w:color="auto"/>
            </w:tcBorders>
            <w:hideMark/>
          </w:tcPr>
          <w:p w14:paraId="5250C3D6"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 10 à 20</w:t>
            </w:r>
          </w:p>
        </w:tc>
      </w:tr>
      <w:tr w:rsidR="00FA51E0" w:rsidRPr="003B3C1D" w14:paraId="3554EF84"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67377773"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 10 et sequ./ff.</w:t>
            </w:r>
          </w:p>
        </w:tc>
        <w:tc>
          <w:tcPr>
            <w:tcW w:w="4641" w:type="dxa"/>
            <w:tcBorders>
              <w:top w:val="single" w:sz="4" w:space="0" w:color="auto"/>
              <w:left w:val="single" w:sz="4" w:space="0" w:color="auto"/>
              <w:bottom w:val="single" w:sz="4" w:space="0" w:color="auto"/>
              <w:right w:val="single" w:sz="4" w:space="0" w:color="auto"/>
            </w:tcBorders>
            <w:hideMark/>
          </w:tcPr>
          <w:p w14:paraId="55EE62E6"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 10 et suiv.</w:t>
            </w:r>
          </w:p>
        </w:tc>
      </w:tr>
      <w:tr w:rsidR="00FA51E0" w:rsidRPr="003B3C1D" w14:paraId="2E60F7BA"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16756C41"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pp. 10-20 at p. 15</w:t>
            </w:r>
          </w:p>
        </w:tc>
        <w:tc>
          <w:tcPr>
            <w:tcW w:w="4641" w:type="dxa"/>
            <w:tcBorders>
              <w:top w:val="single" w:sz="4" w:space="0" w:color="auto"/>
              <w:left w:val="single" w:sz="4" w:space="0" w:color="auto"/>
              <w:bottom w:val="single" w:sz="4" w:space="0" w:color="auto"/>
              <w:right w:val="single" w:sz="4" w:space="0" w:color="auto"/>
            </w:tcBorders>
            <w:hideMark/>
          </w:tcPr>
          <w:p w14:paraId="31C6B02A"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 10 à 20, à la page 15</w:t>
            </w:r>
          </w:p>
        </w:tc>
      </w:tr>
      <w:tr w:rsidR="00FA51E0" w:rsidRPr="003B3C1D" w14:paraId="194E5D9B"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590C6473"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 noting that…</w:t>
            </w:r>
          </w:p>
        </w:tc>
        <w:tc>
          <w:tcPr>
            <w:tcW w:w="4641" w:type="dxa"/>
            <w:tcBorders>
              <w:top w:val="single" w:sz="4" w:space="0" w:color="auto"/>
              <w:left w:val="single" w:sz="4" w:space="0" w:color="auto"/>
              <w:bottom w:val="single" w:sz="4" w:space="0" w:color="auto"/>
              <w:right w:val="single" w:sz="4" w:space="0" w:color="auto"/>
            </w:tcBorders>
            <w:hideMark/>
          </w:tcPr>
          <w:p w14:paraId="4B766D5D"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 où il est dit / indiqué que …</w:t>
            </w:r>
          </w:p>
        </w:tc>
      </w:tr>
      <w:tr w:rsidR="00FA51E0" w:rsidRPr="003B3C1D" w14:paraId="7EA92B49"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6E69CE76"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ed(s)</w:t>
            </w:r>
          </w:p>
        </w:tc>
        <w:tc>
          <w:tcPr>
            <w:tcW w:w="4641" w:type="dxa"/>
            <w:tcBorders>
              <w:top w:val="single" w:sz="4" w:space="0" w:color="auto"/>
              <w:left w:val="single" w:sz="4" w:space="0" w:color="auto"/>
              <w:bottom w:val="single" w:sz="4" w:space="0" w:color="auto"/>
              <w:right w:val="single" w:sz="4" w:space="0" w:color="auto"/>
            </w:tcBorders>
            <w:hideMark/>
          </w:tcPr>
          <w:p w14:paraId="6C2265D2"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(dir. publ.)</w:t>
            </w:r>
          </w:p>
        </w:tc>
      </w:tr>
      <w:tr w:rsidR="00FA51E0" w:rsidRPr="003B3C1D" w14:paraId="503049B0"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3AEE956B" w14:textId="338963E2"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2</w:t>
            </w:r>
            <w:r w:rsidRPr="003B3C1D">
              <w:rPr>
                <w:rFonts w:eastAsia="Times New Roman"/>
                <w:vertAlign w:val="superscript"/>
                <w:lang w:val="fr-FR"/>
              </w:rPr>
              <w:t>nd</w:t>
            </w:r>
            <w:r w:rsidRPr="003B3C1D">
              <w:rPr>
                <w:rFonts w:eastAsia="Times New Roman"/>
                <w:lang w:val="fr-FR"/>
              </w:rPr>
              <w:t xml:space="preserve"> ed.</w:t>
            </w:r>
          </w:p>
        </w:tc>
        <w:tc>
          <w:tcPr>
            <w:tcW w:w="4641" w:type="dxa"/>
            <w:tcBorders>
              <w:top w:val="single" w:sz="4" w:space="0" w:color="auto"/>
              <w:left w:val="single" w:sz="4" w:space="0" w:color="auto"/>
              <w:bottom w:val="single" w:sz="4" w:space="0" w:color="auto"/>
              <w:right w:val="single" w:sz="4" w:space="0" w:color="auto"/>
            </w:tcBorders>
            <w:hideMark/>
          </w:tcPr>
          <w:p w14:paraId="6DE6F41F"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2</w:t>
            </w:r>
            <w:r w:rsidRPr="003B3C1D">
              <w:rPr>
                <w:rFonts w:eastAsia="Times New Roman"/>
                <w:vertAlign w:val="superscript"/>
                <w:lang w:val="fr-FR"/>
              </w:rPr>
              <w:t>e</w:t>
            </w:r>
            <w:r w:rsidRPr="003B3C1D">
              <w:rPr>
                <w:rFonts w:eastAsia="Times New Roman"/>
                <w:lang w:val="fr-FR"/>
              </w:rPr>
              <w:t xml:space="preserve"> éd.</w:t>
            </w:r>
          </w:p>
        </w:tc>
      </w:tr>
      <w:tr w:rsidR="00FA51E0" w:rsidRPr="003B3C1D" w14:paraId="280A6751"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6787CBA9"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2</w:t>
            </w:r>
            <w:r w:rsidRPr="003B3C1D">
              <w:rPr>
                <w:rFonts w:eastAsia="Times New Roman"/>
                <w:vertAlign w:val="superscript"/>
                <w:lang w:val="fr-FR"/>
              </w:rPr>
              <w:t>nd</w:t>
            </w:r>
            <w:r w:rsidRPr="003B3C1D">
              <w:rPr>
                <w:rFonts w:eastAsia="Times New Roman"/>
                <w:lang w:val="fr-FR"/>
              </w:rPr>
              <w:t xml:space="preserve"> rev. ed.</w:t>
            </w:r>
          </w:p>
        </w:tc>
        <w:tc>
          <w:tcPr>
            <w:tcW w:w="4641" w:type="dxa"/>
            <w:tcBorders>
              <w:top w:val="single" w:sz="4" w:space="0" w:color="auto"/>
              <w:left w:val="single" w:sz="4" w:space="0" w:color="auto"/>
              <w:bottom w:val="single" w:sz="4" w:space="0" w:color="auto"/>
              <w:right w:val="single" w:sz="4" w:space="0" w:color="auto"/>
            </w:tcBorders>
            <w:hideMark/>
          </w:tcPr>
          <w:p w14:paraId="5F9D13B8"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2</w:t>
            </w:r>
            <w:r w:rsidRPr="003B3C1D">
              <w:rPr>
                <w:rFonts w:eastAsia="Times New Roman"/>
                <w:vertAlign w:val="superscript"/>
                <w:lang w:val="fr-FR"/>
              </w:rPr>
              <w:t>e</w:t>
            </w:r>
            <w:r w:rsidRPr="003B3C1D">
              <w:rPr>
                <w:rFonts w:eastAsia="Times New Roman"/>
                <w:lang w:val="fr-FR"/>
              </w:rPr>
              <w:t xml:space="preserve"> édition revue et corrigée</w:t>
            </w:r>
          </w:p>
        </w:tc>
      </w:tr>
      <w:tr w:rsidR="00FA51E0" w:rsidRPr="003B3C1D" w14:paraId="3D18AB25"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322A505D"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Sales No E.08.V.2</w:t>
            </w:r>
          </w:p>
        </w:tc>
        <w:tc>
          <w:tcPr>
            <w:tcW w:w="4641" w:type="dxa"/>
            <w:tcBorders>
              <w:top w:val="single" w:sz="4" w:space="0" w:color="auto"/>
              <w:left w:val="single" w:sz="4" w:space="0" w:color="auto"/>
              <w:bottom w:val="single" w:sz="4" w:space="0" w:color="auto"/>
              <w:right w:val="single" w:sz="4" w:space="0" w:color="auto"/>
            </w:tcBorders>
            <w:hideMark/>
          </w:tcPr>
          <w:p w14:paraId="1C59D3A2"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Numéro de vente : F.08.V.2</w:t>
            </w:r>
          </w:p>
        </w:tc>
      </w:tr>
      <w:tr w:rsidR="00FA51E0" w:rsidRPr="003B3C1D" w14:paraId="5DFB0CCD"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766A743E"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Ibid</w:t>
            </w:r>
            <w:r w:rsidRPr="003B3C1D">
              <w:rPr>
                <w:rFonts w:eastAsia="Times New Roman"/>
                <w:lang w:val="fr-FR"/>
              </w:rPr>
              <w:t>.</w:t>
            </w:r>
          </w:p>
        </w:tc>
        <w:tc>
          <w:tcPr>
            <w:tcW w:w="4641" w:type="dxa"/>
            <w:tcBorders>
              <w:top w:val="single" w:sz="4" w:space="0" w:color="auto"/>
              <w:left w:val="single" w:sz="4" w:space="0" w:color="auto"/>
              <w:bottom w:val="single" w:sz="4" w:space="0" w:color="auto"/>
              <w:right w:val="single" w:sz="4" w:space="0" w:color="auto"/>
            </w:tcBorders>
            <w:hideMark/>
          </w:tcPr>
          <w:p w14:paraId="6CFA6B80"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Ibid. (pas d’italiques)</w:t>
            </w:r>
          </w:p>
        </w:tc>
      </w:tr>
      <w:tr w:rsidR="00FA51E0" w:rsidRPr="003B3C1D" w14:paraId="50D7C793"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032705B1"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Original emphasis</w:t>
            </w:r>
          </w:p>
        </w:tc>
        <w:tc>
          <w:tcPr>
            <w:tcW w:w="4641" w:type="dxa"/>
            <w:tcBorders>
              <w:top w:val="single" w:sz="4" w:space="0" w:color="auto"/>
              <w:left w:val="single" w:sz="4" w:space="0" w:color="auto"/>
              <w:bottom w:val="single" w:sz="4" w:space="0" w:color="auto"/>
              <w:right w:val="single" w:sz="4" w:space="0" w:color="auto"/>
            </w:tcBorders>
            <w:hideMark/>
          </w:tcPr>
          <w:p w14:paraId="0B121C63"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Souligné dans l’original (qu’il s’agisse d’italiques, de gras ou d’une autre façon de « souligner »)</w:t>
            </w:r>
          </w:p>
        </w:tc>
      </w:tr>
      <w:tr w:rsidR="00FA51E0" w:rsidRPr="003B3C1D" w14:paraId="1711FB20"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0110396C"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Emphasis added</w:t>
            </w:r>
          </w:p>
        </w:tc>
        <w:tc>
          <w:tcPr>
            <w:tcW w:w="4641" w:type="dxa"/>
            <w:tcBorders>
              <w:top w:val="single" w:sz="4" w:space="0" w:color="auto"/>
              <w:left w:val="single" w:sz="4" w:space="0" w:color="auto"/>
              <w:bottom w:val="single" w:sz="4" w:space="0" w:color="auto"/>
              <w:right w:val="single" w:sz="4" w:space="0" w:color="auto"/>
            </w:tcBorders>
            <w:hideMark/>
          </w:tcPr>
          <w:p w14:paraId="6677A56C" w14:textId="77777777" w:rsidR="00FA51E0" w:rsidRPr="003B3C1D" w:rsidRDefault="00FA51E0" w:rsidP="003B3C1D">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Non souligné dans l’original (qu’il s’agisse d’italiques, de gras ou d’une autre façon de « souligner »)</w:t>
            </w:r>
          </w:p>
        </w:tc>
      </w:tr>
      <w:tr w:rsidR="00FA51E0" w:rsidRPr="003B3C1D" w14:paraId="5F397F92" w14:textId="7BE55CD6" w:rsidTr="00FA51E0">
        <w:tc>
          <w:tcPr>
            <w:tcW w:w="4647" w:type="dxa"/>
            <w:tcBorders>
              <w:top w:val="single" w:sz="4" w:space="0" w:color="auto"/>
              <w:left w:val="single" w:sz="4" w:space="0" w:color="auto"/>
              <w:bottom w:val="single" w:sz="4" w:space="0" w:color="auto"/>
              <w:right w:val="single" w:sz="4" w:space="0" w:color="auto"/>
            </w:tcBorders>
          </w:tcPr>
          <w:p w14:paraId="5CF76B2E" w14:textId="74EE9A53" w:rsidR="00FA51E0" w:rsidRPr="003B3C1D" w:rsidRDefault="00CA0EC5" w:rsidP="0078367F">
            <w:pPr>
              <w:suppressAutoHyphens w:val="0"/>
              <w:kinsoku/>
              <w:overflowPunct/>
              <w:autoSpaceDE/>
              <w:autoSpaceDN/>
              <w:adjustRightInd/>
              <w:snapToGrid/>
              <w:spacing w:after="240" w:line="240" w:lineRule="auto"/>
              <w:jc w:val="both"/>
              <w:rPr>
                <w:rFonts w:eastAsia="Times New Roman"/>
                <w:lang w:val="fr-FR"/>
              </w:rPr>
            </w:pPr>
            <w:r w:rsidRPr="00CA0EC5">
              <w:rPr>
                <w:rFonts w:eastAsia="Times New Roman"/>
                <w:lang w:val="fr-FR"/>
              </w:rPr>
              <w:t>See, for example, the Fabiani case (1896) (in H. La Fontaine, Pasicrisie internationale 1794–1900: Histoire documentaire des arbitrages internationaux (Berlin, Stämpfli, 1902), p. 356)</w:t>
            </w:r>
          </w:p>
        </w:tc>
        <w:tc>
          <w:tcPr>
            <w:tcW w:w="4641" w:type="dxa"/>
            <w:tcBorders>
              <w:top w:val="single" w:sz="4" w:space="0" w:color="auto"/>
              <w:left w:val="single" w:sz="4" w:space="0" w:color="auto"/>
              <w:bottom w:val="single" w:sz="4" w:space="0" w:color="auto"/>
              <w:right w:val="single" w:sz="4" w:space="0" w:color="auto"/>
            </w:tcBorders>
          </w:tcPr>
          <w:p w14:paraId="1AD7ADF6" w14:textId="1497560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FA51E0">
              <w:rPr>
                <w:rFonts w:eastAsia="Times New Roman"/>
                <w:lang w:val="fr-FR"/>
              </w:rPr>
              <w:t>Voir, par exemple, l'affaire Fabiani (1896) (dans H. La Fontaine, Pasicrisie internationale 1794-1900 : Histoire documentaire des arbitrages internationaux, Berlin, Stämpfli, 1902, p. 356)</w:t>
            </w:r>
          </w:p>
        </w:tc>
      </w:tr>
      <w:tr w:rsidR="00FA51E0" w:rsidRPr="003B3C1D" w14:paraId="6CD0A214"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27DBC63B"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lastRenderedPageBreak/>
              <w:t>Accessed on (date)</w:t>
            </w:r>
          </w:p>
        </w:tc>
        <w:tc>
          <w:tcPr>
            <w:tcW w:w="4641" w:type="dxa"/>
            <w:tcBorders>
              <w:top w:val="single" w:sz="4" w:space="0" w:color="auto"/>
              <w:left w:val="single" w:sz="4" w:space="0" w:color="auto"/>
              <w:bottom w:val="single" w:sz="4" w:space="0" w:color="auto"/>
              <w:right w:val="single" w:sz="4" w:space="0" w:color="auto"/>
            </w:tcBorders>
            <w:hideMark/>
          </w:tcPr>
          <w:p w14:paraId="3550837A" w14:textId="4576A468"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Consulté le (date)</w:t>
            </w:r>
          </w:p>
        </w:tc>
      </w:tr>
      <w:tr w:rsidR="00FA51E0" w:rsidRPr="003B3C1D" w14:paraId="17E922B1"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1AE6D367"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w:t>
            </w:r>
          </w:p>
        </w:tc>
        <w:tc>
          <w:tcPr>
            <w:tcW w:w="4641" w:type="dxa"/>
            <w:tcBorders>
              <w:top w:val="single" w:sz="4" w:space="0" w:color="auto"/>
              <w:left w:val="single" w:sz="4" w:space="0" w:color="auto"/>
              <w:bottom w:val="single" w:sz="4" w:space="0" w:color="auto"/>
              <w:right w:val="single" w:sz="4" w:space="0" w:color="auto"/>
            </w:tcBorders>
            <w:hideMark/>
          </w:tcPr>
          <w:p w14:paraId="2448CCE5"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w:t>
            </w:r>
          </w:p>
        </w:tc>
      </w:tr>
      <w:tr w:rsidR="00FA51E0" w:rsidRPr="003B3C1D" w14:paraId="393DEC6A" w14:textId="77777777" w:rsidTr="00FA51E0">
        <w:tc>
          <w:tcPr>
            <w:tcW w:w="4647" w:type="dxa"/>
            <w:tcBorders>
              <w:top w:val="single" w:sz="4" w:space="0" w:color="auto"/>
              <w:left w:val="single" w:sz="4" w:space="0" w:color="auto"/>
              <w:bottom w:val="single" w:sz="4" w:space="0" w:color="auto"/>
              <w:right w:val="single" w:sz="4" w:space="0" w:color="auto"/>
            </w:tcBorders>
          </w:tcPr>
          <w:p w14:paraId="65E4AE4D"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en-US"/>
              </w:rPr>
            </w:pPr>
            <w:r w:rsidRPr="003B3C1D">
              <w:rPr>
                <w:rFonts w:eastAsia="Times New Roman"/>
                <w:lang w:val="en-US"/>
              </w:rPr>
              <w:t>Available at www.xxx.xx</w:t>
            </w:r>
          </w:p>
        </w:tc>
        <w:tc>
          <w:tcPr>
            <w:tcW w:w="4641" w:type="dxa"/>
            <w:tcBorders>
              <w:top w:val="single" w:sz="4" w:space="0" w:color="auto"/>
              <w:left w:val="single" w:sz="4" w:space="0" w:color="auto"/>
              <w:bottom w:val="single" w:sz="4" w:space="0" w:color="auto"/>
              <w:right w:val="single" w:sz="4" w:space="0" w:color="auto"/>
            </w:tcBorders>
          </w:tcPr>
          <w:p w14:paraId="10FF9D30"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CA"/>
              </w:rPr>
            </w:pPr>
            <w:r w:rsidRPr="003B3C1D">
              <w:rPr>
                <w:rFonts w:eastAsia="Times New Roman"/>
                <w:lang w:val="fr-CA"/>
              </w:rPr>
              <w:t>Disponible à l’adresse suivante : www.xxx.xx</w:t>
            </w:r>
          </w:p>
        </w:tc>
      </w:tr>
      <w:tr w:rsidR="00FA51E0" w:rsidRPr="003B3C1D" w14:paraId="09206103"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17A37E45"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subparagraph</w:t>
            </w:r>
          </w:p>
        </w:tc>
        <w:tc>
          <w:tcPr>
            <w:tcW w:w="4641" w:type="dxa"/>
            <w:tcBorders>
              <w:top w:val="single" w:sz="4" w:space="0" w:color="auto"/>
              <w:left w:val="single" w:sz="4" w:space="0" w:color="auto"/>
              <w:bottom w:val="single" w:sz="4" w:space="0" w:color="auto"/>
              <w:right w:val="single" w:sz="4" w:space="0" w:color="auto"/>
            </w:tcBorders>
            <w:hideMark/>
          </w:tcPr>
          <w:p w14:paraId="762FD5C9" w14:textId="77777777" w:rsidR="00FA51E0" w:rsidRPr="003B3C1D" w:rsidRDefault="00FA51E0" w:rsidP="0078367F">
            <w:pPr>
              <w:tabs>
                <w:tab w:val="left" w:pos="190"/>
                <w:tab w:val="left" w:pos="475"/>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t>alinéa</w:t>
            </w:r>
          </w:p>
          <w:p w14:paraId="24296D1E" w14:textId="77777777" w:rsidR="00FA51E0" w:rsidRPr="003B3C1D" w:rsidRDefault="00FA51E0" w:rsidP="0078367F">
            <w:pPr>
              <w:tabs>
                <w:tab w:val="left" w:pos="190"/>
                <w:tab w:val="left" w:pos="475"/>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t>al. Cette abréviation s’emploie dans les notes et références entre parenthèses, mais non après l’article défini :</w:t>
            </w:r>
          </w:p>
          <w:p w14:paraId="644BDD5B" w14:textId="77777777" w:rsidR="00FA51E0" w:rsidRPr="003B3C1D" w:rsidRDefault="00FA51E0" w:rsidP="0078367F">
            <w:pPr>
              <w:tabs>
                <w:tab w:val="left" w:pos="190"/>
                <w:tab w:val="left" w:pos="292"/>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sym w:font="Webdings" w:char="F034"/>
            </w:r>
            <w:r w:rsidRPr="003B3C1D">
              <w:rPr>
                <w:rFonts w:eastAsia="Times New Roman"/>
                <w:lang w:val="fr-FR"/>
              </w:rPr>
              <w:t>Voir</w:t>
            </w:r>
            <w:r w:rsidRPr="003B3C1D">
              <w:rPr>
                <w:rFonts w:eastAsia="Times New Roman"/>
                <w:i/>
                <w:iCs/>
                <w:lang w:val="fr-FR"/>
              </w:rPr>
              <w:t xml:space="preserve"> </w:t>
            </w:r>
            <w:r w:rsidRPr="003B3C1D">
              <w:rPr>
                <w:rFonts w:eastAsia="Times New Roman"/>
                <w:lang w:val="fr-FR"/>
              </w:rPr>
              <w:t xml:space="preserve">par. 7, al. a) et b) </w:t>
            </w:r>
          </w:p>
          <w:p w14:paraId="4D77D482"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 xml:space="preserve">  Mais</w:t>
            </w:r>
            <w:r w:rsidRPr="003B3C1D">
              <w:rPr>
                <w:rFonts w:eastAsia="Times New Roman"/>
                <w:lang w:val="fr-FR"/>
              </w:rPr>
              <w:t> : Voir les alinéas a) et b) du paragraphe 7</w:t>
            </w:r>
          </w:p>
        </w:tc>
      </w:tr>
      <w:tr w:rsidR="00FA51E0" w:rsidRPr="003B3C1D" w14:paraId="669C99D3"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3A366524"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art.  pour article(s)</w:t>
            </w:r>
          </w:p>
        </w:tc>
        <w:tc>
          <w:tcPr>
            <w:tcW w:w="4641" w:type="dxa"/>
            <w:tcBorders>
              <w:top w:val="single" w:sz="4" w:space="0" w:color="auto"/>
              <w:left w:val="single" w:sz="4" w:space="0" w:color="auto"/>
              <w:bottom w:val="single" w:sz="4" w:space="0" w:color="auto"/>
              <w:right w:val="single" w:sz="4" w:space="0" w:color="auto"/>
            </w:tcBorders>
            <w:hideMark/>
          </w:tcPr>
          <w:p w14:paraId="53D2E0A2" w14:textId="77777777" w:rsidR="00FA51E0" w:rsidRPr="003B3C1D" w:rsidRDefault="00FA51E0" w:rsidP="0078367F">
            <w:pPr>
              <w:tabs>
                <w:tab w:val="left" w:pos="288"/>
                <w:tab w:val="left" w:pos="576"/>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t>Cette abréviation s’emploie dans les notes et références entre parenthèses, mais non après l’article défini.</w:t>
            </w:r>
          </w:p>
          <w:p w14:paraId="5C00766D" w14:textId="77777777" w:rsidR="00FA51E0" w:rsidRPr="003B3C1D" w:rsidRDefault="00FA51E0" w:rsidP="0078367F">
            <w:pPr>
              <w:tabs>
                <w:tab w:val="left" w:pos="288"/>
                <w:tab w:val="left" w:pos="576"/>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sym w:font="Webdings" w:char="F034"/>
            </w:r>
            <w:r w:rsidRPr="003B3C1D">
              <w:rPr>
                <w:rFonts w:eastAsia="Times New Roman"/>
                <w:lang w:val="fr-FR"/>
              </w:rPr>
              <w:tab/>
              <w:t>Voir art. 2</w:t>
            </w:r>
          </w:p>
          <w:p w14:paraId="18CC09B1"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 xml:space="preserve">  Mais</w:t>
            </w:r>
            <w:r w:rsidRPr="003B3C1D">
              <w:rPr>
                <w:rFonts w:eastAsia="Times New Roman"/>
                <w:lang w:val="fr-FR"/>
              </w:rPr>
              <w:t> : Voir l’article 2</w:t>
            </w:r>
          </w:p>
        </w:tc>
      </w:tr>
      <w:tr w:rsidR="00FA51E0" w:rsidRPr="003B3C1D" w14:paraId="13D0B055"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20C61B48"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chap.  pour chapitre(s)</w:t>
            </w:r>
          </w:p>
        </w:tc>
        <w:tc>
          <w:tcPr>
            <w:tcW w:w="4641" w:type="dxa"/>
            <w:tcBorders>
              <w:top w:val="single" w:sz="4" w:space="0" w:color="auto"/>
              <w:left w:val="single" w:sz="4" w:space="0" w:color="auto"/>
              <w:bottom w:val="single" w:sz="4" w:space="0" w:color="auto"/>
              <w:right w:val="single" w:sz="4" w:space="0" w:color="auto"/>
            </w:tcBorders>
            <w:hideMark/>
          </w:tcPr>
          <w:p w14:paraId="6B1154A6" w14:textId="77777777" w:rsidR="00FA51E0" w:rsidRPr="003B3C1D" w:rsidRDefault="00FA51E0" w:rsidP="0078367F">
            <w:pPr>
              <w:tabs>
                <w:tab w:val="left" w:pos="288"/>
                <w:tab w:val="left" w:pos="576"/>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t>Cette abréviation s’emploie dans les notes et références entre parenthèses, mais non après l’article défini.</w:t>
            </w:r>
          </w:p>
          <w:p w14:paraId="12E946B0" w14:textId="77777777" w:rsidR="00FA51E0" w:rsidRPr="003B3C1D" w:rsidRDefault="00FA51E0" w:rsidP="0078367F">
            <w:pPr>
              <w:tabs>
                <w:tab w:val="left" w:pos="288"/>
                <w:tab w:val="left" w:pos="576"/>
                <w:tab w:val="left" w:pos="864"/>
                <w:tab w:val="left" w:pos="1152"/>
              </w:tabs>
              <w:kinsoku/>
              <w:overflowPunct/>
              <w:autoSpaceDE/>
              <w:autoSpaceDN/>
              <w:adjustRightInd/>
              <w:snapToGrid/>
              <w:spacing w:before="40" w:after="40" w:line="220" w:lineRule="exact"/>
              <w:ind w:left="43" w:right="43"/>
              <w:jc w:val="both"/>
              <w:rPr>
                <w:rFonts w:eastAsia="Times New Roman"/>
                <w:lang w:val="fr-FR"/>
              </w:rPr>
            </w:pPr>
            <w:r w:rsidRPr="003B3C1D">
              <w:rPr>
                <w:rFonts w:eastAsia="Times New Roman"/>
                <w:lang w:val="fr-FR"/>
              </w:rPr>
              <w:sym w:font="Webdings" w:char="F034"/>
            </w:r>
            <w:r w:rsidRPr="003B3C1D">
              <w:rPr>
                <w:rFonts w:eastAsia="Times New Roman"/>
                <w:lang w:val="fr-FR"/>
              </w:rPr>
              <w:tab/>
              <w:t>Voir chap. XII, sect. 3</w:t>
            </w:r>
          </w:p>
          <w:p w14:paraId="1A499473"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 xml:space="preserve">  Mais</w:t>
            </w:r>
            <w:r w:rsidRPr="003B3C1D">
              <w:rPr>
                <w:rFonts w:eastAsia="Times New Roman"/>
                <w:lang w:val="fr-FR"/>
              </w:rPr>
              <w:t> : Voir la section 3 du chapitre XII</w:t>
            </w:r>
          </w:p>
        </w:tc>
      </w:tr>
      <w:tr w:rsidR="00FA51E0" w:rsidRPr="003B3C1D" w14:paraId="0F3E4BF7"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48097B54"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 pour pages, sect. pour section, vol. pour volume, etc.</w:t>
            </w:r>
          </w:p>
        </w:tc>
        <w:tc>
          <w:tcPr>
            <w:tcW w:w="4641" w:type="dxa"/>
            <w:tcBorders>
              <w:top w:val="single" w:sz="4" w:space="0" w:color="auto"/>
              <w:left w:val="single" w:sz="4" w:space="0" w:color="auto"/>
              <w:bottom w:val="single" w:sz="4" w:space="0" w:color="auto"/>
              <w:right w:val="single" w:sz="4" w:space="0" w:color="auto"/>
            </w:tcBorders>
            <w:hideMark/>
          </w:tcPr>
          <w:p w14:paraId="2ECD262D"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Même règle : en toutes lettres après l’article défini.</w:t>
            </w:r>
          </w:p>
        </w:tc>
      </w:tr>
      <w:tr w:rsidR="00FA51E0" w:rsidRPr="003B3C1D" w14:paraId="59751391"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63F4FE5F" w14:textId="304A845F"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Yearbook</w:t>
            </w:r>
            <w:r w:rsidR="00FA15BE">
              <w:rPr>
                <w:rFonts w:eastAsia="Times New Roman"/>
                <w:i/>
                <w:iCs/>
                <w:lang w:val="fr-FR"/>
              </w:rPr>
              <w:t>…</w:t>
            </w:r>
            <w:r w:rsidRPr="003B3C1D">
              <w:rPr>
                <w:rFonts w:eastAsia="Times New Roman"/>
                <w:lang w:val="fr-FR"/>
              </w:rPr>
              <w:t xml:space="preserve"> - quelle que soit la présentation dans l’original</w:t>
            </w:r>
          </w:p>
        </w:tc>
        <w:tc>
          <w:tcPr>
            <w:tcW w:w="4641" w:type="dxa"/>
            <w:tcBorders>
              <w:top w:val="single" w:sz="4" w:space="0" w:color="auto"/>
              <w:left w:val="single" w:sz="4" w:space="0" w:color="auto"/>
              <w:bottom w:val="single" w:sz="4" w:space="0" w:color="auto"/>
              <w:right w:val="single" w:sz="4" w:space="0" w:color="auto"/>
            </w:tcBorders>
            <w:hideMark/>
          </w:tcPr>
          <w:p w14:paraId="038CF17B" w14:textId="77777777" w:rsidR="00FA51E0" w:rsidRDefault="0013371F" w:rsidP="0078367F">
            <w:pPr>
              <w:suppressAutoHyphens w:val="0"/>
              <w:kinsoku/>
              <w:overflowPunct/>
              <w:autoSpaceDE/>
              <w:autoSpaceDN/>
              <w:adjustRightInd/>
              <w:snapToGrid/>
              <w:spacing w:after="240" w:line="240" w:lineRule="auto"/>
              <w:jc w:val="both"/>
              <w:rPr>
                <w:rFonts w:ascii="TimesNewRomanPSMT" w:eastAsia="Times New Roman" w:hAnsi="TimesNewRomanPSMT" w:cs="TimesNewRomanPSMT"/>
                <w:lang w:eastAsia="fr-CH"/>
              </w:rPr>
            </w:pPr>
            <w:r>
              <w:rPr>
                <w:rStyle w:val="ui-provider"/>
              </w:rPr>
              <w:t>Écrire "</w:t>
            </w:r>
            <w:r w:rsidRPr="0013371F">
              <w:rPr>
                <w:rStyle w:val="ui-provider"/>
                <w:i/>
                <w:iCs/>
              </w:rPr>
              <w:t>Annuaire de la Commission du droit international</w:t>
            </w:r>
            <w:r>
              <w:rPr>
                <w:rStyle w:val="ui-provider"/>
                <w:i/>
                <w:iCs/>
              </w:rPr>
              <w:t>, XXXX</w:t>
            </w:r>
            <w:r>
              <w:rPr>
                <w:rStyle w:val="ui-provider"/>
              </w:rPr>
              <w:t xml:space="preserve">" (où </w:t>
            </w:r>
            <w:r w:rsidRPr="00FA15BE">
              <w:rPr>
                <w:rStyle w:val="ui-provider"/>
                <w:i/>
                <w:iCs/>
              </w:rPr>
              <w:t>XXXX</w:t>
            </w:r>
            <w:r>
              <w:rPr>
                <w:rStyle w:val="ui-provider"/>
              </w:rPr>
              <w:t xml:space="preserve"> est l’année) à la toute première référence à un annuaire. Ensuite, pour toutes les références à n'importe quel annuaire, écrire simplement, par exemple : « </w:t>
            </w:r>
            <w:r w:rsidRPr="003B3C1D">
              <w:rPr>
                <w:rFonts w:ascii="TimesNewRomanPS-ItalicMT" w:eastAsia="Times New Roman" w:hAnsi="TimesNewRomanPS-ItalicMT" w:cs="TimesNewRomanPS-ItalicMT"/>
                <w:i/>
                <w:iCs/>
                <w:lang w:eastAsia="fr-CH"/>
              </w:rPr>
              <w:t xml:space="preserve"> </w:t>
            </w:r>
            <w:r w:rsidR="00FA51E0" w:rsidRPr="003B3C1D">
              <w:rPr>
                <w:rFonts w:ascii="TimesNewRomanPS-ItalicMT" w:eastAsia="Times New Roman" w:hAnsi="TimesNewRomanPS-ItalicMT" w:cs="TimesNewRomanPS-ItalicMT"/>
                <w:i/>
                <w:iCs/>
                <w:lang w:eastAsia="fr-CH"/>
              </w:rPr>
              <w:t>Annuaire…</w:t>
            </w:r>
            <w:r>
              <w:rPr>
                <w:rFonts w:ascii="TimesNewRomanPS-ItalicMT" w:eastAsia="Times New Roman" w:hAnsi="TimesNewRomanPS-ItalicMT" w:cs="TimesNewRomanPS-ItalicMT"/>
                <w:i/>
                <w:iCs/>
                <w:lang w:eastAsia="fr-CH"/>
              </w:rPr>
              <w:t>XXXX</w:t>
            </w:r>
            <w:r>
              <w:rPr>
                <w:rFonts w:ascii="TimesNewRomanPSMT" w:eastAsia="Times New Roman" w:hAnsi="TimesNewRomanPSMT" w:cs="TimesNewRomanPSMT"/>
                <w:lang w:eastAsia="fr-CH"/>
              </w:rPr>
              <w:t> »</w:t>
            </w:r>
            <w:r w:rsidR="00FA15BE">
              <w:rPr>
                <w:rFonts w:ascii="TimesNewRomanPSMT" w:eastAsia="Times New Roman" w:hAnsi="TimesNewRomanPSMT" w:cs="TimesNewRomanPSMT"/>
                <w:lang w:eastAsia="fr-CH"/>
              </w:rPr>
              <w:t>.</w:t>
            </w:r>
          </w:p>
          <w:p w14:paraId="7E4B4AF6" w14:textId="5F31273C" w:rsidR="00FA15BE" w:rsidRDefault="00FA15BE" w:rsidP="0078367F">
            <w:pPr>
              <w:suppressAutoHyphens w:val="0"/>
              <w:kinsoku/>
              <w:overflowPunct/>
              <w:autoSpaceDE/>
              <w:autoSpaceDN/>
              <w:adjustRightInd/>
              <w:snapToGrid/>
              <w:spacing w:after="240" w:line="240" w:lineRule="auto"/>
              <w:jc w:val="both"/>
              <w:rPr>
                <w:rFonts w:ascii="TimesNewRomanPSMT" w:eastAsia="Times New Roman" w:hAnsi="TimesNewRomanPSMT" w:cs="TimesNewRomanPSMT"/>
                <w:lang w:eastAsia="fr-CH"/>
              </w:rPr>
            </w:pPr>
            <w:r>
              <w:rPr>
                <w:rFonts w:ascii="TimesNewRomanPSMT" w:eastAsia="Times New Roman" w:hAnsi="TimesNewRomanPSMT" w:cs="TimesNewRomanPSMT"/>
                <w:lang w:eastAsia="fr-CH"/>
              </w:rPr>
              <w:t>Lorsqu’il est fait référence à un annuaire qui n’est pas encore publié en français, renvoyer au rapport annuel, comme dans l’exemple suivant</w:t>
            </w:r>
            <w:r w:rsidR="003559DD">
              <w:rPr>
                <w:rFonts w:ascii="TimesNewRomanPSMT" w:eastAsia="Times New Roman" w:hAnsi="TimesNewRomanPSMT" w:cs="TimesNewRomanPSMT"/>
                <w:lang w:eastAsia="fr-CH"/>
              </w:rPr>
              <w:t xml:space="preserve"> (se reporter au fichier Tradform pour l</w:t>
            </w:r>
            <w:r w:rsidR="007C002A">
              <w:rPr>
                <w:rFonts w:ascii="TimesNewRomanPSMT" w:eastAsia="Times New Roman" w:hAnsi="TimesNewRomanPSMT" w:cs="TimesNewRomanPSMT"/>
                <w:lang w:eastAsia="fr-CH"/>
              </w:rPr>
              <w:t>a côte)</w:t>
            </w:r>
            <w:r>
              <w:rPr>
                <w:rFonts w:ascii="TimesNewRomanPSMT" w:eastAsia="Times New Roman" w:hAnsi="TimesNewRomanPSMT" w:cs="TimesNewRomanPSMT"/>
                <w:lang w:eastAsia="fr-CH"/>
              </w:rPr>
              <w:t> :</w:t>
            </w:r>
          </w:p>
          <w:p w14:paraId="4011AA50" w14:textId="691D771C" w:rsidR="003559DD" w:rsidRDefault="003559DD" w:rsidP="0078367F">
            <w:pPr>
              <w:suppressAutoHyphens w:val="0"/>
              <w:kinsoku/>
              <w:overflowPunct/>
              <w:autoSpaceDE/>
              <w:autoSpaceDN/>
              <w:adjustRightInd/>
              <w:snapToGrid/>
              <w:spacing w:after="240" w:line="240" w:lineRule="auto"/>
              <w:jc w:val="both"/>
              <w:rPr>
                <w:rFonts w:ascii="TimesNewRomanPSMT" w:eastAsia="Times New Roman" w:hAnsi="TimesNewRomanPSMT" w:cs="TimesNewRomanPSMT"/>
                <w:lang w:eastAsia="fr-CH"/>
              </w:rPr>
            </w:pPr>
            <w:r w:rsidRPr="003559DD">
              <w:rPr>
                <w:rFonts w:eastAsia="Times New Roman"/>
                <w:i/>
                <w:iCs/>
                <w:sz w:val="17"/>
                <w:szCs w:val="17"/>
                <w:lang w:val="en-US"/>
              </w:rPr>
              <w:t>Yearbook … 2018</w:t>
            </w:r>
            <w:r w:rsidRPr="003559DD">
              <w:rPr>
                <w:rFonts w:eastAsia="Times New Roman"/>
                <w:sz w:val="17"/>
                <w:szCs w:val="17"/>
                <w:lang w:val="en-US"/>
              </w:rPr>
              <w:t xml:space="preserve">, vol. II (Part Two), para. </w:t>
            </w:r>
            <w:r w:rsidRPr="001B745A">
              <w:rPr>
                <w:rFonts w:eastAsia="Times New Roman"/>
                <w:sz w:val="17"/>
                <w:szCs w:val="17"/>
              </w:rPr>
              <w:t>6</w:t>
            </w:r>
            <w:r w:rsidRPr="00921590">
              <w:rPr>
                <w:rFonts w:eastAsia="Times New Roman"/>
                <w:sz w:val="17"/>
                <w:szCs w:val="17"/>
              </w:rPr>
              <w:t>5</w:t>
            </w:r>
            <w:r w:rsidR="007C002A">
              <w:rPr>
                <w:rFonts w:eastAsia="Times New Roman"/>
                <w:sz w:val="17"/>
                <w:szCs w:val="17"/>
              </w:rPr>
              <w:t>.</w:t>
            </w:r>
          </w:p>
          <w:p w14:paraId="48CF72D4" w14:textId="5CC9C7A6" w:rsidR="00FA15BE" w:rsidRPr="00FA15BE" w:rsidRDefault="003559DD" w:rsidP="0078367F">
            <w:pPr>
              <w:suppressAutoHyphens w:val="0"/>
              <w:kinsoku/>
              <w:overflowPunct/>
              <w:autoSpaceDE/>
              <w:autoSpaceDN/>
              <w:adjustRightInd/>
              <w:snapToGrid/>
              <w:spacing w:after="240" w:line="240" w:lineRule="auto"/>
              <w:jc w:val="both"/>
              <w:rPr>
                <w:rFonts w:eastAsia="Times New Roman"/>
              </w:rPr>
            </w:pPr>
            <w:r w:rsidRPr="00363ED1">
              <w:rPr>
                <w:rFonts w:eastAsia="Times New Roman"/>
                <w:i/>
                <w:iCs/>
                <w:sz w:val="17"/>
                <w:szCs w:val="17"/>
                <w:lang w:val="fr-FR"/>
              </w:rPr>
              <w:t>Documents officiels de l’Assemblée générale, soixante-dixième session, Supplément n</w:t>
            </w:r>
            <w:r w:rsidRPr="00363ED1">
              <w:rPr>
                <w:rFonts w:eastAsia="Times New Roman"/>
                <w:i/>
                <w:iCs/>
                <w:sz w:val="17"/>
                <w:szCs w:val="17"/>
                <w:vertAlign w:val="superscript"/>
                <w:lang w:val="fr-FR"/>
              </w:rPr>
              <w:t>o</w:t>
            </w:r>
            <w:r w:rsidRPr="00363ED1">
              <w:rPr>
                <w:rFonts w:eastAsia="Times New Roman"/>
                <w:i/>
                <w:iCs/>
                <w:sz w:val="17"/>
                <w:szCs w:val="17"/>
                <w:lang w:val="fr-FR"/>
              </w:rPr>
              <w:t xml:space="preserve"> 10 </w:t>
            </w:r>
            <w:r w:rsidRPr="00E53983">
              <w:rPr>
                <w:rFonts w:eastAsia="Times New Roman"/>
                <w:sz w:val="17"/>
                <w:szCs w:val="17"/>
                <w:lang w:val="fr-FR"/>
              </w:rPr>
              <w:t>(</w:t>
            </w:r>
            <w:r w:rsidRPr="00363ED1">
              <w:rPr>
                <w:rFonts w:eastAsia="Times New Roman"/>
                <w:sz w:val="17"/>
                <w:szCs w:val="17"/>
                <w:lang w:val="fr-FR"/>
              </w:rPr>
              <w:t>A/73/10)</w:t>
            </w:r>
            <w:r>
              <w:rPr>
                <w:rFonts w:eastAsia="Times New Roman"/>
                <w:sz w:val="17"/>
                <w:szCs w:val="17"/>
                <w:lang w:val="fr-FR"/>
              </w:rPr>
              <w:t xml:space="preserve">, </w:t>
            </w:r>
            <w:r w:rsidRPr="00E53983">
              <w:rPr>
                <w:rFonts w:eastAsia="Times New Roman"/>
                <w:sz w:val="17"/>
                <w:szCs w:val="17"/>
                <w:lang w:val="fr-FR"/>
              </w:rPr>
              <w:t>par. 6</w:t>
            </w:r>
            <w:r>
              <w:rPr>
                <w:rFonts w:eastAsia="Times New Roman"/>
                <w:sz w:val="17"/>
                <w:szCs w:val="17"/>
                <w:lang w:val="fr-FR"/>
              </w:rPr>
              <w:t>5</w:t>
            </w:r>
            <w:r w:rsidR="007C002A">
              <w:rPr>
                <w:rFonts w:eastAsia="Times New Roman"/>
                <w:sz w:val="17"/>
                <w:szCs w:val="17"/>
                <w:lang w:val="fr-FR"/>
              </w:rPr>
              <w:t xml:space="preserve"> [sans numéro de page, même s’il y en a un dans l’anglais].</w:t>
            </w:r>
          </w:p>
        </w:tc>
      </w:tr>
      <w:tr w:rsidR="00FA51E0" w:rsidRPr="003B3C1D" w14:paraId="6C834CDF"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7B7C98BC"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ICSID Case No. 123</w:t>
            </w:r>
          </w:p>
        </w:tc>
        <w:tc>
          <w:tcPr>
            <w:tcW w:w="4641" w:type="dxa"/>
            <w:tcBorders>
              <w:top w:val="single" w:sz="4" w:space="0" w:color="auto"/>
              <w:left w:val="single" w:sz="4" w:space="0" w:color="auto"/>
              <w:bottom w:val="single" w:sz="4" w:space="0" w:color="auto"/>
              <w:right w:val="single" w:sz="4" w:space="0" w:color="auto"/>
            </w:tcBorders>
            <w:hideMark/>
          </w:tcPr>
          <w:p w14:paraId="75FC562F"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CIRDI, affaire n</w:t>
            </w:r>
            <w:r w:rsidRPr="003B3C1D">
              <w:rPr>
                <w:rFonts w:eastAsia="Times New Roman"/>
                <w:vertAlign w:val="superscript"/>
                <w:lang w:val="fr-FR"/>
              </w:rPr>
              <w:t>o</w:t>
            </w:r>
            <w:r w:rsidRPr="003B3C1D">
              <w:rPr>
                <w:rFonts w:eastAsia="Times New Roman"/>
                <w:lang w:val="fr-FR"/>
              </w:rPr>
              <w:t xml:space="preserve"> 123</w:t>
            </w:r>
          </w:p>
        </w:tc>
      </w:tr>
      <w:tr w:rsidR="00FA51E0" w:rsidRPr="003B3C1D" w14:paraId="4C1A757B"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0428F456"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PCA Case No. 456</w:t>
            </w:r>
          </w:p>
        </w:tc>
        <w:tc>
          <w:tcPr>
            <w:tcW w:w="4641" w:type="dxa"/>
            <w:tcBorders>
              <w:top w:val="single" w:sz="4" w:space="0" w:color="auto"/>
              <w:left w:val="single" w:sz="4" w:space="0" w:color="auto"/>
              <w:bottom w:val="single" w:sz="4" w:space="0" w:color="auto"/>
              <w:right w:val="single" w:sz="4" w:space="0" w:color="auto"/>
            </w:tcBorders>
            <w:hideMark/>
          </w:tcPr>
          <w:p w14:paraId="32323B52" w14:textId="77777777" w:rsidR="00FA51E0" w:rsidRPr="003B3C1D" w:rsidRDefault="00FA51E0" w:rsidP="0078367F">
            <w:pPr>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lang w:val="fr-FR"/>
              </w:rPr>
              <w:t>CPA, affaire n</w:t>
            </w:r>
            <w:r w:rsidRPr="003B3C1D">
              <w:rPr>
                <w:rFonts w:eastAsia="Times New Roman"/>
                <w:vertAlign w:val="superscript"/>
                <w:lang w:val="fr-FR"/>
              </w:rPr>
              <w:t>o</w:t>
            </w:r>
            <w:r w:rsidRPr="003B3C1D">
              <w:rPr>
                <w:rFonts w:eastAsia="Times New Roman"/>
                <w:lang w:val="fr-FR"/>
              </w:rPr>
              <w:t xml:space="preserve"> 456</w:t>
            </w:r>
          </w:p>
        </w:tc>
      </w:tr>
      <w:tr w:rsidR="00FA51E0" w:rsidRPr="003B3C1D" w14:paraId="78FD01DE"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2E19CE78" w14:textId="77777777" w:rsidR="00FA51E0" w:rsidRPr="003B3C1D" w:rsidRDefault="00FA51E0" w:rsidP="0078367F">
            <w:pPr>
              <w:keepNext/>
              <w:suppressAutoHyphens w:val="0"/>
              <w:kinsoku/>
              <w:overflowPunct/>
              <w:autoSpaceDE/>
              <w:autoSpaceDN/>
              <w:adjustRightInd/>
              <w:snapToGrid/>
              <w:spacing w:after="240" w:line="240" w:lineRule="auto"/>
              <w:jc w:val="both"/>
              <w:rPr>
                <w:rFonts w:eastAsia="Times New Roman"/>
                <w:i/>
                <w:iCs/>
                <w:lang w:val="fr-FR"/>
              </w:rPr>
            </w:pPr>
            <w:r w:rsidRPr="003B3C1D">
              <w:rPr>
                <w:rFonts w:eastAsia="Times New Roman"/>
                <w:i/>
                <w:iCs/>
                <w:lang w:val="fr-FR"/>
              </w:rPr>
              <w:t>et al.</w:t>
            </w:r>
          </w:p>
        </w:tc>
        <w:tc>
          <w:tcPr>
            <w:tcW w:w="4641" w:type="dxa"/>
            <w:tcBorders>
              <w:top w:val="single" w:sz="4" w:space="0" w:color="auto"/>
              <w:left w:val="single" w:sz="4" w:space="0" w:color="auto"/>
              <w:bottom w:val="single" w:sz="4" w:space="0" w:color="auto"/>
              <w:right w:val="single" w:sz="4" w:space="0" w:color="auto"/>
            </w:tcBorders>
            <w:hideMark/>
          </w:tcPr>
          <w:p w14:paraId="2F12A2D1" w14:textId="77777777" w:rsidR="00FA51E0" w:rsidRPr="003B3C1D" w:rsidRDefault="00FA51E0" w:rsidP="0078367F">
            <w:pPr>
              <w:keepNext/>
              <w:suppressAutoHyphens w:val="0"/>
              <w:kinsoku/>
              <w:overflowPunct/>
              <w:autoSpaceDE/>
              <w:autoSpaceDN/>
              <w:adjustRightInd/>
              <w:snapToGrid/>
              <w:spacing w:after="240" w:line="240" w:lineRule="auto"/>
              <w:jc w:val="both"/>
              <w:rPr>
                <w:rFonts w:eastAsia="Times New Roman"/>
                <w:i/>
                <w:iCs/>
                <w:lang w:val="fr-FR"/>
              </w:rPr>
            </w:pPr>
            <w:r w:rsidRPr="003B3C1D">
              <w:rPr>
                <w:rFonts w:eastAsia="Times New Roman"/>
                <w:i/>
                <w:iCs/>
                <w:lang w:val="fr-FR"/>
              </w:rPr>
              <w:t>et al.</w:t>
            </w:r>
          </w:p>
        </w:tc>
      </w:tr>
      <w:tr w:rsidR="00FA51E0" w:rsidRPr="003B3C1D" w14:paraId="24B0EDA1" w14:textId="77777777" w:rsidTr="00FA51E0">
        <w:tc>
          <w:tcPr>
            <w:tcW w:w="4647" w:type="dxa"/>
            <w:tcBorders>
              <w:top w:val="single" w:sz="4" w:space="0" w:color="auto"/>
              <w:left w:val="single" w:sz="4" w:space="0" w:color="auto"/>
              <w:bottom w:val="single" w:sz="4" w:space="0" w:color="auto"/>
              <w:right w:val="single" w:sz="4" w:space="0" w:color="auto"/>
            </w:tcBorders>
            <w:hideMark/>
          </w:tcPr>
          <w:p w14:paraId="1D3D889A" w14:textId="77777777" w:rsidR="00FA51E0" w:rsidRPr="003B3C1D" w:rsidRDefault="00FA51E0" w:rsidP="0078367F">
            <w:pPr>
              <w:keepNext/>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 xml:space="preserve">Gabčíkovo-Nagymaros Project (Hungary/Slovakia), Judgment, I.C.J. Reports 1997, </w:t>
            </w:r>
            <w:r w:rsidRPr="003B3C1D">
              <w:rPr>
                <w:rFonts w:eastAsia="Times New Roman"/>
                <w:lang w:val="fr-FR"/>
              </w:rPr>
              <w:t>p. 7, at page 66, par. 109.</w:t>
            </w:r>
          </w:p>
        </w:tc>
        <w:tc>
          <w:tcPr>
            <w:tcW w:w="4641" w:type="dxa"/>
            <w:tcBorders>
              <w:top w:val="single" w:sz="4" w:space="0" w:color="auto"/>
              <w:left w:val="single" w:sz="4" w:space="0" w:color="auto"/>
              <w:bottom w:val="single" w:sz="4" w:space="0" w:color="auto"/>
              <w:right w:val="single" w:sz="4" w:space="0" w:color="auto"/>
            </w:tcBorders>
            <w:hideMark/>
          </w:tcPr>
          <w:p w14:paraId="5CAE4599" w14:textId="77777777" w:rsidR="00FA51E0" w:rsidRPr="003B3C1D" w:rsidRDefault="00FA51E0" w:rsidP="0078367F">
            <w:pPr>
              <w:keepNext/>
              <w:suppressAutoHyphens w:val="0"/>
              <w:kinsoku/>
              <w:overflowPunct/>
              <w:autoSpaceDE/>
              <w:autoSpaceDN/>
              <w:adjustRightInd/>
              <w:snapToGrid/>
              <w:spacing w:after="240" w:line="240" w:lineRule="auto"/>
              <w:jc w:val="both"/>
              <w:rPr>
                <w:rFonts w:eastAsia="Times New Roman"/>
                <w:lang w:val="fr-FR"/>
              </w:rPr>
            </w:pPr>
            <w:r w:rsidRPr="003B3C1D">
              <w:rPr>
                <w:rFonts w:eastAsia="Times New Roman"/>
                <w:i/>
                <w:iCs/>
                <w:lang w:val="fr-FR"/>
              </w:rPr>
              <w:t>Projet Gabčíkovo-Nagymaros (Hongrie</w:t>
            </w:r>
            <w:r w:rsidRPr="003B3C1D">
              <w:rPr>
                <w:rFonts w:eastAsia="Times New Roman"/>
                <w:b/>
                <w:bCs/>
                <w:i/>
                <w:iCs/>
                <w:lang w:val="fr-FR"/>
              </w:rPr>
              <w:t>/</w:t>
            </w:r>
            <w:r w:rsidRPr="003B3C1D">
              <w:rPr>
                <w:rFonts w:eastAsia="Times New Roman"/>
                <w:i/>
                <w:iCs/>
                <w:lang w:val="fr-FR"/>
              </w:rPr>
              <w:t>Slovaquie), arrêt, C. I. J. Recueil 1997</w:t>
            </w:r>
            <w:r w:rsidRPr="003B3C1D">
              <w:rPr>
                <w:rFonts w:eastAsia="Times New Roman"/>
                <w:lang w:val="fr-FR"/>
              </w:rPr>
              <w:t>, p. 7, à la page 66, par. 109. Attention : on n’écrit pas « </w:t>
            </w:r>
            <w:r w:rsidRPr="003B3C1D">
              <w:rPr>
                <w:rFonts w:eastAsia="Times New Roman"/>
                <w:i/>
                <w:iCs/>
                <w:lang w:val="fr-FR"/>
              </w:rPr>
              <w:t xml:space="preserve">(Hongrie c. Slovaquie) » </w:t>
            </w:r>
            <w:r w:rsidRPr="003B3C1D">
              <w:rPr>
                <w:rFonts w:eastAsia="Times New Roman"/>
                <w:lang w:val="fr-FR"/>
              </w:rPr>
              <w:t>car la barre oblique dans l’original signifie qu’il y a eu un compromis entre les parties.) Bien entendu, s’il y a « c. » dans l’original, on le laisse en français.</w:t>
            </w:r>
          </w:p>
        </w:tc>
      </w:tr>
    </w:tbl>
    <w:bookmarkEnd w:id="0"/>
    <w:p w14:paraId="0DB2D6D9" w14:textId="76DEF094" w:rsidR="00446FE5" w:rsidRPr="001306F7" w:rsidRDefault="001306F7" w:rsidP="001306F7">
      <w:pPr>
        <w:pStyle w:val="SingleTxtG"/>
        <w:spacing w:before="240" w:after="0"/>
        <w:jc w:val="center"/>
        <w:rPr>
          <w:u w:val="single"/>
        </w:rPr>
      </w:pPr>
      <w:r>
        <w:rPr>
          <w:u w:val="single"/>
        </w:rPr>
        <w:tab/>
      </w:r>
      <w:r>
        <w:rPr>
          <w:u w:val="single"/>
        </w:rPr>
        <w:tab/>
      </w:r>
      <w:r>
        <w:rPr>
          <w:u w:val="single"/>
        </w:rPr>
        <w:tab/>
      </w:r>
    </w:p>
    <w:sectPr w:rsidR="00446FE5" w:rsidRPr="001306F7" w:rsidSect="00234F27">
      <w:headerReference w:type="default" r:id="rId15"/>
      <w:headerReference w:type="first" r:id="rId16"/>
      <w:footerReference w:type="first" r:id="rId17"/>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7C15" w14:textId="77777777" w:rsidR="00977954" w:rsidRDefault="00977954" w:rsidP="00F95C08">
      <w:pPr>
        <w:spacing w:line="240" w:lineRule="auto"/>
      </w:pPr>
    </w:p>
  </w:endnote>
  <w:endnote w:type="continuationSeparator" w:id="0">
    <w:p w14:paraId="5B01BEC2" w14:textId="77777777" w:rsidR="00977954" w:rsidRPr="00AC3823" w:rsidRDefault="00977954" w:rsidP="00AC3823">
      <w:pPr>
        <w:pStyle w:val="Pieddepage"/>
      </w:pPr>
    </w:p>
  </w:endnote>
  <w:endnote w:type="continuationNotice" w:id="1">
    <w:p w14:paraId="340267F3" w14:textId="77777777" w:rsidR="00977954" w:rsidRDefault="009779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C6C0" w14:textId="174CC9B7" w:rsidR="00234F27" w:rsidRPr="00234F27" w:rsidRDefault="00234F27" w:rsidP="00234F27">
    <w:pPr>
      <w:pStyle w:val="Pieddepage"/>
      <w:tabs>
        <w:tab w:val="right" w:pos="9638"/>
      </w:tabs>
    </w:pPr>
    <w:r w:rsidRPr="00234F27">
      <w:rPr>
        <w:b/>
        <w:sz w:val="18"/>
      </w:rPr>
      <w:fldChar w:fldCharType="begin"/>
    </w:r>
    <w:r w:rsidRPr="00234F27">
      <w:rPr>
        <w:b/>
        <w:sz w:val="18"/>
      </w:rPr>
      <w:instrText xml:space="preserve"> PAGE  \* MERGEFORMAT </w:instrText>
    </w:r>
    <w:r w:rsidRPr="00234F27">
      <w:rPr>
        <w:b/>
        <w:sz w:val="18"/>
      </w:rPr>
      <w:fldChar w:fldCharType="separate"/>
    </w:r>
    <w:r w:rsidRPr="00234F27">
      <w:rPr>
        <w:b/>
        <w:noProof/>
        <w:sz w:val="18"/>
      </w:rPr>
      <w:t>2</w:t>
    </w:r>
    <w:r w:rsidRPr="00234F27">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CFCB" w14:textId="0E3EB906" w:rsidR="00234F27" w:rsidRPr="00234F27" w:rsidRDefault="00234F27" w:rsidP="00234F27">
    <w:pPr>
      <w:pStyle w:val="Pieddepage"/>
      <w:tabs>
        <w:tab w:val="right" w:pos="9638"/>
      </w:tabs>
      <w:rPr>
        <w:b/>
        <w:sz w:val="18"/>
      </w:rPr>
    </w:pPr>
    <w:r>
      <w:tab/>
    </w:r>
    <w:r w:rsidRPr="00234F27">
      <w:rPr>
        <w:b/>
        <w:sz w:val="18"/>
      </w:rPr>
      <w:fldChar w:fldCharType="begin"/>
    </w:r>
    <w:r w:rsidRPr="00234F27">
      <w:rPr>
        <w:b/>
        <w:sz w:val="18"/>
      </w:rPr>
      <w:instrText xml:space="preserve"> PAGE  \* MERGEFORMAT </w:instrText>
    </w:r>
    <w:r w:rsidRPr="00234F27">
      <w:rPr>
        <w:b/>
        <w:sz w:val="18"/>
      </w:rPr>
      <w:fldChar w:fldCharType="separate"/>
    </w:r>
    <w:r w:rsidRPr="00234F27">
      <w:rPr>
        <w:b/>
        <w:noProof/>
        <w:sz w:val="18"/>
      </w:rPr>
      <w:t>3</w:t>
    </w:r>
    <w:r w:rsidRPr="00234F2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A0DB" w14:textId="3A973C8D" w:rsidR="00234F27" w:rsidRPr="001306F7" w:rsidRDefault="00234F27" w:rsidP="001306F7">
    <w:pPr>
      <w:pStyle w:val="Pieddepage"/>
      <w:tabs>
        <w:tab w:val="right" w:pos="9639"/>
      </w:tabs>
      <w:spacing w:before="120"/>
      <w:rPr>
        <w:b/>
        <w:bCs/>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D696" w14:textId="44E6F730" w:rsidR="00943543" w:rsidRPr="001306F7" w:rsidRDefault="00943543" w:rsidP="001306F7">
    <w:pPr>
      <w:pStyle w:val="Pieddepage"/>
      <w:tabs>
        <w:tab w:val="right" w:pos="9639"/>
      </w:tabs>
      <w:spacing w:before="120"/>
      <w:rPr>
        <w:b/>
        <w:bCs/>
        <w:sz w:val="18"/>
        <w:szCs w:val="18"/>
      </w:rPr>
    </w:pPr>
    <w:r>
      <w:rPr>
        <w:b/>
        <w:bCs/>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A785" w14:textId="77777777" w:rsidR="00977954" w:rsidRPr="00AC3823" w:rsidRDefault="00977954" w:rsidP="00AC3823">
      <w:pPr>
        <w:pStyle w:val="Pieddepage"/>
        <w:tabs>
          <w:tab w:val="right" w:pos="2155"/>
        </w:tabs>
        <w:spacing w:after="80" w:line="240" w:lineRule="atLeast"/>
        <w:ind w:left="680"/>
        <w:rPr>
          <w:u w:val="single"/>
        </w:rPr>
      </w:pPr>
      <w:r>
        <w:rPr>
          <w:u w:val="single"/>
        </w:rPr>
        <w:tab/>
      </w:r>
    </w:p>
  </w:footnote>
  <w:footnote w:type="continuationSeparator" w:id="0">
    <w:p w14:paraId="686F7A3B" w14:textId="77777777" w:rsidR="00977954" w:rsidRPr="00AC3823" w:rsidRDefault="00977954" w:rsidP="00AC3823">
      <w:pPr>
        <w:pStyle w:val="Pieddepage"/>
        <w:tabs>
          <w:tab w:val="right" w:pos="2155"/>
        </w:tabs>
        <w:spacing w:after="80" w:line="240" w:lineRule="atLeast"/>
        <w:ind w:left="680"/>
        <w:rPr>
          <w:u w:val="single"/>
        </w:rPr>
      </w:pPr>
      <w:r>
        <w:rPr>
          <w:u w:val="single"/>
        </w:rPr>
        <w:tab/>
      </w:r>
    </w:p>
  </w:footnote>
  <w:footnote w:type="continuationNotice" w:id="1">
    <w:p w14:paraId="0229E8CE" w14:textId="77777777" w:rsidR="00977954" w:rsidRPr="00AC3823" w:rsidRDefault="00977954">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1397" w14:textId="55529A5E" w:rsidR="00234F27" w:rsidRPr="00234F27" w:rsidRDefault="00000000">
    <w:pPr>
      <w:pStyle w:val="En-tte"/>
    </w:pPr>
    <w:fldSimple w:instr=" TITLE  \* MERGEFORMAT ">
      <w:r w:rsidR="001306F7">
        <w:t>Citations</w:t>
      </w:r>
      <w:r w:rsidR="00234F27">
        <w:t xml:space="preserve"> et notes de bas de page</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4538" w14:textId="71B23F6C" w:rsidR="00234F27" w:rsidRPr="00234F27" w:rsidRDefault="00000000" w:rsidP="00234F27">
    <w:pPr>
      <w:pStyle w:val="En-tte"/>
      <w:jc w:val="right"/>
    </w:pPr>
    <w:fldSimple w:instr=" TITLE  \* MERGEFORMAT ">
      <w:r w:rsidR="00826633">
        <w:t>Citations</w:t>
      </w:r>
      <w:r w:rsidR="00234F27">
        <w:t xml:space="preserve"> et notes de bas de 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F183" w14:textId="77777777" w:rsidR="00943543" w:rsidRPr="00234F27" w:rsidRDefault="00000000" w:rsidP="00234F27">
    <w:pPr>
      <w:pStyle w:val="En-tte"/>
      <w:jc w:val="right"/>
    </w:pPr>
    <w:fldSimple w:instr=" TITLE  \* MERGEFORMAT ">
      <w:r w:rsidR="00943543">
        <w:t>Citations et notes de bas de page</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9880" w14:textId="0F7596DD" w:rsidR="00943543" w:rsidRDefault="00000000">
    <w:pPr>
      <w:pStyle w:val="En-tte"/>
    </w:pPr>
    <w:fldSimple w:instr=" TITLE  \* MERGEFORMAT ">
      <w:r w:rsidR="00E9361B">
        <w:t>Instructions générales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E64584"/>
    <w:multiLevelType w:val="hybridMultilevel"/>
    <w:tmpl w:val="57C8EE5E"/>
    <w:lvl w:ilvl="0" w:tplc="ABD0C02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22003308">
    <w:abstractNumId w:val="13"/>
  </w:num>
  <w:num w:numId="2" w16cid:durableId="1725251161">
    <w:abstractNumId w:val="12"/>
  </w:num>
  <w:num w:numId="3" w16cid:durableId="1819612367">
    <w:abstractNumId w:val="10"/>
  </w:num>
  <w:num w:numId="4" w16cid:durableId="16857193">
    <w:abstractNumId w:val="8"/>
  </w:num>
  <w:num w:numId="5" w16cid:durableId="1270360290">
    <w:abstractNumId w:val="3"/>
  </w:num>
  <w:num w:numId="6" w16cid:durableId="1053039752">
    <w:abstractNumId w:val="2"/>
  </w:num>
  <w:num w:numId="7" w16cid:durableId="2065442640">
    <w:abstractNumId w:val="1"/>
  </w:num>
  <w:num w:numId="8" w16cid:durableId="350492169">
    <w:abstractNumId w:val="0"/>
  </w:num>
  <w:num w:numId="9" w16cid:durableId="874776459">
    <w:abstractNumId w:val="9"/>
  </w:num>
  <w:num w:numId="10" w16cid:durableId="2061633815">
    <w:abstractNumId w:val="7"/>
  </w:num>
  <w:num w:numId="11" w16cid:durableId="1440369059">
    <w:abstractNumId w:val="6"/>
  </w:num>
  <w:num w:numId="12" w16cid:durableId="455027183">
    <w:abstractNumId w:val="5"/>
  </w:num>
  <w:num w:numId="13" w16cid:durableId="795374455">
    <w:abstractNumId w:val="4"/>
  </w:num>
  <w:num w:numId="14" w16cid:durableId="398133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CE"/>
    <w:rsid w:val="00017F94"/>
    <w:rsid w:val="00023842"/>
    <w:rsid w:val="000334F9"/>
    <w:rsid w:val="000540F5"/>
    <w:rsid w:val="00065ECE"/>
    <w:rsid w:val="0007796D"/>
    <w:rsid w:val="00085B08"/>
    <w:rsid w:val="000B6FC8"/>
    <w:rsid w:val="000B7790"/>
    <w:rsid w:val="000C390E"/>
    <w:rsid w:val="000E2023"/>
    <w:rsid w:val="0010532F"/>
    <w:rsid w:val="00111F2F"/>
    <w:rsid w:val="001306F7"/>
    <w:rsid w:val="0013371F"/>
    <w:rsid w:val="00140F56"/>
    <w:rsid w:val="0014365E"/>
    <w:rsid w:val="00150DB2"/>
    <w:rsid w:val="00151F05"/>
    <w:rsid w:val="00152470"/>
    <w:rsid w:val="00176178"/>
    <w:rsid w:val="001C2894"/>
    <w:rsid w:val="001C3B0A"/>
    <w:rsid w:val="001D756D"/>
    <w:rsid w:val="001F525A"/>
    <w:rsid w:val="00223272"/>
    <w:rsid w:val="00233B28"/>
    <w:rsid w:val="00234F27"/>
    <w:rsid w:val="0024779E"/>
    <w:rsid w:val="00291F1D"/>
    <w:rsid w:val="002A71CF"/>
    <w:rsid w:val="003115C4"/>
    <w:rsid w:val="003147C6"/>
    <w:rsid w:val="00353ED5"/>
    <w:rsid w:val="003559DD"/>
    <w:rsid w:val="00357898"/>
    <w:rsid w:val="003632FA"/>
    <w:rsid w:val="003B3C1D"/>
    <w:rsid w:val="003D1AD0"/>
    <w:rsid w:val="003D3F30"/>
    <w:rsid w:val="00400E14"/>
    <w:rsid w:val="00445B18"/>
    <w:rsid w:val="00446FE5"/>
    <w:rsid w:val="00452396"/>
    <w:rsid w:val="0046687A"/>
    <w:rsid w:val="004E41DD"/>
    <w:rsid w:val="00537433"/>
    <w:rsid w:val="00545BB7"/>
    <w:rsid w:val="005505B7"/>
    <w:rsid w:val="00557F45"/>
    <w:rsid w:val="00573BE5"/>
    <w:rsid w:val="005822C7"/>
    <w:rsid w:val="00586ED3"/>
    <w:rsid w:val="00596AA9"/>
    <w:rsid w:val="00641B98"/>
    <w:rsid w:val="00657464"/>
    <w:rsid w:val="00670950"/>
    <w:rsid w:val="006B3385"/>
    <w:rsid w:val="006B484C"/>
    <w:rsid w:val="0071568B"/>
    <w:rsid w:val="0071601D"/>
    <w:rsid w:val="00752DD3"/>
    <w:rsid w:val="00766CEC"/>
    <w:rsid w:val="0078367F"/>
    <w:rsid w:val="007A62E6"/>
    <w:rsid w:val="007C002A"/>
    <w:rsid w:val="0080684C"/>
    <w:rsid w:val="00815502"/>
    <w:rsid w:val="00826633"/>
    <w:rsid w:val="00830AE8"/>
    <w:rsid w:val="008359CB"/>
    <w:rsid w:val="00854EB3"/>
    <w:rsid w:val="00867A84"/>
    <w:rsid w:val="00871C75"/>
    <w:rsid w:val="0087226B"/>
    <w:rsid w:val="008776DC"/>
    <w:rsid w:val="00883F94"/>
    <w:rsid w:val="00886D02"/>
    <w:rsid w:val="00891406"/>
    <w:rsid w:val="008965DD"/>
    <w:rsid w:val="008C5AF4"/>
    <w:rsid w:val="008C7952"/>
    <w:rsid w:val="008D3D0B"/>
    <w:rsid w:val="008D44AD"/>
    <w:rsid w:val="008F78B1"/>
    <w:rsid w:val="00913B65"/>
    <w:rsid w:val="00943543"/>
    <w:rsid w:val="009465F7"/>
    <w:rsid w:val="00957790"/>
    <w:rsid w:val="009705C8"/>
    <w:rsid w:val="00977954"/>
    <w:rsid w:val="009B2B2C"/>
    <w:rsid w:val="009C2412"/>
    <w:rsid w:val="009E2B87"/>
    <w:rsid w:val="009E3E78"/>
    <w:rsid w:val="009F31D6"/>
    <w:rsid w:val="00A3540A"/>
    <w:rsid w:val="00A3593E"/>
    <w:rsid w:val="00A81810"/>
    <w:rsid w:val="00A87EBB"/>
    <w:rsid w:val="00AC3823"/>
    <w:rsid w:val="00AD0A74"/>
    <w:rsid w:val="00AE323C"/>
    <w:rsid w:val="00B00181"/>
    <w:rsid w:val="00B14F22"/>
    <w:rsid w:val="00B30B16"/>
    <w:rsid w:val="00B34536"/>
    <w:rsid w:val="00B40B45"/>
    <w:rsid w:val="00B43C66"/>
    <w:rsid w:val="00B61BFA"/>
    <w:rsid w:val="00B657EE"/>
    <w:rsid w:val="00B765F7"/>
    <w:rsid w:val="00BA0CA9"/>
    <w:rsid w:val="00BB41A2"/>
    <w:rsid w:val="00BE4745"/>
    <w:rsid w:val="00BF3C2C"/>
    <w:rsid w:val="00C02897"/>
    <w:rsid w:val="00C712C7"/>
    <w:rsid w:val="00C84C2B"/>
    <w:rsid w:val="00CA0EC5"/>
    <w:rsid w:val="00CB1944"/>
    <w:rsid w:val="00CB22D6"/>
    <w:rsid w:val="00CB31E3"/>
    <w:rsid w:val="00CC2887"/>
    <w:rsid w:val="00CD137F"/>
    <w:rsid w:val="00CF2180"/>
    <w:rsid w:val="00D11582"/>
    <w:rsid w:val="00D3439C"/>
    <w:rsid w:val="00D6492F"/>
    <w:rsid w:val="00D676BF"/>
    <w:rsid w:val="00DA22F4"/>
    <w:rsid w:val="00DB1831"/>
    <w:rsid w:val="00DD3BFD"/>
    <w:rsid w:val="00DF6678"/>
    <w:rsid w:val="00E22CF2"/>
    <w:rsid w:val="00E35EC6"/>
    <w:rsid w:val="00E41579"/>
    <w:rsid w:val="00E52D9F"/>
    <w:rsid w:val="00E623B1"/>
    <w:rsid w:val="00E9361B"/>
    <w:rsid w:val="00ED0FA9"/>
    <w:rsid w:val="00EE7772"/>
    <w:rsid w:val="00F00DF2"/>
    <w:rsid w:val="00F164B0"/>
    <w:rsid w:val="00F660DF"/>
    <w:rsid w:val="00F730FE"/>
    <w:rsid w:val="00F80094"/>
    <w:rsid w:val="00F95C08"/>
    <w:rsid w:val="00FA15BE"/>
    <w:rsid w:val="00FA51E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7398B"/>
  <w15:chartTrackingRefBased/>
  <w15:docId w15:val="{C9AC3F21-DAB3-4943-B157-E2801D7E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DD"/>
    <w:pPr>
      <w:suppressAutoHyphens/>
      <w:kinsoku w:val="0"/>
      <w:overflowPunct w:val="0"/>
      <w:autoSpaceDE w:val="0"/>
      <w:autoSpaceDN w:val="0"/>
      <w:adjustRightInd w:val="0"/>
      <w:snapToGrid w:val="0"/>
      <w:spacing w:after="0" w:line="240" w:lineRule="atLeast"/>
    </w:pPr>
    <w:rPr>
      <w:rFonts w:ascii="Times New Roman" w:hAnsi="Times New Roman" w:cs="Times New Roman"/>
      <w:sz w:val="20"/>
      <w:szCs w:val="20"/>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537433"/>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891406"/>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891406"/>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891406"/>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891406"/>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891406"/>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891406"/>
    <w:pPr>
      <w:tabs>
        <w:tab w:val="left" w:pos="1701"/>
        <w:tab w:val="left" w:pos="2268"/>
        <w:tab w:val="left" w:pos="2835"/>
      </w:tabs>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Normal"/>
    <w:qFormat/>
    <w:rsid w:val="00891406"/>
    <w:pPr>
      <w:numPr>
        <w:numId w:val="3"/>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023842"/>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957790"/>
    <w:rPr>
      <w:color w:val="0000FF"/>
      <w:u w:val="none"/>
    </w:rPr>
  </w:style>
  <w:style w:type="character" w:styleId="Lienhypertextesuivivisit">
    <w:name w:val="FollowedHyperlink"/>
    <w:basedOn w:val="Policepardfaut"/>
    <w:unhideWhenUsed/>
    <w:rsid w:val="00957790"/>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character" w:styleId="Mentionnonrsolue">
    <w:name w:val="Unresolved Mention"/>
    <w:basedOn w:val="Policepardfaut"/>
    <w:uiPriority w:val="99"/>
    <w:semiHidden/>
    <w:unhideWhenUsed/>
    <w:rsid w:val="00A87EBB"/>
    <w:rPr>
      <w:color w:val="605E5C"/>
      <w:shd w:val="clear" w:color="auto" w:fill="E1DFDD"/>
    </w:rPr>
  </w:style>
  <w:style w:type="character" w:styleId="lev">
    <w:name w:val="Strong"/>
    <w:basedOn w:val="Policepardfaut"/>
    <w:uiPriority w:val="22"/>
    <w:qFormat/>
    <w:rsid w:val="00FA51E0"/>
    <w:rPr>
      <w:b/>
      <w:bCs/>
    </w:rPr>
  </w:style>
  <w:style w:type="paragraph" w:styleId="En-ttedetabledesmatires">
    <w:name w:val="TOC Heading"/>
    <w:basedOn w:val="Titre1"/>
    <w:next w:val="Normal"/>
    <w:uiPriority w:val="39"/>
    <w:unhideWhenUsed/>
    <w:qFormat/>
    <w:rsid w:val="00867A84"/>
    <w:pPr>
      <w:tabs>
        <w:tab w:val="clear" w:pos="1701"/>
        <w:tab w:val="clear" w:pos="2268"/>
        <w:tab w:val="clear" w:pos="2835"/>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M1">
    <w:name w:val="toc 1"/>
    <w:basedOn w:val="Normal"/>
    <w:next w:val="Normal"/>
    <w:autoRedefine/>
    <w:uiPriority w:val="39"/>
    <w:unhideWhenUsed/>
    <w:rsid w:val="00854EB3"/>
    <w:pPr>
      <w:tabs>
        <w:tab w:val="left" w:pos="567"/>
        <w:tab w:val="right" w:leader="dot" w:pos="9628"/>
      </w:tabs>
      <w:spacing w:after="100"/>
    </w:pPr>
  </w:style>
  <w:style w:type="paragraph" w:styleId="TM2">
    <w:name w:val="toc 2"/>
    <w:basedOn w:val="Normal"/>
    <w:next w:val="Normal"/>
    <w:autoRedefine/>
    <w:uiPriority w:val="39"/>
    <w:unhideWhenUsed/>
    <w:rsid w:val="00854EB3"/>
    <w:pPr>
      <w:tabs>
        <w:tab w:val="left" w:pos="1134"/>
        <w:tab w:val="right" w:leader="dot" w:pos="9628"/>
      </w:tabs>
      <w:spacing w:after="100"/>
      <w:ind w:left="1134" w:hanging="567"/>
    </w:pPr>
  </w:style>
  <w:style w:type="paragraph" w:styleId="TM3">
    <w:name w:val="toc 3"/>
    <w:basedOn w:val="Normal"/>
    <w:next w:val="Normal"/>
    <w:autoRedefine/>
    <w:uiPriority w:val="39"/>
    <w:unhideWhenUsed/>
    <w:rsid w:val="00854EB3"/>
    <w:pPr>
      <w:tabs>
        <w:tab w:val="left" w:pos="1701"/>
        <w:tab w:val="right" w:leader="dot" w:pos="9628"/>
      </w:tabs>
      <w:spacing w:after="100"/>
      <w:ind w:left="1134"/>
    </w:pPr>
  </w:style>
  <w:style w:type="character" w:customStyle="1" w:styleId="ui-provider">
    <w:name w:val="ui-provider"/>
    <w:basedOn w:val="Policepardfaut"/>
    <w:rsid w:val="000E2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hr.coe.int/Documents/Case_law_references_FR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chr.coe.int/Documents/Note_citation_F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E393-A103-4D8C-A177-087B4DEB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3219</Words>
  <Characters>17706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CItations et notes de bas de page</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CItations et notes de bas de page</dc:title>
  <dc:subject/>
  <dc:creator>Julien Okrzesik</dc:creator>
  <cp:keywords/>
  <dc:description/>
  <cp:lastModifiedBy>Clemence Helene Le Floc'H</cp:lastModifiedBy>
  <cp:revision>3</cp:revision>
  <cp:lastPrinted>2014-05-14T10:59:00Z</cp:lastPrinted>
  <dcterms:created xsi:type="dcterms:W3CDTF">2024-07-16T14:06:00Z</dcterms:created>
  <dcterms:modified xsi:type="dcterms:W3CDTF">2024-09-09T12:03:00Z</dcterms:modified>
</cp:coreProperties>
</file>