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E49A" w14:textId="2173450F" w:rsidR="0081043A" w:rsidRPr="00246808" w:rsidRDefault="00D649C6" w:rsidP="00D649C6">
      <w:pPr>
        <w:pStyle w:val="H1G"/>
      </w:pPr>
      <w:r>
        <w:tab/>
      </w:r>
      <w:r>
        <w:tab/>
      </w:r>
      <w:r w:rsidR="00E756D0">
        <w:t>C</w:t>
      </w:r>
      <w:r w:rsidR="006E724E" w:rsidRPr="00246808">
        <w:t xml:space="preserve">onsignes pour la traduction des </w:t>
      </w:r>
      <w:r w:rsidR="001A5452">
        <w:t xml:space="preserve">comptes rendus analytiques </w:t>
      </w:r>
      <w:r w:rsidR="001432E7">
        <w:t xml:space="preserve">concernant </w:t>
      </w:r>
      <w:r w:rsidR="003F4C76">
        <w:t>l</w:t>
      </w:r>
      <w:r w:rsidR="00F87DD7">
        <w:t>es conférences des États parties chargées d</w:t>
      </w:r>
      <w:r w:rsidR="00D31B5B">
        <w:t>e l</w:t>
      </w:r>
      <w:r>
        <w:t>’</w:t>
      </w:r>
      <w:r w:rsidR="00D31B5B">
        <w:t xml:space="preserve">examen </w:t>
      </w:r>
      <w:r>
        <w:br/>
      </w:r>
      <w:r w:rsidR="00D31B5B">
        <w:t>de</w:t>
      </w:r>
      <w:r w:rsidR="00F87DD7">
        <w:t xml:space="preserve"> </w:t>
      </w:r>
      <w:r w:rsidR="006E724E" w:rsidRPr="00246808">
        <w:t xml:space="preserve">la </w:t>
      </w:r>
      <w:r w:rsidR="001432E7" w:rsidRPr="001432E7">
        <w:t>Convention sur l</w:t>
      </w:r>
      <w:r>
        <w:t>’</w:t>
      </w:r>
      <w:r w:rsidR="001432E7" w:rsidRPr="001432E7">
        <w:t>interdiction de la mise au point, de la fabrication et du stockage des armes bactériologiques (biologiques) ou à toxines et sur leur destruction</w:t>
      </w:r>
      <w:r w:rsidR="001432E7">
        <w:t xml:space="preserve"> (Convention sur les armes biologiques)</w:t>
      </w:r>
    </w:p>
    <w:p w14:paraId="668E8E56" w14:textId="7B56A5F5" w:rsidR="003919D9" w:rsidRDefault="003919D9" w:rsidP="00D649C6">
      <w:pPr>
        <w:pStyle w:val="SingleTxtG"/>
      </w:pPr>
      <w:r w:rsidRPr="003F0BC3">
        <w:rPr>
          <w:u w:val="single"/>
        </w:rPr>
        <w:t>Contexte</w:t>
      </w:r>
      <w:r w:rsidR="00D649C6" w:rsidRPr="00D649C6">
        <w:t> :</w:t>
      </w:r>
    </w:p>
    <w:p w14:paraId="54B6BCB6" w14:textId="23F7B740" w:rsidR="00246808" w:rsidRPr="003F0BC3" w:rsidRDefault="00D31B5B" w:rsidP="00166E8D">
      <w:pPr>
        <w:pStyle w:val="SingleTxtG"/>
        <w:ind w:firstLine="567"/>
        <w:rPr>
          <w:lang w:val="fr-FR"/>
        </w:rPr>
      </w:pPr>
      <w:r>
        <w:t>L</w:t>
      </w:r>
      <w:r w:rsidR="00DB5618">
        <w:t>e</w:t>
      </w:r>
      <w:r w:rsidR="0075304A">
        <w:t xml:space="preserve">s conférences des </w:t>
      </w:r>
      <w:r w:rsidR="004340FD">
        <w:t xml:space="preserve">États </w:t>
      </w:r>
      <w:r w:rsidR="0075304A">
        <w:t>parties chargées</w:t>
      </w:r>
      <w:r w:rsidR="00A63B20">
        <w:t xml:space="preserve"> de l</w:t>
      </w:r>
      <w:r w:rsidR="00D649C6">
        <w:t>’</w:t>
      </w:r>
      <w:r w:rsidR="00A63B20">
        <w:t xml:space="preserve">examen </w:t>
      </w:r>
      <w:r w:rsidR="00D12E6A">
        <w:t>de la Convention</w:t>
      </w:r>
      <w:r>
        <w:t xml:space="preserve"> </w:t>
      </w:r>
      <w:r w:rsidR="004340FD">
        <w:t xml:space="preserve">ont lieu </w:t>
      </w:r>
      <w:r w:rsidR="00946D59">
        <w:t xml:space="preserve">en principe </w:t>
      </w:r>
      <w:r w:rsidR="004340FD">
        <w:t>tous les cinq ans</w:t>
      </w:r>
      <w:r w:rsidR="00BE4288">
        <w:t xml:space="preserve">. </w:t>
      </w:r>
      <w:r w:rsidR="003919D9">
        <w:t>L</w:t>
      </w:r>
      <w:r w:rsidR="00F63080">
        <w:t xml:space="preserve">a neuvième Conférence </w:t>
      </w:r>
      <w:r w:rsidR="004340FD">
        <w:t xml:space="preserve">des États parties </w:t>
      </w:r>
      <w:r w:rsidR="00F63080">
        <w:t xml:space="preserve">chargée </w:t>
      </w:r>
      <w:r w:rsidR="004340FD">
        <w:t>de l</w:t>
      </w:r>
      <w:r w:rsidR="00D649C6">
        <w:t>’</w:t>
      </w:r>
      <w:r w:rsidR="004340FD">
        <w:t>examen de la Convention</w:t>
      </w:r>
      <w:r w:rsidR="003919D9">
        <w:t xml:space="preserve"> s</w:t>
      </w:r>
      <w:r w:rsidR="00D649C6">
        <w:t>’</w:t>
      </w:r>
      <w:r w:rsidR="003919D9">
        <w:t>est tenue en 202</w:t>
      </w:r>
      <w:r w:rsidR="00305D23">
        <w:t>2</w:t>
      </w:r>
      <w:r w:rsidR="00BE4288">
        <w:t>.</w:t>
      </w:r>
    </w:p>
    <w:p w14:paraId="5FA5D880" w14:textId="4B036F0E" w:rsidR="003919D9" w:rsidRPr="003F0BC3" w:rsidRDefault="003919D9" w:rsidP="00D649C6">
      <w:pPr>
        <w:pStyle w:val="SingleTxtG"/>
        <w:rPr>
          <w:u w:val="single"/>
        </w:rPr>
      </w:pPr>
      <w:r w:rsidRPr="003F0BC3">
        <w:rPr>
          <w:u w:val="single"/>
        </w:rPr>
        <w:t>Références et sources d</w:t>
      </w:r>
      <w:r w:rsidR="00D649C6">
        <w:rPr>
          <w:u w:val="single"/>
        </w:rPr>
        <w:t>’</w:t>
      </w:r>
      <w:r w:rsidRPr="003F0BC3">
        <w:rPr>
          <w:u w:val="single"/>
        </w:rPr>
        <w:t>information</w:t>
      </w:r>
      <w:r w:rsidR="00D649C6" w:rsidRPr="00D649C6">
        <w:t> :</w:t>
      </w:r>
    </w:p>
    <w:p w14:paraId="634F6D3A" w14:textId="5DC83D15" w:rsidR="000B689B" w:rsidRDefault="00267E79" w:rsidP="00D649C6">
      <w:pPr>
        <w:pStyle w:val="SingleTxtG"/>
      </w:pPr>
      <w:r w:rsidRPr="00D649C6">
        <w:rPr>
          <w:b/>
          <w:bCs/>
        </w:rPr>
        <w:t xml:space="preserve">Page </w:t>
      </w:r>
      <w:r w:rsidR="009A7214" w:rsidRPr="00D649C6">
        <w:rPr>
          <w:b/>
          <w:bCs/>
        </w:rPr>
        <w:t xml:space="preserve">Web </w:t>
      </w:r>
      <w:r w:rsidRPr="00D649C6">
        <w:rPr>
          <w:b/>
          <w:bCs/>
        </w:rPr>
        <w:t>du</w:t>
      </w:r>
      <w:r w:rsidR="0090542C" w:rsidRPr="00D649C6">
        <w:rPr>
          <w:b/>
          <w:bCs/>
        </w:rPr>
        <w:t xml:space="preserve"> Département des affaires d</w:t>
      </w:r>
      <w:r w:rsidR="00D954BE" w:rsidRPr="00D649C6">
        <w:rPr>
          <w:b/>
          <w:bCs/>
        </w:rPr>
        <w:t xml:space="preserve">e </w:t>
      </w:r>
      <w:r w:rsidR="0090542C" w:rsidRPr="00D649C6">
        <w:rPr>
          <w:b/>
          <w:bCs/>
        </w:rPr>
        <w:t>désarmement de l</w:t>
      </w:r>
      <w:r w:rsidR="00D649C6">
        <w:rPr>
          <w:b/>
          <w:bCs/>
        </w:rPr>
        <w:t>’</w:t>
      </w:r>
      <w:r w:rsidR="0090542C" w:rsidRPr="00D649C6">
        <w:rPr>
          <w:b/>
          <w:bCs/>
        </w:rPr>
        <w:t>ONU consacrée aux armes chimiques</w:t>
      </w:r>
      <w:r w:rsidR="0090542C">
        <w:t xml:space="preserve"> : </w:t>
      </w:r>
      <w:r w:rsidR="005B222C" w:rsidRPr="005B222C">
        <w:t>https://disarmament.unoda.org/fr/amd/armes-biologiques/</w:t>
      </w:r>
      <w:r w:rsidR="00D649C6">
        <w:t>.</w:t>
      </w:r>
    </w:p>
    <w:p w14:paraId="3A5A4BC0" w14:textId="0F9608A0" w:rsidR="00313B95" w:rsidRDefault="00313B95" w:rsidP="00D649C6">
      <w:pPr>
        <w:pStyle w:val="SingleTxtG"/>
        <w:rPr>
          <w:lang w:val="fr-FR"/>
        </w:rPr>
      </w:pPr>
      <w:r>
        <w:rPr>
          <w:lang w:val="fr-FR"/>
        </w:rPr>
        <w:t>Texte</w:t>
      </w:r>
      <w:r w:rsidR="003919D9" w:rsidRPr="00CB0E75">
        <w:rPr>
          <w:lang w:val="fr-FR"/>
        </w:rPr>
        <w:t xml:space="preserve"> </w:t>
      </w:r>
      <w:r w:rsidR="003919D9" w:rsidRPr="00E756D0">
        <w:rPr>
          <w:lang w:val="fr-FR"/>
        </w:rPr>
        <w:t>de la</w:t>
      </w:r>
      <w:r w:rsidR="003919D9" w:rsidRPr="00CB0E75">
        <w:rPr>
          <w:lang w:val="fr-FR"/>
        </w:rPr>
        <w:t xml:space="preserve"> </w:t>
      </w:r>
      <w:r w:rsidR="003919D9" w:rsidRPr="00D649C6">
        <w:rPr>
          <w:b/>
          <w:bCs/>
          <w:lang w:val="fr-FR"/>
        </w:rPr>
        <w:t>Conventio</w:t>
      </w:r>
      <w:r w:rsidRPr="00D649C6">
        <w:rPr>
          <w:b/>
          <w:bCs/>
          <w:lang w:val="fr-FR"/>
        </w:rPr>
        <w:t>n</w:t>
      </w:r>
      <w:r w:rsidR="001C5833">
        <w:rPr>
          <w:lang w:val="fr-FR"/>
        </w:rPr>
        <w:t xml:space="preserve"> (</w:t>
      </w:r>
      <w:hyperlink r:id="rId7" w:history="1">
        <w:r w:rsidR="001C5833" w:rsidRPr="00A2662F">
          <w:rPr>
            <w:rStyle w:val="Lienhypertexte"/>
            <w:b/>
            <w:bCs/>
            <w:color w:val="548DD4" w:themeColor="text2" w:themeTint="99"/>
            <w:u w:val="single"/>
            <w:lang w:val="fr-FR"/>
          </w:rPr>
          <w:t>lien</w:t>
        </w:r>
      </w:hyperlink>
      <w:r w:rsidR="001C5833">
        <w:rPr>
          <w:lang w:val="fr-FR"/>
        </w:rPr>
        <w:t>)</w:t>
      </w:r>
      <w:r>
        <w:rPr>
          <w:lang w:val="fr-FR"/>
        </w:rPr>
        <w:t xml:space="preserve"> : </w:t>
      </w:r>
      <w:r w:rsidRPr="003F0BC3">
        <w:rPr>
          <w:lang w:val="fr-FR"/>
        </w:rPr>
        <w:t>consulter régulièrement pour y</w:t>
      </w:r>
      <w:r w:rsidR="003919D9">
        <w:rPr>
          <w:lang w:val="fr-FR"/>
        </w:rPr>
        <w:t xml:space="preserve"> </w:t>
      </w:r>
      <w:r>
        <w:rPr>
          <w:lang w:val="fr-FR"/>
        </w:rPr>
        <w:t xml:space="preserve">vérifier </w:t>
      </w:r>
      <w:r w:rsidR="003919D9">
        <w:rPr>
          <w:lang w:val="fr-FR"/>
        </w:rPr>
        <w:t xml:space="preserve">la terminologie et </w:t>
      </w:r>
      <w:r>
        <w:rPr>
          <w:lang w:val="fr-FR"/>
        </w:rPr>
        <w:t>le libellé</w:t>
      </w:r>
      <w:r w:rsidR="003919D9">
        <w:rPr>
          <w:lang w:val="fr-FR"/>
        </w:rPr>
        <w:t xml:space="preserve"> d</w:t>
      </w:r>
      <w:r w:rsidR="00D649C6">
        <w:rPr>
          <w:lang w:val="fr-FR"/>
        </w:rPr>
        <w:t>’</w:t>
      </w:r>
      <w:r w:rsidR="003919D9">
        <w:rPr>
          <w:lang w:val="fr-FR"/>
        </w:rPr>
        <w:t>articles si nécessaire.</w:t>
      </w:r>
    </w:p>
    <w:p w14:paraId="16FAF843" w14:textId="65DC3607" w:rsidR="003919D9" w:rsidRDefault="00313B95" w:rsidP="00D649C6">
      <w:pPr>
        <w:pStyle w:val="SingleTxtG"/>
        <w:rPr>
          <w:rStyle w:val="Lienhypertexte"/>
          <w:color w:val="000000" w:themeColor="text1"/>
          <w:lang w:val="fr-FR"/>
        </w:rPr>
      </w:pPr>
      <w:r w:rsidRPr="00D649C6">
        <w:rPr>
          <w:b/>
          <w:bCs/>
          <w:lang w:val="fr-FR"/>
        </w:rPr>
        <w:t>R</w:t>
      </w:r>
      <w:r w:rsidR="003919D9" w:rsidRPr="00D649C6">
        <w:rPr>
          <w:b/>
          <w:bCs/>
          <w:lang w:val="fr-FR"/>
        </w:rPr>
        <w:t>èglement intérieur de la Conférence</w:t>
      </w:r>
      <w:r w:rsidRPr="00D649C6">
        <w:rPr>
          <w:b/>
          <w:bCs/>
          <w:lang w:val="fr-FR"/>
        </w:rPr>
        <w:t> </w:t>
      </w:r>
      <w:r>
        <w:rPr>
          <w:lang w:val="fr-FR"/>
        </w:rPr>
        <w:t xml:space="preserve">: </w:t>
      </w:r>
      <w:r w:rsidR="003919D9">
        <w:rPr>
          <w:lang w:val="fr-FR"/>
        </w:rPr>
        <w:t xml:space="preserve">document </w:t>
      </w:r>
      <w:hyperlink r:id="rId8" w:history="1">
        <w:r w:rsidR="003919D9" w:rsidRPr="00A404FD">
          <w:rPr>
            <w:rStyle w:val="Lienhypertexte"/>
            <w:color w:val="000000" w:themeColor="text1"/>
            <w:lang w:val="fr-FR"/>
          </w:rPr>
          <w:t>BWC/CONF.IX/PC/L.2</w:t>
        </w:r>
      </w:hyperlink>
      <w:r w:rsidR="003919D9" w:rsidRPr="00A404FD">
        <w:rPr>
          <w:rStyle w:val="Lienhypertexte"/>
          <w:color w:val="000000" w:themeColor="text1"/>
          <w:lang w:val="fr-FR"/>
        </w:rPr>
        <w:t xml:space="preserve"> </w:t>
      </w:r>
      <w:r w:rsidR="00C24825">
        <w:rPr>
          <w:rStyle w:val="Lienhypertexte"/>
          <w:color w:val="000000" w:themeColor="text1"/>
          <w:lang w:val="fr-FR"/>
        </w:rPr>
        <w:t>(</w:t>
      </w:r>
      <w:r>
        <w:rPr>
          <w:rStyle w:val="Lienhypertexte"/>
          <w:color w:val="000000" w:themeColor="text1"/>
          <w:lang w:val="fr-FR"/>
        </w:rPr>
        <w:t>pour</w:t>
      </w:r>
      <w:r w:rsidR="003919D9" w:rsidRPr="00A404FD">
        <w:rPr>
          <w:rStyle w:val="Lienhypertexte"/>
          <w:color w:val="000000" w:themeColor="text1"/>
          <w:lang w:val="fr-FR"/>
        </w:rPr>
        <w:t xml:space="preserve"> la neuvième Conférence</w:t>
      </w:r>
      <w:r w:rsidR="003919D9">
        <w:rPr>
          <w:rStyle w:val="Lienhypertexte"/>
          <w:color w:val="000000" w:themeColor="text1"/>
          <w:lang w:val="fr-FR"/>
        </w:rPr>
        <w:t xml:space="preserve"> </w:t>
      </w:r>
      <w:r w:rsidR="003919D9" w:rsidRPr="00A404FD">
        <w:rPr>
          <w:rStyle w:val="Lienhypertexte"/>
          <w:color w:val="000000" w:themeColor="text1"/>
          <w:lang w:val="fr-FR"/>
        </w:rPr>
        <w:t>d</w:t>
      </w:r>
      <w:r w:rsidR="00D649C6">
        <w:rPr>
          <w:rStyle w:val="Lienhypertexte"/>
          <w:color w:val="000000" w:themeColor="text1"/>
          <w:lang w:val="fr-FR"/>
        </w:rPr>
        <w:t>’</w:t>
      </w:r>
      <w:r w:rsidR="003919D9" w:rsidRPr="00A404FD">
        <w:rPr>
          <w:rStyle w:val="Lienhypertexte"/>
          <w:color w:val="000000" w:themeColor="text1"/>
          <w:lang w:val="fr-FR"/>
        </w:rPr>
        <w:t>examen)</w:t>
      </w:r>
      <w:r w:rsidR="00D649C6">
        <w:rPr>
          <w:rStyle w:val="Lienhypertexte"/>
          <w:color w:val="000000" w:themeColor="text1"/>
          <w:lang w:val="fr-FR"/>
        </w:rPr>
        <w:t>.</w:t>
      </w:r>
    </w:p>
    <w:p w14:paraId="2F851B44" w14:textId="193CA10A" w:rsidR="003919D9" w:rsidRDefault="00313B95" w:rsidP="00D649C6">
      <w:pPr>
        <w:pStyle w:val="SingleTxtG"/>
        <w:rPr>
          <w:rStyle w:val="Lienhypertexte"/>
          <w:color w:val="000000" w:themeColor="text1"/>
        </w:rPr>
      </w:pPr>
      <w:r>
        <w:t>E</w:t>
      </w:r>
      <w:r w:rsidR="003919D9">
        <w:t>nregistrement</w:t>
      </w:r>
      <w:r>
        <w:t>s</w:t>
      </w:r>
      <w:r w:rsidR="003919D9">
        <w:t xml:space="preserve"> de</w:t>
      </w:r>
      <w:r>
        <w:t>s</w:t>
      </w:r>
      <w:r w:rsidR="003919D9">
        <w:t xml:space="preserve"> séance</w:t>
      </w:r>
      <w:r>
        <w:t>s : permettent d</w:t>
      </w:r>
      <w:r w:rsidR="00D649C6">
        <w:t>’</w:t>
      </w:r>
      <w:r w:rsidR="003919D9">
        <w:t xml:space="preserve">écouter des interventions ou </w:t>
      </w:r>
      <w:r>
        <w:t xml:space="preserve">des </w:t>
      </w:r>
      <w:r w:rsidR="003919D9">
        <w:t>parties d</w:t>
      </w:r>
      <w:r w:rsidR="00D649C6">
        <w:t>’</w:t>
      </w:r>
      <w:r w:rsidR="003919D9">
        <w:t>intervention (en cas de doute sur le sens d</w:t>
      </w:r>
      <w:r w:rsidR="00D649C6">
        <w:t>’</w:t>
      </w:r>
      <w:r w:rsidR="003919D9">
        <w:t xml:space="preserve">un passage par exemple) ; disponibles  sur le site </w:t>
      </w:r>
      <w:hyperlink r:id="rId9" w:history="1">
        <w:r w:rsidR="003919D9" w:rsidRPr="00FE464A">
          <w:rPr>
            <w:rStyle w:val="Lienhypertexte"/>
          </w:rPr>
          <w:t>https://conf.unog.ch/digitalrecordings/</w:t>
        </w:r>
      </w:hyperlink>
      <w:r w:rsidR="00EE471E">
        <w:rPr>
          <w:rStyle w:val="Lienhypertexte"/>
        </w:rPr>
        <w:t>.</w:t>
      </w:r>
    </w:p>
    <w:p w14:paraId="58D94658" w14:textId="0D028A62" w:rsidR="003919D9" w:rsidRDefault="00454435" w:rsidP="00D649C6">
      <w:pPr>
        <w:pStyle w:val="SingleTxtG"/>
      </w:pPr>
      <w:r>
        <w:rPr>
          <w:rStyle w:val="Lienhypertexte"/>
          <w:color w:val="000000" w:themeColor="text1"/>
        </w:rPr>
        <w:t>Rapport</w:t>
      </w:r>
      <w:r w:rsidR="000109F5">
        <w:rPr>
          <w:rStyle w:val="Lienhypertexte"/>
          <w:color w:val="000000" w:themeColor="text1"/>
        </w:rPr>
        <w:t>s</w:t>
      </w:r>
      <w:r w:rsidR="003919D9">
        <w:rPr>
          <w:rStyle w:val="Lienhypertexte"/>
          <w:color w:val="000000" w:themeColor="text1"/>
        </w:rPr>
        <w:t xml:space="preserve"> des réunions </w:t>
      </w:r>
      <w:r w:rsidR="00FA773B">
        <w:rPr>
          <w:rStyle w:val="Lienhypertexte"/>
          <w:color w:val="000000" w:themeColor="text1"/>
        </w:rPr>
        <w:t xml:space="preserve">annuelles </w:t>
      </w:r>
      <w:r w:rsidR="000109F5">
        <w:rPr>
          <w:rStyle w:val="Lienhypertexte"/>
          <w:color w:val="000000" w:themeColor="text1"/>
        </w:rPr>
        <w:t xml:space="preserve">des États parties </w:t>
      </w:r>
      <w:r w:rsidR="003919D9">
        <w:rPr>
          <w:rStyle w:val="Lienhypertexte"/>
          <w:color w:val="000000" w:themeColor="text1"/>
        </w:rPr>
        <w:t xml:space="preserve">ou </w:t>
      </w:r>
      <w:r>
        <w:rPr>
          <w:rStyle w:val="Lienhypertexte"/>
          <w:color w:val="000000" w:themeColor="text1"/>
        </w:rPr>
        <w:t>document</w:t>
      </w:r>
      <w:r w:rsidR="00AD6CC0">
        <w:rPr>
          <w:rStyle w:val="Lienhypertexte"/>
          <w:color w:val="000000" w:themeColor="text1"/>
        </w:rPr>
        <w:t>s</w:t>
      </w:r>
      <w:r>
        <w:rPr>
          <w:rStyle w:val="Lienhypertexte"/>
          <w:color w:val="000000" w:themeColor="text1"/>
        </w:rPr>
        <w:t xml:space="preserve"> final</w:t>
      </w:r>
      <w:r w:rsidR="00AD6CC0">
        <w:rPr>
          <w:rStyle w:val="Lienhypertexte"/>
          <w:color w:val="000000" w:themeColor="text1"/>
        </w:rPr>
        <w:t>s</w:t>
      </w:r>
      <w:r>
        <w:rPr>
          <w:rStyle w:val="Lienhypertexte"/>
          <w:color w:val="000000" w:themeColor="text1"/>
        </w:rPr>
        <w:t xml:space="preserve"> </w:t>
      </w:r>
      <w:r w:rsidR="00FA773B">
        <w:rPr>
          <w:rStyle w:val="Lienhypertexte"/>
          <w:color w:val="000000" w:themeColor="text1"/>
        </w:rPr>
        <w:t xml:space="preserve">des </w:t>
      </w:r>
      <w:r w:rsidR="003919D9">
        <w:rPr>
          <w:rStyle w:val="Lienhypertexte"/>
          <w:color w:val="000000" w:themeColor="text1"/>
        </w:rPr>
        <w:t xml:space="preserve">conférences </w:t>
      </w:r>
      <w:r w:rsidR="00FA773B">
        <w:rPr>
          <w:rStyle w:val="Lienhypertexte"/>
          <w:color w:val="000000" w:themeColor="text1"/>
        </w:rPr>
        <w:t>d</w:t>
      </w:r>
      <w:r w:rsidR="00D649C6">
        <w:rPr>
          <w:rStyle w:val="Lienhypertexte"/>
          <w:color w:val="000000" w:themeColor="text1"/>
        </w:rPr>
        <w:t>’</w:t>
      </w:r>
      <w:r w:rsidR="00FA773B">
        <w:rPr>
          <w:rStyle w:val="Lienhypertexte"/>
          <w:color w:val="000000" w:themeColor="text1"/>
        </w:rPr>
        <w:t xml:space="preserve">examen </w:t>
      </w:r>
      <w:r w:rsidR="003919D9">
        <w:rPr>
          <w:rStyle w:val="Lienhypertexte"/>
          <w:color w:val="000000" w:themeColor="text1"/>
        </w:rPr>
        <w:t>précédentes : à consulter par exemple pour reprendre le texte des décisions prises ou pour savoir</w:t>
      </w:r>
      <w:r w:rsidR="00E407DE">
        <w:rPr>
          <w:rStyle w:val="Lienhypertexte"/>
          <w:color w:val="000000" w:themeColor="text1"/>
        </w:rPr>
        <w:t xml:space="preserve"> si</w:t>
      </w:r>
      <w:r w:rsidR="003919D9">
        <w:rPr>
          <w:rStyle w:val="Lienhypertexte"/>
          <w:color w:val="000000" w:themeColor="text1"/>
        </w:rPr>
        <w:t xml:space="preserve"> la présidence était assurée par un homme ou une femme. </w:t>
      </w:r>
      <w:r w:rsidR="0051795F">
        <w:rPr>
          <w:rStyle w:val="Lienhypertexte"/>
          <w:color w:val="000000" w:themeColor="text1"/>
        </w:rPr>
        <w:t>Cote</w:t>
      </w:r>
      <w:r w:rsidR="00BA01AA">
        <w:rPr>
          <w:rStyle w:val="Lienhypertexte"/>
          <w:color w:val="000000" w:themeColor="text1"/>
        </w:rPr>
        <w:t>s</w:t>
      </w:r>
      <w:r w:rsidR="0051795F">
        <w:rPr>
          <w:rStyle w:val="Lienhypertexte"/>
          <w:color w:val="000000" w:themeColor="text1"/>
        </w:rPr>
        <w:t xml:space="preserve"> d</w:t>
      </w:r>
      <w:r w:rsidR="000D5F45">
        <w:rPr>
          <w:rStyle w:val="Lienhypertexte"/>
          <w:color w:val="000000" w:themeColor="text1"/>
        </w:rPr>
        <w:t>es</w:t>
      </w:r>
      <w:r w:rsidR="0051795F">
        <w:rPr>
          <w:rStyle w:val="Lienhypertexte"/>
          <w:color w:val="000000" w:themeColor="text1"/>
        </w:rPr>
        <w:t xml:space="preserve"> </w:t>
      </w:r>
      <w:r w:rsidR="001A5F15">
        <w:rPr>
          <w:rStyle w:val="Lienhypertexte"/>
          <w:color w:val="000000" w:themeColor="text1"/>
        </w:rPr>
        <w:t>document</w:t>
      </w:r>
      <w:r w:rsidR="000D5F45">
        <w:rPr>
          <w:rStyle w:val="Lienhypertexte"/>
          <w:color w:val="000000" w:themeColor="text1"/>
        </w:rPr>
        <w:t>s</w:t>
      </w:r>
      <w:r w:rsidR="001A5F15">
        <w:rPr>
          <w:rStyle w:val="Lienhypertexte"/>
          <w:color w:val="000000" w:themeColor="text1"/>
        </w:rPr>
        <w:t xml:space="preserve"> final</w:t>
      </w:r>
      <w:r w:rsidR="000D5F45">
        <w:rPr>
          <w:rStyle w:val="Lienhypertexte"/>
          <w:color w:val="000000" w:themeColor="text1"/>
        </w:rPr>
        <w:t>s</w:t>
      </w:r>
      <w:r w:rsidR="001A5F15">
        <w:rPr>
          <w:rStyle w:val="Lienhypertexte"/>
          <w:color w:val="000000" w:themeColor="text1"/>
        </w:rPr>
        <w:t xml:space="preserve"> de</w:t>
      </w:r>
      <w:r w:rsidR="000D5F45">
        <w:rPr>
          <w:rStyle w:val="Lienhypertexte"/>
          <w:color w:val="000000" w:themeColor="text1"/>
        </w:rPr>
        <w:t>s</w:t>
      </w:r>
      <w:r w:rsidR="001A5F15">
        <w:rPr>
          <w:rStyle w:val="Lienhypertexte"/>
          <w:color w:val="000000" w:themeColor="text1"/>
        </w:rPr>
        <w:t xml:space="preserve"> huitième </w:t>
      </w:r>
      <w:r w:rsidR="000D5F45">
        <w:rPr>
          <w:rStyle w:val="Lienhypertexte"/>
          <w:color w:val="000000" w:themeColor="text1"/>
        </w:rPr>
        <w:t>et neuvièmes c</w:t>
      </w:r>
      <w:r w:rsidR="001A5F15">
        <w:rPr>
          <w:rStyle w:val="Lienhypertexte"/>
          <w:color w:val="000000" w:themeColor="text1"/>
        </w:rPr>
        <w:t>onférence</w:t>
      </w:r>
      <w:r w:rsidR="000D5F45">
        <w:rPr>
          <w:rStyle w:val="Lienhypertexte"/>
          <w:color w:val="000000" w:themeColor="text1"/>
        </w:rPr>
        <w:t>s</w:t>
      </w:r>
      <w:r w:rsidR="001A5F15">
        <w:rPr>
          <w:rStyle w:val="Lienhypertexte"/>
          <w:color w:val="000000" w:themeColor="text1"/>
        </w:rPr>
        <w:t xml:space="preserve"> d</w:t>
      </w:r>
      <w:r w:rsidR="00D649C6">
        <w:rPr>
          <w:rStyle w:val="Lienhypertexte"/>
          <w:color w:val="000000" w:themeColor="text1"/>
        </w:rPr>
        <w:t>’</w:t>
      </w:r>
      <w:r w:rsidR="001A5F15">
        <w:rPr>
          <w:rStyle w:val="Lienhypertexte"/>
          <w:color w:val="000000" w:themeColor="text1"/>
        </w:rPr>
        <w:t>examen</w:t>
      </w:r>
      <w:r w:rsidR="0051795F">
        <w:rPr>
          <w:rStyle w:val="Lienhypertexte"/>
          <w:color w:val="000000" w:themeColor="text1"/>
        </w:rPr>
        <w:t> :</w:t>
      </w:r>
      <w:r w:rsidR="001A5F15">
        <w:rPr>
          <w:rStyle w:val="Lienhypertexte"/>
          <w:color w:val="000000" w:themeColor="text1"/>
        </w:rPr>
        <w:t xml:space="preserve"> </w:t>
      </w:r>
      <w:r w:rsidR="00C40B94">
        <w:rPr>
          <w:rStyle w:val="Lienhypertexte"/>
          <w:color w:val="000000" w:themeColor="text1"/>
        </w:rPr>
        <w:t>BWC/CONF.VIII/4</w:t>
      </w:r>
      <w:r w:rsidR="000D5F45">
        <w:rPr>
          <w:rStyle w:val="Lienhypertexte"/>
          <w:color w:val="000000" w:themeColor="text1"/>
        </w:rPr>
        <w:t xml:space="preserve">, </w:t>
      </w:r>
      <w:r w:rsidR="000D5F45" w:rsidRPr="000D5F45">
        <w:rPr>
          <w:color w:val="000000" w:themeColor="text1"/>
        </w:rPr>
        <w:t>BWC/CONF.IX/9</w:t>
      </w:r>
      <w:r w:rsidR="00C40B94">
        <w:rPr>
          <w:rStyle w:val="Lienhypertexte"/>
          <w:color w:val="000000" w:themeColor="text1"/>
        </w:rPr>
        <w:t xml:space="preserve"> ; </w:t>
      </w:r>
      <w:r w:rsidR="0051795F">
        <w:rPr>
          <w:rStyle w:val="Lienhypertexte"/>
          <w:color w:val="000000" w:themeColor="text1"/>
        </w:rPr>
        <w:t>cote</w:t>
      </w:r>
      <w:r w:rsidR="00BA01AA">
        <w:rPr>
          <w:rStyle w:val="Lienhypertexte"/>
          <w:color w:val="000000" w:themeColor="text1"/>
        </w:rPr>
        <w:t>s</w:t>
      </w:r>
      <w:r w:rsidR="0051795F">
        <w:rPr>
          <w:rStyle w:val="Lienhypertexte"/>
          <w:color w:val="000000" w:themeColor="text1"/>
        </w:rPr>
        <w:t xml:space="preserve"> des </w:t>
      </w:r>
      <w:r>
        <w:rPr>
          <w:rStyle w:val="Lienhypertexte"/>
          <w:color w:val="000000" w:themeColor="text1"/>
        </w:rPr>
        <w:t>rapports</w:t>
      </w:r>
      <w:r w:rsidR="00253945">
        <w:rPr>
          <w:rStyle w:val="Lienhypertexte"/>
          <w:color w:val="000000" w:themeColor="text1"/>
        </w:rPr>
        <w:t xml:space="preserve"> des réunions des États parties tenu</w:t>
      </w:r>
      <w:r w:rsidR="006078E9">
        <w:rPr>
          <w:rStyle w:val="Lienhypertexte"/>
          <w:color w:val="000000" w:themeColor="text1"/>
        </w:rPr>
        <w:t>e</w:t>
      </w:r>
      <w:r w:rsidR="00253945">
        <w:rPr>
          <w:rStyle w:val="Lienhypertexte"/>
          <w:color w:val="000000" w:themeColor="text1"/>
        </w:rPr>
        <w:t xml:space="preserve">s </w:t>
      </w:r>
      <w:r w:rsidR="000506AC">
        <w:rPr>
          <w:rStyle w:val="Lienhypertexte"/>
          <w:color w:val="000000" w:themeColor="text1"/>
        </w:rPr>
        <w:t>entre</w:t>
      </w:r>
      <w:r w:rsidR="0051795F">
        <w:rPr>
          <w:rStyle w:val="Lienhypertexte"/>
          <w:color w:val="000000" w:themeColor="text1"/>
        </w:rPr>
        <w:t xml:space="preserve"> la </w:t>
      </w:r>
      <w:r w:rsidR="000506AC">
        <w:rPr>
          <w:rStyle w:val="Lienhypertexte"/>
          <w:color w:val="000000" w:themeColor="text1"/>
        </w:rPr>
        <w:t>huitième et la neuvième</w:t>
      </w:r>
      <w:r w:rsidR="0051795F">
        <w:rPr>
          <w:rStyle w:val="Lienhypertexte"/>
          <w:color w:val="000000" w:themeColor="text1"/>
        </w:rPr>
        <w:t xml:space="preserve"> conférence d</w:t>
      </w:r>
      <w:r w:rsidR="00D649C6">
        <w:rPr>
          <w:rStyle w:val="Lienhypertexte"/>
          <w:color w:val="000000" w:themeColor="text1"/>
        </w:rPr>
        <w:t>’</w:t>
      </w:r>
      <w:r w:rsidR="0051795F">
        <w:rPr>
          <w:rStyle w:val="Lienhypertexte"/>
          <w:color w:val="000000" w:themeColor="text1"/>
        </w:rPr>
        <w:t>examen : BWC/</w:t>
      </w:r>
      <w:r w:rsidR="00E746BC">
        <w:rPr>
          <w:rStyle w:val="Lienhypertexte"/>
          <w:color w:val="000000" w:themeColor="text1"/>
        </w:rPr>
        <w:t>MSP</w:t>
      </w:r>
      <w:r w:rsidR="00DB797E">
        <w:rPr>
          <w:rStyle w:val="Lienhypertexte"/>
          <w:color w:val="000000" w:themeColor="text1"/>
        </w:rPr>
        <w:t>/</w:t>
      </w:r>
      <w:r w:rsidR="00E746BC">
        <w:rPr>
          <w:rStyle w:val="Lienhypertexte"/>
          <w:color w:val="000000" w:themeColor="text1"/>
        </w:rPr>
        <w:t xml:space="preserve">2017/6, </w:t>
      </w:r>
      <w:r w:rsidR="00DB797E">
        <w:rPr>
          <w:rStyle w:val="Lienhypertexte"/>
          <w:color w:val="000000" w:themeColor="text1"/>
        </w:rPr>
        <w:t>BWC/MSP/2018/6</w:t>
      </w:r>
      <w:r w:rsidR="00FA773B">
        <w:rPr>
          <w:rStyle w:val="Lienhypertexte"/>
          <w:color w:val="000000" w:themeColor="text1"/>
        </w:rPr>
        <w:t xml:space="preserve">, </w:t>
      </w:r>
      <w:r w:rsidR="004A3B10">
        <w:rPr>
          <w:rStyle w:val="Lienhypertexte"/>
          <w:color w:val="000000" w:themeColor="text1"/>
        </w:rPr>
        <w:t xml:space="preserve">BWC/MSP/2019/7, </w:t>
      </w:r>
      <w:r w:rsidR="00F93A1E" w:rsidRPr="00F93A1E">
        <w:rPr>
          <w:color w:val="000000" w:themeColor="text1"/>
        </w:rPr>
        <w:t>BWC/MSP/2020/7</w:t>
      </w:r>
      <w:r w:rsidR="0075553D">
        <w:rPr>
          <w:color w:val="000000" w:themeColor="text1"/>
        </w:rPr>
        <w:t>.</w:t>
      </w:r>
    </w:p>
    <w:p w14:paraId="5D1CB0A1" w14:textId="4BFF6FDD" w:rsidR="00313B95" w:rsidRDefault="00313B95" w:rsidP="00D649C6">
      <w:pPr>
        <w:pStyle w:val="SingleTxtG"/>
        <w:rPr>
          <w:lang w:val="fr-FR"/>
        </w:rPr>
      </w:pPr>
      <w:r>
        <w:rPr>
          <w:rStyle w:val="Lienhypertexte"/>
          <w:color w:val="000000" w:themeColor="text1"/>
        </w:rPr>
        <w:t xml:space="preserve">Ordre du jour de la Conférence : </w:t>
      </w:r>
      <w:r>
        <w:rPr>
          <w:lang w:val="fr-FR"/>
        </w:rPr>
        <w:t>pour la traduction du thème indiqué sous « </w:t>
      </w:r>
      <w:r w:rsidRPr="00201B31">
        <w:rPr>
          <w:lang w:val="fr-FR"/>
        </w:rPr>
        <w:t>Sommaire</w:t>
      </w:r>
      <w:r w:rsidRPr="00C54121">
        <w:rPr>
          <w:lang w:val="fr-FR"/>
        </w:rPr>
        <w:t> </w:t>
      </w:r>
      <w:r>
        <w:rPr>
          <w:lang w:val="fr-FR"/>
        </w:rPr>
        <w:t>», se</w:t>
      </w:r>
      <w:r w:rsidR="00D649C6">
        <w:rPr>
          <w:lang w:val="fr-FR"/>
        </w:rPr>
        <w:t> </w:t>
      </w:r>
      <w:r>
        <w:rPr>
          <w:lang w:val="fr-FR"/>
        </w:rPr>
        <w:t xml:space="preserve">référer à </w:t>
      </w:r>
      <w:r w:rsidRPr="00D649C6">
        <w:rPr>
          <w:b/>
          <w:bCs/>
          <w:lang w:val="fr-FR"/>
        </w:rPr>
        <w:t>l</w:t>
      </w:r>
      <w:r w:rsidR="00D649C6">
        <w:rPr>
          <w:b/>
          <w:bCs/>
          <w:lang w:val="fr-FR"/>
        </w:rPr>
        <w:t>’</w:t>
      </w:r>
      <w:r w:rsidRPr="00D649C6">
        <w:rPr>
          <w:b/>
          <w:bCs/>
          <w:lang w:val="fr-FR"/>
        </w:rPr>
        <w:t>ordre du jour de la Conférence</w:t>
      </w:r>
      <w:r>
        <w:rPr>
          <w:lang w:val="fr-FR"/>
        </w:rPr>
        <w:t xml:space="preserve"> (publié sous la cote BWC/CONF.IX/1</w:t>
      </w:r>
      <w:r w:rsidRPr="00D10BF3">
        <w:rPr>
          <w:lang w:val="fr-FR"/>
        </w:rPr>
        <w:t xml:space="preserve"> </w:t>
      </w:r>
      <w:r>
        <w:rPr>
          <w:lang w:val="fr-FR"/>
        </w:rPr>
        <w:t>pour la</w:t>
      </w:r>
      <w:r w:rsidR="00D649C6">
        <w:rPr>
          <w:lang w:val="fr-FR"/>
        </w:rPr>
        <w:t> </w:t>
      </w:r>
      <w:r>
        <w:rPr>
          <w:lang w:val="fr-FR"/>
        </w:rPr>
        <w:t>neuvième Conférence d</w:t>
      </w:r>
      <w:r w:rsidR="00D649C6">
        <w:rPr>
          <w:lang w:val="fr-FR"/>
        </w:rPr>
        <w:t>’</w:t>
      </w:r>
      <w:r>
        <w:rPr>
          <w:lang w:val="fr-FR"/>
        </w:rPr>
        <w:t>examen), le thème correspondant en général à un point de l</w:t>
      </w:r>
      <w:r w:rsidR="00D649C6">
        <w:rPr>
          <w:lang w:val="fr-FR"/>
        </w:rPr>
        <w:t>’</w:t>
      </w:r>
      <w:r>
        <w:rPr>
          <w:lang w:val="fr-FR"/>
        </w:rPr>
        <w:t>ordre du jour.</w:t>
      </w:r>
    </w:p>
    <w:p w14:paraId="575CFC40" w14:textId="52019BB3" w:rsidR="00313B95" w:rsidRDefault="00313B95" w:rsidP="00D649C6">
      <w:pPr>
        <w:pStyle w:val="SingleTxtG"/>
        <w:rPr>
          <w:lang w:val="fr-FR"/>
        </w:rPr>
      </w:pPr>
      <w:r>
        <w:rPr>
          <w:lang w:val="fr-FR"/>
        </w:rPr>
        <w:t>UNTERM : y vérifier systématiquement tous les noms de pays et intitulés officiels (</w:t>
      </w:r>
      <w:r w:rsidRPr="00452D11">
        <w:t>noms d</w:t>
      </w:r>
      <w:r w:rsidR="00D649C6">
        <w:t>’</w:t>
      </w:r>
      <w:r w:rsidRPr="00452D11">
        <w:t xml:space="preserve">entités, </w:t>
      </w:r>
      <w:r>
        <w:t>titres</w:t>
      </w:r>
      <w:r w:rsidRPr="00452D11">
        <w:t xml:space="preserve"> de traités</w:t>
      </w:r>
      <w:r>
        <w:t>,</w:t>
      </w:r>
      <w:r w:rsidRPr="00452D11">
        <w:t xml:space="preserve"> etc.)</w:t>
      </w:r>
      <w:r>
        <w:t>.</w:t>
      </w:r>
      <w:r>
        <w:rPr>
          <w:lang w:val="fr-FR"/>
        </w:rPr>
        <w:t xml:space="preserve"> Y vérifier aussi la terminologie relative au désarmement.</w:t>
      </w:r>
    </w:p>
    <w:p w14:paraId="623A6E47" w14:textId="17A12974" w:rsidR="008034CA" w:rsidRDefault="00313B95" w:rsidP="00D649C6">
      <w:pPr>
        <w:pStyle w:val="SingleTxtG"/>
      </w:pPr>
      <w:r>
        <w:t xml:space="preserve">Consignes </w:t>
      </w:r>
      <w:r w:rsidRPr="00F71AC0">
        <w:t xml:space="preserve">concernant la traduction des procès-verbaux de la Conférence du désarmement qui figurent sur </w:t>
      </w:r>
      <w:r>
        <w:t>le</w:t>
      </w:r>
      <w:r w:rsidRPr="00F71AC0">
        <w:t xml:space="preserve"> site de la Section</w:t>
      </w:r>
      <w:r>
        <w:t> </w:t>
      </w:r>
      <w:r w:rsidR="008C62F4">
        <w:t>(</w:t>
      </w:r>
      <w:hyperlink r:id="rId10" w:history="1">
        <w:r w:rsidR="008C62F4" w:rsidRPr="009D327C">
          <w:rPr>
            <w:rStyle w:val="Lienhypertexte"/>
          </w:rPr>
          <w:t>https://ls-fts.unog.ch/committee/desarmement</w:t>
        </w:r>
      </w:hyperlink>
      <w:r w:rsidR="008C62F4">
        <w:t xml:space="preserve">) </w:t>
      </w:r>
      <w:r>
        <w:t>:</w:t>
      </w:r>
      <w:r w:rsidRPr="00F71AC0">
        <w:t xml:space="preserve"> peuvent contenir d</w:t>
      </w:r>
      <w:r w:rsidR="00D649C6">
        <w:t>’</w:t>
      </w:r>
      <w:r w:rsidRPr="00F71AC0">
        <w:t xml:space="preserve">autres indications utiles. </w:t>
      </w:r>
    </w:p>
    <w:p w14:paraId="681C14DF" w14:textId="7B25743A" w:rsidR="003919D9" w:rsidRPr="003F0BC3" w:rsidRDefault="003919D9" w:rsidP="00D649C6">
      <w:pPr>
        <w:pStyle w:val="SingleTxtG"/>
        <w:rPr>
          <w:u w:val="single"/>
        </w:rPr>
      </w:pPr>
      <w:r w:rsidRPr="003F0BC3">
        <w:rPr>
          <w:u w:val="single"/>
        </w:rPr>
        <w:t>Consignes</w:t>
      </w:r>
      <w:r w:rsidR="00D649C6" w:rsidRPr="00D649C6">
        <w:t> :</w:t>
      </w:r>
    </w:p>
    <w:p w14:paraId="73CE88AD" w14:textId="206DBECC" w:rsidR="00903D21" w:rsidRDefault="00903D21" w:rsidP="00D649C6">
      <w:pPr>
        <w:pStyle w:val="Bullet1G"/>
      </w:pPr>
      <w:r>
        <w:t xml:space="preserve">Ne pas utiliser le sigle « CABT » pour </w:t>
      </w:r>
      <w:r w:rsidR="00E47C09">
        <w:t>désigner</w:t>
      </w:r>
      <w:r w:rsidR="00AC56E8">
        <w:t xml:space="preserve"> </w:t>
      </w:r>
      <w:r>
        <w:t>la Convention</w:t>
      </w:r>
      <w:r w:rsidR="0073255D">
        <w:t xml:space="preserve">, même si </w:t>
      </w:r>
      <w:r w:rsidR="009528D6">
        <w:t>ce sigle est utilisé sur la page Web de la Convention</w:t>
      </w:r>
      <w:r>
        <w:t>.</w:t>
      </w:r>
    </w:p>
    <w:p w14:paraId="03A3BBF4" w14:textId="5EF44FF3" w:rsidR="00731662" w:rsidRPr="00731662" w:rsidRDefault="00731662" w:rsidP="00D649C6">
      <w:pPr>
        <w:pStyle w:val="Bullet1G"/>
      </w:pPr>
      <w:r>
        <w:t>Dans les comptes rendus, « </w:t>
      </w:r>
      <w:r w:rsidRPr="00731662">
        <w:t>Contents</w:t>
      </w:r>
      <w:r w:rsidR="00C725E8">
        <w:t> »</w:t>
      </w:r>
      <w:r>
        <w:t xml:space="preserve"> se traduit par « Sommaire »</w:t>
      </w:r>
      <w:r w:rsidR="001D4FC2">
        <w:t xml:space="preserve"> </w:t>
      </w:r>
      <w:r w:rsidR="00BC0FB9" w:rsidRPr="00D649C6">
        <w:rPr>
          <w:b/>
          <w:bCs/>
        </w:rPr>
        <w:t>Le sommaire est à traduire</w:t>
      </w:r>
      <w:r w:rsidR="006955C9" w:rsidRPr="00D649C6">
        <w:rPr>
          <w:b/>
          <w:bCs/>
        </w:rPr>
        <w:t xml:space="preserve"> </w:t>
      </w:r>
      <w:r w:rsidR="006955C9">
        <w:t>(</w:t>
      </w:r>
      <w:r w:rsidR="00BC0FB9">
        <w:t xml:space="preserve">contrairement </w:t>
      </w:r>
      <w:r w:rsidR="00226EBD">
        <w:t xml:space="preserve">à </w:t>
      </w:r>
      <w:r w:rsidR="00C458EF">
        <w:t>l</w:t>
      </w:r>
      <w:r w:rsidR="00D649C6">
        <w:t>’</w:t>
      </w:r>
      <w:r w:rsidR="00C458EF">
        <w:t xml:space="preserve">usage concernant </w:t>
      </w:r>
      <w:r w:rsidR="00513A3D">
        <w:t>les documents d</w:t>
      </w:r>
      <w:r w:rsidR="00D649C6">
        <w:t>’</w:t>
      </w:r>
      <w:r w:rsidR="00513A3D">
        <w:t>autres types</w:t>
      </w:r>
      <w:r w:rsidR="00176D8C">
        <w:t>)</w:t>
      </w:r>
      <w:r w:rsidR="00CB7B49">
        <w:t>.</w:t>
      </w:r>
    </w:p>
    <w:p w14:paraId="1CA49330" w14:textId="0C213E61" w:rsidR="00246808" w:rsidRDefault="009D5E9E" w:rsidP="00D649C6">
      <w:pPr>
        <w:pStyle w:val="Bullet1G"/>
      </w:pPr>
      <w:r w:rsidRPr="00D649C6">
        <w:rPr>
          <w:b/>
          <w:bCs/>
        </w:rPr>
        <w:t>Le compte rendu se traduit au présent</w:t>
      </w:r>
      <w:r w:rsidR="00731662">
        <w:t>.</w:t>
      </w:r>
      <w:r w:rsidR="00660273">
        <w:t xml:space="preserve"> </w:t>
      </w:r>
      <w:r w:rsidR="0061547D">
        <w:t>Pour d</w:t>
      </w:r>
      <w:r w:rsidR="00D649C6">
        <w:t>’</w:t>
      </w:r>
      <w:r w:rsidR="0061547D">
        <w:t>autres indications concernant les règles régissant les comptes rendus analytiques, v</w:t>
      </w:r>
      <w:r w:rsidR="00660273">
        <w:t xml:space="preserve">oir à ce sujet le </w:t>
      </w:r>
      <w:r w:rsidR="00660273" w:rsidRPr="00806413">
        <w:rPr>
          <w:i/>
          <w:iCs/>
        </w:rPr>
        <w:t xml:space="preserve">Manuel </w:t>
      </w:r>
      <w:r w:rsidR="006E092F">
        <w:rPr>
          <w:i/>
          <w:iCs/>
        </w:rPr>
        <w:t>à l</w:t>
      </w:r>
      <w:r w:rsidR="00D649C6">
        <w:rPr>
          <w:i/>
          <w:iCs/>
        </w:rPr>
        <w:t>’</w:t>
      </w:r>
      <w:r w:rsidR="006E092F">
        <w:rPr>
          <w:i/>
          <w:iCs/>
        </w:rPr>
        <w:t xml:space="preserve">usage </w:t>
      </w:r>
      <w:r w:rsidR="00660273" w:rsidRPr="00806413">
        <w:rPr>
          <w:i/>
          <w:iCs/>
        </w:rPr>
        <w:t>des rédacteurs</w:t>
      </w:r>
      <w:r w:rsidR="0061547D">
        <w:rPr>
          <w:i/>
          <w:iCs/>
        </w:rPr>
        <w:t xml:space="preserve"> (</w:t>
      </w:r>
      <w:hyperlink r:id="rId11" w:history="1">
        <w:r w:rsidR="0061547D" w:rsidRPr="0061547D">
          <w:rPr>
            <w:rStyle w:val="Lienhypertexte"/>
            <w:color w:val="548DD4" w:themeColor="text2" w:themeTint="99"/>
            <w:u w:val="single"/>
          </w:rPr>
          <w:t>lien</w:t>
        </w:r>
      </w:hyperlink>
      <w:r w:rsidR="0061547D">
        <w:rPr>
          <w:i/>
          <w:iCs/>
        </w:rPr>
        <w:t>)</w:t>
      </w:r>
      <w:r w:rsidR="00EE657D">
        <w:t>, ainsi que</w:t>
      </w:r>
      <w:r w:rsidR="00660273">
        <w:t xml:space="preserve"> le </w:t>
      </w:r>
      <w:r w:rsidR="00660273" w:rsidRPr="00806413">
        <w:rPr>
          <w:i/>
          <w:iCs/>
        </w:rPr>
        <w:t xml:space="preserve">Manuel </w:t>
      </w:r>
      <w:r w:rsidR="006E092F">
        <w:rPr>
          <w:i/>
          <w:iCs/>
        </w:rPr>
        <w:tab/>
      </w:r>
      <w:r w:rsidR="00660273" w:rsidRPr="00806413">
        <w:rPr>
          <w:i/>
          <w:iCs/>
        </w:rPr>
        <w:t>de</w:t>
      </w:r>
      <w:r w:rsidR="006E092F">
        <w:rPr>
          <w:i/>
          <w:iCs/>
        </w:rPr>
        <w:t xml:space="preserve"> </w:t>
      </w:r>
      <w:r w:rsidR="00660273" w:rsidRPr="00806413">
        <w:rPr>
          <w:i/>
          <w:iCs/>
        </w:rPr>
        <w:t>traduction</w:t>
      </w:r>
      <w:r w:rsidR="00CE3E53">
        <w:rPr>
          <w:i/>
          <w:iCs/>
        </w:rPr>
        <w:t xml:space="preserve"> (</w:t>
      </w:r>
      <w:hyperlink r:id="rId12" w:history="1">
        <w:r w:rsidR="00CE3E53" w:rsidRPr="001A1222">
          <w:rPr>
            <w:rStyle w:val="Lienhypertexte"/>
            <w:color w:val="548DD4" w:themeColor="text2" w:themeTint="99"/>
            <w:u w:val="single"/>
          </w:rPr>
          <w:t>lien</w:t>
        </w:r>
      </w:hyperlink>
      <w:r w:rsidR="00CE3E53">
        <w:rPr>
          <w:i/>
          <w:iCs/>
        </w:rPr>
        <w:t>)</w:t>
      </w:r>
      <w:r w:rsidR="0061547D">
        <w:rPr>
          <w:i/>
          <w:iCs/>
        </w:rPr>
        <w:t>.</w:t>
      </w:r>
    </w:p>
    <w:p w14:paraId="32DBFC39" w14:textId="438934A5" w:rsidR="004456CA" w:rsidRDefault="0075304A" w:rsidP="00D649C6">
      <w:pPr>
        <w:pStyle w:val="Bullet1G"/>
      </w:pPr>
      <w:r w:rsidRPr="00D649C6">
        <w:rPr>
          <w:b/>
          <w:bCs/>
        </w:rPr>
        <w:lastRenderedPageBreak/>
        <w:t>Note de bas de page</w:t>
      </w:r>
      <w:r>
        <w:t> </w:t>
      </w:r>
      <w:r w:rsidR="00452DAC">
        <w:t xml:space="preserve">concernant les comptes rendus </w:t>
      </w:r>
      <w:r w:rsidR="00340FC3">
        <w:t>relatifs aux</w:t>
      </w:r>
      <w:r w:rsidR="00452DAC">
        <w:t xml:space="preserve"> conférences d</w:t>
      </w:r>
      <w:r w:rsidR="00D649C6">
        <w:t>’</w:t>
      </w:r>
      <w:r w:rsidR="00452DAC">
        <w:t xml:space="preserve">examen </w:t>
      </w:r>
      <w:r w:rsidR="00DB5618">
        <w:t>de la Convention sur les armes biologiques</w:t>
      </w:r>
      <w:r w:rsidR="00D649C6">
        <w:t> </w:t>
      </w:r>
      <w:r>
        <w:t xml:space="preserve">: </w:t>
      </w:r>
    </w:p>
    <w:p w14:paraId="48767245" w14:textId="48E2D88C" w:rsidR="004456CA" w:rsidRPr="004456CA" w:rsidRDefault="00166E8D" w:rsidP="00166E8D">
      <w:pPr>
        <w:pStyle w:val="Bullet2G"/>
        <w:numPr>
          <w:ilvl w:val="0"/>
          <w:numId w:val="0"/>
        </w:numPr>
        <w:ind w:left="2268"/>
        <w:rPr>
          <w:lang w:val="en-US"/>
        </w:rPr>
      </w:pPr>
      <w:r>
        <w:tab/>
      </w:r>
      <w:r w:rsidRPr="00166E8D">
        <w:rPr>
          <w:lang w:val="en-US"/>
        </w:rPr>
        <w:t>« </w:t>
      </w:r>
      <w:r w:rsidR="004456CA" w:rsidRPr="004456CA">
        <w:rPr>
          <w:lang w:val="en-US"/>
        </w:rPr>
        <w:t>This record is subject to correction. Corrections should be set forth in a memorandum and also incorporated in a copy of the record. They should be sent within one week of</w:t>
      </w:r>
      <w:r w:rsidR="00D649C6">
        <w:rPr>
          <w:lang w:val="en-US"/>
        </w:rPr>
        <w:t> </w:t>
      </w:r>
      <w:r w:rsidR="004456CA" w:rsidRPr="004456CA">
        <w:rPr>
          <w:lang w:val="en-US"/>
        </w:rPr>
        <w:t>the date of the present record to the Documents Management Section (DMS-DCM@un.org).</w:t>
      </w:r>
    </w:p>
    <w:p w14:paraId="68D71847" w14:textId="0E16B003" w:rsidR="004456CA" w:rsidRPr="00166E8D" w:rsidRDefault="004456CA" w:rsidP="00166E8D">
      <w:pPr>
        <w:pStyle w:val="SingleTxtG"/>
        <w:ind w:left="2268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2FED92" wp14:editId="08B9D6BB">
            <wp:simplePos x="0" y="0"/>
            <wp:positionH relativeFrom="margin">
              <wp:posOffset>5542280</wp:posOffset>
            </wp:positionH>
            <wp:positionV relativeFrom="margin">
              <wp:posOffset>8870950</wp:posOffset>
            </wp:positionV>
            <wp:extent cx="561975" cy="5619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6CA">
        <w:rPr>
          <w:lang w:val="en-US"/>
        </w:rPr>
        <w:t>Any corrected records of the public meetings of this Conference will be reissued for technical reasons after the end of the Conference.</w:t>
      </w:r>
      <w:r w:rsidR="00166E8D" w:rsidRPr="00166E8D">
        <w:rPr>
          <w:lang w:val="en-US"/>
        </w:rPr>
        <w:t> »</w:t>
      </w:r>
      <w:r w:rsidR="00166E8D">
        <w:rPr>
          <w:lang w:val="en-US"/>
        </w:rPr>
        <w:t>.</w:t>
      </w:r>
    </w:p>
    <w:p w14:paraId="176F5A8F" w14:textId="77365DF5" w:rsidR="009706DF" w:rsidRPr="005206CA" w:rsidRDefault="00166E8D" w:rsidP="00D649C6">
      <w:pPr>
        <w:pStyle w:val="SingleTxtG"/>
        <w:rPr>
          <w:u w:val="single"/>
        </w:rPr>
      </w:pPr>
      <w:r>
        <w:rPr>
          <w:lang w:val="en-US"/>
        </w:rPr>
        <w:tab/>
      </w:r>
      <w:r>
        <w:rPr>
          <w:lang w:val="en-US"/>
        </w:rPr>
        <w:tab/>
      </w:r>
      <w:r w:rsidR="003F35D5" w:rsidRPr="005206CA">
        <w:rPr>
          <w:u w:val="single"/>
        </w:rPr>
        <w:t>À traduire par</w:t>
      </w:r>
      <w:r w:rsidR="00D649C6" w:rsidRPr="00D649C6">
        <w:t> </w:t>
      </w:r>
      <w:r w:rsidR="003F35D5" w:rsidRPr="00D649C6">
        <w:t>:</w:t>
      </w:r>
      <w:r w:rsidR="003F35D5" w:rsidRPr="005206CA">
        <w:rPr>
          <w:u w:val="single"/>
        </w:rPr>
        <w:t xml:space="preserve"> </w:t>
      </w:r>
    </w:p>
    <w:p w14:paraId="2B675B95" w14:textId="0A53A71D" w:rsidR="009706DF" w:rsidRDefault="001548B3" w:rsidP="00166E8D">
      <w:pPr>
        <w:pStyle w:val="Bullet2G"/>
        <w:numPr>
          <w:ilvl w:val="0"/>
          <w:numId w:val="0"/>
        </w:numPr>
        <w:ind w:left="2268"/>
      </w:pPr>
      <w:r>
        <w:tab/>
      </w:r>
      <w:r w:rsidR="0075304A">
        <w:t>« </w:t>
      </w:r>
      <w:r w:rsidR="00AE7BEF">
        <w:t>L</w:t>
      </w:r>
      <w:r w:rsidR="0075304A">
        <w:t>e présent compte rendu est sujet à rectifications</w:t>
      </w:r>
      <w:r w:rsidR="00D12E6A">
        <w:t>.</w:t>
      </w:r>
      <w:r w:rsidR="009706DF">
        <w:t xml:space="preserve"> </w:t>
      </w:r>
      <w:r w:rsidR="009706DF" w:rsidRPr="009706DF">
        <w:rPr>
          <w:lang w:val="fr-FR"/>
        </w:rPr>
        <w:t xml:space="preserve">Les rectifications doivent être </w:t>
      </w:r>
      <w:r w:rsidR="009706DF" w:rsidRPr="004F3424">
        <w:t>présentées</w:t>
      </w:r>
      <w:r w:rsidR="009706DF" w:rsidRPr="009706DF">
        <w:rPr>
          <w:lang w:val="fr-FR"/>
        </w:rPr>
        <w:t xml:space="preserve"> dans un mémorandum et être également portées sur un exemplaire du compte rendu. Il</w:t>
      </w:r>
      <w:r>
        <w:rPr>
          <w:lang w:val="fr-FR"/>
        </w:rPr>
        <w:t xml:space="preserve"> </w:t>
      </w:r>
      <w:r w:rsidR="009706DF" w:rsidRPr="009706DF">
        <w:rPr>
          <w:lang w:val="fr-FR"/>
        </w:rPr>
        <w:t>convient de les adresser, une semaine au plus tard à compter de la</w:t>
      </w:r>
      <w:r>
        <w:rPr>
          <w:lang w:val="fr-FR"/>
        </w:rPr>
        <w:t> </w:t>
      </w:r>
      <w:r w:rsidR="009706DF" w:rsidRPr="009706DF">
        <w:rPr>
          <w:lang w:val="fr-FR"/>
        </w:rPr>
        <w:t>date du présent document, à la Section de la gestion des documents (</w:t>
      </w:r>
      <w:hyperlink r:id="rId14" w:history="1">
        <w:r w:rsidRPr="000B4FA6">
          <w:rPr>
            <w:rStyle w:val="Lienhypertexte"/>
            <w:lang w:val="fr-FR"/>
          </w:rPr>
          <w:t>DMS</w:t>
        </w:r>
        <w:r w:rsidRPr="000B4FA6">
          <w:rPr>
            <w:rStyle w:val="Lienhypertexte"/>
            <w:lang w:val="fr-FR"/>
          </w:rPr>
          <w:noBreakHyphen/>
          <w:t>DCM@un.org</w:t>
        </w:r>
      </w:hyperlink>
      <w:r w:rsidR="009706DF" w:rsidRPr="009706DF">
        <w:rPr>
          <w:lang w:val="fr-FR"/>
        </w:rPr>
        <w:t>).</w:t>
      </w:r>
    </w:p>
    <w:p w14:paraId="36656E8B" w14:textId="156AB2E5" w:rsidR="0060139A" w:rsidRDefault="001548B3" w:rsidP="00166E8D">
      <w:pPr>
        <w:pStyle w:val="Bullet2G"/>
        <w:numPr>
          <w:ilvl w:val="0"/>
          <w:numId w:val="0"/>
        </w:numPr>
        <w:ind w:left="2268"/>
        <w:rPr>
          <w:lang w:val="fr-FR"/>
        </w:rPr>
      </w:pPr>
      <w:r>
        <w:rPr>
          <w:lang w:val="fr-FR"/>
        </w:rPr>
        <w:tab/>
      </w:r>
      <w:r w:rsidR="009706DF" w:rsidRPr="009706DF">
        <w:rPr>
          <w:lang w:val="fr-FR"/>
        </w:rPr>
        <w:t xml:space="preserve">Les comptes rendus des séances publiques de cette conférence </w:t>
      </w:r>
      <w:r w:rsidR="009706DF" w:rsidRPr="00D1204A">
        <w:rPr>
          <w:lang w:val="fr-FR"/>
        </w:rPr>
        <w:t xml:space="preserve">qui </w:t>
      </w:r>
      <w:r w:rsidR="009706DF" w:rsidRPr="003F0BC3">
        <w:rPr>
          <w:lang w:val="fr-FR"/>
        </w:rPr>
        <w:t>auront été rectifiés</w:t>
      </w:r>
      <w:r w:rsidR="00BB45E8" w:rsidRPr="000A52B9">
        <w:rPr>
          <w:lang w:val="fr-FR"/>
        </w:rPr>
        <w:t xml:space="preserve"> </w:t>
      </w:r>
      <w:r w:rsidR="009706DF" w:rsidRPr="009706DF">
        <w:rPr>
          <w:lang w:val="fr-FR"/>
        </w:rPr>
        <w:t>feront l</w:t>
      </w:r>
      <w:r w:rsidR="00D649C6">
        <w:rPr>
          <w:lang w:val="fr-FR"/>
        </w:rPr>
        <w:t>’</w:t>
      </w:r>
      <w:r w:rsidR="009706DF" w:rsidRPr="009706DF">
        <w:rPr>
          <w:lang w:val="fr-FR"/>
        </w:rPr>
        <w:t>objet de nouveaux tirages pour raisons techniques après la clôture de la Conférence.</w:t>
      </w:r>
      <w:r w:rsidR="009706DF">
        <w:rPr>
          <w:lang w:val="fr-FR"/>
        </w:rPr>
        <w:t> »</w:t>
      </w:r>
      <w:r w:rsidR="00166E8D">
        <w:rPr>
          <w:lang w:val="fr-FR"/>
        </w:rPr>
        <w:t>.</w:t>
      </w:r>
    </w:p>
    <w:p w14:paraId="514B25D5" w14:textId="658A381B" w:rsidR="00A34EEF" w:rsidRDefault="009B5272" w:rsidP="006262C6">
      <w:pPr>
        <w:pStyle w:val="Bullet1G"/>
        <w:rPr>
          <w:lang w:val="fr-FR"/>
        </w:rPr>
      </w:pPr>
      <w:r>
        <w:rPr>
          <w:lang w:val="fr-FR"/>
        </w:rPr>
        <w:t xml:space="preserve">En ce qui concerne </w:t>
      </w:r>
      <w:r w:rsidRPr="00201B31">
        <w:rPr>
          <w:lang w:val="fr-FR"/>
        </w:rPr>
        <w:t>l</w:t>
      </w:r>
      <w:r w:rsidR="00D649C6">
        <w:rPr>
          <w:lang w:val="fr-FR"/>
        </w:rPr>
        <w:t>’</w:t>
      </w:r>
      <w:r w:rsidRPr="00201B31">
        <w:rPr>
          <w:lang w:val="fr-FR"/>
        </w:rPr>
        <w:t>indication d</w:t>
      </w:r>
      <w:r w:rsidR="00157FCD" w:rsidRPr="00201B31">
        <w:rPr>
          <w:lang w:val="fr-FR"/>
        </w:rPr>
        <w:t>es heures</w:t>
      </w:r>
      <w:r w:rsidR="001A27CA">
        <w:rPr>
          <w:lang w:val="fr-FR"/>
        </w:rPr>
        <w:t xml:space="preserve"> (début de la séance, pause éventuelle et fin de la séance)</w:t>
      </w:r>
      <w:r w:rsidR="000E6B55">
        <w:rPr>
          <w:lang w:val="fr-FR"/>
        </w:rPr>
        <w:t>,</w:t>
      </w:r>
      <w:r>
        <w:rPr>
          <w:lang w:val="fr-FR"/>
        </w:rPr>
        <w:t xml:space="preserve"> il convient d</w:t>
      </w:r>
      <w:r w:rsidR="00D649C6">
        <w:rPr>
          <w:lang w:val="fr-FR"/>
        </w:rPr>
        <w:t>’</w:t>
      </w:r>
      <w:r>
        <w:rPr>
          <w:lang w:val="fr-FR"/>
        </w:rPr>
        <w:t xml:space="preserve">écrire </w:t>
      </w:r>
      <w:r w:rsidR="002216A4" w:rsidRPr="000D6279">
        <w:rPr>
          <w:lang w:val="fr-FR"/>
        </w:rPr>
        <w:t xml:space="preserve">midi </w:t>
      </w:r>
      <w:r w:rsidR="002216A4">
        <w:rPr>
          <w:lang w:val="fr-FR"/>
        </w:rPr>
        <w:t xml:space="preserve">et non 12 heures ; </w:t>
      </w:r>
      <w:r w:rsidR="002216A4" w:rsidRPr="000D6279">
        <w:rPr>
          <w:lang w:val="fr-FR"/>
        </w:rPr>
        <w:t>11 heures</w:t>
      </w:r>
      <w:r w:rsidR="002216A4">
        <w:rPr>
          <w:lang w:val="fr-FR"/>
        </w:rPr>
        <w:t xml:space="preserve"> et non 11</w:t>
      </w:r>
      <w:r w:rsidR="00615028">
        <w:rPr>
          <w:lang w:val="fr-FR"/>
        </w:rPr>
        <w:t xml:space="preserve"> </w:t>
      </w:r>
      <w:r w:rsidR="002216A4">
        <w:rPr>
          <w:lang w:val="fr-FR"/>
        </w:rPr>
        <w:t xml:space="preserve">h ; </w:t>
      </w:r>
      <w:r w:rsidR="001A27CA">
        <w:rPr>
          <w:lang w:val="fr-FR"/>
        </w:rPr>
        <w:tab/>
      </w:r>
      <w:r w:rsidR="002216A4" w:rsidRPr="000D6279">
        <w:rPr>
          <w:lang w:val="fr-FR"/>
        </w:rPr>
        <w:t>11</w:t>
      </w:r>
      <w:r w:rsidR="00615028" w:rsidRPr="000D6279">
        <w:rPr>
          <w:lang w:val="fr-FR"/>
        </w:rPr>
        <w:t xml:space="preserve"> </w:t>
      </w:r>
      <w:r w:rsidR="002216A4" w:rsidRPr="000D6279">
        <w:rPr>
          <w:lang w:val="fr-FR"/>
        </w:rPr>
        <w:t>h</w:t>
      </w:r>
      <w:r w:rsidR="001A27CA" w:rsidRPr="000D6279">
        <w:rPr>
          <w:lang w:val="fr-FR"/>
        </w:rPr>
        <w:t xml:space="preserve"> </w:t>
      </w:r>
      <w:r w:rsidR="002216A4" w:rsidRPr="000D6279">
        <w:rPr>
          <w:lang w:val="fr-FR"/>
        </w:rPr>
        <w:t>5</w:t>
      </w:r>
      <w:r w:rsidR="002216A4">
        <w:rPr>
          <w:lang w:val="fr-FR"/>
        </w:rPr>
        <w:t xml:space="preserve"> et </w:t>
      </w:r>
      <w:r w:rsidR="001A27CA">
        <w:rPr>
          <w:lang w:val="fr-FR"/>
        </w:rPr>
        <w:t>non 11 heures 5 ni 11</w:t>
      </w:r>
      <w:r w:rsidR="00615028">
        <w:rPr>
          <w:lang w:val="fr-FR"/>
        </w:rPr>
        <w:t xml:space="preserve"> </w:t>
      </w:r>
      <w:r w:rsidR="001A27CA">
        <w:rPr>
          <w:lang w:val="fr-FR"/>
        </w:rPr>
        <w:t>h 05</w:t>
      </w:r>
      <w:r w:rsidR="00A254E1">
        <w:rPr>
          <w:lang w:val="fr-FR"/>
        </w:rPr>
        <w:t>.</w:t>
      </w:r>
      <w:r w:rsidR="00157FCD">
        <w:rPr>
          <w:lang w:val="fr-FR"/>
        </w:rPr>
        <w:t xml:space="preserve"> </w:t>
      </w:r>
    </w:p>
    <w:p w14:paraId="6357C0D4" w14:textId="77777777" w:rsidR="00166E8D" w:rsidRDefault="00DC3558" w:rsidP="00D649C6">
      <w:pPr>
        <w:pStyle w:val="Bullet1G"/>
        <w:rPr>
          <w:rStyle w:val="Lienhypertexte"/>
          <w:color w:val="000000" w:themeColor="text1"/>
          <w:lang w:val="fr-FR"/>
        </w:rPr>
      </w:pPr>
      <w:r w:rsidRPr="00166E8D">
        <w:rPr>
          <w:rStyle w:val="Lienhypertexte"/>
          <w:color w:val="000000" w:themeColor="text1"/>
          <w:lang w:val="fr-FR"/>
        </w:rPr>
        <w:t xml:space="preserve">De manière générale, veiller à utiliser la </w:t>
      </w:r>
      <w:r w:rsidRPr="00166E8D">
        <w:rPr>
          <w:rStyle w:val="Lienhypertexte"/>
          <w:b/>
          <w:bCs/>
          <w:color w:val="000000" w:themeColor="text1"/>
          <w:lang w:val="fr-FR"/>
        </w:rPr>
        <w:t>terminologie propre au domaine du désarmement</w:t>
      </w:r>
      <w:r w:rsidR="006027F2" w:rsidRPr="00166E8D">
        <w:rPr>
          <w:rStyle w:val="Lienhypertexte"/>
          <w:color w:val="000000" w:themeColor="text1"/>
          <w:lang w:val="fr-FR"/>
        </w:rPr>
        <w:t xml:space="preserve"> et à faire les recherches nécessaires </w:t>
      </w:r>
      <w:r w:rsidR="00365E6D" w:rsidRPr="00166E8D">
        <w:rPr>
          <w:rStyle w:val="Lienhypertexte"/>
          <w:color w:val="000000" w:themeColor="text1"/>
          <w:lang w:val="fr-FR"/>
        </w:rPr>
        <w:t xml:space="preserve">pour ce qui est de </w:t>
      </w:r>
      <w:r w:rsidR="006027F2" w:rsidRPr="00166E8D">
        <w:rPr>
          <w:rStyle w:val="Lienhypertexte"/>
          <w:color w:val="000000" w:themeColor="text1"/>
          <w:lang w:val="fr-FR"/>
        </w:rPr>
        <w:t>la terminologie relative à la biologie</w:t>
      </w:r>
      <w:r w:rsidR="00312B80" w:rsidRPr="00166E8D">
        <w:rPr>
          <w:rStyle w:val="Lienhypertexte"/>
          <w:color w:val="000000" w:themeColor="text1"/>
          <w:lang w:val="fr-FR"/>
        </w:rPr>
        <w:t>/bactériologie</w:t>
      </w:r>
      <w:r w:rsidR="006027F2" w:rsidRPr="00166E8D">
        <w:rPr>
          <w:rStyle w:val="Lienhypertexte"/>
          <w:color w:val="000000" w:themeColor="text1"/>
          <w:lang w:val="fr-FR"/>
        </w:rPr>
        <w:t xml:space="preserve">, </w:t>
      </w:r>
      <w:r w:rsidR="00AE2BB3" w:rsidRPr="00166E8D">
        <w:rPr>
          <w:rStyle w:val="Lienhypertexte"/>
          <w:color w:val="000000" w:themeColor="text1"/>
          <w:lang w:val="fr-FR"/>
        </w:rPr>
        <w:t xml:space="preserve">le cas échéant, </w:t>
      </w:r>
      <w:r w:rsidR="00365E6D" w:rsidRPr="00166E8D">
        <w:rPr>
          <w:rStyle w:val="Lienhypertexte"/>
          <w:color w:val="000000" w:themeColor="text1"/>
          <w:lang w:val="fr-FR"/>
        </w:rPr>
        <w:t>si le terme ne figure pas dans UNTERM</w:t>
      </w:r>
      <w:r w:rsidR="00FC26CF" w:rsidRPr="00166E8D">
        <w:rPr>
          <w:rStyle w:val="Lienhypertexte"/>
          <w:color w:val="000000" w:themeColor="text1"/>
          <w:lang w:val="fr-FR"/>
        </w:rPr>
        <w:t>.</w:t>
      </w:r>
      <w:r w:rsidR="00723558" w:rsidRPr="00166E8D">
        <w:rPr>
          <w:rStyle w:val="Lienhypertexte"/>
          <w:color w:val="000000" w:themeColor="text1"/>
          <w:lang w:val="fr-FR"/>
        </w:rPr>
        <w:t xml:space="preserve"> </w:t>
      </w:r>
    </w:p>
    <w:p w14:paraId="28D827D8" w14:textId="05E5FE41" w:rsidR="004D6DD6" w:rsidRPr="00166E8D" w:rsidRDefault="00B230C1" w:rsidP="00166E8D">
      <w:pPr>
        <w:pStyle w:val="Bullet1G"/>
        <w:rPr>
          <w:rStyle w:val="Lienhypertexte"/>
          <w:color w:val="000000" w:themeColor="text1"/>
          <w:lang w:val="fr-FR"/>
        </w:rPr>
      </w:pPr>
      <w:r w:rsidRPr="00166E8D">
        <w:rPr>
          <w:rStyle w:val="Lienhypertexte"/>
          <w:color w:val="000000" w:themeColor="text1"/>
          <w:lang w:val="fr-FR"/>
        </w:rPr>
        <w:t>S</w:t>
      </w:r>
      <w:r w:rsidR="000D6C01" w:rsidRPr="00166E8D">
        <w:rPr>
          <w:rStyle w:val="Lienhypertexte"/>
          <w:color w:val="000000" w:themeColor="text1"/>
          <w:lang w:val="fr-FR"/>
        </w:rPr>
        <w:t>ignaler les termes</w:t>
      </w:r>
      <w:r w:rsidR="00CB0E75" w:rsidRPr="00166E8D">
        <w:rPr>
          <w:rStyle w:val="Lienhypertexte"/>
          <w:color w:val="000000" w:themeColor="text1"/>
          <w:lang w:val="fr-FR"/>
        </w:rPr>
        <w:t xml:space="preserve"> </w:t>
      </w:r>
      <w:r w:rsidR="000D6C01" w:rsidRPr="00166E8D">
        <w:rPr>
          <w:rStyle w:val="Lienhypertexte"/>
          <w:color w:val="000000" w:themeColor="text1"/>
          <w:lang w:val="fr-FR"/>
        </w:rPr>
        <w:t xml:space="preserve">manquants </w:t>
      </w:r>
      <w:r w:rsidR="00723558" w:rsidRPr="00166E8D">
        <w:rPr>
          <w:rStyle w:val="Lienhypertexte"/>
          <w:color w:val="000000" w:themeColor="text1"/>
          <w:lang w:val="fr-FR"/>
        </w:rPr>
        <w:t>aux</w:t>
      </w:r>
      <w:r w:rsidR="00AE2BB3" w:rsidRPr="00166E8D">
        <w:rPr>
          <w:rStyle w:val="Lienhypertexte"/>
          <w:color w:val="000000" w:themeColor="text1"/>
          <w:lang w:val="fr-FR"/>
        </w:rPr>
        <w:t xml:space="preserve"> </w:t>
      </w:r>
      <w:r w:rsidR="00723558" w:rsidRPr="00166E8D">
        <w:rPr>
          <w:rStyle w:val="Lienhypertexte"/>
          <w:color w:val="000000" w:themeColor="text1"/>
          <w:lang w:val="fr-FR"/>
        </w:rPr>
        <w:t>personnes ressources</w:t>
      </w:r>
      <w:r w:rsidR="00A94F30" w:rsidRPr="00166E8D">
        <w:rPr>
          <w:rStyle w:val="Lienhypertexte"/>
          <w:color w:val="000000" w:themeColor="text1"/>
          <w:lang w:val="fr-FR"/>
        </w:rPr>
        <w:t xml:space="preserve"> </w:t>
      </w:r>
      <w:r w:rsidR="00DA75D4" w:rsidRPr="00166E8D">
        <w:rPr>
          <w:rStyle w:val="Lienhypertexte"/>
          <w:color w:val="000000" w:themeColor="text1"/>
          <w:lang w:val="fr-FR"/>
        </w:rPr>
        <w:t>(Isabelle Salatko et Philippe Gardy (</w:t>
      </w:r>
      <w:hyperlink r:id="rId15" w:history="1">
        <w:r w:rsidR="005704D8" w:rsidRPr="00166E8D">
          <w:rPr>
            <w:rStyle w:val="Lienhypertexte"/>
            <w:lang w:val="fr-FR"/>
          </w:rPr>
          <w:t>isabelle.salatko@un.org</w:t>
        </w:r>
      </w:hyperlink>
      <w:r w:rsidR="005704D8" w:rsidRPr="00166E8D">
        <w:rPr>
          <w:rStyle w:val="Lienhypertexte"/>
          <w:color w:val="000000" w:themeColor="text1"/>
          <w:lang w:val="fr-FR"/>
        </w:rPr>
        <w:t xml:space="preserve">; </w:t>
      </w:r>
      <w:hyperlink r:id="rId16" w:history="1">
        <w:r w:rsidR="005704D8" w:rsidRPr="00166E8D">
          <w:rPr>
            <w:rStyle w:val="Lienhypertexte"/>
            <w:lang w:val="fr-FR"/>
          </w:rPr>
          <w:t>philippe.gardy@un.org</w:t>
        </w:r>
      </w:hyperlink>
      <w:r w:rsidR="004B733E" w:rsidRPr="00166E8D">
        <w:rPr>
          <w:rStyle w:val="Lienhypertexte"/>
          <w:color w:val="000000" w:themeColor="text1"/>
          <w:lang w:val="fr-FR"/>
        </w:rPr>
        <w:t>)</w:t>
      </w:r>
      <w:r w:rsidR="005704D8" w:rsidRPr="00166E8D">
        <w:rPr>
          <w:rStyle w:val="Lienhypertexte"/>
          <w:color w:val="000000" w:themeColor="text1"/>
          <w:lang w:val="fr-FR"/>
        </w:rPr>
        <w:t xml:space="preserve"> </w:t>
      </w:r>
      <w:r w:rsidR="000A52B9" w:rsidRPr="00166E8D">
        <w:rPr>
          <w:rStyle w:val="Lienhypertexte"/>
          <w:color w:val="000000" w:themeColor="text1"/>
          <w:lang w:val="fr-FR"/>
        </w:rPr>
        <w:t>ou</w:t>
      </w:r>
      <w:r w:rsidR="00A94F30" w:rsidRPr="00166E8D">
        <w:rPr>
          <w:rStyle w:val="Lienhypertexte"/>
          <w:color w:val="000000" w:themeColor="text1"/>
          <w:lang w:val="fr-FR"/>
        </w:rPr>
        <w:t>, si le doc</w:t>
      </w:r>
      <w:r w:rsidR="005704D8" w:rsidRPr="00166E8D">
        <w:rPr>
          <w:rStyle w:val="Lienhypertexte"/>
          <w:color w:val="000000" w:themeColor="text1"/>
          <w:lang w:val="fr-FR"/>
        </w:rPr>
        <w:t xml:space="preserve">ument </w:t>
      </w:r>
      <w:r w:rsidR="00A94F30" w:rsidRPr="00166E8D">
        <w:rPr>
          <w:rStyle w:val="Lienhypertexte"/>
          <w:color w:val="000000" w:themeColor="text1"/>
          <w:lang w:val="fr-FR"/>
        </w:rPr>
        <w:t xml:space="preserve">est traduit à la </w:t>
      </w:r>
      <w:r w:rsidR="005704D8" w:rsidRPr="00166E8D">
        <w:rPr>
          <w:rStyle w:val="Lienhypertexte"/>
          <w:color w:val="000000" w:themeColor="text1"/>
          <w:lang w:val="fr-FR"/>
        </w:rPr>
        <w:t xml:space="preserve">contractuelle, </w:t>
      </w:r>
      <w:r w:rsidR="00A94F30" w:rsidRPr="00166E8D">
        <w:rPr>
          <w:rStyle w:val="Lienhypertexte"/>
          <w:color w:val="000000" w:themeColor="text1"/>
          <w:lang w:val="fr-FR"/>
        </w:rPr>
        <w:t>à Isabelle F</w:t>
      </w:r>
      <w:r w:rsidR="005704D8" w:rsidRPr="00166E8D">
        <w:rPr>
          <w:rStyle w:val="Lienhypertexte"/>
          <w:color w:val="000000" w:themeColor="text1"/>
          <w:lang w:val="fr-FR"/>
        </w:rPr>
        <w:t>erigo (isabelle.ferigo@un.org)</w:t>
      </w:r>
      <w:r w:rsidR="006027F2" w:rsidRPr="00166E8D">
        <w:rPr>
          <w:rStyle w:val="Lienhypertexte"/>
          <w:color w:val="000000" w:themeColor="text1"/>
          <w:lang w:val="fr-FR"/>
        </w:rPr>
        <w:t>.</w:t>
      </w:r>
    </w:p>
    <w:p w14:paraId="58D1E47E" w14:textId="551EABAA" w:rsidR="00F97BAE" w:rsidRDefault="00E851BD" w:rsidP="006262C6">
      <w:pPr>
        <w:pStyle w:val="Bullet1G"/>
      </w:pPr>
      <w:r>
        <w:t>Lorsqu</w:t>
      </w:r>
      <w:r w:rsidR="00D649C6">
        <w:t>’</w:t>
      </w:r>
      <w:r>
        <w:t xml:space="preserve">il est question </w:t>
      </w:r>
      <w:r w:rsidR="00E53E8B">
        <w:t>des réunions des États parties (Meetings of States Parties), « réunion » prend la majuscule lorsqu</w:t>
      </w:r>
      <w:r w:rsidR="00D649C6">
        <w:t>’</w:t>
      </w:r>
      <w:r w:rsidR="00E53E8B">
        <w:t>il s</w:t>
      </w:r>
      <w:r w:rsidR="00D649C6">
        <w:t>’</w:t>
      </w:r>
      <w:r w:rsidR="00E53E8B">
        <w:t>agit d</w:t>
      </w:r>
      <w:r w:rsidR="00D649C6">
        <w:t>’</w:t>
      </w:r>
      <w:r w:rsidR="00E53E8B">
        <w:t>une réunion précise (ex. : la Réunion des États parties de 20</w:t>
      </w:r>
      <w:r w:rsidR="00F4523B">
        <w:t>19</w:t>
      </w:r>
      <w:r w:rsidR="00E53E8B">
        <w:t>)</w:t>
      </w:r>
      <w:r w:rsidR="00B23024">
        <w:t xml:space="preserve"> et s</w:t>
      </w:r>
      <w:r w:rsidR="00D649C6">
        <w:t>’</w:t>
      </w:r>
      <w:r w:rsidR="00B23024">
        <w:t>écrit avec une minuscule lorsqu</w:t>
      </w:r>
      <w:r w:rsidR="00D649C6">
        <w:t>’</w:t>
      </w:r>
      <w:r w:rsidR="00B23024">
        <w:t>il est question des réunions des États parties en général.</w:t>
      </w:r>
      <w:r w:rsidR="00457B8F">
        <w:t xml:space="preserve"> Même chose pour les conférences d</w:t>
      </w:r>
      <w:r w:rsidR="00D649C6">
        <w:t>’</w:t>
      </w:r>
      <w:r w:rsidR="00457B8F">
        <w:t>examen.</w:t>
      </w:r>
    </w:p>
    <w:p w14:paraId="6C309F5D" w14:textId="6C4BA374" w:rsidR="00F4523B" w:rsidRPr="0023573D" w:rsidRDefault="00204F0E" w:rsidP="006262C6">
      <w:pPr>
        <w:pStyle w:val="Bullet1G"/>
        <w:rPr>
          <w:highlight w:val="yellow"/>
        </w:rPr>
      </w:pPr>
      <w:r>
        <w:t>« </w:t>
      </w:r>
      <w:r w:rsidRPr="00F34639">
        <w:rPr>
          <w:u w:val="single"/>
        </w:rPr>
        <w:t>Ambassadeur</w:t>
      </w:r>
      <w:r>
        <w:t> » prend la majuscule lorsqu</w:t>
      </w:r>
      <w:r w:rsidR="00D649C6">
        <w:t>’</w:t>
      </w:r>
      <w:r>
        <w:t>il est question d</w:t>
      </w:r>
      <w:r w:rsidR="00D649C6">
        <w:t>’</w:t>
      </w:r>
      <w:r>
        <w:t xml:space="preserve">un ambassadeur </w:t>
      </w:r>
      <w:r w:rsidR="00F34639">
        <w:t xml:space="preserve">en particulier </w:t>
      </w:r>
      <w:r w:rsidR="0036379B">
        <w:t>(ex. l</w:t>
      </w:r>
      <w:r w:rsidR="00D649C6">
        <w:t>’</w:t>
      </w:r>
      <w:r w:rsidR="0036379B">
        <w:t xml:space="preserve">Ambassadeur </w:t>
      </w:r>
      <w:proofErr w:type="spellStart"/>
      <w:r w:rsidR="004D06F3">
        <w:t>Mailu</w:t>
      </w:r>
      <w:proofErr w:type="spellEnd"/>
      <w:r w:rsidR="0036379B">
        <w:t xml:space="preserve"> du Kenya)</w:t>
      </w:r>
      <w:r w:rsidR="004D06F3">
        <w:t xml:space="preserve"> ; </w:t>
      </w:r>
      <w:r w:rsidR="004D06F3" w:rsidRPr="00897FFE">
        <w:t>« </w:t>
      </w:r>
      <w:r w:rsidR="004D06F3" w:rsidRPr="00897FFE">
        <w:rPr>
          <w:u w:val="single"/>
        </w:rPr>
        <w:t>représentant</w:t>
      </w:r>
      <w:r w:rsidR="004D06F3" w:rsidRPr="00897FFE">
        <w:t xml:space="preserve"> » </w:t>
      </w:r>
      <w:r w:rsidR="002C0847" w:rsidRPr="00897FFE">
        <w:t>(d</w:t>
      </w:r>
      <w:r w:rsidR="00D649C6" w:rsidRPr="00897FFE">
        <w:t>’</w:t>
      </w:r>
      <w:r w:rsidR="002C0847" w:rsidRPr="00897FFE">
        <w:t xml:space="preserve">un État) </w:t>
      </w:r>
      <w:r w:rsidR="004D06F3" w:rsidRPr="00897FFE">
        <w:t>prend la majuscule lorsqu</w:t>
      </w:r>
      <w:r w:rsidR="00D649C6" w:rsidRPr="00897FFE">
        <w:t>’</w:t>
      </w:r>
      <w:r w:rsidR="004D06F3" w:rsidRPr="00897FFE">
        <w:t>il s</w:t>
      </w:r>
      <w:r w:rsidR="00D649C6" w:rsidRPr="00897FFE">
        <w:t>’</w:t>
      </w:r>
      <w:r w:rsidR="004D06F3" w:rsidRPr="00897FFE">
        <w:t xml:space="preserve">agit </w:t>
      </w:r>
      <w:r w:rsidR="002C0847" w:rsidRPr="00897FFE">
        <w:t>d</w:t>
      </w:r>
      <w:r w:rsidR="00D649C6" w:rsidRPr="00897FFE">
        <w:t>’</w:t>
      </w:r>
      <w:r w:rsidR="00F34639" w:rsidRPr="00897FFE">
        <w:t>un</w:t>
      </w:r>
      <w:r w:rsidR="002C0847" w:rsidRPr="00897FFE">
        <w:t xml:space="preserve"> représentant permanent</w:t>
      </w:r>
      <w:r w:rsidR="002A76CC" w:rsidRPr="00897FFE">
        <w:t xml:space="preserve"> </w:t>
      </w:r>
      <w:r w:rsidR="00C106F4" w:rsidRPr="00897FFE">
        <w:t xml:space="preserve">(ou d’un représentant permanent adjoint) </w:t>
      </w:r>
      <w:r w:rsidR="002C0847" w:rsidRPr="00897FFE">
        <w:t xml:space="preserve">auprès de </w:t>
      </w:r>
      <w:r w:rsidR="004F6AC5" w:rsidRPr="00897FFE">
        <w:t>l</w:t>
      </w:r>
      <w:r w:rsidR="00D649C6" w:rsidRPr="00897FFE">
        <w:t>’</w:t>
      </w:r>
      <w:r w:rsidR="002C0847" w:rsidRPr="00897FFE">
        <w:t>ONU</w:t>
      </w:r>
      <w:r w:rsidR="00C106F4" w:rsidRPr="00897FFE">
        <w:t>/ de la Conférence du désarmement</w:t>
      </w:r>
      <w:r w:rsidR="002C0847" w:rsidRPr="00897FFE">
        <w:t xml:space="preserve"> et s</w:t>
      </w:r>
      <w:r w:rsidR="00D649C6" w:rsidRPr="00897FFE">
        <w:t>’</w:t>
      </w:r>
      <w:r w:rsidR="002C0847" w:rsidRPr="00897FFE">
        <w:t>écrit avec une minuscule dans les autres cas</w:t>
      </w:r>
      <w:r w:rsidR="00F34639" w:rsidRPr="00897FFE">
        <w:t>.</w:t>
      </w:r>
    </w:p>
    <w:p w14:paraId="1928462F" w14:textId="3291527B" w:rsidR="000229C2" w:rsidRDefault="0077434B" w:rsidP="006262C6">
      <w:pPr>
        <w:pStyle w:val="Bullet1G"/>
      </w:pPr>
      <w:r>
        <w:t>Lorsque « </w:t>
      </w:r>
      <w:proofErr w:type="spellStart"/>
      <w:r>
        <w:t>he</w:t>
      </w:r>
      <w:proofErr w:type="spellEnd"/>
      <w:r>
        <w:t> » ou « </w:t>
      </w:r>
      <w:proofErr w:type="spellStart"/>
      <w:r>
        <w:t>she</w:t>
      </w:r>
      <w:proofErr w:type="spellEnd"/>
      <w:r>
        <w:t xml:space="preserve"> » </w:t>
      </w:r>
      <w:r w:rsidR="00252625">
        <w:t>désigne l</w:t>
      </w:r>
      <w:r w:rsidR="00D649C6">
        <w:t>’</w:t>
      </w:r>
      <w:r w:rsidR="00252625">
        <w:t>orateur</w:t>
      </w:r>
      <w:r w:rsidR="004F6AC5">
        <w:t>/l</w:t>
      </w:r>
      <w:r w:rsidR="00D649C6">
        <w:t>’</w:t>
      </w:r>
      <w:r w:rsidR="004F6AC5">
        <w:t>oratrice</w:t>
      </w:r>
      <w:r w:rsidR="00252625">
        <w:t>, mais qu</w:t>
      </w:r>
      <w:r w:rsidR="00DB5618">
        <w:t>e, dans la version française,</w:t>
      </w:r>
      <w:r w:rsidR="00252625">
        <w:t xml:space="preserve"> l</w:t>
      </w:r>
      <w:r w:rsidR="00D649C6">
        <w:t>’</w:t>
      </w:r>
      <w:r w:rsidR="00252625">
        <w:t>utilisation du pronom risque de créer une</w:t>
      </w:r>
      <w:r w:rsidR="00DB5618">
        <w:t xml:space="preserve"> </w:t>
      </w:r>
      <w:r w:rsidR="00252625">
        <w:t xml:space="preserve">confusion compte tenu de ce qui précède, </w:t>
      </w:r>
      <w:r w:rsidR="00010101">
        <w:t>il est possible de répéter le nom de l</w:t>
      </w:r>
      <w:r w:rsidR="00D649C6">
        <w:t>’</w:t>
      </w:r>
      <w:r w:rsidR="00010101">
        <w:t xml:space="preserve">orateur (sans utiliser les caractères gras) </w:t>
      </w:r>
      <w:r w:rsidR="00FF05BD">
        <w:t>ou, si l</w:t>
      </w:r>
      <w:r w:rsidR="00D649C6">
        <w:t>’</w:t>
      </w:r>
      <w:r w:rsidR="00FF05BD">
        <w:t>intervention est particulièrement longue, d</w:t>
      </w:r>
      <w:r w:rsidR="00D649C6">
        <w:t>’</w:t>
      </w:r>
      <w:r w:rsidR="00FF05BD">
        <w:t>écrire « l</w:t>
      </w:r>
      <w:r w:rsidR="00D649C6">
        <w:t>’</w:t>
      </w:r>
      <w:r w:rsidR="00FF05BD">
        <w:t>orateur</w:t>
      </w:r>
      <w:r w:rsidR="004F6AC5">
        <w:t>/l</w:t>
      </w:r>
      <w:r w:rsidR="00D649C6">
        <w:t>’</w:t>
      </w:r>
      <w:r w:rsidR="004F6AC5">
        <w:t>oratrice</w:t>
      </w:r>
      <w:r w:rsidR="00FF05BD">
        <w:t>…. »</w:t>
      </w:r>
      <w:r w:rsidR="00AE7BEF">
        <w:t>. Noter aussi qu</w:t>
      </w:r>
      <w:r w:rsidR="00D649C6">
        <w:t>’</w:t>
      </w:r>
      <w:r w:rsidR="00AE7BEF">
        <w:t>on ne commence pas un paragraphe par un pronom en français, même si cela a été fait dans la version originale du compte rendu.</w:t>
      </w:r>
      <w:r w:rsidR="00FF05BD">
        <w:t xml:space="preserve"> </w:t>
      </w:r>
    </w:p>
    <w:p w14:paraId="0C15FF92" w14:textId="68E00C56" w:rsidR="004F3424" w:rsidRDefault="004F3424" w:rsidP="006262C6">
      <w:pPr>
        <w:pStyle w:val="Bullet1G"/>
      </w:pPr>
      <w:r>
        <w:t>On écrit soit « M. Dalton », soit « Joe Dalton », mais pas « M. Joe Dalton ».</w:t>
      </w:r>
    </w:p>
    <w:p w14:paraId="40227A52" w14:textId="7646200C" w:rsidR="004F3424" w:rsidRDefault="004F3424" w:rsidP="006262C6">
      <w:pPr>
        <w:pStyle w:val="Bullet1G"/>
      </w:pPr>
      <w:r w:rsidRPr="004F3424">
        <w:t xml:space="preserve">« It </w:t>
      </w:r>
      <w:proofErr w:type="spellStart"/>
      <w:r w:rsidRPr="004F3424">
        <w:t>was</w:t>
      </w:r>
      <w:proofErr w:type="spellEnd"/>
      <w:r w:rsidRPr="004F3424">
        <w:t xml:space="preserve"> </w:t>
      </w:r>
      <w:proofErr w:type="spellStart"/>
      <w:r w:rsidRPr="004F3424">
        <w:t>so</w:t>
      </w:r>
      <w:proofErr w:type="spellEnd"/>
      <w:r w:rsidRPr="004F3424">
        <w:t xml:space="preserve"> </w:t>
      </w:r>
      <w:proofErr w:type="spellStart"/>
      <w:r w:rsidRPr="004F3424">
        <w:t>decided</w:t>
      </w:r>
      <w:proofErr w:type="spellEnd"/>
      <w:r w:rsidRPr="004F3424">
        <w:t xml:space="preserve"> » se traduit par “Il </w:t>
      </w:r>
      <w:r>
        <w:t>en est ainsi décidé ».</w:t>
      </w:r>
    </w:p>
    <w:p w14:paraId="7B486045" w14:textId="77777777" w:rsidR="004F3424" w:rsidRPr="004F3424" w:rsidRDefault="004F3424" w:rsidP="006262C6">
      <w:pPr>
        <w:pStyle w:val="Bullet1G"/>
      </w:pPr>
    </w:p>
    <w:p w14:paraId="40B7CBEE" w14:textId="0EA4E35F" w:rsidR="006E724E" w:rsidRPr="0081043A" w:rsidRDefault="00B230C1" w:rsidP="00D649C6">
      <w:pPr>
        <w:pStyle w:val="SingleTxtG"/>
      </w:pPr>
      <w:r>
        <w:lastRenderedPageBreak/>
        <w:t>Si vous ne trouvez pas la réponse à vos questions dans les présentes consignes, n</w:t>
      </w:r>
      <w:r w:rsidR="00D649C6">
        <w:t>’</w:t>
      </w:r>
      <w:r>
        <w:t xml:space="preserve">hésitez pas à </w:t>
      </w:r>
      <w:r w:rsidR="00973BDA">
        <w:t>faire signe !</w:t>
      </w:r>
    </w:p>
    <w:sectPr w:rsidR="006E724E" w:rsidRPr="0081043A" w:rsidSect="00B12372"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docGrid w:linePitch="1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A3749" w14:textId="77777777" w:rsidR="00CE4119" w:rsidRPr="00927979" w:rsidRDefault="00CE4119" w:rsidP="00927979">
      <w:pPr>
        <w:pStyle w:val="Pieddepage"/>
      </w:pPr>
    </w:p>
  </w:endnote>
  <w:endnote w:type="continuationSeparator" w:id="0">
    <w:p w14:paraId="0A4B3AC0" w14:textId="77777777" w:rsidR="00CE4119" w:rsidRPr="00927979" w:rsidRDefault="00CE4119" w:rsidP="00927979">
      <w:pPr>
        <w:pStyle w:val="Pieddepage"/>
      </w:pPr>
    </w:p>
  </w:endnote>
  <w:endnote w:type="continuationNotice" w:id="1">
    <w:p w14:paraId="086905F1" w14:textId="77777777" w:rsidR="00CE4119" w:rsidRPr="00927979" w:rsidRDefault="00CE4119">
      <w:pPr>
        <w:spacing w:line="240" w:lineRule="auto"/>
        <w:rPr>
          <w:sz w:val="2"/>
          <w:szCs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783A" w14:textId="77777777" w:rsidR="00CE4119" w:rsidRPr="00927979" w:rsidRDefault="00CE4119" w:rsidP="00927979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 w:rsidRPr="00927979">
        <w:rPr>
          <w:u w:val="single"/>
        </w:rPr>
        <w:tab/>
      </w:r>
    </w:p>
  </w:footnote>
  <w:footnote w:type="continuationSeparator" w:id="0">
    <w:p w14:paraId="20A740CB" w14:textId="77777777" w:rsidR="00CE4119" w:rsidRPr="00927979" w:rsidRDefault="00CE4119" w:rsidP="00927979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41E191BA" w14:textId="77777777" w:rsidR="00CE4119" w:rsidRPr="00927979" w:rsidRDefault="00CE4119">
      <w:pPr>
        <w:spacing w:line="240" w:lineRule="auto"/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63804"/>
    <w:multiLevelType w:val="hybridMultilevel"/>
    <w:tmpl w:val="3FD65930"/>
    <w:lvl w:ilvl="0" w:tplc="ADCCED14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85843"/>
    <w:multiLevelType w:val="hybridMultilevel"/>
    <w:tmpl w:val="BF7EC148"/>
    <w:lvl w:ilvl="0" w:tplc="3BAE150C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C7978"/>
    <w:multiLevelType w:val="hybridMultilevel"/>
    <w:tmpl w:val="FB6AA5E8"/>
    <w:lvl w:ilvl="0" w:tplc="075E0D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659F0"/>
    <w:multiLevelType w:val="hybridMultilevel"/>
    <w:tmpl w:val="49A6FBA2"/>
    <w:lvl w:ilvl="0" w:tplc="F96C3962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456C7BB7"/>
    <w:multiLevelType w:val="hybridMultilevel"/>
    <w:tmpl w:val="6CA6A66C"/>
    <w:lvl w:ilvl="0" w:tplc="15D86C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F52A1"/>
    <w:multiLevelType w:val="hybridMultilevel"/>
    <w:tmpl w:val="654C8C62"/>
    <w:lvl w:ilvl="0" w:tplc="ADCCED14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7AFB38E9"/>
    <w:multiLevelType w:val="hybridMultilevel"/>
    <w:tmpl w:val="E74A8170"/>
    <w:lvl w:ilvl="0" w:tplc="F96C3962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9260428">
    <w:abstractNumId w:val="8"/>
  </w:num>
  <w:num w:numId="2" w16cid:durableId="1190027792">
    <w:abstractNumId w:val="5"/>
  </w:num>
  <w:num w:numId="3" w16cid:durableId="800415221">
    <w:abstractNumId w:val="2"/>
  </w:num>
  <w:num w:numId="4" w16cid:durableId="1687436986">
    <w:abstractNumId w:val="10"/>
  </w:num>
  <w:num w:numId="5" w16cid:durableId="350450212">
    <w:abstractNumId w:val="9"/>
  </w:num>
  <w:num w:numId="6" w16cid:durableId="1076635421">
    <w:abstractNumId w:val="6"/>
  </w:num>
  <w:num w:numId="7" w16cid:durableId="1091195613">
    <w:abstractNumId w:val="9"/>
  </w:num>
  <w:num w:numId="8" w16cid:durableId="487943097">
    <w:abstractNumId w:val="6"/>
  </w:num>
  <w:num w:numId="9" w16cid:durableId="573658961">
    <w:abstractNumId w:val="1"/>
  </w:num>
  <w:num w:numId="10" w16cid:durableId="717515004">
    <w:abstractNumId w:val="9"/>
  </w:num>
  <w:num w:numId="11" w16cid:durableId="1887401795">
    <w:abstractNumId w:val="6"/>
  </w:num>
  <w:num w:numId="12" w16cid:durableId="673997374">
    <w:abstractNumId w:val="1"/>
  </w:num>
  <w:num w:numId="13" w16cid:durableId="859321471">
    <w:abstractNumId w:val="0"/>
  </w:num>
  <w:num w:numId="14" w16cid:durableId="1689597719">
    <w:abstractNumId w:val="3"/>
  </w:num>
  <w:num w:numId="15" w16cid:durableId="1213617170">
    <w:abstractNumId w:val="7"/>
  </w:num>
  <w:num w:numId="16" w16cid:durableId="397677728">
    <w:abstractNumId w:val="4"/>
  </w:num>
  <w:num w:numId="17" w16cid:durableId="803425886">
    <w:abstractNumId w:val="6"/>
  </w:num>
  <w:num w:numId="18" w16cid:durableId="202200394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activeWritingStyle w:appName="MSWord" w:lang="fr-CH" w:vendorID="64" w:dllVersion="6" w:nlCheck="1" w:checkStyle="1"/>
  <w:activeWritingStyle w:appName="MSWord" w:lang="fr-FR" w:vendorID="9" w:dllVersion="512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rawingGridHorizontalSpacing w:val="39"/>
  <w:drawingGridVerticalSpacing w:val="107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6D"/>
    <w:rsid w:val="00004634"/>
    <w:rsid w:val="00010101"/>
    <w:rsid w:val="000109F5"/>
    <w:rsid w:val="00021B5E"/>
    <w:rsid w:val="000229C2"/>
    <w:rsid w:val="00023B43"/>
    <w:rsid w:val="000419F9"/>
    <w:rsid w:val="00042311"/>
    <w:rsid w:val="00045121"/>
    <w:rsid w:val="000506AC"/>
    <w:rsid w:val="000570BD"/>
    <w:rsid w:val="00063F96"/>
    <w:rsid w:val="000672C4"/>
    <w:rsid w:val="000770C9"/>
    <w:rsid w:val="00084883"/>
    <w:rsid w:val="00091801"/>
    <w:rsid w:val="00092D7C"/>
    <w:rsid w:val="00097564"/>
    <w:rsid w:val="000A340D"/>
    <w:rsid w:val="000A52B9"/>
    <w:rsid w:val="000B689B"/>
    <w:rsid w:val="000D5F45"/>
    <w:rsid w:val="000D6279"/>
    <w:rsid w:val="000D6C01"/>
    <w:rsid w:val="000E015D"/>
    <w:rsid w:val="000E6B55"/>
    <w:rsid w:val="00120CB0"/>
    <w:rsid w:val="001432E7"/>
    <w:rsid w:val="00151061"/>
    <w:rsid w:val="001548B3"/>
    <w:rsid w:val="00157FCD"/>
    <w:rsid w:val="00166E8D"/>
    <w:rsid w:val="00176D8C"/>
    <w:rsid w:val="00192AA1"/>
    <w:rsid w:val="001A0959"/>
    <w:rsid w:val="001A1222"/>
    <w:rsid w:val="001A126D"/>
    <w:rsid w:val="001A27CA"/>
    <w:rsid w:val="001A5452"/>
    <w:rsid w:val="001A5F15"/>
    <w:rsid w:val="001B5375"/>
    <w:rsid w:val="001C5833"/>
    <w:rsid w:val="001C7B44"/>
    <w:rsid w:val="001D4FC2"/>
    <w:rsid w:val="001D5F47"/>
    <w:rsid w:val="001E1154"/>
    <w:rsid w:val="001E4361"/>
    <w:rsid w:val="001F776D"/>
    <w:rsid w:val="00201B31"/>
    <w:rsid w:val="00204F0E"/>
    <w:rsid w:val="002216A4"/>
    <w:rsid w:val="00221D21"/>
    <w:rsid w:val="00226EBD"/>
    <w:rsid w:val="00230C8D"/>
    <w:rsid w:val="0023573D"/>
    <w:rsid w:val="002418D0"/>
    <w:rsid w:val="002440CB"/>
    <w:rsid w:val="00246808"/>
    <w:rsid w:val="002509A0"/>
    <w:rsid w:val="00252625"/>
    <w:rsid w:val="00253945"/>
    <w:rsid w:val="00267E79"/>
    <w:rsid w:val="0027216F"/>
    <w:rsid w:val="00285B22"/>
    <w:rsid w:val="002948E5"/>
    <w:rsid w:val="002A76CC"/>
    <w:rsid w:val="002C0847"/>
    <w:rsid w:val="002C4A37"/>
    <w:rsid w:val="002C52CA"/>
    <w:rsid w:val="002D62A7"/>
    <w:rsid w:val="002D7E95"/>
    <w:rsid w:val="002E09B5"/>
    <w:rsid w:val="002E6E2A"/>
    <w:rsid w:val="002F2A3C"/>
    <w:rsid w:val="002F5889"/>
    <w:rsid w:val="002F7E91"/>
    <w:rsid w:val="003056D9"/>
    <w:rsid w:val="00305D23"/>
    <w:rsid w:val="00312B80"/>
    <w:rsid w:val="00313B95"/>
    <w:rsid w:val="003228E6"/>
    <w:rsid w:val="00323A01"/>
    <w:rsid w:val="003301D2"/>
    <w:rsid w:val="00340FC3"/>
    <w:rsid w:val="003449AC"/>
    <w:rsid w:val="00345FEA"/>
    <w:rsid w:val="003539CE"/>
    <w:rsid w:val="00360972"/>
    <w:rsid w:val="003616E2"/>
    <w:rsid w:val="0036379B"/>
    <w:rsid w:val="00365E6D"/>
    <w:rsid w:val="0038728C"/>
    <w:rsid w:val="003919D9"/>
    <w:rsid w:val="00395684"/>
    <w:rsid w:val="003C7DF1"/>
    <w:rsid w:val="003F0BC3"/>
    <w:rsid w:val="003F35D5"/>
    <w:rsid w:val="003F4C76"/>
    <w:rsid w:val="00402887"/>
    <w:rsid w:val="004147EC"/>
    <w:rsid w:val="004340FD"/>
    <w:rsid w:val="004341FD"/>
    <w:rsid w:val="004357A0"/>
    <w:rsid w:val="004456CA"/>
    <w:rsid w:val="0044681B"/>
    <w:rsid w:val="004519F6"/>
    <w:rsid w:val="00452D11"/>
    <w:rsid w:val="00452DAC"/>
    <w:rsid w:val="00454435"/>
    <w:rsid w:val="00455683"/>
    <w:rsid w:val="0045799B"/>
    <w:rsid w:val="00457B8F"/>
    <w:rsid w:val="004661EC"/>
    <w:rsid w:val="00466DB9"/>
    <w:rsid w:val="004767B3"/>
    <w:rsid w:val="00496A01"/>
    <w:rsid w:val="004A3B10"/>
    <w:rsid w:val="004A3DD6"/>
    <w:rsid w:val="004B733E"/>
    <w:rsid w:val="004D06F3"/>
    <w:rsid w:val="004D6DD6"/>
    <w:rsid w:val="004D7BDB"/>
    <w:rsid w:val="004F3424"/>
    <w:rsid w:val="004F6AC5"/>
    <w:rsid w:val="0050022F"/>
    <w:rsid w:val="0050101C"/>
    <w:rsid w:val="00513A3D"/>
    <w:rsid w:val="0051795F"/>
    <w:rsid w:val="005206CA"/>
    <w:rsid w:val="005222DC"/>
    <w:rsid w:val="00531B84"/>
    <w:rsid w:val="00547EA4"/>
    <w:rsid w:val="00550A7B"/>
    <w:rsid w:val="00563CB1"/>
    <w:rsid w:val="005704D8"/>
    <w:rsid w:val="005A2653"/>
    <w:rsid w:val="005A5A8A"/>
    <w:rsid w:val="005B1C2F"/>
    <w:rsid w:val="005B222C"/>
    <w:rsid w:val="005D52B8"/>
    <w:rsid w:val="005F7200"/>
    <w:rsid w:val="006012FF"/>
    <w:rsid w:val="0060139A"/>
    <w:rsid w:val="006027F2"/>
    <w:rsid w:val="006065E7"/>
    <w:rsid w:val="006078E9"/>
    <w:rsid w:val="00615028"/>
    <w:rsid w:val="0061547D"/>
    <w:rsid w:val="0062331B"/>
    <w:rsid w:val="006262C6"/>
    <w:rsid w:val="006528E0"/>
    <w:rsid w:val="006563C2"/>
    <w:rsid w:val="00660273"/>
    <w:rsid w:val="00682AA0"/>
    <w:rsid w:val="006833F3"/>
    <w:rsid w:val="006955C9"/>
    <w:rsid w:val="006969FD"/>
    <w:rsid w:val="006A1CEB"/>
    <w:rsid w:val="006B0EE1"/>
    <w:rsid w:val="006B6852"/>
    <w:rsid w:val="006B6B65"/>
    <w:rsid w:val="006B6F1E"/>
    <w:rsid w:val="006C62BD"/>
    <w:rsid w:val="006D19EF"/>
    <w:rsid w:val="006E092F"/>
    <w:rsid w:val="006E663E"/>
    <w:rsid w:val="006E724E"/>
    <w:rsid w:val="006F3831"/>
    <w:rsid w:val="00704FB3"/>
    <w:rsid w:val="00723558"/>
    <w:rsid w:val="00731662"/>
    <w:rsid w:val="0073255D"/>
    <w:rsid w:val="0075304A"/>
    <w:rsid w:val="0075553D"/>
    <w:rsid w:val="00755E2A"/>
    <w:rsid w:val="007730E2"/>
    <w:rsid w:val="0077434B"/>
    <w:rsid w:val="0079117F"/>
    <w:rsid w:val="00794B98"/>
    <w:rsid w:val="007E6C7F"/>
    <w:rsid w:val="008034CA"/>
    <w:rsid w:val="00806413"/>
    <w:rsid w:val="00807E38"/>
    <w:rsid w:val="0081043A"/>
    <w:rsid w:val="008130D3"/>
    <w:rsid w:val="0081677C"/>
    <w:rsid w:val="008457D9"/>
    <w:rsid w:val="00854B3E"/>
    <w:rsid w:val="008561CD"/>
    <w:rsid w:val="00872593"/>
    <w:rsid w:val="00884760"/>
    <w:rsid w:val="0088614C"/>
    <w:rsid w:val="00897FFE"/>
    <w:rsid w:val="008A322F"/>
    <w:rsid w:val="008A3263"/>
    <w:rsid w:val="008A5F0A"/>
    <w:rsid w:val="008C62F4"/>
    <w:rsid w:val="00903D21"/>
    <w:rsid w:val="0090542C"/>
    <w:rsid w:val="0092360E"/>
    <w:rsid w:val="00927979"/>
    <w:rsid w:val="00933D2E"/>
    <w:rsid w:val="0094059E"/>
    <w:rsid w:val="00941536"/>
    <w:rsid w:val="00946D59"/>
    <w:rsid w:val="009528D6"/>
    <w:rsid w:val="00970605"/>
    <w:rsid w:val="009706DF"/>
    <w:rsid w:val="00973BDA"/>
    <w:rsid w:val="00973FAE"/>
    <w:rsid w:val="009A3CA1"/>
    <w:rsid w:val="009A7214"/>
    <w:rsid w:val="009B0328"/>
    <w:rsid w:val="009B5272"/>
    <w:rsid w:val="009C6861"/>
    <w:rsid w:val="009D3700"/>
    <w:rsid w:val="009D5E9E"/>
    <w:rsid w:val="009E5394"/>
    <w:rsid w:val="009F6D62"/>
    <w:rsid w:val="00A00E4B"/>
    <w:rsid w:val="00A149E0"/>
    <w:rsid w:val="00A16017"/>
    <w:rsid w:val="00A201F2"/>
    <w:rsid w:val="00A254E1"/>
    <w:rsid w:val="00A2662F"/>
    <w:rsid w:val="00A34EEF"/>
    <w:rsid w:val="00A404FD"/>
    <w:rsid w:val="00A478BB"/>
    <w:rsid w:val="00A53843"/>
    <w:rsid w:val="00A5540C"/>
    <w:rsid w:val="00A63B20"/>
    <w:rsid w:val="00A66881"/>
    <w:rsid w:val="00A94F30"/>
    <w:rsid w:val="00AA4364"/>
    <w:rsid w:val="00AC56E8"/>
    <w:rsid w:val="00AD6CC0"/>
    <w:rsid w:val="00AE2BB3"/>
    <w:rsid w:val="00AE7BEF"/>
    <w:rsid w:val="00AF3B64"/>
    <w:rsid w:val="00B06610"/>
    <w:rsid w:val="00B12372"/>
    <w:rsid w:val="00B23024"/>
    <w:rsid w:val="00B230C1"/>
    <w:rsid w:val="00B23BF1"/>
    <w:rsid w:val="00B309B1"/>
    <w:rsid w:val="00B35CB3"/>
    <w:rsid w:val="00B734B0"/>
    <w:rsid w:val="00B93053"/>
    <w:rsid w:val="00BA01AA"/>
    <w:rsid w:val="00BB180E"/>
    <w:rsid w:val="00BB45E8"/>
    <w:rsid w:val="00BB58A9"/>
    <w:rsid w:val="00BB7B58"/>
    <w:rsid w:val="00BC0FB9"/>
    <w:rsid w:val="00BD41C1"/>
    <w:rsid w:val="00BE4288"/>
    <w:rsid w:val="00BF4D45"/>
    <w:rsid w:val="00BF5FC9"/>
    <w:rsid w:val="00BF7348"/>
    <w:rsid w:val="00C106F4"/>
    <w:rsid w:val="00C126C2"/>
    <w:rsid w:val="00C24825"/>
    <w:rsid w:val="00C40B94"/>
    <w:rsid w:val="00C41A2B"/>
    <w:rsid w:val="00C458EF"/>
    <w:rsid w:val="00C54121"/>
    <w:rsid w:val="00C656A4"/>
    <w:rsid w:val="00C725E8"/>
    <w:rsid w:val="00C73D04"/>
    <w:rsid w:val="00C75821"/>
    <w:rsid w:val="00C85BB7"/>
    <w:rsid w:val="00C9345A"/>
    <w:rsid w:val="00CB0B46"/>
    <w:rsid w:val="00CB0E75"/>
    <w:rsid w:val="00CB196F"/>
    <w:rsid w:val="00CB42D0"/>
    <w:rsid w:val="00CB7B49"/>
    <w:rsid w:val="00CD5628"/>
    <w:rsid w:val="00CE1525"/>
    <w:rsid w:val="00CE176A"/>
    <w:rsid w:val="00CE3E53"/>
    <w:rsid w:val="00CE4119"/>
    <w:rsid w:val="00D034A8"/>
    <w:rsid w:val="00D10BF3"/>
    <w:rsid w:val="00D1204A"/>
    <w:rsid w:val="00D12E6A"/>
    <w:rsid w:val="00D1653C"/>
    <w:rsid w:val="00D22698"/>
    <w:rsid w:val="00D31B5B"/>
    <w:rsid w:val="00D42338"/>
    <w:rsid w:val="00D43A48"/>
    <w:rsid w:val="00D478D1"/>
    <w:rsid w:val="00D51BBF"/>
    <w:rsid w:val="00D521DF"/>
    <w:rsid w:val="00D55762"/>
    <w:rsid w:val="00D649C6"/>
    <w:rsid w:val="00D84093"/>
    <w:rsid w:val="00D85AD4"/>
    <w:rsid w:val="00D91E34"/>
    <w:rsid w:val="00D954BE"/>
    <w:rsid w:val="00D956D3"/>
    <w:rsid w:val="00DA75D4"/>
    <w:rsid w:val="00DB5618"/>
    <w:rsid w:val="00DB797E"/>
    <w:rsid w:val="00DC3558"/>
    <w:rsid w:val="00DF0924"/>
    <w:rsid w:val="00DF5D16"/>
    <w:rsid w:val="00DF6A28"/>
    <w:rsid w:val="00E069B5"/>
    <w:rsid w:val="00E377D0"/>
    <w:rsid w:val="00E407DE"/>
    <w:rsid w:val="00E47C09"/>
    <w:rsid w:val="00E53E8B"/>
    <w:rsid w:val="00E57748"/>
    <w:rsid w:val="00E646EE"/>
    <w:rsid w:val="00E66241"/>
    <w:rsid w:val="00E66E56"/>
    <w:rsid w:val="00E72BAE"/>
    <w:rsid w:val="00E746BC"/>
    <w:rsid w:val="00E756D0"/>
    <w:rsid w:val="00E75F41"/>
    <w:rsid w:val="00E8116C"/>
    <w:rsid w:val="00E812EF"/>
    <w:rsid w:val="00E851BD"/>
    <w:rsid w:val="00E862D7"/>
    <w:rsid w:val="00EB57D9"/>
    <w:rsid w:val="00EB5976"/>
    <w:rsid w:val="00EE471E"/>
    <w:rsid w:val="00EE657D"/>
    <w:rsid w:val="00F02637"/>
    <w:rsid w:val="00F04C82"/>
    <w:rsid w:val="00F268B8"/>
    <w:rsid w:val="00F27761"/>
    <w:rsid w:val="00F34639"/>
    <w:rsid w:val="00F34A9E"/>
    <w:rsid w:val="00F35FE9"/>
    <w:rsid w:val="00F3660C"/>
    <w:rsid w:val="00F4523B"/>
    <w:rsid w:val="00F478AD"/>
    <w:rsid w:val="00F63080"/>
    <w:rsid w:val="00F637C3"/>
    <w:rsid w:val="00F6508F"/>
    <w:rsid w:val="00F71AC0"/>
    <w:rsid w:val="00F81F99"/>
    <w:rsid w:val="00F841D8"/>
    <w:rsid w:val="00F8721E"/>
    <w:rsid w:val="00F87DD7"/>
    <w:rsid w:val="00F93A1E"/>
    <w:rsid w:val="00F94129"/>
    <w:rsid w:val="00F97BAE"/>
    <w:rsid w:val="00FA39E5"/>
    <w:rsid w:val="00FA773B"/>
    <w:rsid w:val="00FB354C"/>
    <w:rsid w:val="00FC26CF"/>
    <w:rsid w:val="00F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9EB47C"/>
  <w15:chartTrackingRefBased/>
  <w15:docId w15:val="{0FEB7884-53E6-43A7-971A-F0FDECE2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D16"/>
    <w:pPr>
      <w:suppressAutoHyphens/>
      <w:kinsoku w:val="0"/>
      <w:overflowPunct w:val="0"/>
      <w:autoSpaceDE w:val="0"/>
      <w:autoSpaceDN w:val="0"/>
      <w:adjustRightInd w:val="0"/>
      <w:snapToGrid w:val="0"/>
      <w:spacing w:line="240" w:lineRule="atLeast"/>
    </w:pPr>
    <w:rPr>
      <w:lang w:val="fr-CH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DF5D16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qFormat/>
    <w:rsid w:val="00323A01"/>
    <w:pPr>
      <w:outlineLvl w:val="1"/>
    </w:pPr>
  </w:style>
  <w:style w:type="paragraph" w:styleId="Titre3">
    <w:name w:val="heading 3"/>
    <w:basedOn w:val="Normal"/>
    <w:next w:val="Normal"/>
    <w:qFormat/>
    <w:rsid w:val="00323A01"/>
    <w:pPr>
      <w:outlineLvl w:val="2"/>
    </w:pPr>
  </w:style>
  <w:style w:type="paragraph" w:styleId="Titre4">
    <w:name w:val="heading 4"/>
    <w:basedOn w:val="Normal"/>
    <w:next w:val="Normal"/>
    <w:qFormat/>
    <w:rsid w:val="00323A01"/>
    <w:pPr>
      <w:outlineLvl w:val="3"/>
    </w:pPr>
  </w:style>
  <w:style w:type="paragraph" w:styleId="Titre5">
    <w:name w:val="heading 5"/>
    <w:basedOn w:val="Normal"/>
    <w:next w:val="Normal"/>
    <w:qFormat/>
    <w:rsid w:val="00323A01"/>
    <w:pPr>
      <w:outlineLvl w:val="4"/>
    </w:pPr>
  </w:style>
  <w:style w:type="paragraph" w:styleId="Titre6">
    <w:name w:val="heading 6"/>
    <w:basedOn w:val="Normal"/>
    <w:next w:val="Normal"/>
    <w:qFormat/>
    <w:rsid w:val="00323A01"/>
    <w:pPr>
      <w:outlineLvl w:val="5"/>
    </w:pPr>
  </w:style>
  <w:style w:type="paragraph" w:styleId="Titre7">
    <w:name w:val="heading 7"/>
    <w:basedOn w:val="Normal"/>
    <w:next w:val="Normal"/>
    <w:qFormat/>
    <w:rsid w:val="00323A01"/>
    <w:pPr>
      <w:outlineLvl w:val="6"/>
    </w:pPr>
  </w:style>
  <w:style w:type="paragraph" w:styleId="Titre8">
    <w:name w:val="heading 8"/>
    <w:basedOn w:val="Normal"/>
    <w:next w:val="Normal"/>
    <w:qFormat/>
    <w:rsid w:val="00323A01"/>
    <w:pPr>
      <w:outlineLvl w:val="7"/>
    </w:pPr>
  </w:style>
  <w:style w:type="paragraph" w:styleId="Titre9">
    <w:name w:val="heading 9"/>
    <w:basedOn w:val="Normal"/>
    <w:next w:val="Normal"/>
    <w:qFormat/>
    <w:rsid w:val="00323A01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aliases w:val="4_G"/>
    <w:rsid w:val="00DF5D16"/>
    <w:rPr>
      <w:rFonts w:ascii="Times New Roman" w:hAnsi="Times New Roman"/>
      <w:sz w:val="18"/>
      <w:vertAlign w:val="superscript"/>
      <w:lang w:val="fr-CH"/>
    </w:rPr>
  </w:style>
  <w:style w:type="paragraph" w:styleId="En-tte">
    <w:name w:val="header"/>
    <w:aliases w:val="6_G"/>
    <w:basedOn w:val="Normal"/>
    <w:next w:val="Normal"/>
    <w:link w:val="En-tteCar"/>
    <w:rsid w:val="00DF5D16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styleId="Numrodepage">
    <w:name w:val="page number"/>
    <w:aliases w:val="7_G"/>
    <w:rsid w:val="00DF5D16"/>
    <w:rPr>
      <w:rFonts w:ascii="Times New Roman" w:hAnsi="Times New Roman"/>
      <w:b/>
      <w:sz w:val="18"/>
      <w:lang w:val="fr-CH"/>
    </w:rPr>
  </w:style>
  <w:style w:type="paragraph" w:styleId="Pieddepage">
    <w:name w:val="footer"/>
    <w:aliases w:val="3_G"/>
    <w:basedOn w:val="Normal"/>
    <w:next w:val="Normal"/>
    <w:link w:val="PieddepageCar"/>
    <w:rsid w:val="00DF5D16"/>
    <w:pPr>
      <w:spacing w:line="240" w:lineRule="auto"/>
    </w:pPr>
    <w:rPr>
      <w:sz w:val="16"/>
    </w:rPr>
  </w:style>
  <w:style w:type="paragraph" w:styleId="Notedebasdepage">
    <w:name w:val="footnote text"/>
    <w:aliases w:val="5_G"/>
    <w:basedOn w:val="Normal"/>
    <w:link w:val="NotedebasdepageCar"/>
    <w:qFormat/>
    <w:rsid w:val="00DF5D16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styleId="Appeldenotedefin">
    <w:name w:val="endnote reference"/>
    <w:aliases w:val="1_G"/>
    <w:rsid w:val="00DF5D16"/>
    <w:rPr>
      <w:rFonts w:ascii="Times New Roman" w:hAnsi="Times New Roman"/>
      <w:sz w:val="18"/>
      <w:vertAlign w:val="superscript"/>
      <w:lang w:val="fr-CH"/>
    </w:rPr>
  </w:style>
  <w:style w:type="paragraph" w:styleId="Notedefin">
    <w:name w:val="endnote text"/>
    <w:aliases w:val="2_G"/>
    <w:basedOn w:val="Notedebasdepage"/>
    <w:link w:val="NotedefinCar"/>
    <w:rsid w:val="00DF5D16"/>
  </w:style>
  <w:style w:type="paragraph" w:customStyle="1" w:styleId="HMG">
    <w:name w:val="_ H __M_G"/>
    <w:basedOn w:val="Normal"/>
    <w:next w:val="Normal"/>
    <w:qFormat/>
    <w:rsid w:val="00DF5D16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DF5D16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DF5D16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DF5D16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DF5D16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DF5D16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DF5D16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DF5D16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DF5D16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DF5D16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DF5D16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DF5D16"/>
    <w:pPr>
      <w:numPr>
        <w:numId w:val="10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DF5D16"/>
    <w:pPr>
      <w:numPr>
        <w:numId w:val="11"/>
      </w:numPr>
      <w:spacing w:after="120"/>
      <w:ind w:right="1134"/>
      <w:jc w:val="both"/>
    </w:pPr>
  </w:style>
  <w:style w:type="table" w:styleId="Grilledutableau">
    <w:name w:val="Table Grid"/>
    <w:basedOn w:val="TableauNormal"/>
    <w:rsid w:val="00DF5D16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semiHidden/>
    <w:rsid w:val="00DF5D16"/>
    <w:rPr>
      <w:color w:val="auto"/>
      <w:u w:val="none"/>
    </w:rPr>
  </w:style>
  <w:style w:type="character" w:styleId="Lienhypertextesuivivisit">
    <w:name w:val="FollowedHyperlink"/>
    <w:semiHidden/>
    <w:rsid w:val="00DF5D16"/>
    <w:rPr>
      <w:color w:val="auto"/>
      <w:u w:val="none"/>
    </w:rPr>
  </w:style>
  <w:style w:type="paragraph" w:customStyle="1" w:styleId="ParNoG">
    <w:name w:val="_ParNo_G"/>
    <w:basedOn w:val="SingleTxtG"/>
    <w:qFormat/>
    <w:rsid w:val="00DF5D16"/>
    <w:pPr>
      <w:numPr>
        <w:numId w:val="12"/>
      </w:numPr>
    </w:pPr>
  </w:style>
  <w:style w:type="character" w:customStyle="1" w:styleId="En-tteCar">
    <w:name w:val="En-tête Car"/>
    <w:aliases w:val="6_G Car"/>
    <w:link w:val="En-tte"/>
    <w:rsid w:val="00DF5D16"/>
    <w:rPr>
      <w:rFonts w:eastAsia="Times New Roman"/>
      <w:b/>
      <w:sz w:val="18"/>
      <w:lang w:eastAsia="en-US"/>
    </w:rPr>
  </w:style>
  <w:style w:type="character" w:customStyle="1" w:styleId="NotedebasdepageCar">
    <w:name w:val="Note de bas de page Car"/>
    <w:aliases w:val="5_G Car"/>
    <w:link w:val="Notedebasdepage"/>
    <w:rsid w:val="00DF5D16"/>
    <w:rPr>
      <w:rFonts w:eastAsia="Times New Roman"/>
      <w:sz w:val="18"/>
      <w:lang w:eastAsia="en-US"/>
    </w:rPr>
  </w:style>
  <w:style w:type="character" w:customStyle="1" w:styleId="NotedefinCar">
    <w:name w:val="Note de fin Car"/>
    <w:aliases w:val="2_G Car"/>
    <w:link w:val="Notedefin"/>
    <w:rsid w:val="00DF5D16"/>
    <w:rPr>
      <w:rFonts w:eastAsia="Times New Roman"/>
      <w:sz w:val="18"/>
      <w:lang w:eastAsia="en-US"/>
    </w:rPr>
  </w:style>
  <w:style w:type="character" w:customStyle="1" w:styleId="PieddepageCar">
    <w:name w:val="Pied de page Car"/>
    <w:aliases w:val="3_G Car"/>
    <w:link w:val="Pieddepage"/>
    <w:rsid w:val="00DF5D16"/>
    <w:rPr>
      <w:rFonts w:eastAsia="Times New Roman"/>
      <w:sz w:val="16"/>
      <w:lang w:eastAsia="en-US"/>
    </w:rPr>
  </w:style>
  <w:style w:type="character" w:customStyle="1" w:styleId="Titre1Car">
    <w:name w:val="Titre 1 Car"/>
    <w:aliases w:val="Table_G Car"/>
    <w:link w:val="Titre1"/>
    <w:rsid w:val="00DF5D16"/>
    <w:rPr>
      <w:rFonts w:eastAsia="Times New Roman"/>
      <w:lang w:eastAsia="en-US"/>
    </w:rPr>
  </w:style>
  <w:style w:type="character" w:styleId="Marquedecommentaire">
    <w:name w:val="annotation reference"/>
    <w:rsid w:val="004A3DD6"/>
    <w:rPr>
      <w:sz w:val="16"/>
      <w:szCs w:val="16"/>
    </w:rPr>
  </w:style>
  <w:style w:type="paragraph" w:styleId="Commentaire">
    <w:name w:val="annotation text"/>
    <w:basedOn w:val="Normal"/>
    <w:link w:val="CommentaireCar"/>
    <w:rsid w:val="004A3DD6"/>
  </w:style>
  <w:style w:type="character" w:customStyle="1" w:styleId="CommentaireCar">
    <w:name w:val="Commentaire Car"/>
    <w:link w:val="Commentaire"/>
    <w:rsid w:val="004A3DD6"/>
    <w:rPr>
      <w:rFonts w:eastAsia="Times New Roman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4A3DD6"/>
    <w:rPr>
      <w:b/>
      <w:bCs/>
    </w:rPr>
  </w:style>
  <w:style w:type="character" w:customStyle="1" w:styleId="ObjetducommentaireCar">
    <w:name w:val="Objet du commentaire Car"/>
    <w:link w:val="Objetducommentaire"/>
    <w:rsid w:val="004A3DD6"/>
    <w:rPr>
      <w:rFonts w:eastAsia="Times New Roman"/>
      <w:b/>
      <w:bCs/>
      <w:lang w:eastAsia="en-US"/>
    </w:rPr>
  </w:style>
  <w:style w:type="paragraph" w:styleId="Textedebulles">
    <w:name w:val="Balloon Text"/>
    <w:basedOn w:val="Normal"/>
    <w:link w:val="TextedebullesCar"/>
    <w:rsid w:val="004A3D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A3DD6"/>
    <w:rPr>
      <w:rFonts w:ascii="Tahoma" w:eastAsia="Times New Roman" w:hAnsi="Tahoma" w:cs="Tahoma"/>
      <w:sz w:val="16"/>
      <w:szCs w:val="16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9706D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919D9"/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BWC/CONF.IX/PC/L.2" TargetMode="External"/><Relationship Id="rId13" Type="http://schemas.openxmlformats.org/officeDocument/2006/relationships/image" Target="media/image1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eaties.un.org/doc/Publication/UNTS/Volume%201015/volume-1015-I-14860-French.pdf" TargetMode="External"/><Relationship Id="rId12" Type="http://schemas.openxmlformats.org/officeDocument/2006/relationships/hyperlink" Target="https://conferences.unite.un.org/athenaknowledgehub/blog/cptfrench/manuel-de-traduction-introductio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hilippe.gardy@un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s-fts.unog.ch/sites/default/files/2018-11/ONUNY%20-%20Manuel%20%C3%A0%20l%27usage%20des%20r%C3%A9dacteurs%20%28F%29%20%28SFTR_3%29%2C%201979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sabelle.salatko@un.org" TargetMode="External"/><Relationship Id="rId10" Type="http://schemas.openxmlformats.org/officeDocument/2006/relationships/hyperlink" Target="https://ls-fts.unog.ch/committee/desarm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f.unog.ch/digitalrecordings/" TargetMode="External"/><Relationship Id="rId14" Type="http://schemas.openxmlformats.org/officeDocument/2006/relationships/hyperlink" Target="mailto:DMSDCM@un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1052</Words>
  <Characters>5791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Colette SALATKO-PETRYSZCZE</dc:creator>
  <cp:keywords/>
  <dc:description/>
  <cp:lastModifiedBy>Isabelle Colette SALATKO-PETRYSZCZE</cp:lastModifiedBy>
  <cp:revision>4</cp:revision>
  <cp:lastPrinted>2014-05-15T08:26:00Z</cp:lastPrinted>
  <dcterms:created xsi:type="dcterms:W3CDTF">2024-07-31T12:17:00Z</dcterms:created>
  <dcterms:modified xsi:type="dcterms:W3CDTF">2024-07-31T12:53:00Z</dcterms:modified>
</cp:coreProperties>
</file>