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783" w14:textId="5AF2F2AF" w:rsidR="0081043A" w:rsidRDefault="00D62DFF" w:rsidP="0085797A">
      <w:r>
        <w:t>Source : UNTERM. Attention, ce sont ces titres qui doivent être employés, même lorsqu’ils diffèrent des titres originaux des observations générales telle</w:t>
      </w:r>
      <w:r w:rsidR="00C232DF">
        <w:t>s</w:t>
      </w:r>
      <w:r>
        <w:t xml:space="preserve"> qu’elles ont été publiées. </w:t>
      </w:r>
    </w:p>
    <w:p w14:paraId="37A7C1D4" w14:textId="77777777" w:rsidR="00B473E7" w:rsidRDefault="00B473E7" w:rsidP="0085797A"/>
    <w:p w14:paraId="24557A61" w14:textId="77777777" w:rsidR="00B473E7" w:rsidRDefault="00B473E7" w:rsidP="0085797A"/>
    <w:tbl>
      <w:tblPr>
        <w:tblStyle w:val="Grilledutableau"/>
        <w:tblW w:w="9629" w:type="dxa"/>
        <w:tblLook w:val="04A0" w:firstRow="1" w:lastRow="0" w:firstColumn="1" w:lastColumn="0" w:noHBand="0" w:noVBand="1"/>
      </w:tblPr>
      <w:tblGrid>
        <w:gridCol w:w="421"/>
        <w:gridCol w:w="7087"/>
        <w:gridCol w:w="2121"/>
      </w:tblGrid>
      <w:tr w:rsidR="0093147E" w14:paraId="411216AF" w14:textId="77777777" w:rsidTr="006C46B1">
        <w:tc>
          <w:tcPr>
            <w:tcW w:w="421" w:type="dxa"/>
          </w:tcPr>
          <w:p w14:paraId="0445CF67" w14:textId="7F2D2A48" w:rsidR="0093147E" w:rsidRDefault="0093147E" w:rsidP="0093147E">
            <w:r>
              <w:rPr>
                <w:b/>
                <w:bCs/>
              </w:rPr>
              <w:t xml:space="preserve">  </w:t>
            </w:r>
            <w:r w:rsidRPr="00F4701F">
              <w:rPr>
                <w:b/>
                <w:bCs/>
              </w:rPr>
              <w:t>1</w:t>
            </w:r>
          </w:p>
        </w:tc>
        <w:tc>
          <w:tcPr>
            <w:tcW w:w="7087" w:type="dxa"/>
          </w:tcPr>
          <w:p w14:paraId="47DF82F4" w14:textId="09C01B08" w:rsidR="0093147E" w:rsidRDefault="0093147E" w:rsidP="0093147E">
            <w:r w:rsidRPr="007A72B4">
              <w:t>observation générale n</w:t>
            </w:r>
            <w:r w:rsidRPr="00D62DFF">
              <w:rPr>
                <w:vertAlign w:val="superscript"/>
              </w:rPr>
              <w:t>o</w:t>
            </w:r>
            <w:r w:rsidRPr="007A72B4">
              <w:t xml:space="preserve"> 1 (2001) sur les buts de l'éducation</w:t>
            </w:r>
          </w:p>
        </w:tc>
        <w:tc>
          <w:tcPr>
            <w:tcW w:w="2121" w:type="dxa"/>
          </w:tcPr>
          <w:p w14:paraId="64AFA321" w14:textId="10624DB4" w:rsidR="0093147E" w:rsidRDefault="000D1503" w:rsidP="0093147E">
            <w:r w:rsidRPr="00F20DCD">
              <w:t>CRC/C/GC/</w:t>
            </w:r>
            <w:r>
              <w:t>1</w:t>
            </w:r>
          </w:p>
        </w:tc>
      </w:tr>
      <w:tr w:rsidR="0093147E" w14:paraId="00309A4E" w14:textId="77777777" w:rsidTr="006C46B1">
        <w:tc>
          <w:tcPr>
            <w:tcW w:w="421" w:type="dxa"/>
          </w:tcPr>
          <w:p w14:paraId="5512FA7E" w14:textId="02BC10A2" w:rsidR="0093147E" w:rsidRDefault="0093147E" w:rsidP="0093147E">
            <w:r>
              <w:rPr>
                <w:b/>
                <w:bCs/>
              </w:rPr>
              <w:t xml:space="preserve">  </w:t>
            </w:r>
            <w:r w:rsidRPr="00F4701F">
              <w:rPr>
                <w:b/>
                <w:bCs/>
              </w:rPr>
              <w:t>2</w:t>
            </w:r>
          </w:p>
        </w:tc>
        <w:tc>
          <w:tcPr>
            <w:tcW w:w="7087" w:type="dxa"/>
          </w:tcPr>
          <w:p w14:paraId="201EE65B" w14:textId="66A915D4" w:rsidR="0093147E" w:rsidRDefault="0093147E" w:rsidP="0093147E">
            <w:r w:rsidRPr="007A72B4">
              <w:t>observation générale n</w:t>
            </w:r>
            <w:r w:rsidRPr="00D62DFF">
              <w:rPr>
                <w:vertAlign w:val="superscript"/>
              </w:rPr>
              <w:t>o</w:t>
            </w:r>
            <w:r w:rsidRPr="007A72B4">
              <w:t xml:space="preserve"> 2 (2002) sur le rôle des institutions nationales indépendantes de défense des droits de l'homme dans la protection et la promotion des droits de l'enfant </w:t>
            </w:r>
          </w:p>
        </w:tc>
        <w:tc>
          <w:tcPr>
            <w:tcW w:w="2121" w:type="dxa"/>
          </w:tcPr>
          <w:p w14:paraId="5C77EF9F" w14:textId="4057B99D" w:rsidR="0093147E" w:rsidRDefault="000D1503" w:rsidP="0093147E">
            <w:r w:rsidRPr="00F20DCD">
              <w:t>CRC/C/GC/</w:t>
            </w:r>
            <w:r>
              <w:t>2</w:t>
            </w:r>
          </w:p>
        </w:tc>
      </w:tr>
      <w:tr w:rsidR="0093147E" w14:paraId="7F93B928" w14:textId="77777777" w:rsidTr="006C46B1">
        <w:tc>
          <w:tcPr>
            <w:tcW w:w="421" w:type="dxa"/>
          </w:tcPr>
          <w:p w14:paraId="7BA28E9E" w14:textId="03D6CFBA" w:rsidR="0093147E" w:rsidRDefault="0093147E" w:rsidP="0093147E">
            <w:r>
              <w:rPr>
                <w:b/>
                <w:bCs/>
              </w:rPr>
              <w:t xml:space="preserve">  </w:t>
            </w:r>
            <w:r w:rsidRPr="00F4701F">
              <w:rPr>
                <w:b/>
                <w:bCs/>
              </w:rPr>
              <w:t>3</w:t>
            </w:r>
          </w:p>
        </w:tc>
        <w:tc>
          <w:tcPr>
            <w:tcW w:w="7087" w:type="dxa"/>
          </w:tcPr>
          <w:p w14:paraId="0019184B" w14:textId="7FB741CD" w:rsidR="0093147E" w:rsidRDefault="0093147E" w:rsidP="0093147E">
            <w:r w:rsidRPr="00616FE9">
              <w:t>observation générale n</w:t>
            </w:r>
            <w:r w:rsidRPr="00D62DFF">
              <w:rPr>
                <w:vertAlign w:val="superscript"/>
              </w:rPr>
              <w:t>o</w:t>
            </w:r>
            <w:r w:rsidRPr="00616FE9">
              <w:t xml:space="preserve"> 3 (2003) sur le VIH/sida et les droits de l'enfant</w:t>
            </w:r>
          </w:p>
        </w:tc>
        <w:tc>
          <w:tcPr>
            <w:tcW w:w="2121" w:type="dxa"/>
          </w:tcPr>
          <w:p w14:paraId="5DC5928B" w14:textId="2AD01E6E" w:rsidR="0093147E" w:rsidRDefault="000D1503" w:rsidP="0093147E">
            <w:r w:rsidRPr="00F20DCD">
              <w:t>CRC/C/GC/</w:t>
            </w:r>
            <w:r>
              <w:t>3</w:t>
            </w:r>
          </w:p>
        </w:tc>
      </w:tr>
      <w:tr w:rsidR="0093147E" w14:paraId="0C4916C4" w14:textId="77777777" w:rsidTr="006C46B1">
        <w:tc>
          <w:tcPr>
            <w:tcW w:w="421" w:type="dxa"/>
          </w:tcPr>
          <w:p w14:paraId="1831E497" w14:textId="62EBC0E0" w:rsidR="0093147E" w:rsidRDefault="0093147E" w:rsidP="0093147E">
            <w:r>
              <w:rPr>
                <w:b/>
                <w:bCs/>
              </w:rPr>
              <w:t xml:space="preserve">  </w:t>
            </w:r>
            <w:r w:rsidRPr="00F4701F">
              <w:rPr>
                <w:b/>
                <w:bCs/>
              </w:rPr>
              <w:t>4</w:t>
            </w:r>
          </w:p>
        </w:tc>
        <w:tc>
          <w:tcPr>
            <w:tcW w:w="7087" w:type="dxa"/>
          </w:tcPr>
          <w:p w14:paraId="05237BBC" w14:textId="76BCC060" w:rsidR="0093147E" w:rsidRDefault="0093147E" w:rsidP="0093147E">
            <w:r w:rsidRPr="00616FE9">
              <w:t>observation générale n</w:t>
            </w:r>
            <w:r w:rsidRPr="00D62DFF">
              <w:rPr>
                <w:vertAlign w:val="superscript"/>
              </w:rPr>
              <w:t>o</w:t>
            </w:r>
            <w:r w:rsidRPr="00616FE9">
              <w:t xml:space="preserve"> 4 (2003) sur la santé et le développement de l'adolescent dans le contexte de la Convention </w:t>
            </w:r>
          </w:p>
        </w:tc>
        <w:tc>
          <w:tcPr>
            <w:tcW w:w="2121" w:type="dxa"/>
          </w:tcPr>
          <w:p w14:paraId="3D4E9F7B" w14:textId="746F4B1C" w:rsidR="0093147E" w:rsidRDefault="000D1503" w:rsidP="0093147E">
            <w:r w:rsidRPr="00F20DCD">
              <w:t>CRC/C/GC/</w:t>
            </w:r>
            <w:r>
              <w:t>4</w:t>
            </w:r>
          </w:p>
        </w:tc>
      </w:tr>
      <w:tr w:rsidR="0093147E" w14:paraId="319AB251" w14:textId="77777777" w:rsidTr="006C46B1">
        <w:tc>
          <w:tcPr>
            <w:tcW w:w="421" w:type="dxa"/>
          </w:tcPr>
          <w:p w14:paraId="611B49ED" w14:textId="09534BF4" w:rsidR="0093147E" w:rsidRDefault="0093147E" w:rsidP="0093147E">
            <w:r>
              <w:rPr>
                <w:b/>
                <w:bCs/>
              </w:rPr>
              <w:t xml:space="preserve">  </w:t>
            </w:r>
            <w:r w:rsidRPr="00F4701F">
              <w:rPr>
                <w:b/>
                <w:bCs/>
              </w:rPr>
              <w:t>5</w:t>
            </w:r>
          </w:p>
        </w:tc>
        <w:tc>
          <w:tcPr>
            <w:tcW w:w="7087" w:type="dxa"/>
          </w:tcPr>
          <w:p w14:paraId="3CEC92AF" w14:textId="422D28B2" w:rsidR="0093147E" w:rsidRDefault="0093147E" w:rsidP="0093147E">
            <w:r w:rsidRPr="005B2DFC">
              <w:t>observation générale n</w:t>
            </w:r>
            <w:r w:rsidRPr="00D62DFF">
              <w:rPr>
                <w:vertAlign w:val="superscript"/>
              </w:rPr>
              <w:t>o</w:t>
            </w:r>
            <w:r w:rsidRPr="005B2DFC">
              <w:t xml:space="preserve"> 5 (2003) sur les mesures d'application générales de la </w:t>
            </w:r>
            <w:r>
              <w:t>Convention</w:t>
            </w:r>
          </w:p>
        </w:tc>
        <w:tc>
          <w:tcPr>
            <w:tcW w:w="2121" w:type="dxa"/>
          </w:tcPr>
          <w:p w14:paraId="5AC423B5" w14:textId="070A62CC" w:rsidR="0093147E" w:rsidRDefault="000D1503" w:rsidP="0093147E">
            <w:r w:rsidRPr="00F20DCD">
              <w:t>CRC/C/GC/</w:t>
            </w:r>
            <w:r>
              <w:t>5</w:t>
            </w:r>
          </w:p>
        </w:tc>
      </w:tr>
      <w:tr w:rsidR="0093147E" w14:paraId="141EFC48" w14:textId="77777777" w:rsidTr="006C46B1">
        <w:tc>
          <w:tcPr>
            <w:tcW w:w="421" w:type="dxa"/>
          </w:tcPr>
          <w:p w14:paraId="2489AFC8" w14:textId="5B957A20" w:rsidR="0093147E" w:rsidRDefault="0093147E" w:rsidP="0093147E">
            <w:r>
              <w:rPr>
                <w:b/>
                <w:bCs/>
              </w:rPr>
              <w:t xml:space="preserve">  </w:t>
            </w:r>
            <w:r w:rsidRPr="00F4701F">
              <w:rPr>
                <w:b/>
                <w:bCs/>
              </w:rPr>
              <w:t>6</w:t>
            </w:r>
          </w:p>
        </w:tc>
        <w:tc>
          <w:tcPr>
            <w:tcW w:w="7087" w:type="dxa"/>
          </w:tcPr>
          <w:p w14:paraId="1E64EFB5" w14:textId="597F1E63" w:rsidR="0093147E" w:rsidRDefault="0093147E" w:rsidP="0093147E">
            <w:r w:rsidRPr="002B72A5">
              <w:t>observation générale n</w:t>
            </w:r>
            <w:r w:rsidRPr="00D62DFF">
              <w:rPr>
                <w:vertAlign w:val="superscript"/>
              </w:rPr>
              <w:t>o</w:t>
            </w:r>
            <w:r w:rsidRPr="002B72A5">
              <w:t xml:space="preserve"> 6 (2005) sur le traitement des enfants non accompagnés et des enfants séparés en dehors de leur pays d'origine</w:t>
            </w:r>
          </w:p>
        </w:tc>
        <w:tc>
          <w:tcPr>
            <w:tcW w:w="2121" w:type="dxa"/>
          </w:tcPr>
          <w:p w14:paraId="214CA33C" w14:textId="38746E51" w:rsidR="0093147E" w:rsidRDefault="000D1503" w:rsidP="0093147E">
            <w:r w:rsidRPr="000D1503">
              <w:t>CRC/C/GC/</w:t>
            </w:r>
            <w:r>
              <w:t>6</w:t>
            </w:r>
          </w:p>
        </w:tc>
      </w:tr>
      <w:tr w:rsidR="0093147E" w14:paraId="2284B95F" w14:textId="77777777" w:rsidTr="006C46B1">
        <w:tc>
          <w:tcPr>
            <w:tcW w:w="421" w:type="dxa"/>
          </w:tcPr>
          <w:p w14:paraId="5082BE74" w14:textId="107AF718" w:rsidR="0093147E" w:rsidRDefault="0093147E" w:rsidP="0093147E">
            <w:r>
              <w:rPr>
                <w:b/>
                <w:bCs/>
              </w:rPr>
              <w:t xml:space="preserve">  </w:t>
            </w:r>
            <w:r w:rsidRPr="00F4701F">
              <w:rPr>
                <w:b/>
                <w:bCs/>
              </w:rPr>
              <w:t>7</w:t>
            </w:r>
          </w:p>
        </w:tc>
        <w:tc>
          <w:tcPr>
            <w:tcW w:w="7087" w:type="dxa"/>
          </w:tcPr>
          <w:p w14:paraId="213F0AA5" w14:textId="2F5DA288" w:rsidR="0093147E" w:rsidRDefault="0093147E" w:rsidP="0093147E">
            <w:r w:rsidRPr="002843A7">
              <w:t>observation générale n</w:t>
            </w:r>
            <w:r w:rsidRPr="00D62DFF">
              <w:rPr>
                <w:vertAlign w:val="superscript"/>
              </w:rPr>
              <w:t>o</w:t>
            </w:r>
            <w:r w:rsidRPr="002843A7">
              <w:t xml:space="preserve"> 7 (2005) </w:t>
            </w:r>
            <w:r>
              <w:t xml:space="preserve">sur la </w:t>
            </w:r>
            <w:r w:rsidR="007B0E17">
              <w:t>réalisation</w:t>
            </w:r>
            <w:r w:rsidRPr="00B047A7">
              <w:t xml:space="preserve"> des droits </w:t>
            </w:r>
            <w:r w:rsidR="007B0E17">
              <w:t>des enfants</w:t>
            </w:r>
            <w:r w:rsidRPr="00B047A7">
              <w:t xml:space="preserve"> dans la petite enfance</w:t>
            </w:r>
          </w:p>
        </w:tc>
        <w:tc>
          <w:tcPr>
            <w:tcW w:w="2121" w:type="dxa"/>
          </w:tcPr>
          <w:p w14:paraId="0A881B1C" w14:textId="0FF292A3" w:rsidR="0093147E" w:rsidRDefault="004E6911" w:rsidP="0093147E">
            <w:r w:rsidRPr="004E6911">
              <w:t>CRC/C/GC/7/Rev.</w:t>
            </w:r>
            <w:r w:rsidR="007B0E17">
              <w:t>2</w:t>
            </w:r>
          </w:p>
        </w:tc>
      </w:tr>
      <w:tr w:rsidR="0093147E" w14:paraId="4CAF9478" w14:textId="77777777" w:rsidTr="006C46B1">
        <w:tc>
          <w:tcPr>
            <w:tcW w:w="421" w:type="dxa"/>
          </w:tcPr>
          <w:p w14:paraId="3C379767" w14:textId="5866028C" w:rsidR="0093147E" w:rsidRDefault="0093147E" w:rsidP="0093147E">
            <w:r>
              <w:rPr>
                <w:b/>
                <w:bCs/>
              </w:rPr>
              <w:t xml:space="preserve">  </w:t>
            </w:r>
            <w:r w:rsidRPr="00F4701F">
              <w:rPr>
                <w:b/>
                <w:bCs/>
              </w:rPr>
              <w:t>8</w:t>
            </w:r>
          </w:p>
        </w:tc>
        <w:tc>
          <w:tcPr>
            <w:tcW w:w="7087" w:type="dxa"/>
          </w:tcPr>
          <w:p w14:paraId="12930053" w14:textId="11DADDFC" w:rsidR="0093147E" w:rsidRDefault="0093147E" w:rsidP="0093147E">
            <w:r w:rsidRPr="00BC7631">
              <w:t>observation générale n</w:t>
            </w:r>
            <w:r w:rsidRPr="00D62DFF">
              <w:rPr>
                <w:vertAlign w:val="superscript"/>
              </w:rPr>
              <w:t>o</w:t>
            </w:r>
            <w:r w:rsidRPr="00BC7631">
              <w:t xml:space="preserve"> 8 (2006) sur le droit de l'enfant à une protection contre les châtiments corporels et les autres formes cruelles ou dégradantes de châtiments</w:t>
            </w:r>
          </w:p>
        </w:tc>
        <w:tc>
          <w:tcPr>
            <w:tcW w:w="2121" w:type="dxa"/>
          </w:tcPr>
          <w:p w14:paraId="2C802F9E" w14:textId="25F04258" w:rsidR="0093147E" w:rsidRDefault="00F20DCD" w:rsidP="0093147E">
            <w:r w:rsidRPr="00F20DCD">
              <w:t>CRC/C/GC/</w:t>
            </w:r>
            <w:r>
              <w:t>8</w:t>
            </w:r>
          </w:p>
        </w:tc>
      </w:tr>
      <w:tr w:rsidR="0093147E" w14:paraId="027EFE17" w14:textId="77777777" w:rsidTr="006C46B1">
        <w:tc>
          <w:tcPr>
            <w:tcW w:w="421" w:type="dxa"/>
          </w:tcPr>
          <w:p w14:paraId="33634753" w14:textId="5C7CA2DA" w:rsidR="0093147E" w:rsidRDefault="0093147E" w:rsidP="0093147E">
            <w:r>
              <w:rPr>
                <w:b/>
                <w:bCs/>
              </w:rPr>
              <w:t xml:space="preserve">  </w:t>
            </w:r>
            <w:r w:rsidRPr="00F4701F">
              <w:rPr>
                <w:b/>
                <w:bCs/>
              </w:rPr>
              <w:t>9</w:t>
            </w:r>
          </w:p>
        </w:tc>
        <w:tc>
          <w:tcPr>
            <w:tcW w:w="7087" w:type="dxa"/>
          </w:tcPr>
          <w:p w14:paraId="49E8D630" w14:textId="1482B72F" w:rsidR="0093147E" w:rsidRDefault="0093147E" w:rsidP="0093147E">
            <w:r w:rsidRPr="005B5D82">
              <w:t>observation générale n</w:t>
            </w:r>
            <w:r w:rsidRPr="00D62DFF">
              <w:rPr>
                <w:vertAlign w:val="superscript"/>
              </w:rPr>
              <w:t>o</w:t>
            </w:r>
            <w:r w:rsidRPr="005B5D82">
              <w:t xml:space="preserve"> 9 (2006) sur les droits des enfants handicapés</w:t>
            </w:r>
          </w:p>
        </w:tc>
        <w:tc>
          <w:tcPr>
            <w:tcW w:w="2121" w:type="dxa"/>
          </w:tcPr>
          <w:p w14:paraId="046DC72F" w14:textId="49B1390E" w:rsidR="0093147E" w:rsidRDefault="004A4BC6" w:rsidP="0093147E">
            <w:r w:rsidRPr="00F20DCD">
              <w:t>CRC/C/GC/</w:t>
            </w:r>
            <w:r>
              <w:t>9</w:t>
            </w:r>
          </w:p>
        </w:tc>
      </w:tr>
      <w:tr w:rsidR="0093147E" w14:paraId="045496A8" w14:textId="77777777" w:rsidTr="006C46B1">
        <w:tc>
          <w:tcPr>
            <w:tcW w:w="421" w:type="dxa"/>
          </w:tcPr>
          <w:p w14:paraId="2AAE2297" w14:textId="348077E9" w:rsidR="0093147E" w:rsidRDefault="0093147E" w:rsidP="0093147E">
            <w:r w:rsidRPr="00F4701F">
              <w:rPr>
                <w:b/>
                <w:bCs/>
                <w:strike/>
              </w:rPr>
              <w:t>10</w:t>
            </w:r>
          </w:p>
        </w:tc>
        <w:tc>
          <w:tcPr>
            <w:tcW w:w="7087" w:type="dxa"/>
          </w:tcPr>
          <w:p w14:paraId="0EBDDC51" w14:textId="75BA471C" w:rsidR="0093147E" w:rsidRDefault="0093147E" w:rsidP="0093147E">
            <w:r>
              <w:rPr>
                <w:strike/>
              </w:rPr>
              <w:t>o</w:t>
            </w:r>
            <w:r w:rsidRPr="0055668A">
              <w:rPr>
                <w:strike/>
              </w:rPr>
              <w:t>bservation générale nº 10 (2007) sur les droits de l'enfant dans le système de justice pour mineurs</w:t>
            </w:r>
            <w:r>
              <w:rPr>
                <w:strike/>
              </w:rPr>
              <w:br/>
            </w:r>
            <w:r>
              <w:t>[Remplacée par l’</w:t>
            </w:r>
            <w:r w:rsidRPr="00B67E1E">
              <w:t xml:space="preserve">observation générale </w:t>
            </w:r>
            <w:r>
              <w:t>n</w:t>
            </w:r>
            <w:r w:rsidRPr="00B375F3">
              <w:rPr>
                <w:vertAlign w:val="superscript"/>
              </w:rPr>
              <w:t>o</w:t>
            </w:r>
            <w:r>
              <w:t xml:space="preserve"> 24]</w:t>
            </w:r>
          </w:p>
        </w:tc>
        <w:tc>
          <w:tcPr>
            <w:tcW w:w="2121" w:type="dxa"/>
          </w:tcPr>
          <w:p w14:paraId="24B9BB56" w14:textId="77777777" w:rsidR="0093147E" w:rsidRDefault="0093147E" w:rsidP="0093147E"/>
        </w:tc>
      </w:tr>
      <w:tr w:rsidR="0093147E" w14:paraId="5820A34F" w14:textId="77777777" w:rsidTr="006C46B1">
        <w:tc>
          <w:tcPr>
            <w:tcW w:w="421" w:type="dxa"/>
          </w:tcPr>
          <w:p w14:paraId="677C1F47" w14:textId="3F850301" w:rsidR="0093147E" w:rsidRDefault="0093147E" w:rsidP="0093147E">
            <w:r w:rsidRPr="00F4701F">
              <w:rPr>
                <w:b/>
                <w:bCs/>
              </w:rPr>
              <w:t>11</w:t>
            </w:r>
          </w:p>
        </w:tc>
        <w:tc>
          <w:tcPr>
            <w:tcW w:w="7087" w:type="dxa"/>
          </w:tcPr>
          <w:p w14:paraId="595BDDA2" w14:textId="0646F07E" w:rsidR="0093147E" w:rsidRDefault="0093147E" w:rsidP="0093147E">
            <w:r w:rsidRPr="009D5E40">
              <w:t>observation générale n</w:t>
            </w:r>
            <w:r w:rsidRPr="00D62DFF">
              <w:rPr>
                <w:vertAlign w:val="superscript"/>
              </w:rPr>
              <w:t>o</w:t>
            </w:r>
            <w:r w:rsidRPr="009D5E40">
              <w:t xml:space="preserve"> 11 (2009) sur les enfants autochtones et leurs droits en vertu de la Convention</w:t>
            </w:r>
          </w:p>
        </w:tc>
        <w:tc>
          <w:tcPr>
            <w:tcW w:w="2121" w:type="dxa"/>
          </w:tcPr>
          <w:p w14:paraId="34526605" w14:textId="4D18F7E3" w:rsidR="0093147E" w:rsidRDefault="00785EC0" w:rsidP="0093147E">
            <w:r w:rsidRPr="00785EC0">
              <w:t>CRC/C/GC/1</w:t>
            </w:r>
            <w:r>
              <w:t>1</w:t>
            </w:r>
          </w:p>
        </w:tc>
      </w:tr>
      <w:tr w:rsidR="0093147E" w14:paraId="3F03DB53" w14:textId="77777777" w:rsidTr="006C46B1">
        <w:tc>
          <w:tcPr>
            <w:tcW w:w="421" w:type="dxa"/>
          </w:tcPr>
          <w:p w14:paraId="3B7BC794" w14:textId="6CD123A3" w:rsidR="0093147E" w:rsidRDefault="0093147E" w:rsidP="0093147E">
            <w:r w:rsidRPr="00F4701F">
              <w:rPr>
                <w:b/>
                <w:bCs/>
              </w:rPr>
              <w:t>12</w:t>
            </w:r>
          </w:p>
        </w:tc>
        <w:tc>
          <w:tcPr>
            <w:tcW w:w="7087" w:type="dxa"/>
          </w:tcPr>
          <w:p w14:paraId="05A33A20" w14:textId="6A84B3DD" w:rsidR="0093147E" w:rsidRDefault="0093147E" w:rsidP="0093147E">
            <w:r w:rsidRPr="00643E69">
              <w:t>observation générale n</w:t>
            </w:r>
            <w:r w:rsidRPr="00D62DFF">
              <w:rPr>
                <w:vertAlign w:val="superscript"/>
              </w:rPr>
              <w:t>o</w:t>
            </w:r>
            <w:r w:rsidRPr="00643E69">
              <w:t xml:space="preserve"> 12 (2009) sur le droit de l'enfant d'être entendu</w:t>
            </w:r>
          </w:p>
        </w:tc>
        <w:tc>
          <w:tcPr>
            <w:tcW w:w="2121" w:type="dxa"/>
          </w:tcPr>
          <w:p w14:paraId="61F99632" w14:textId="2FE8786F" w:rsidR="0093147E" w:rsidRDefault="00785EC0" w:rsidP="0093147E">
            <w:r w:rsidRPr="00785EC0">
              <w:t>CRC/C/GC/1</w:t>
            </w:r>
            <w:r>
              <w:t>2</w:t>
            </w:r>
          </w:p>
        </w:tc>
      </w:tr>
      <w:tr w:rsidR="0093147E" w14:paraId="4CCC27B6" w14:textId="77777777" w:rsidTr="006C46B1">
        <w:tc>
          <w:tcPr>
            <w:tcW w:w="421" w:type="dxa"/>
          </w:tcPr>
          <w:p w14:paraId="7B3F88E2" w14:textId="2E512219" w:rsidR="0093147E" w:rsidRDefault="0093147E" w:rsidP="0093147E">
            <w:r w:rsidRPr="00F4701F">
              <w:rPr>
                <w:b/>
                <w:bCs/>
              </w:rPr>
              <w:t>13</w:t>
            </w:r>
          </w:p>
        </w:tc>
        <w:tc>
          <w:tcPr>
            <w:tcW w:w="7087" w:type="dxa"/>
          </w:tcPr>
          <w:p w14:paraId="6A1CAEE5" w14:textId="49758A2E" w:rsidR="0093147E" w:rsidRDefault="0093147E" w:rsidP="0093147E">
            <w:r w:rsidRPr="001958DD">
              <w:t>observation générale n</w:t>
            </w:r>
            <w:r w:rsidRPr="00D62DFF">
              <w:rPr>
                <w:vertAlign w:val="superscript"/>
              </w:rPr>
              <w:t>o</w:t>
            </w:r>
            <w:r w:rsidRPr="001958DD">
              <w:t xml:space="preserve"> 13 (2011) sur le droit de l’enfant d’être protégé contre toutes les formes de violence</w:t>
            </w:r>
          </w:p>
        </w:tc>
        <w:tc>
          <w:tcPr>
            <w:tcW w:w="2121" w:type="dxa"/>
          </w:tcPr>
          <w:p w14:paraId="696E7004" w14:textId="1689B7E5" w:rsidR="0093147E" w:rsidRDefault="00785EC0" w:rsidP="0093147E">
            <w:r w:rsidRPr="00785EC0">
              <w:t>CRC/C/GC/1</w:t>
            </w:r>
            <w:r>
              <w:t>3</w:t>
            </w:r>
          </w:p>
        </w:tc>
      </w:tr>
      <w:tr w:rsidR="0093147E" w14:paraId="1321EEB4" w14:textId="77777777" w:rsidTr="006C46B1">
        <w:tc>
          <w:tcPr>
            <w:tcW w:w="421" w:type="dxa"/>
          </w:tcPr>
          <w:p w14:paraId="01AECE16" w14:textId="7995D28D" w:rsidR="0093147E" w:rsidRDefault="0093147E" w:rsidP="0093147E">
            <w:r w:rsidRPr="00F4701F">
              <w:rPr>
                <w:b/>
                <w:bCs/>
              </w:rPr>
              <w:t>14</w:t>
            </w:r>
          </w:p>
        </w:tc>
        <w:tc>
          <w:tcPr>
            <w:tcW w:w="7087" w:type="dxa"/>
          </w:tcPr>
          <w:p w14:paraId="0E5A0950" w14:textId="3D42DC21" w:rsidR="0093147E" w:rsidRDefault="0093147E" w:rsidP="0093147E">
            <w:r w:rsidRPr="00026063">
              <w:t>observation générale n</w:t>
            </w:r>
            <w:r w:rsidRPr="00D62DFF">
              <w:rPr>
                <w:vertAlign w:val="superscript"/>
              </w:rPr>
              <w:t>o</w:t>
            </w:r>
            <w:r w:rsidRPr="00026063">
              <w:t xml:space="preserve"> 14 (2013) sur le droit de l’enfant à ce que son intérêt supérieur soit une considération primordiale</w:t>
            </w:r>
          </w:p>
        </w:tc>
        <w:tc>
          <w:tcPr>
            <w:tcW w:w="2121" w:type="dxa"/>
          </w:tcPr>
          <w:p w14:paraId="2F240008" w14:textId="20275275" w:rsidR="0093147E" w:rsidRDefault="00785EC0" w:rsidP="0093147E">
            <w:r w:rsidRPr="00785EC0">
              <w:t>CRC/C/GC/1</w:t>
            </w:r>
            <w:r>
              <w:t>4</w:t>
            </w:r>
          </w:p>
        </w:tc>
      </w:tr>
      <w:tr w:rsidR="0093147E" w14:paraId="6FB034AA" w14:textId="77777777" w:rsidTr="006C46B1">
        <w:tc>
          <w:tcPr>
            <w:tcW w:w="421" w:type="dxa"/>
          </w:tcPr>
          <w:p w14:paraId="48DC8B05" w14:textId="03BB5147" w:rsidR="0093147E" w:rsidRDefault="0093147E" w:rsidP="0093147E">
            <w:r w:rsidRPr="00F4701F">
              <w:rPr>
                <w:b/>
                <w:bCs/>
              </w:rPr>
              <w:t>15</w:t>
            </w:r>
          </w:p>
        </w:tc>
        <w:tc>
          <w:tcPr>
            <w:tcW w:w="7087" w:type="dxa"/>
          </w:tcPr>
          <w:p w14:paraId="002EB3B0" w14:textId="4903BA86" w:rsidR="0093147E" w:rsidRDefault="0093147E" w:rsidP="0093147E">
            <w:r w:rsidRPr="0005290D">
              <w:t>observation générale n</w:t>
            </w:r>
            <w:r w:rsidRPr="00D62DFF">
              <w:rPr>
                <w:vertAlign w:val="superscript"/>
              </w:rPr>
              <w:t>o</w:t>
            </w:r>
            <w:r w:rsidRPr="0005290D">
              <w:t xml:space="preserve"> 15 (2013) sur le droit de l’enfant de jouir du meilleur état de santé possible</w:t>
            </w:r>
          </w:p>
        </w:tc>
        <w:tc>
          <w:tcPr>
            <w:tcW w:w="2121" w:type="dxa"/>
          </w:tcPr>
          <w:p w14:paraId="1AB01206" w14:textId="29CABFF0" w:rsidR="0093147E" w:rsidRDefault="00785EC0" w:rsidP="0093147E">
            <w:r w:rsidRPr="00785EC0">
              <w:t>CRC/C/GC/1</w:t>
            </w:r>
            <w:r>
              <w:t>5</w:t>
            </w:r>
          </w:p>
        </w:tc>
      </w:tr>
      <w:tr w:rsidR="0093147E" w14:paraId="0B13A8F9" w14:textId="77777777" w:rsidTr="006C46B1">
        <w:tc>
          <w:tcPr>
            <w:tcW w:w="421" w:type="dxa"/>
          </w:tcPr>
          <w:p w14:paraId="1EDB7EFF" w14:textId="4429D38E" w:rsidR="0093147E" w:rsidRDefault="0093147E" w:rsidP="0093147E">
            <w:r w:rsidRPr="00F4701F">
              <w:rPr>
                <w:b/>
                <w:bCs/>
              </w:rPr>
              <w:t>16</w:t>
            </w:r>
          </w:p>
        </w:tc>
        <w:tc>
          <w:tcPr>
            <w:tcW w:w="7087" w:type="dxa"/>
          </w:tcPr>
          <w:p w14:paraId="3E62A82E" w14:textId="2F178D08" w:rsidR="0093147E" w:rsidRDefault="0093147E" w:rsidP="0093147E">
            <w:r w:rsidRPr="003D1CAB">
              <w:t>observation générale n</w:t>
            </w:r>
            <w:r w:rsidRPr="00D62DFF">
              <w:rPr>
                <w:vertAlign w:val="superscript"/>
              </w:rPr>
              <w:t>o</w:t>
            </w:r>
            <w:r w:rsidRPr="003D1CAB">
              <w:t xml:space="preserve"> 16 (2013) sur les obligations des États concernant les incidences du secteur des entreprises sur les droits de l’enfant</w:t>
            </w:r>
          </w:p>
        </w:tc>
        <w:tc>
          <w:tcPr>
            <w:tcW w:w="2121" w:type="dxa"/>
          </w:tcPr>
          <w:p w14:paraId="69DAD469" w14:textId="7FB67C4B" w:rsidR="0093147E" w:rsidRDefault="00785EC0" w:rsidP="0093147E">
            <w:r w:rsidRPr="00785EC0">
              <w:t>CRC/C/GC/1</w:t>
            </w:r>
            <w:r>
              <w:t>6</w:t>
            </w:r>
          </w:p>
        </w:tc>
      </w:tr>
      <w:tr w:rsidR="0093147E" w14:paraId="1971AB3C" w14:textId="77777777" w:rsidTr="006C46B1">
        <w:tc>
          <w:tcPr>
            <w:tcW w:w="421" w:type="dxa"/>
          </w:tcPr>
          <w:p w14:paraId="75E7101C" w14:textId="13A5C25C" w:rsidR="0093147E" w:rsidRDefault="0093147E" w:rsidP="0093147E">
            <w:r w:rsidRPr="00F4701F">
              <w:rPr>
                <w:b/>
                <w:bCs/>
              </w:rPr>
              <w:t>17</w:t>
            </w:r>
          </w:p>
        </w:tc>
        <w:tc>
          <w:tcPr>
            <w:tcW w:w="7087" w:type="dxa"/>
          </w:tcPr>
          <w:p w14:paraId="76EE39DD" w14:textId="358A4A64" w:rsidR="0093147E" w:rsidRDefault="0093147E" w:rsidP="0093147E">
            <w:r w:rsidRPr="00153EAE">
              <w:t>observation générale n</w:t>
            </w:r>
            <w:r w:rsidRPr="00D62DFF">
              <w:rPr>
                <w:vertAlign w:val="superscript"/>
              </w:rPr>
              <w:t>o</w:t>
            </w:r>
            <w:r w:rsidRPr="00153EAE">
              <w:t xml:space="preserve"> 17 (2013) sur le droit de l’enfant au repos et aux loisirs, de se livrer au jeu et à des activités récréatives et de participer à la vie culturelle et artistique</w:t>
            </w:r>
          </w:p>
        </w:tc>
        <w:tc>
          <w:tcPr>
            <w:tcW w:w="2121" w:type="dxa"/>
          </w:tcPr>
          <w:p w14:paraId="2C2EC614" w14:textId="17148D89" w:rsidR="0093147E" w:rsidRDefault="002F5FA7" w:rsidP="0093147E">
            <w:r w:rsidRPr="002F5FA7">
              <w:t>CRC/C/GC/1</w:t>
            </w:r>
            <w:r>
              <w:t>7</w:t>
            </w:r>
          </w:p>
        </w:tc>
      </w:tr>
      <w:tr w:rsidR="0093147E" w:rsidRPr="007B0E17" w14:paraId="047AC37A" w14:textId="77777777" w:rsidTr="006C46B1">
        <w:tc>
          <w:tcPr>
            <w:tcW w:w="421" w:type="dxa"/>
          </w:tcPr>
          <w:p w14:paraId="78437A36" w14:textId="591DF9BE" w:rsidR="0093147E" w:rsidRDefault="0093147E" w:rsidP="0093147E">
            <w:r w:rsidRPr="00F4701F">
              <w:rPr>
                <w:b/>
                <w:bCs/>
              </w:rPr>
              <w:t>18</w:t>
            </w:r>
          </w:p>
        </w:tc>
        <w:tc>
          <w:tcPr>
            <w:tcW w:w="7087" w:type="dxa"/>
          </w:tcPr>
          <w:p w14:paraId="25FBF0C0" w14:textId="1554BA0B" w:rsidR="0093147E" w:rsidRDefault="0093147E" w:rsidP="0093147E">
            <w:r w:rsidRPr="009F7F09">
              <w:t>recommandation générale n</w:t>
            </w:r>
            <w:r w:rsidRPr="00D62DFF">
              <w:rPr>
                <w:vertAlign w:val="superscript"/>
              </w:rPr>
              <w:t>o</w:t>
            </w:r>
            <w:r w:rsidRPr="009F7F09">
              <w:t xml:space="preserve"> 31 du Comité pour l’élimination de la discrimination à l’égard des femmes et observation générale n</w:t>
            </w:r>
            <w:r w:rsidRPr="00D62DFF">
              <w:rPr>
                <w:vertAlign w:val="superscript"/>
              </w:rPr>
              <w:t>o</w:t>
            </w:r>
            <w:r w:rsidRPr="009F7F09">
              <w:t xml:space="preserve"> 18 du Comité des droits de l’enfant (2019) sur les pratiques préjudiciables, adoptées conjointement</w:t>
            </w:r>
          </w:p>
        </w:tc>
        <w:tc>
          <w:tcPr>
            <w:tcW w:w="2121" w:type="dxa"/>
          </w:tcPr>
          <w:p w14:paraId="4D4FABB3" w14:textId="554D2CF7" w:rsidR="0093147E" w:rsidRPr="006C46B1" w:rsidRDefault="00E912FC" w:rsidP="0093147E">
            <w:pPr>
              <w:rPr>
                <w:lang w:val="en-US"/>
              </w:rPr>
            </w:pPr>
            <w:r w:rsidRPr="006C46B1">
              <w:rPr>
                <w:lang w:val="en-US"/>
              </w:rPr>
              <w:t>CEDAW/C/GC/31/Rev.1-</w:t>
            </w:r>
            <w:r w:rsidR="00804BA4" w:rsidRPr="006C46B1">
              <w:rPr>
                <w:lang w:val="en-US"/>
              </w:rPr>
              <w:t>CRC/C/GC/18/Rev.1</w:t>
            </w:r>
          </w:p>
        </w:tc>
      </w:tr>
      <w:tr w:rsidR="0093147E" w14:paraId="04FFB77D" w14:textId="77777777" w:rsidTr="006C46B1">
        <w:tc>
          <w:tcPr>
            <w:tcW w:w="421" w:type="dxa"/>
          </w:tcPr>
          <w:p w14:paraId="5723045A" w14:textId="6E02E24F" w:rsidR="0093147E" w:rsidRDefault="0093147E" w:rsidP="0093147E">
            <w:r w:rsidRPr="00F4701F">
              <w:rPr>
                <w:b/>
                <w:bCs/>
              </w:rPr>
              <w:t>19</w:t>
            </w:r>
          </w:p>
        </w:tc>
        <w:tc>
          <w:tcPr>
            <w:tcW w:w="7087" w:type="dxa"/>
          </w:tcPr>
          <w:p w14:paraId="3495306D" w14:textId="6E71F80F" w:rsidR="0093147E" w:rsidRDefault="0093147E" w:rsidP="0093147E">
            <w:r w:rsidRPr="00E16A2D">
              <w:t>observation générale n</w:t>
            </w:r>
            <w:r w:rsidRPr="00D62DFF">
              <w:rPr>
                <w:vertAlign w:val="superscript"/>
              </w:rPr>
              <w:t>o</w:t>
            </w:r>
            <w:r w:rsidRPr="00E16A2D">
              <w:t xml:space="preserve"> 19 (2016) sur l’élaboration des budgets publics aux fins de la réalisation des droits de l’enfant</w:t>
            </w:r>
          </w:p>
        </w:tc>
        <w:tc>
          <w:tcPr>
            <w:tcW w:w="2121" w:type="dxa"/>
          </w:tcPr>
          <w:p w14:paraId="5A6F904D" w14:textId="6689F4F7" w:rsidR="0093147E" w:rsidRDefault="00C60F16" w:rsidP="0093147E">
            <w:r w:rsidRPr="00C60F16">
              <w:t>CRC/C/GC/</w:t>
            </w:r>
            <w:r>
              <w:t>19</w:t>
            </w:r>
          </w:p>
        </w:tc>
      </w:tr>
      <w:tr w:rsidR="0093147E" w14:paraId="3D380497" w14:textId="77777777" w:rsidTr="006C46B1">
        <w:tc>
          <w:tcPr>
            <w:tcW w:w="421" w:type="dxa"/>
          </w:tcPr>
          <w:p w14:paraId="45818E23" w14:textId="7FB0ED4D" w:rsidR="0093147E" w:rsidRDefault="0093147E" w:rsidP="0093147E">
            <w:r w:rsidRPr="00F4701F">
              <w:rPr>
                <w:b/>
                <w:bCs/>
              </w:rPr>
              <w:t>20</w:t>
            </w:r>
          </w:p>
        </w:tc>
        <w:tc>
          <w:tcPr>
            <w:tcW w:w="7087" w:type="dxa"/>
          </w:tcPr>
          <w:p w14:paraId="5E038FD4" w14:textId="25463CE7" w:rsidR="0093147E" w:rsidRDefault="0093147E" w:rsidP="0093147E">
            <w:r w:rsidRPr="00AF045E">
              <w:t>observation générale n</w:t>
            </w:r>
            <w:r w:rsidRPr="00D62DFF">
              <w:rPr>
                <w:vertAlign w:val="superscript"/>
              </w:rPr>
              <w:t>o</w:t>
            </w:r>
            <w:r w:rsidRPr="00AF045E">
              <w:t xml:space="preserve"> 20 (2016) sur la mise en œuvre des droits de l’enfant pendant l’adolescence</w:t>
            </w:r>
          </w:p>
        </w:tc>
        <w:tc>
          <w:tcPr>
            <w:tcW w:w="2121" w:type="dxa"/>
          </w:tcPr>
          <w:p w14:paraId="49B19899" w14:textId="2504A665" w:rsidR="0093147E" w:rsidRDefault="00C60F16" w:rsidP="0093147E">
            <w:r w:rsidRPr="00C60F16">
              <w:t>CRC/C/GC/2</w:t>
            </w:r>
            <w:r>
              <w:t>0</w:t>
            </w:r>
          </w:p>
        </w:tc>
      </w:tr>
      <w:tr w:rsidR="0093147E" w14:paraId="2FAA5655" w14:textId="77777777" w:rsidTr="006C46B1">
        <w:tc>
          <w:tcPr>
            <w:tcW w:w="421" w:type="dxa"/>
          </w:tcPr>
          <w:p w14:paraId="7CA34B7C" w14:textId="418CA5DF" w:rsidR="0093147E" w:rsidRDefault="0093147E" w:rsidP="0093147E">
            <w:r w:rsidRPr="00F4701F">
              <w:rPr>
                <w:b/>
                <w:bCs/>
              </w:rPr>
              <w:t>21</w:t>
            </w:r>
          </w:p>
        </w:tc>
        <w:tc>
          <w:tcPr>
            <w:tcW w:w="7087" w:type="dxa"/>
          </w:tcPr>
          <w:p w14:paraId="24ED5F21" w14:textId="129B41A9" w:rsidR="0093147E" w:rsidRDefault="0093147E" w:rsidP="0093147E">
            <w:r w:rsidRPr="000B0232">
              <w:t>observation générale n</w:t>
            </w:r>
            <w:r w:rsidRPr="00D62DFF">
              <w:rPr>
                <w:vertAlign w:val="superscript"/>
              </w:rPr>
              <w:t>o</w:t>
            </w:r>
            <w:r w:rsidRPr="000B0232">
              <w:t xml:space="preserve"> 21 (2017) sur les enfants en situation de rue</w:t>
            </w:r>
          </w:p>
        </w:tc>
        <w:tc>
          <w:tcPr>
            <w:tcW w:w="2121" w:type="dxa"/>
          </w:tcPr>
          <w:p w14:paraId="416736B3" w14:textId="09707731" w:rsidR="0093147E" w:rsidRDefault="00C60F16" w:rsidP="0093147E">
            <w:r w:rsidRPr="00C60F16">
              <w:t>CRC/C/GC/2</w:t>
            </w:r>
            <w:r>
              <w:t>1</w:t>
            </w:r>
          </w:p>
        </w:tc>
      </w:tr>
      <w:tr w:rsidR="0093147E" w:rsidRPr="007B0E17" w14:paraId="1F5B7766" w14:textId="77777777" w:rsidTr="006C46B1">
        <w:tc>
          <w:tcPr>
            <w:tcW w:w="421" w:type="dxa"/>
          </w:tcPr>
          <w:p w14:paraId="6C8BBC2D" w14:textId="4BC44270" w:rsidR="0093147E" w:rsidRDefault="0093147E" w:rsidP="0093147E">
            <w:r w:rsidRPr="00F4701F">
              <w:rPr>
                <w:b/>
                <w:bCs/>
              </w:rPr>
              <w:t>22</w:t>
            </w:r>
          </w:p>
        </w:tc>
        <w:tc>
          <w:tcPr>
            <w:tcW w:w="7087" w:type="dxa"/>
          </w:tcPr>
          <w:p w14:paraId="15868474" w14:textId="6932BEC4" w:rsidR="0093147E" w:rsidRDefault="0093147E" w:rsidP="0093147E">
            <w:r w:rsidRPr="005734C9">
              <w:t>observation générale conjointe n</w:t>
            </w:r>
            <w:r w:rsidRPr="00D62DFF">
              <w:rPr>
                <w:vertAlign w:val="superscript"/>
              </w:rPr>
              <w:t>o</w:t>
            </w:r>
            <w:r w:rsidRPr="005734C9">
              <w:t xml:space="preserve"> 3 du Comité pour la protection des droits de tous les travailleurs migrants et des membres de leur famille et n</w:t>
            </w:r>
            <w:r w:rsidRPr="00D62DFF">
              <w:rPr>
                <w:vertAlign w:val="superscript"/>
              </w:rPr>
              <w:t>o</w:t>
            </w:r>
            <w:r w:rsidRPr="005734C9">
              <w:t xml:space="preserve"> 22 du Comité des droits de l’enfant (2017) sur les principes généraux relatifs aux droits de l’homme des enfants dans le contexte des migrations internationales</w:t>
            </w:r>
          </w:p>
        </w:tc>
        <w:tc>
          <w:tcPr>
            <w:tcW w:w="2121" w:type="dxa"/>
          </w:tcPr>
          <w:p w14:paraId="649410F5" w14:textId="2967C327" w:rsidR="0093147E" w:rsidRPr="002F5FA7" w:rsidRDefault="00F81D73" w:rsidP="0093147E">
            <w:pPr>
              <w:rPr>
                <w:lang w:val="en-US"/>
              </w:rPr>
            </w:pPr>
            <w:r w:rsidRPr="002F5FA7">
              <w:rPr>
                <w:lang w:val="en-US"/>
              </w:rPr>
              <w:t>CMW/C/GC/3-</w:t>
            </w:r>
            <w:r w:rsidR="00CF27AF" w:rsidRPr="002F5FA7">
              <w:rPr>
                <w:lang w:val="en-US"/>
              </w:rPr>
              <w:t>CRC/C/GC/22</w:t>
            </w:r>
          </w:p>
        </w:tc>
      </w:tr>
      <w:tr w:rsidR="0093147E" w:rsidRPr="007B0E17" w14:paraId="1002811D" w14:textId="77777777" w:rsidTr="006C46B1">
        <w:tc>
          <w:tcPr>
            <w:tcW w:w="421" w:type="dxa"/>
          </w:tcPr>
          <w:p w14:paraId="137BE84B" w14:textId="4335A824" w:rsidR="0093147E" w:rsidRDefault="0093147E" w:rsidP="0093147E">
            <w:r w:rsidRPr="00F4701F">
              <w:rPr>
                <w:b/>
                <w:bCs/>
              </w:rPr>
              <w:t>23</w:t>
            </w:r>
          </w:p>
        </w:tc>
        <w:tc>
          <w:tcPr>
            <w:tcW w:w="7087" w:type="dxa"/>
          </w:tcPr>
          <w:p w14:paraId="0D058F90" w14:textId="5ACD6541" w:rsidR="0093147E" w:rsidRDefault="0093147E" w:rsidP="0093147E">
            <w:r w:rsidRPr="00117BFB">
              <w:t>observation générale conjointe n</w:t>
            </w:r>
            <w:r w:rsidRPr="00D62DFF">
              <w:rPr>
                <w:vertAlign w:val="superscript"/>
              </w:rPr>
              <w:t>o</w:t>
            </w:r>
            <w:r w:rsidRPr="00117BFB">
              <w:t xml:space="preserve"> 4 du Comité pour la protection des droits de tous les travailleurs migrants et des membres de leur famille et n</w:t>
            </w:r>
            <w:r w:rsidRPr="00D62DFF">
              <w:rPr>
                <w:vertAlign w:val="superscript"/>
              </w:rPr>
              <w:t>o</w:t>
            </w:r>
            <w:r w:rsidRPr="00117BFB">
              <w:t xml:space="preserve"> 23 du Comité des droits de l’enfant (2017) sur les obligations des États en matière de droits de l’homme des enfants dans le contexte des migrations internationales dans les pays d’origine, de transit, de destination et de retour</w:t>
            </w:r>
          </w:p>
        </w:tc>
        <w:tc>
          <w:tcPr>
            <w:tcW w:w="2121" w:type="dxa"/>
          </w:tcPr>
          <w:p w14:paraId="29612CDA" w14:textId="4F247EF9" w:rsidR="0093147E" w:rsidRPr="00F81D73" w:rsidRDefault="0091420C" w:rsidP="0093147E">
            <w:pPr>
              <w:rPr>
                <w:lang w:val="en-US"/>
              </w:rPr>
            </w:pPr>
            <w:r w:rsidRPr="00F81D73">
              <w:rPr>
                <w:lang w:val="en-US"/>
              </w:rPr>
              <w:t>CMW/</w:t>
            </w:r>
            <w:r w:rsidR="00F81D73">
              <w:rPr>
                <w:lang w:val="en-US"/>
              </w:rPr>
              <w:t>C</w:t>
            </w:r>
            <w:r w:rsidRPr="00F81D73">
              <w:rPr>
                <w:lang w:val="en-US"/>
              </w:rPr>
              <w:t>/GC/4-</w:t>
            </w:r>
            <w:r w:rsidR="00CF27AF" w:rsidRPr="00F81D73">
              <w:rPr>
                <w:lang w:val="en-US"/>
              </w:rPr>
              <w:t>CRC/C/GC/23</w:t>
            </w:r>
          </w:p>
        </w:tc>
      </w:tr>
      <w:tr w:rsidR="0093147E" w14:paraId="388B1D6A" w14:textId="77777777" w:rsidTr="006C46B1">
        <w:tc>
          <w:tcPr>
            <w:tcW w:w="421" w:type="dxa"/>
          </w:tcPr>
          <w:p w14:paraId="7F9BD7F7" w14:textId="7C8044AA" w:rsidR="0093147E" w:rsidRDefault="0093147E" w:rsidP="0093147E">
            <w:r w:rsidRPr="00F4701F">
              <w:rPr>
                <w:b/>
                <w:bCs/>
              </w:rPr>
              <w:lastRenderedPageBreak/>
              <w:t>24</w:t>
            </w:r>
          </w:p>
        </w:tc>
        <w:tc>
          <w:tcPr>
            <w:tcW w:w="7087" w:type="dxa"/>
          </w:tcPr>
          <w:p w14:paraId="220CEBD5" w14:textId="52E2CA99" w:rsidR="0093147E" w:rsidRDefault="0093147E" w:rsidP="0093147E">
            <w:r w:rsidRPr="00F36C2E">
              <w:t>observation générale n</w:t>
            </w:r>
            <w:r w:rsidRPr="00D62DFF">
              <w:rPr>
                <w:vertAlign w:val="superscript"/>
              </w:rPr>
              <w:t>o</w:t>
            </w:r>
            <w:r w:rsidRPr="00F36C2E">
              <w:t xml:space="preserve"> 24 (2019) sur les droits de l’enfant dans le système de justice pour enfants</w:t>
            </w:r>
          </w:p>
        </w:tc>
        <w:tc>
          <w:tcPr>
            <w:tcW w:w="2121" w:type="dxa"/>
          </w:tcPr>
          <w:p w14:paraId="64C018FA" w14:textId="79D218F0" w:rsidR="0093147E" w:rsidRDefault="00CF27AF" w:rsidP="0093147E">
            <w:r w:rsidRPr="00CF27AF">
              <w:t>CRC/C/GC/2</w:t>
            </w:r>
            <w:r>
              <w:t>4</w:t>
            </w:r>
          </w:p>
        </w:tc>
      </w:tr>
      <w:tr w:rsidR="0093147E" w14:paraId="27FB68F6" w14:textId="77777777" w:rsidTr="006C46B1">
        <w:tc>
          <w:tcPr>
            <w:tcW w:w="421" w:type="dxa"/>
          </w:tcPr>
          <w:p w14:paraId="493E6B38" w14:textId="5FD73AEC" w:rsidR="0093147E" w:rsidRDefault="0093147E" w:rsidP="0093147E">
            <w:r>
              <w:rPr>
                <w:b/>
                <w:bCs/>
              </w:rPr>
              <w:t>25</w:t>
            </w:r>
          </w:p>
        </w:tc>
        <w:tc>
          <w:tcPr>
            <w:tcW w:w="7087" w:type="dxa"/>
          </w:tcPr>
          <w:p w14:paraId="75AAB247" w14:textId="61833E79" w:rsidR="0093147E" w:rsidRDefault="0093147E" w:rsidP="0093147E">
            <w:r w:rsidRPr="00F6727A">
              <w:t xml:space="preserve">observation générale </w:t>
            </w:r>
            <w:r>
              <w:t>n</w:t>
            </w:r>
            <w:r w:rsidRPr="00F6727A">
              <w:rPr>
                <w:vertAlign w:val="superscript"/>
              </w:rPr>
              <w:t>o</w:t>
            </w:r>
            <w:r>
              <w:t xml:space="preserve"> 25</w:t>
            </w:r>
            <w:r w:rsidRPr="00F6727A">
              <w:t xml:space="preserve"> (20</w:t>
            </w:r>
            <w:r>
              <w:t>21</w:t>
            </w:r>
            <w:r w:rsidRPr="00F6727A">
              <w:t xml:space="preserve">) </w:t>
            </w:r>
            <w:r>
              <w:t>sur les droits de l’enfant en relation avec l’environnement numérique</w:t>
            </w:r>
          </w:p>
        </w:tc>
        <w:tc>
          <w:tcPr>
            <w:tcW w:w="2121" w:type="dxa"/>
          </w:tcPr>
          <w:p w14:paraId="30863712" w14:textId="0FB291F4" w:rsidR="0093147E" w:rsidRDefault="00CD484B" w:rsidP="0093147E">
            <w:r w:rsidRPr="00CD484B">
              <w:t>CRC/C/GC/25</w:t>
            </w:r>
          </w:p>
        </w:tc>
      </w:tr>
    </w:tbl>
    <w:p w14:paraId="03C2689C" w14:textId="2CDFFE0D" w:rsidR="0085797A" w:rsidRDefault="0085797A" w:rsidP="002C7624"/>
    <w:sectPr w:rsidR="0085797A" w:rsidSect="00B12372">
      <w:headerReference w:type="default" r:id="rId7"/>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86F4" w14:textId="77777777" w:rsidR="00B501FD" w:rsidRPr="00927979" w:rsidRDefault="00B501FD" w:rsidP="00927979">
      <w:pPr>
        <w:pStyle w:val="Pieddepage"/>
      </w:pPr>
    </w:p>
  </w:endnote>
  <w:endnote w:type="continuationSeparator" w:id="0">
    <w:p w14:paraId="27539BFF" w14:textId="77777777" w:rsidR="00B501FD" w:rsidRPr="00927979" w:rsidRDefault="00B501FD" w:rsidP="00927979">
      <w:pPr>
        <w:pStyle w:val="Pieddepage"/>
      </w:pPr>
    </w:p>
  </w:endnote>
  <w:endnote w:type="continuationNotice" w:id="1">
    <w:p w14:paraId="4B59F3F5" w14:textId="77777777" w:rsidR="00B501FD" w:rsidRPr="00927979" w:rsidRDefault="00B501F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6A29" w14:textId="77777777" w:rsidR="00B501FD" w:rsidRPr="00927979" w:rsidRDefault="00B501FD" w:rsidP="00927979">
      <w:pPr>
        <w:pStyle w:val="Pieddepage"/>
        <w:tabs>
          <w:tab w:val="right" w:pos="2155"/>
        </w:tabs>
        <w:spacing w:after="80" w:line="240" w:lineRule="atLeast"/>
        <w:ind w:left="680"/>
        <w:rPr>
          <w:u w:val="single"/>
        </w:rPr>
      </w:pPr>
      <w:r w:rsidRPr="00927979">
        <w:rPr>
          <w:u w:val="single"/>
        </w:rPr>
        <w:tab/>
      </w:r>
    </w:p>
  </w:footnote>
  <w:footnote w:type="continuationSeparator" w:id="0">
    <w:p w14:paraId="440203F5" w14:textId="77777777" w:rsidR="00B501FD" w:rsidRPr="00927979" w:rsidRDefault="00B501FD" w:rsidP="00927979">
      <w:pPr>
        <w:pStyle w:val="Pieddepage"/>
        <w:tabs>
          <w:tab w:val="right" w:pos="2155"/>
        </w:tabs>
        <w:spacing w:after="80" w:line="240" w:lineRule="atLeast"/>
        <w:ind w:left="680"/>
        <w:rPr>
          <w:u w:val="single"/>
        </w:rPr>
      </w:pPr>
      <w:r>
        <w:rPr>
          <w:u w:val="single"/>
        </w:rPr>
        <w:tab/>
      </w:r>
    </w:p>
  </w:footnote>
  <w:footnote w:type="continuationNotice" w:id="1">
    <w:p w14:paraId="7693588D" w14:textId="77777777" w:rsidR="00B501FD" w:rsidRPr="00927979" w:rsidRDefault="00B501F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F78A" w14:textId="77777777" w:rsidR="008A38C1" w:rsidRPr="008A38C1" w:rsidRDefault="008A38C1">
    <w:pPr>
      <w:pStyle w:val="En-tte"/>
      <w:rPr>
        <w:sz w:val="22"/>
        <w:szCs w:val="22"/>
      </w:rPr>
    </w:pPr>
    <w:r w:rsidRPr="008A38C1">
      <w:rPr>
        <w:sz w:val="22"/>
        <w:szCs w:val="22"/>
      </w:rPr>
      <w:t>CRC - Titres des observations générales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71076842">
    <w:abstractNumId w:val="4"/>
  </w:num>
  <w:num w:numId="2" w16cid:durableId="563106478">
    <w:abstractNumId w:val="2"/>
  </w:num>
  <w:num w:numId="3" w16cid:durableId="639113087">
    <w:abstractNumId w:val="1"/>
  </w:num>
  <w:num w:numId="4" w16cid:durableId="295765084">
    <w:abstractNumId w:val="6"/>
  </w:num>
  <w:num w:numId="5" w16cid:durableId="265429666">
    <w:abstractNumId w:val="5"/>
  </w:num>
  <w:num w:numId="6" w16cid:durableId="368724928">
    <w:abstractNumId w:val="3"/>
  </w:num>
  <w:num w:numId="7" w16cid:durableId="286861452">
    <w:abstractNumId w:val="5"/>
  </w:num>
  <w:num w:numId="8" w16cid:durableId="456879130">
    <w:abstractNumId w:val="3"/>
  </w:num>
  <w:num w:numId="9" w16cid:durableId="1290283903">
    <w:abstractNumId w:val="0"/>
  </w:num>
  <w:num w:numId="10" w16cid:durableId="1597056450">
    <w:abstractNumId w:val="5"/>
  </w:num>
  <w:num w:numId="11" w16cid:durableId="395058227">
    <w:abstractNumId w:val="3"/>
  </w:num>
  <w:num w:numId="12" w16cid:durableId="16743388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activeWritingStyle w:appName="MSWord" w:lang="fr-CH" w:vendorID="64" w:dllVersion="6" w:nlCheck="1" w:checkStyle="1"/>
  <w:activeWritingStyle w:appName="MSWord" w:lang="fr-FR" w:vendorID="64" w:dllVersion="0" w:nlCheck="1" w:checkStyle="0"/>
  <w:activeWritingStyle w:appName="MSWord" w:lang="fr-FR" w:vendorID="64" w:dllVersion="6" w:nlCheck="1" w:checkStyle="1"/>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A7"/>
    <w:rsid w:val="00021B5E"/>
    <w:rsid w:val="00023B43"/>
    <w:rsid w:val="00026063"/>
    <w:rsid w:val="000419F9"/>
    <w:rsid w:val="00042311"/>
    <w:rsid w:val="00052100"/>
    <w:rsid w:val="0005290D"/>
    <w:rsid w:val="00063F96"/>
    <w:rsid w:val="000672C4"/>
    <w:rsid w:val="000770C9"/>
    <w:rsid w:val="00092D7C"/>
    <w:rsid w:val="00097564"/>
    <w:rsid w:val="000A2CBC"/>
    <w:rsid w:val="000B0232"/>
    <w:rsid w:val="000D1503"/>
    <w:rsid w:val="000E2056"/>
    <w:rsid w:val="00115561"/>
    <w:rsid w:val="00117BFB"/>
    <w:rsid w:val="00151061"/>
    <w:rsid w:val="00153EAE"/>
    <w:rsid w:val="00184CE7"/>
    <w:rsid w:val="001958DD"/>
    <w:rsid w:val="001A0959"/>
    <w:rsid w:val="001A302F"/>
    <w:rsid w:val="001B5375"/>
    <w:rsid w:val="001E1154"/>
    <w:rsid w:val="001F36AB"/>
    <w:rsid w:val="002509A0"/>
    <w:rsid w:val="0027216F"/>
    <w:rsid w:val="00275C59"/>
    <w:rsid w:val="00282EC6"/>
    <w:rsid w:val="002843A7"/>
    <w:rsid w:val="002948E5"/>
    <w:rsid w:val="002B6C99"/>
    <w:rsid w:val="002B72A5"/>
    <w:rsid w:val="002C4A37"/>
    <w:rsid w:val="002C7624"/>
    <w:rsid w:val="002E09B5"/>
    <w:rsid w:val="002F2A3C"/>
    <w:rsid w:val="002F5889"/>
    <w:rsid w:val="002F5FA7"/>
    <w:rsid w:val="002F7E91"/>
    <w:rsid w:val="00323A01"/>
    <w:rsid w:val="003301D2"/>
    <w:rsid w:val="00345FEA"/>
    <w:rsid w:val="003539CE"/>
    <w:rsid w:val="00360972"/>
    <w:rsid w:val="00385CA8"/>
    <w:rsid w:val="0038728C"/>
    <w:rsid w:val="003A701C"/>
    <w:rsid w:val="003B1C9D"/>
    <w:rsid w:val="003D1CAB"/>
    <w:rsid w:val="00426552"/>
    <w:rsid w:val="0043260C"/>
    <w:rsid w:val="004341FD"/>
    <w:rsid w:val="00434AE0"/>
    <w:rsid w:val="00455683"/>
    <w:rsid w:val="0045799B"/>
    <w:rsid w:val="004617B9"/>
    <w:rsid w:val="00466DB9"/>
    <w:rsid w:val="004928C1"/>
    <w:rsid w:val="00496A01"/>
    <w:rsid w:val="004A3DD6"/>
    <w:rsid w:val="004A4BC6"/>
    <w:rsid w:val="004D7BDB"/>
    <w:rsid w:val="004E6911"/>
    <w:rsid w:val="0050022F"/>
    <w:rsid w:val="005222DC"/>
    <w:rsid w:val="00550A7B"/>
    <w:rsid w:val="0055668A"/>
    <w:rsid w:val="005734C9"/>
    <w:rsid w:val="00575A13"/>
    <w:rsid w:val="005A4A6A"/>
    <w:rsid w:val="005B2DFC"/>
    <w:rsid w:val="005B5D82"/>
    <w:rsid w:val="005C2536"/>
    <w:rsid w:val="005E4508"/>
    <w:rsid w:val="006135C2"/>
    <w:rsid w:val="00616FE9"/>
    <w:rsid w:val="00643E69"/>
    <w:rsid w:val="006528E0"/>
    <w:rsid w:val="00682AA0"/>
    <w:rsid w:val="006851D6"/>
    <w:rsid w:val="006A1CEB"/>
    <w:rsid w:val="006B0EE1"/>
    <w:rsid w:val="006B6852"/>
    <w:rsid w:val="006C153B"/>
    <w:rsid w:val="006C326B"/>
    <w:rsid w:val="006C46B1"/>
    <w:rsid w:val="006E28EA"/>
    <w:rsid w:val="00724D51"/>
    <w:rsid w:val="00755E2A"/>
    <w:rsid w:val="0078246B"/>
    <w:rsid w:val="00785EC0"/>
    <w:rsid w:val="007A72B4"/>
    <w:rsid w:val="007B0E17"/>
    <w:rsid w:val="007C6B13"/>
    <w:rsid w:val="007E6C7F"/>
    <w:rsid w:val="00804BA4"/>
    <w:rsid w:val="00807E38"/>
    <w:rsid w:val="0081043A"/>
    <w:rsid w:val="0081677C"/>
    <w:rsid w:val="0085150D"/>
    <w:rsid w:val="0085797A"/>
    <w:rsid w:val="00872593"/>
    <w:rsid w:val="00890872"/>
    <w:rsid w:val="008A322F"/>
    <w:rsid w:val="008A3263"/>
    <w:rsid w:val="008A38C1"/>
    <w:rsid w:val="008A5111"/>
    <w:rsid w:val="008C3A77"/>
    <w:rsid w:val="008F71AF"/>
    <w:rsid w:val="0091420C"/>
    <w:rsid w:val="00927979"/>
    <w:rsid w:val="0093147E"/>
    <w:rsid w:val="00941536"/>
    <w:rsid w:val="0095523E"/>
    <w:rsid w:val="00970E84"/>
    <w:rsid w:val="00973FAE"/>
    <w:rsid w:val="00976DFC"/>
    <w:rsid w:val="009B0328"/>
    <w:rsid w:val="009B7CC1"/>
    <w:rsid w:val="009B7F5F"/>
    <w:rsid w:val="009C6861"/>
    <w:rsid w:val="009D3700"/>
    <w:rsid w:val="009D5E40"/>
    <w:rsid w:val="009E5394"/>
    <w:rsid w:val="009F7F09"/>
    <w:rsid w:val="00A00910"/>
    <w:rsid w:val="00A00E4B"/>
    <w:rsid w:val="00A16017"/>
    <w:rsid w:val="00A201F2"/>
    <w:rsid w:val="00A32522"/>
    <w:rsid w:val="00A478BB"/>
    <w:rsid w:val="00A53843"/>
    <w:rsid w:val="00A5540C"/>
    <w:rsid w:val="00A66881"/>
    <w:rsid w:val="00A762BE"/>
    <w:rsid w:val="00AA4364"/>
    <w:rsid w:val="00AF045E"/>
    <w:rsid w:val="00AF3B64"/>
    <w:rsid w:val="00B047A7"/>
    <w:rsid w:val="00B12372"/>
    <w:rsid w:val="00B12757"/>
    <w:rsid w:val="00B23BF1"/>
    <w:rsid w:val="00B309B1"/>
    <w:rsid w:val="00B375F3"/>
    <w:rsid w:val="00B473E7"/>
    <w:rsid w:val="00B501FD"/>
    <w:rsid w:val="00B66453"/>
    <w:rsid w:val="00B67E1E"/>
    <w:rsid w:val="00B734B0"/>
    <w:rsid w:val="00B93053"/>
    <w:rsid w:val="00BB76B1"/>
    <w:rsid w:val="00BC7631"/>
    <w:rsid w:val="00BD41C1"/>
    <w:rsid w:val="00BF4D45"/>
    <w:rsid w:val="00C126C2"/>
    <w:rsid w:val="00C232DF"/>
    <w:rsid w:val="00C33B5F"/>
    <w:rsid w:val="00C60F16"/>
    <w:rsid w:val="00C61915"/>
    <w:rsid w:val="00C656A4"/>
    <w:rsid w:val="00C73D04"/>
    <w:rsid w:val="00C75821"/>
    <w:rsid w:val="00C85BB7"/>
    <w:rsid w:val="00C9345A"/>
    <w:rsid w:val="00CB181D"/>
    <w:rsid w:val="00CB42D0"/>
    <w:rsid w:val="00CD484B"/>
    <w:rsid w:val="00CD5628"/>
    <w:rsid w:val="00CD6DF1"/>
    <w:rsid w:val="00CE1525"/>
    <w:rsid w:val="00CF27AF"/>
    <w:rsid w:val="00D034A8"/>
    <w:rsid w:val="00D03E52"/>
    <w:rsid w:val="00D43E93"/>
    <w:rsid w:val="00D478D1"/>
    <w:rsid w:val="00D51BBF"/>
    <w:rsid w:val="00D55762"/>
    <w:rsid w:val="00D62DFF"/>
    <w:rsid w:val="00D85AD4"/>
    <w:rsid w:val="00D90E6A"/>
    <w:rsid w:val="00DA3243"/>
    <w:rsid w:val="00DF5D16"/>
    <w:rsid w:val="00E16A2D"/>
    <w:rsid w:val="00E1768E"/>
    <w:rsid w:val="00E57748"/>
    <w:rsid w:val="00E66241"/>
    <w:rsid w:val="00E66E56"/>
    <w:rsid w:val="00E73008"/>
    <w:rsid w:val="00E812EF"/>
    <w:rsid w:val="00E862D7"/>
    <w:rsid w:val="00E912FC"/>
    <w:rsid w:val="00F20DCD"/>
    <w:rsid w:val="00F268B8"/>
    <w:rsid w:val="00F27761"/>
    <w:rsid w:val="00F3660C"/>
    <w:rsid w:val="00F36C2E"/>
    <w:rsid w:val="00F4701F"/>
    <w:rsid w:val="00F546B2"/>
    <w:rsid w:val="00F5778E"/>
    <w:rsid w:val="00F6508F"/>
    <w:rsid w:val="00F6727A"/>
    <w:rsid w:val="00F74737"/>
    <w:rsid w:val="00F81D73"/>
    <w:rsid w:val="00F81F99"/>
    <w:rsid w:val="00F841D8"/>
    <w:rsid w:val="00F94129"/>
    <w:rsid w:val="00FA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3FBF73B"/>
  <w15:docId w15:val="{CF4DB111-E175-40F1-BD75-C2DC221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7A7"/>
    <w:pPr>
      <w:suppressAutoHyphens/>
      <w:kinsoku w:val="0"/>
      <w:overflowPunct w:val="0"/>
      <w:autoSpaceDE w:val="0"/>
      <w:autoSpaceDN w:val="0"/>
      <w:adjustRightInd w:val="0"/>
      <w:snapToGrid w:val="0"/>
      <w:spacing w:line="240" w:lineRule="atLeast"/>
    </w:pPr>
    <w:rPr>
      <w:lang w:val="fr-FR"/>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600</Words>
  <Characters>3424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Claudie Bourhis</dc:creator>
  <cp:keywords/>
  <dc:description/>
  <cp:lastModifiedBy>Claudie Bourhis</cp:lastModifiedBy>
  <cp:revision>42</cp:revision>
  <cp:lastPrinted>2014-05-15T08:26:00Z</cp:lastPrinted>
  <dcterms:created xsi:type="dcterms:W3CDTF">2023-04-17T12:32:00Z</dcterms:created>
  <dcterms:modified xsi:type="dcterms:W3CDTF">2023-12-06T10:42:00Z</dcterms:modified>
</cp:coreProperties>
</file>