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92B1D" w:rsidRPr="00DB58B5" w14:paraId="58243DED" w14:textId="77777777" w:rsidTr="004C4D99">
        <w:trPr>
          <w:trHeight w:hRule="exact" w:val="851"/>
        </w:trPr>
        <w:tc>
          <w:tcPr>
            <w:tcW w:w="1276" w:type="dxa"/>
            <w:tcBorders>
              <w:bottom w:val="single" w:sz="4" w:space="0" w:color="auto"/>
            </w:tcBorders>
          </w:tcPr>
          <w:p w14:paraId="39B75FB1" w14:textId="77777777" w:rsidR="00392B1D" w:rsidRPr="00DB58B5" w:rsidRDefault="00392B1D" w:rsidP="00D47515"/>
        </w:tc>
        <w:tc>
          <w:tcPr>
            <w:tcW w:w="2268" w:type="dxa"/>
            <w:tcBorders>
              <w:bottom w:val="single" w:sz="4" w:space="0" w:color="auto"/>
            </w:tcBorders>
            <w:vAlign w:val="bottom"/>
          </w:tcPr>
          <w:p w14:paraId="4ADEECE1" w14:textId="77777777" w:rsidR="00392B1D" w:rsidRPr="00DB58B5" w:rsidRDefault="00392B1D" w:rsidP="004C4D9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5325CF0" w14:textId="5446282D" w:rsidR="00392B1D" w:rsidRPr="00DB58B5" w:rsidRDefault="00D47515" w:rsidP="00D47515">
            <w:pPr>
              <w:jc w:val="right"/>
            </w:pPr>
            <w:r w:rsidRPr="00D47515">
              <w:rPr>
                <w:sz w:val="40"/>
              </w:rPr>
              <w:t>CED</w:t>
            </w:r>
            <w:r>
              <w:t>/C/GC/1</w:t>
            </w:r>
          </w:p>
        </w:tc>
      </w:tr>
      <w:tr w:rsidR="00392B1D" w:rsidRPr="00DB58B5" w14:paraId="46621658" w14:textId="77777777" w:rsidTr="004C4D99">
        <w:trPr>
          <w:trHeight w:hRule="exact" w:val="2835"/>
        </w:trPr>
        <w:tc>
          <w:tcPr>
            <w:tcW w:w="1276" w:type="dxa"/>
            <w:tcBorders>
              <w:top w:val="single" w:sz="4" w:space="0" w:color="auto"/>
              <w:bottom w:val="single" w:sz="12" w:space="0" w:color="auto"/>
            </w:tcBorders>
          </w:tcPr>
          <w:p w14:paraId="016885AB" w14:textId="77777777" w:rsidR="00392B1D" w:rsidRPr="00DB58B5" w:rsidRDefault="00392B1D" w:rsidP="004C4D99">
            <w:pPr>
              <w:spacing w:before="120"/>
              <w:jc w:val="center"/>
            </w:pPr>
            <w:r>
              <w:rPr>
                <w:noProof/>
                <w:lang w:eastAsia="fr-CH"/>
              </w:rPr>
              <w:drawing>
                <wp:inline distT="0" distB="0" distL="0" distR="0" wp14:anchorId="253B1A40" wp14:editId="676AC1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1DC990F" w14:textId="77777777" w:rsidR="00392B1D" w:rsidRPr="00740562" w:rsidRDefault="00392B1D" w:rsidP="004C4D99">
            <w:pPr>
              <w:spacing w:before="120" w:line="380" w:lineRule="exact"/>
              <w:rPr>
                <w:b/>
                <w:sz w:val="40"/>
                <w:szCs w:val="40"/>
              </w:rPr>
            </w:pPr>
            <w:r w:rsidRPr="0027083C">
              <w:rPr>
                <w:b/>
                <w:sz w:val="34"/>
                <w:szCs w:val="34"/>
              </w:rPr>
              <w:t xml:space="preserve">Convention </w:t>
            </w:r>
            <w:r>
              <w:rPr>
                <w:b/>
                <w:sz w:val="34"/>
                <w:szCs w:val="34"/>
              </w:rPr>
              <w:t>internationale pour la protection de toutes les personnes contre les disparitions forcées</w:t>
            </w:r>
          </w:p>
        </w:tc>
        <w:tc>
          <w:tcPr>
            <w:tcW w:w="2835" w:type="dxa"/>
            <w:tcBorders>
              <w:top w:val="single" w:sz="4" w:space="0" w:color="auto"/>
              <w:bottom w:val="single" w:sz="12" w:space="0" w:color="auto"/>
            </w:tcBorders>
          </w:tcPr>
          <w:p w14:paraId="647893B0" w14:textId="77777777" w:rsidR="00392B1D" w:rsidRDefault="00D47515" w:rsidP="004C4D99">
            <w:pPr>
              <w:spacing w:before="240"/>
            </w:pPr>
            <w:proofErr w:type="spellStart"/>
            <w:r>
              <w:t>Distr</w:t>
            </w:r>
            <w:proofErr w:type="spellEnd"/>
            <w:r>
              <w:t>. générale</w:t>
            </w:r>
          </w:p>
          <w:p w14:paraId="637956F2" w14:textId="77777777" w:rsidR="00D47515" w:rsidRDefault="00D47515" w:rsidP="00D47515">
            <w:pPr>
              <w:spacing w:line="240" w:lineRule="exact"/>
            </w:pPr>
            <w:r>
              <w:t>26 octobre 2023</w:t>
            </w:r>
          </w:p>
          <w:p w14:paraId="517916B2" w14:textId="77777777" w:rsidR="00D47515" w:rsidRDefault="00D47515" w:rsidP="00D47515">
            <w:pPr>
              <w:spacing w:line="240" w:lineRule="exact"/>
            </w:pPr>
            <w:r>
              <w:t>Français</w:t>
            </w:r>
          </w:p>
          <w:p w14:paraId="26E8A72C" w14:textId="1F4B280B" w:rsidR="00D47515" w:rsidRPr="00DB58B5" w:rsidRDefault="00D47515" w:rsidP="00D47515">
            <w:pPr>
              <w:spacing w:line="240" w:lineRule="exact"/>
            </w:pPr>
            <w:r>
              <w:t>Original : anglais</w:t>
            </w:r>
          </w:p>
        </w:tc>
      </w:tr>
    </w:tbl>
    <w:p w14:paraId="3BFFF783" w14:textId="77777777" w:rsidR="00392B1D" w:rsidRPr="00D55CFF" w:rsidRDefault="00392B1D" w:rsidP="00392B1D">
      <w:pPr>
        <w:spacing w:before="120"/>
        <w:rPr>
          <w:b/>
          <w:sz w:val="24"/>
          <w:szCs w:val="24"/>
        </w:rPr>
      </w:pPr>
      <w:r w:rsidRPr="00D55CFF">
        <w:rPr>
          <w:b/>
          <w:sz w:val="24"/>
          <w:szCs w:val="24"/>
        </w:rPr>
        <w:t>Comité des disparitions forcées</w:t>
      </w:r>
    </w:p>
    <w:p w14:paraId="12AAA158" w14:textId="493D935E" w:rsidR="00DC22DE" w:rsidRDefault="00DC22DE" w:rsidP="00DC22DE">
      <w:pPr>
        <w:pStyle w:val="HChG"/>
        <w:rPr>
          <w:lang w:val="fr-FR"/>
        </w:rPr>
      </w:pPr>
      <w:r>
        <w:rPr>
          <w:lang w:val="fr-FR"/>
        </w:rPr>
        <w:tab/>
      </w:r>
      <w:r>
        <w:rPr>
          <w:lang w:val="fr-FR"/>
        </w:rPr>
        <w:tab/>
        <w:t>Observation générale n</w:t>
      </w:r>
      <w:r>
        <w:rPr>
          <w:vertAlign w:val="superscript"/>
          <w:lang w:val="fr-FR"/>
        </w:rPr>
        <w:t>o</w:t>
      </w:r>
      <w:r>
        <w:rPr>
          <w:lang w:val="fr-FR"/>
        </w:rPr>
        <w:t xml:space="preserve"> 1 (2023) sur les disparitions forcées </w:t>
      </w:r>
      <w:r>
        <w:rPr>
          <w:lang w:val="fr-FR"/>
        </w:rPr>
        <w:br/>
        <w:t>dans le contexte des migrations</w:t>
      </w:r>
      <w:r w:rsidRPr="00DC22DE">
        <w:rPr>
          <w:rStyle w:val="Appelnotedebasdep"/>
          <w:b w:val="0"/>
          <w:bCs/>
          <w:sz w:val="20"/>
          <w:vertAlign w:val="baseline"/>
        </w:rPr>
        <w:footnoteReference w:customMarkFollows="1" w:id="2"/>
        <w:t>*</w:t>
      </w:r>
    </w:p>
    <w:p w14:paraId="36FC768D" w14:textId="77777777" w:rsidR="00DC22DE" w:rsidRDefault="00DC22DE" w:rsidP="00DC22DE">
      <w:pPr>
        <w:pStyle w:val="HChG"/>
        <w:rPr>
          <w:lang w:val="fr-FR"/>
        </w:rPr>
      </w:pPr>
      <w:bookmarkStart w:id="0" w:name="_Toc127804273"/>
      <w:bookmarkStart w:id="1" w:name="_Toc129893183"/>
      <w:bookmarkStart w:id="2" w:name="_Toc130394609"/>
      <w:r>
        <w:rPr>
          <w:lang w:val="fr-FR"/>
        </w:rPr>
        <w:tab/>
        <w:t>I</w:t>
      </w:r>
      <w:r w:rsidRPr="00C82A45">
        <w:rPr>
          <w:lang w:val="fr-FR"/>
        </w:rPr>
        <w:t>.</w:t>
      </w:r>
      <w:r>
        <w:rPr>
          <w:lang w:val="fr-FR"/>
        </w:rPr>
        <w:tab/>
        <w:t>Introduction</w:t>
      </w:r>
      <w:bookmarkEnd w:id="0"/>
      <w:bookmarkEnd w:id="1"/>
      <w:bookmarkEnd w:id="2"/>
    </w:p>
    <w:p w14:paraId="0E5CC0F0" w14:textId="77777777" w:rsidR="00DC22DE" w:rsidRDefault="00DC22DE" w:rsidP="00DC22DE">
      <w:pPr>
        <w:pStyle w:val="SingleTxtG"/>
        <w:rPr>
          <w:lang w:val="fr-FR"/>
        </w:rPr>
      </w:pPr>
      <w:r>
        <w:rPr>
          <w:lang w:val="fr-FR"/>
        </w:rPr>
        <w:t>1</w:t>
      </w:r>
      <w:r w:rsidRPr="00C82A45">
        <w:rPr>
          <w:lang w:val="fr-FR"/>
        </w:rPr>
        <w:t>.</w:t>
      </w:r>
      <w:r>
        <w:rPr>
          <w:lang w:val="fr-FR"/>
        </w:rPr>
        <w:tab/>
        <w:t>Aux fins de la présente observation générale, le terme « migrants » s’entend des personnes qui quittent leur lieu de résidence habituelle pour s’établir à titre temporaire ou permanent et pour diverses raisons, soit dans une autre région à l’intérieur d’un même pays, soit dans un autre pays, franchissant ainsi une frontière internationale</w:t>
      </w:r>
      <w:r w:rsidRPr="00EA7479">
        <w:rPr>
          <w:rStyle w:val="Appelnotedebasdep"/>
        </w:rPr>
        <w:footnoteReference w:id="3"/>
      </w:r>
      <w:r w:rsidRPr="00C82A45">
        <w:rPr>
          <w:lang w:val="fr-FR"/>
        </w:rPr>
        <w:t>.</w:t>
      </w:r>
      <w:r>
        <w:rPr>
          <w:lang w:val="fr-FR"/>
        </w:rPr>
        <w:t xml:space="preserve"> Le regroupement familial, la volonté de s’éloigner d’un conflit armé international ou non international, les persécutions, la discrimination, les catastrophes naturelles, la dégradation de l’environnement, les effets des changements climatiques, les situations économiques difficiles ou les taux de criminalité élevés sont autant de motifs de migration</w:t>
      </w:r>
      <w:r w:rsidRPr="00C82A45">
        <w:rPr>
          <w:lang w:val="fr-FR"/>
        </w:rPr>
        <w:t>.</w:t>
      </w:r>
      <w:r>
        <w:rPr>
          <w:lang w:val="fr-FR"/>
        </w:rPr>
        <w:t xml:space="preserve"> Le nombre de migrants dans le monde reste élevé</w:t>
      </w:r>
      <w:r w:rsidRPr="00EA7479">
        <w:rPr>
          <w:rStyle w:val="Appelnotedebasdep"/>
        </w:rPr>
        <w:footnoteReference w:id="4"/>
      </w:r>
      <w:r w:rsidRPr="00C82A45">
        <w:rPr>
          <w:lang w:val="fr-FR"/>
        </w:rPr>
        <w:t>.</w:t>
      </w:r>
      <w:r>
        <w:rPr>
          <w:lang w:val="fr-FR"/>
        </w:rPr>
        <w:t xml:space="preserve"> </w:t>
      </w:r>
    </w:p>
    <w:p w14:paraId="17627621" w14:textId="77777777" w:rsidR="00DC22DE" w:rsidRDefault="00DC22DE" w:rsidP="00DC22DE">
      <w:pPr>
        <w:pStyle w:val="SingleTxtG"/>
        <w:rPr>
          <w:lang w:val="fr-FR"/>
        </w:rPr>
      </w:pPr>
      <w:r>
        <w:rPr>
          <w:lang w:val="fr-FR"/>
        </w:rPr>
        <w:t>2</w:t>
      </w:r>
      <w:r w:rsidRPr="00C82A45">
        <w:rPr>
          <w:lang w:val="fr-FR"/>
        </w:rPr>
        <w:t>.</w:t>
      </w:r>
      <w:r>
        <w:rPr>
          <w:lang w:val="fr-FR"/>
        </w:rPr>
        <w:tab/>
        <w:t>Les migrants se trouvent dans des situations de vulnérabilité particulière, qui peuvent découler de leurs caractéristiques personnelles, de leur situation socioéconomique, des circonstances de leur voyage − notamment leur statut de sans-papiers et les barrières linguistiques auxquelles ils se heurtent − ou du traitement qui leur est réservé et des situations qu’ils rencontrent dans les pays d’origine, de transit ou de destination, y compris dans les zones frontalières</w:t>
      </w:r>
      <w:r w:rsidRPr="00EA7479">
        <w:rPr>
          <w:rStyle w:val="Appelnotedebasdep"/>
        </w:rPr>
        <w:footnoteReference w:id="5"/>
      </w:r>
      <w:r w:rsidRPr="00C82A45">
        <w:rPr>
          <w:lang w:val="fr-FR"/>
        </w:rPr>
        <w:t>.</w:t>
      </w:r>
      <w:r>
        <w:rPr>
          <w:lang w:val="fr-FR"/>
        </w:rPr>
        <w:t xml:space="preserve"> Les droits humains universels et les libertés fondamentales dont ils jouissent doivent être respectés, protégés et exercés en toutes circonstances</w:t>
      </w:r>
      <w:r w:rsidRPr="00EA7479">
        <w:rPr>
          <w:rStyle w:val="Appelnotedebasdep"/>
        </w:rPr>
        <w:footnoteReference w:id="6"/>
      </w:r>
      <w:r w:rsidRPr="00C82A45">
        <w:rPr>
          <w:lang w:val="fr-FR"/>
        </w:rPr>
        <w:t>.</w:t>
      </w:r>
      <w:r>
        <w:rPr>
          <w:lang w:val="fr-FR"/>
        </w:rPr>
        <w:t xml:space="preserve"> Si les États ont le pouvoir souverain de contrôler leurs frontières et l’accès à leur territoire, ils doivent le faire dans le plein respect des obligations que leur impose le droit international</w:t>
      </w:r>
      <w:r w:rsidRPr="00EA7479">
        <w:rPr>
          <w:rStyle w:val="Appelnotedebasdep"/>
        </w:rPr>
        <w:footnoteReference w:id="7"/>
      </w:r>
      <w:r>
        <w:rPr>
          <w:lang w:val="fr-FR"/>
        </w:rPr>
        <w:t>, en particulier le droit des droits de l’homme, le droit international humanitaire, le droit international des réfugiés et le droit de la mer</w:t>
      </w:r>
      <w:r w:rsidRPr="00C82A45">
        <w:rPr>
          <w:lang w:val="fr-FR"/>
        </w:rPr>
        <w:t>.</w:t>
      </w:r>
      <w:r>
        <w:rPr>
          <w:lang w:val="fr-FR"/>
        </w:rPr>
        <w:t xml:space="preserve"> </w:t>
      </w:r>
    </w:p>
    <w:p w14:paraId="375A99A5" w14:textId="21D260D7" w:rsidR="00DC22DE" w:rsidRDefault="00DC22DE" w:rsidP="00DC22DE">
      <w:pPr>
        <w:pStyle w:val="SingleTxtG"/>
        <w:rPr>
          <w:lang w:val="fr-FR"/>
        </w:rPr>
      </w:pPr>
      <w:r>
        <w:rPr>
          <w:lang w:val="fr-FR"/>
        </w:rPr>
        <w:t>3</w:t>
      </w:r>
      <w:r w:rsidRPr="00C82A45">
        <w:rPr>
          <w:lang w:val="fr-FR"/>
        </w:rPr>
        <w:t>.</w:t>
      </w:r>
      <w:r>
        <w:rPr>
          <w:lang w:val="fr-FR"/>
        </w:rPr>
        <w:tab/>
        <w:t>Chaque année, des milliers de migrants se trouvant déjà en situation de vulnérabilité, en butte à des politiques d’immigration restrictives et à des tactiques déshumanisantes de gestion des frontières</w:t>
      </w:r>
      <w:r w:rsidRPr="00EA7479">
        <w:rPr>
          <w:rStyle w:val="Appelnotedebasdep"/>
        </w:rPr>
        <w:footnoteReference w:id="8"/>
      </w:r>
      <w:r>
        <w:rPr>
          <w:lang w:val="fr-FR"/>
        </w:rPr>
        <w:t xml:space="preserve"> meurent, disparaissent ou sont portés disparus, ce qui entraîne des </w:t>
      </w:r>
      <w:r>
        <w:rPr>
          <w:lang w:val="fr-FR"/>
        </w:rPr>
        <w:lastRenderedPageBreak/>
        <w:t>crises humanitaires dans de nombreuses régions du monde</w:t>
      </w:r>
      <w:r w:rsidRPr="00EA7479">
        <w:rPr>
          <w:rStyle w:val="Appelnotedebasdep"/>
        </w:rPr>
        <w:footnoteReference w:id="9"/>
      </w:r>
      <w:r w:rsidRPr="00C82A45">
        <w:rPr>
          <w:lang w:val="fr-FR"/>
        </w:rPr>
        <w:t>.</w:t>
      </w:r>
      <w:r>
        <w:rPr>
          <w:lang w:val="fr-FR"/>
        </w:rPr>
        <w:t xml:space="preserve"> Cette question est hautement prioritaire au niveau international</w:t>
      </w:r>
      <w:r w:rsidRPr="00C82A45">
        <w:rPr>
          <w:lang w:val="fr-FR"/>
        </w:rPr>
        <w:t>.</w:t>
      </w:r>
      <w:r>
        <w:rPr>
          <w:lang w:val="fr-FR"/>
        </w:rPr>
        <w:t xml:space="preserve"> Dans sa résolution </w:t>
      </w:r>
      <w:hyperlink r:id="rId9" w:history="1">
        <w:r w:rsidR="00C56ABF">
          <w:rPr>
            <w:rStyle w:val="Lienhypertexte"/>
            <w:lang w:val="fr-FR"/>
          </w:rPr>
          <w:t>74/148</w:t>
        </w:r>
      </w:hyperlink>
      <w:r>
        <w:rPr>
          <w:lang w:val="fr-FR"/>
        </w:rPr>
        <w:t xml:space="preserve"> sur la protection des migrants, l’Assemblée générale a lancé un appel à la coopération internationale afin de sauver des vies, de prévenir les risques de décès et de blessures de migrants et d’identifier les migrants décédés ou portés disparus</w:t>
      </w:r>
      <w:r w:rsidRPr="00C82A45">
        <w:rPr>
          <w:lang w:val="fr-FR"/>
        </w:rPr>
        <w:t>.</w:t>
      </w:r>
      <w:r>
        <w:rPr>
          <w:lang w:val="fr-FR"/>
        </w:rPr>
        <w:t xml:space="preserve"> Les objectifs définis dans le Pacte mondial pour des migrations sûres, ordonnées et régulières, adopté en 2018, consistent notamment à s’attaquer aux facteurs de vulnérabilité liés aux migrations et les réduire, à sauver des vies et mettre en place une action internationale coordonnée pour retrouver les migrants disparus, et à lutter contre la traite des personnes dans le contexte des migrations internationales (objectifs 7, 8 et 10)</w:t>
      </w:r>
      <w:r w:rsidRPr="00C82A45">
        <w:rPr>
          <w:lang w:val="fr-FR"/>
        </w:rPr>
        <w:t>.</w:t>
      </w:r>
    </w:p>
    <w:p w14:paraId="29C517A0" w14:textId="34FA6848" w:rsidR="00DC22DE" w:rsidRDefault="00DC22DE" w:rsidP="00DC22DE">
      <w:pPr>
        <w:pStyle w:val="SingleTxtG"/>
        <w:rPr>
          <w:lang w:val="fr-FR"/>
        </w:rPr>
      </w:pPr>
      <w:r>
        <w:rPr>
          <w:lang w:val="fr-FR"/>
        </w:rPr>
        <w:t>4</w:t>
      </w:r>
      <w:r w:rsidRPr="00C82A45">
        <w:rPr>
          <w:lang w:val="fr-FR"/>
        </w:rPr>
        <w:t>.</w:t>
      </w:r>
      <w:r>
        <w:rPr>
          <w:lang w:val="fr-FR"/>
        </w:rPr>
        <w:tab/>
        <w:t>Le Comité international de la Croix</w:t>
      </w:r>
      <w:r>
        <w:rPr>
          <w:lang w:val="fr-FR"/>
        </w:rPr>
        <w:noBreakHyphen/>
        <w:t>Rouge entend par « personne disparue » toute personne dont la famille ignore le lieu où elle se trouve ou qui, selon des informations fiables, a été portée disparue au regard de la législation nationale, en rapport avec un conflit armé international ou non international, une situation de violence interne ou de troubles intérieurs, une catastrophe naturelle ou toute autre situation qui pourrait exiger l’intervention d’une autorité étatique compétente</w:t>
      </w:r>
      <w:r w:rsidRPr="00EA7479">
        <w:rPr>
          <w:rStyle w:val="Appelnotedebasdep"/>
        </w:rPr>
        <w:footnoteReference w:id="10"/>
      </w:r>
      <w:r w:rsidRPr="00C82A45">
        <w:rPr>
          <w:lang w:val="fr-FR"/>
        </w:rPr>
        <w:t>.</w:t>
      </w:r>
      <w:r>
        <w:rPr>
          <w:lang w:val="fr-FR"/>
        </w:rPr>
        <w:t xml:space="preserve"> Dans le cadre de son projet sur les migrants disparus, l’Organisation internationale pour les migrations recueille des données sur les migrants décédés aux frontières extérieures d’États ou au cours de leur migration vers un pays étranger, notamment du fait d’accidents de transport, de naufrages ou d’attaques violentes, ou en raison de complications médicales survenues au cours de leur voyage</w:t>
      </w:r>
      <w:r w:rsidRPr="00EA7479">
        <w:rPr>
          <w:rStyle w:val="Appelnotedebasdep"/>
        </w:rPr>
        <w:footnoteReference w:id="11"/>
      </w:r>
      <w:r w:rsidRPr="00C82A45">
        <w:rPr>
          <w:lang w:val="fr-FR"/>
        </w:rPr>
        <w:t>.</w:t>
      </w:r>
      <w:r>
        <w:rPr>
          <w:lang w:val="fr-FR"/>
        </w:rPr>
        <w:t xml:space="preserve"> Certains migrants portés disparus peuvent être victimes d’une disparition, notamment d’une disparition forcée</w:t>
      </w:r>
      <w:r w:rsidRPr="00C82A45">
        <w:rPr>
          <w:lang w:val="fr-FR"/>
        </w:rPr>
        <w:t>.</w:t>
      </w:r>
      <w:r>
        <w:rPr>
          <w:lang w:val="fr-FR"/>
        </w:rPr>
        <w:t xml:space="preserve"> Le</w:t>
      </w:r>
      <w:r w:rsidR="00854E62">
        <w:rPr>
          <w:lang w:val="fr-FR"/>
        </w:rPr>
        <w:t> </w:t>
      </w:r>
      <w:r>
        <w:rPr>
          <w:lang w:val="fr-FR"/>
        </w:rPr>
        <w:t xml:space="preserve">principal élément permettant de distinguer un migrant victime d’une disparition d’un migrant </w:t>
      </w:r>
      <w:r w:rsidRPr="00FB67E2">
        <w:rPr>
          <w:lang w:val="fr-FR"/>
        </w:rPr>
        <w:t>porté disparu est la commission de l</w:t>
      </w:r>
      <w:r>
        <w:rPr>
          <w:lang w:val="fr-FR"/>
        </w:rPr>
        <w:t>’</w:t>
      </w:r>
      <w:r w:rsidRPr="00FB67E2">
        <w:rPr>
          <w:lang w:val="fr-FR"/>
        </w:rPr>
        <w:t>une des infractions visées aux articles 2, 3 et 5 de la Convention.</w:t>
      </w:r>
      <w:r>
        <w:rPr>
          <w:lang w:val="fr-FR"/>
        </w:rPr>
        <w:t xml:space="preserve"> </w:t>
      </w:r>
    </w:p>
    <w:p w14:paraId="09280FF3" w14:textId="77777777" w:rsidR="00DC22DE" w:rsidRDefault="00DC22DE" w:rsidP="00DC22DE">
      <w:pPr>
        <w:pStyle w:val="SingleTxtG"/>
        <w:rPr>
          <w:lang w:val="fr-FR"/>
        </w:rPr>
      </w:pPr>
      <w:r>
        <w:rPr>
          <w:lang w:val="fr-FR"/>
        </w:rPr>
        <w:t>5</w:t>
      </w:r>
      <w:r w:rsidRPr="00C82A45">
        <w:rPr>
          <w:lang w:val="fr-FR"/>
        </w:rPr>
        <w:t>.</w:t>
      </w:r>
      <w:r>
        <w:rPr>
          <w:lang w:val="fr-FR"/>
        </w:rPr>
        <w:tab/>
        <w:t>Le Comité est vivement préoccupé par le grand nombre de décès et de cas de disparition signalés sur les routes de la migration</w:t>
      </w:r>
      <w:r w:rsidRPr="00EA7479">
        <w:rPr>
          <w:rStyle w:val="Appelnotedebasdep"/>
        </w:rPr>
        <w:footnoteReference w:id="12"/>
      </w:r>
      <w:r w:rsidRPr="00C82A45">
        <w:rPr>
          <w:lang w:val="fr-FR"/>
        </w:rPr>
        <w:t>.</w:t>
      </w:r>
      <w:r>
        <w:rPr>
          <w:lang w:val="fr-FR"/>
        </w:rPr>
        <w:t xml:space="preserve"> Le Groupe de travail sur les disparitions forcées ou involontaires s’est penché sur le sujet pour la première fois en 2017, dans son rapport sur les disparitions forcées dans le contexte des migrations</w:t>
      </w:r>
      <w:r w:rsidRPr="00EA7479">
        <w:rPr>
          <w:rStyle w:val="Appelnotedebasdep"/>
        </w:rPr>
        <w:footnoteReference w:id="13"/>
      </w:r>
      <w:r>
        <w:rPr>
          <w:lang w:val="fr-FR"/>
        </w:rPr>
        <w:t>, et la situation ne s’est pas améliorée depuis lors</w:t>
      </w:r>
      <w:r w:rsidRPr="00C82A45">
        <w:rPr>
          <w:lang w:val="fr-FR"/>
        </w:rPr>
        <w:t>.</w:t>
      </w:r>
      <w:r>
        <w:rPr>
          <w:lang w:val="fr-FR"/>
        </w:rPr>
        <w:t xml:space="preserve"> Les données sur le nombre de victimes de disparition parmi les migrants portés disparus demeurent rares et peu fiables</w:t>
      </w:r>
      <w:r w:rsidRPr="00EA7479">
        <w:rPr>
          <w:rStyle w:val="Appelnotedebasdep"/>
        </w:rPr>
        <w:footnoteReference w:id="14"/>
      </w:r>
      <w:r>
        <w:rPr>
          <w:lang w:val="fr-FR"/>
        </w:rPr>
        <w:t>, du fait de l’absence de collecte systématique de données et de bases de données partagées, d’une coopération insuffisante entre les États et d’un manque de volonté politique, de l’existence d’obstacles (liés, notamment, à la situation de vulnérabilité des migrants et de leurs proches) qui empêchent de signaler des cas de disparition relevant des articles 2 et 3 de la Convention, et de l’incapacité des autorités à mener sans tarder des recherches et des enquêtes rigoureuses et efficaces</w:t>
      </w:r>
      <w:r w:rsidRPr="00C82A45">
        <w:rPr>
          <w:lang w:val="fr-FR"/>
        </w:rPr>
        <w:t>.</w:t>
      </w:r>
      <w:r>
        <w:rPr>
          <w:lang w:val="fr-FR"/>
        </w:rPr>
        <w:t xml:space="preserve"> Faute de disposer de données précises et ventilées, les autorités ne peuvent pas adopter des politiques et des stratégies efficaces pour prévenir les disparitions forcées de migrants, ce qui fait que ces personnes sont plus vulnérables et davantage susceptibles d’être victimes de ce crime</w:t>
      </w:r>
      <w:r w:rsidRPr="00C82A45">
        <w:rPr>
          <w:lang w:val="fr-FR"/>
        </w:rPr>
        <w:t>.</w:t>
      </w:r>
    </w:p>
    <w:p w14:paraId="60F880F1" w14:textId="77777777" w:rsidR="00DC22DE" w:rsidRDefault="00DC22DE" w:rsidP="00DC22DE">
      <w:pPr>
        <w:pStyle w:val="SingleTxtG"/>
        <w:rPr>
          <w:lang w:val="fr-FR"/>
        </w:rPr>
      </w:pPr>
      <w:r>
        <w:rPr>
          <w:lang w:val="fr-FR"/>
        </w:rPr>
        <w:t>6</w:t>
      </w:r>
      <w:r w:rsidRPr="00C82A45">
        <w:rPr>
          <w:lang w:val="fr-FR"/>
        </w:rPr>
        <w:t>.</w:t>
      </w:r>
      <w:r>
        <w:rPr>
          <w:lang w:val="fr-FR"/>
        </w:rPr>
        <w:tab/>
        <w:t>Différents facteurs contribuent directement ou indirectement à la disparition ou au risque de disparition de migrants (cas relevant des articles 2 et 3 de la Convention)</w:t>
      </w:r>
      <w:r w:rsidRPr="00C82A45">
        <w:rPr>
          <w:lang w:val="fr-FR"/>
        </w:rPr>
        <w:t>.</w:t>
      </w:r>
      <w:r>
        <w:rPr>
          <w:lang w:val="fr-FR"/>
        </w:rPr>
        <w:t xml:space="preserve"> Diverses pratiques adoptées par certains États et leurs agents dans le cadre d’une gestion des frontières restrictive et déshumanisante contribuent directement à la disparition de migrants</w:t>
      </w:r>
      <w:r w:rsidRPr="00C82A45">
        <w:rPr>
          <w:lang w:val="fr-FR"/>
        </w:rPr>
        <w:t>.</w:t>
      </w:r>
      <w:r>
        <w:rPr>
          <w:lang w:val="fr-FR"/>
        </w:rPr>
        <w:t xml:space="preserve"> Parmi ces pratiques figurent la détention d’immigrants, les renvois sommaires et les renvois sommaires </w:t>
      </w:r>
      <w:r>
        <w:rPr>
          <w:lang w:val="fr-FR"/>
        </w:rPr>
        <w:lastRenderedPageBreak/>
        <w:t>en chaîne sur terre ou en mer, la mise en échec systématique des opérations de recherche et de sauvetage</w:t>
      </w:r>
      <w:r w:rsidRPr="00EA7479">
        <w:rPr>
          <w:rStyle w:val="Appelnotedebasdep"/>
        </w:rPr>
        <w:footnoteReference w:id="15"/>
      </w:r>
      <w:r>
        <w:rPr>
          <w:lang w:val="fr-FR"/>
        </w:rPr>
        <w:t xml:space="preserve"> et la collusion entre des agents de l’État et des groupes criminels organisés qui se livrent à la traite de personnes</w:t>
      </w:r>
      <w:r w:rsidRPr="00EA7479">
        <w:rPr>
          <w:rStyle w:val="Appelnotedebasdep"/>
        </w:rPr>
        <w:footnoteReference w:id="16"/>
      </w:r>
      <w:r w:rsidRPr="00C82A45">
        <w:rPr>
          <w:lang w:val="fr-FR"/>
        </w:rPr>
        <w:t>.</w:t>
      </w:r>
      <w:r>
        <w:rPr>
          <w:lang w:val="fr-FR"/>
        </w:rPr>
        <w:t xml:space="preserve"> </w:t>
      </w:r>
    </w:p>
    <w:p w14:paraId="38778913" w14:textId="4BAA7F49" w:rsidR="00DC22DE" w:rsidRDefault="00DC22DE" w:rsidP="00DC22DE">
      <w:pPr>
        <w:pStyle w:val="SingleTxtG"/>
        <w:rPr>
          <w:lang w:val="fr-FR"/>
        </w:rPr>
      </w:pPr>
      <w:r>
        <w:rPr>
          <w:lang w:val="fr-FR"/>
        </w:rPr>
        <w:t>7</w:t>
      </w:r>
      <w:r w:rsidRPr="00C82A45">
        <w:rPr>
          <w:lang w:val="fr-FR"/>
        </w:rPr>
        <w:t>.</w:t>
      </w:r>
      <w:r>
        <w:rPr>
          <w:lang w:val="fr-FR"/>
        </w:rPr>
        <w:tab/>
        <w:t>D’autres facteurs, notamment les politiques rigides, sécuritaires et de plus en plus militarisées qu’adoptent les États en matière de migration et de gestion des frontières, lesquelles sont souvent fondées sur la dissuasion, conjuguées à des comportements et pratiques discriminatoires à l’égard des migrants et à une tendance générale à considérer ceux</w:t>
      </w:r>
      <w:r w:rsidR="00C4076C">
        <w:rPr>
          <w:lang w:val="fr-FR"/>
        </w:rPr>
        <w:noBreakHyphen/>
      </w:r>
      <w:r>
        <w:rPr>
          <w:lang w:val="fr-FR"/>
        </w:rPr>
        <w:t>ci et les personnes qui leur viennent en aide comme des délinquants, ainsi qu’un climat d’impunité générale à l’égard des auteurs de violations des droits des migrants</w:t>
      </w:r>
      <w:r w:rsidRPr="00EA7479">
        <w:rPr>
          <w:rStyle w:val="Appelnotedebasdep"/>
        </w:rPr>
        <w:footnoteReference w:id="17"/>
      </w:r>
      <w:r>
        <w:rPr>
          <w:lang w:val="fr-FR"/>
        </w:rPr>
        <w:t>, contribuent indirectement à la disparition de migrants, qui sont contraints de choisir des itinéraires de plus en plus dangereux, passant par des environnements hostiles ou des régions touchées par un conflit armé ou d’autres situations de violence, et de se tourner vers des réseaux criminels de passeurs ou de trafiquants qui leur font courir le risque de subir des violations des droits humains, d’être soumis à l’exploitation et d’être victime de disparition forcée</w:t>
      </w:r>
      <w:r w:rsidRPr="00C82A45">
        <w:rPr>
          <w:lang w:val="fr-FR"/>
        </w:rPr>
        <w:t>.</w:t>
      </w:r>
      <w:r>
        <w:rPr>
          <w:lang w:val="fr-FR"/>
        </w:rPr>
        <w:t xml:space="preserve"> Ce phénomène touche toutes les régions du monde, sans exception</w:t>
      </w:r>
      <w:r w:rsidRPr="00C82A45">
        <w:rPr>
          <w:lang w:val="fr-FR"/>
        </w:rPr>
        <w:t>.</w:t>
      </w:r>
      <w:r>
        <w:rPr>
          <w:lang w:val="fr-FR"/>
        </w:rPr>
        <w:t xml:space="preserve"> </w:t>
      </w:r>
    </w:p>
    <w:p w14:paraId="5CD26A7A" w14:textId="77777777" w:rsidR="00DC22DE" w:rsidRDefault="00DC22DE" w:rsidP="001E4568">
      <w:pPr>
        <w:pStyle w:val="SingleTxtG"/>
        <w:keepNext/>
        <w:rPr>
          <w:lang w:val="fr-FR"/>
        </w:rPr>
      </w:pPr>
      <w:r>
        <w:rPr>
          <w:lang w:val="fr-FR"/>
        </w:rPr>
        <w:t>8</w:t>
      </w:r>
      <w:r w:rsidRPr="00C82A45">
        <w:rPr>
          <w:lang w:val="fr-FR"/>
        </w:rPr>
        <w:t>.</w:t>
      </w:r>
      <w:r>
        <w:rPr>
          <w:lang w:val="fr-FR"/>
        </w:rPr>
        <w:tab/>
        <w:t>La discrimination, qui compte parmi les facteurs contribuant à la disparition forcée de migrants, est une question particulièrement préoccupante</w:t>
      </w:r>
      <w:r w:rsidRPr="00EA7479">
        <w:rPr>
          <w:rStyle w:val="Appelnotedebasdep"/>
        </w:rPr>
        <w:footnoteReference w:id="18"/>
      </w:r>
      <w:r>
        <w:rPr>
          <w:lang w:val="fr-FR"/>
        </w:rPr>
        <w:t> :</w:t>
      </w:r>
    </w:p>
    <w:p w14:paraId="0F4BBC97" w14:textId="526436E0" w:rsidR="00DC22DE" w:rsidRDefault="00DC22DE" w:rsidP="001E4568">
      <w:pPr>
        <w:pStyle w:val="SingleTxtG"/>
        <w:ind w:firstLine="567"/>
        <w:rPr>
          <w:lang w:val="fr-FR"/>
        </w:rPr>
      </w:pPr>
      <w:r>
        <w:rPr>
          <w:lang w:val="fr-FR"/>
        </w:rPr>
        <w:t>a)</w:t>
      </w:r>
      <w:r>
        <w:rPr>
          <w:lang w:val="fr-FR"/>
        </w:rPr>
        <w:tab/>
        <w:t>Les personnes exposées à une discrimination structurelle ou directe dans leur pays d’origine ou de résidence peuvent décider de migrer ;</w:t>
      </w:r>
    </w:p>
    <w:p w14:paraId="678EA067" w14:textId="699A064A" w:rsidR="00DC22DE" w:rsidRDefault="00DC22DE" w:rsidP="001E4568">
      <w:pPr>
        <w:pStyle w:val="SingleTxtG"/>
        <w:ind w:firstLine="567"/>
        <w:rPr>
          <w:lang w:val="fr-FR"/>
        </w:rPr>
      </w:pPr>
      <w:r>
        <w:rPr>
          <w:lang w:val="fr-FR"/>
        </w:rPr>
        <w:t>b)</w:t>
      </w:r>
      <w:r>
        <w:rPr>
          <w:lang w:val="fr-FR"/>
        </w:rPr>
        <w:tab/>
        <w:t xml:space="preserve">Les politiques migratoires peuvent comporter des éléments discriminatoires, notamment des restrictions en matière de visas ou de permis de séjour pour les personnes originaires de certains pays ou régions ou pour les personnes de certaines nationalités ; </w:t>
      </w:r>
    </w:p>
    <w:p w14:paraId="65AC8E6B" w14:textId="54F039B2" w:rsidR="00DC22DE" w:rsidRDefault="00DC22DE" w:rsidP="001E4568">
      <w:pPr>
        <w:pStyle w:val="SingleTxtG"/>
        <w:ind w:firstLine="567"/>
        <w:rPr>
          <w:lang w:val="fr-FR"/>
        </w:rPr>
      </w:pPr>
      <w:r>
        <w:rPr>
          <w:lang w:val="fr-FR"/>
        </w:rPr>
        <w:t>c)</w:t>
      </w:r>
      <w:r>
        <w:rPr>
          <w:lang w:val="fr-FR"/>
        </w:rPr>
        <w:tab/>
        <w:t>Certains groupes de migrants peuvent être en butte à la discrimination au cours de leur migration, discrimination qui peut être fondée sur le statut migratoire ou la situation socioéconomique, ou sur d’autres caractéristiques personnelles telles que la religion, la race, la couleur, l’origine ethnique ou nationale, l’âge, le sexe, l’orientation sexuelle ou l’identité de genre, ce qui rend ces personnes encore plus susceptibles d’être victimes de disparition forcée</w:t>
      </w:r>
      <w:r w:rsidRPr="00EA7479">
        <w:rPr>
          <w:rStyle w:val="Appelnotedebasdep"/>
        </w:rPr>
        <w:footnoteReference w:id="19"/>
      </w:r>
      <w:r>
        <w:rPr>
          <w:lang w:val="fr-FR"/>
        </w:rPr>
        <w:t> ;</w:t>
      </w:r>
    </w:p>
    <w:p w14:paraId="27E09A81" w14:textId="1EE24253" w:rsidR="00DC22DE" w:rsidRDefault="00DC22DE" w:rsidP="001E4568">
      <w:pPr>
        <w:pStyle w:val="SingleTxtG"/>
        <w:ind w:firstLine="567"/>
        <w:rPr>
          <w:lang w:val="fr-FR"/>
        </w:rPr>
      </w:pPr>
      <w:r>
        <w:rPr>
          <w:lang w:val="fr-FR"/>
        </w:rPr>
        <w:t>d)</w:t>
      </w:r>
      <w:r>
        <w:rPr>
          <w:lang w:val="fr-FR"/>
        </w:rPr>
        <w:tab/>
        <w:t>La discrimination peut également porter atteinte à la jouissance par les victimes et leurs proches de leurs droits en matière d’accès à la justice, y compris, mais sans s’y limiter, les droits de participer à l’enquête et aux recherches, d’accéder à l’aide juridique, de recevoir des informations dans une langue qu’ils comprennent, de bénéficier de mesures de protection et de soutien et d’être présents au procès</w:t>
      </w:r>
      <w:r w:rsidRPr="00C82A45">
        <w:rPr>
          <w:lang w:val="fr-FR"/>
        </w:rPr>
        <w:t>.</w:t>
      </w:r>
      <w:r>
        <w:rPr>
          <w:lang w:val="fr-FR"/>
        </w:rPr>
        <w:t xml:space="preserve"> </w:t>
      </w:r>
    </w:p>
    <w:p w14:paraId="6E941576" w14:textId="1229A333" w:rsidR="00DC22DE" w:rsidRDefault="00DC22DE" w:rsidP="00DC22DE">
      <w:pPr>
        <w:pStyle w:val="SingleTxtG"/>
        <w:rPr>
          <w:lang w:val="fr-FR"/>
        </w:rPr>
      </w:pPr>
      <w:r>
        <w:rPr>
          <w:lang w:val="fr-FR"/>
        </w:rPr>
        <w:t>9</w:t>
      </w:r>
      <w:r w:rsidRPr="00C82A45">
        <w:rPr>
          <w:lang w:val="fr-FR"/>
        </w:rPr>
        <w:t>.</w:t>
      </w:r>
      <w:r>
        <w:rPr>
          <w:lang w:val="fr-FR"/>
        </w:rPr>
        <w:tab/>
        <w:t xml:space="preserve">Le Comité souligne que le principe de non-discrimination est un principe fondamental des instruments internationaux relatifs aux droits de l’homme et qu’il est considéré comme une norme de </w:t>
      </w:r>
      <w:r>
        <w:rPr>
          <w:i/>
          <w:iCs/>
          <w:lang w:val="fr-FR"/>
        </w:rPr>
        <w:t>jus cogens</w:t>
      </w:r>
      <w:r w:rsidRPr="00EA7479">
        <w:rPr>
          <w:rStyle w:val="Appelnotedebasdep"/>
        </w:rPr>
        <w:footnoteReference w:id="20"/>
      </w:r>
      <w:r w:rsidRPr="00C82A45">
        <w:rPr>
          <w:lang w:val="fr-FR"/>
        </w:rPr>
        <w:t>.</w:t>
      </w:r>
      <w:r>
        <w:rPr>
          <w:lang w:val="fr-FR"/>
        </w:rPr>
        <w:t xml:space="preserve"> Les États parties sont tenus de respecter ce principe à tout moment lorsqu’ils s’acquittent des obligations que la Convention met à leur charge en matière de prévention des disparitions forcées et de lutte contre celles-ci</w:t>
      </w:r>
      <w:r w:rsidRPr="00C82A45">
        <w:rPr>
          <w:lang w:val="fr-FR"/>
        </w:rPr>
        <w:t>.</w:t>
      </w:r>
      <w:r>
        <w:rPr>
          <w:lang w:val="fr-FR"/>
        </w:rPr>
        <w:t xml:space="preserve"> En effet, l’article premier de la Convention dispose que nul ne sera soumis à une disparition forcée et qu’aucune circonstance exceptionnelle ne peut être invoquée pour justifier la disparition forcée</w:t>
      </w:r>
      <w:r w:rsidRPr="00C82A45">
        <w:rPr>
          <w:lang w:val="fr-FR"/>
        </w:rPr>
        <w:t>.</w:t>
      </w:r>
      <w:r>
        <w:rPr>
          <w:lang w:val="fr-FR"/>
        </w:rPr>
        <w:t xml:space="preserve"> </w:t>
      </w:r>
      <w:r>
        <w:rPr>
          <w:lang w:val="fr-FR"/>
        </w:rPr>
        <w:lastRenderedPageBreak/>
        <w:t>Par</w:t>
      </w:r>
      <w:r w:rsidR="00133F64">
        <w:rPr>
          <w:lang w:val="fr-FR"/>
        </w:rPr>
        <w:t> </w:t>
      </w:r>
      <w:r>
        <w:rPr>
          <w:lang w:val="fr-FR"/>
        </w:rPr>
        <w:t>conséquent, les obligations que la Convention impose aux États parties s’appliquent indépendamment de la nationalité, de l’origine ou du statut migratoire des victimes</w:t>
      </w:r>
      <w:r w:rsidRPr="00C82A45">
        <w:rPr>
          <w:lang w:val="fr-FR"/>
        </w:rPr>
        <w:t>.</w:t>
      </w:r>
    </w:p>
    <w:p w14:paraId="42083E76" w14:textId="77777777" w:rsidR="00DC22DE" w:rsidRDefault="00DC22DE" w:rsidP="00DC22DE">
      <w:pPr>
        <w:pStyle w:val="SingleTxtG"/>
        <w:rPr>
          <w:lang w:val="fr-FR"/>
        </w:rPr>
      </w:pPr>
      <w:r>
        <w:rPr>
          <w:lang w:val="fr-FR"/>
        </w:rPr>
        <w:t>10</w:t>
      </w:r>
      <w:r w:rsidRPr="00C82A45">
        <w:rPr>
          <w:lang w:val="fr-FR"/>
        </w:rPr>
        <w:t>.</w:t>
      </w:r>
      <w:r>
        <w:rPr>
          <w:lang w:val="fr-FR"/>
        </w:rPr>
        <w:tab/>
        <w:t>Conscient que les contextes dans lesquels surviennent les disparitions forcées et les caractéristiques de celles-ci évoluent au fil du temps, le Comité entend s’adapter rapidement aux réalités nouvelles et agir de manière proactive</w:t>
      </w:r>
      <w:r w:rsidRPr="00C82A45">
        <w:rPr>
          <w:lang w:val="fr-FR"/>
        </w:rPr>
        <w:t>.</w:t>
      </w:r>
      <w:r>
        <w:rPr>
          <w:lang w:val="fr-FR"/>
        </w:rPr>
        <w:t xml:space="preserve"> Compte tenu de la gravité et du caractère très préoccupant des disparitions forcées survenues récemment dans le contexte des migrations et du caractère intrinsèquement préventif de la Convention, il a décidé d’axer sa première observation générale sur l’aide à apporter aux États parties pour qu’ils s’acquittent des obligations que leur impose la Convention en matière de prévention de ces infractions et de lutte contre celles-ci</w:t>
      </w:r>
      <w:r w:rsidRPr="00C82A45">
        <w:rPr>
          <w:lang w:val="fr-FR"/>
        </w:rPr>
        <w:t>.</w:t>
      </w:r>
      <w:r>
        <w:rPr>
          <w:lang w:val="fr-FR"/>
        </w:rPr>
        <w:t xml:space="preserve"> Ce faisant, il aborde un aspect des problèmes touchant les droits de l’homme et de la crise humanitaire qui perdurent dans le contexte des migrations, en s’appuyant sur les instruments juridiques et les moyens d’action universels et régionaux existants qui sont applicables aux multiples violations des droits humains auxquelles les migrants sont exposés tout au long de leur voyage</w:t>
      </w:r>
      <w:r w:rsidRPr="00EA7479">
        <w:rPr>
          <w:rStyle w:val="Appelnotedebasdep"/>
        </w:rPr>
        <w:footnoteReference w:id="21"/>
      </w:r>
      <w:r>
        <w:rPr>
          <w:lang w:val="fr-FR"/>
        </w:rPr>
        <w:t>, et sous l’angle des obligations découlant de la Convention</w:t>
      </w:r>
      <w:r w:rsidRPr="00C82A45">
        <w:rPr>
          <w:lang w:val="fr-FR"/>
        </w:rPr>
        <w:t>.</w:t>
      </w:r>
      <w:r>
        <w:rPr>
          <w:lang w:val="fr-FR"/>
        </w:rPr>
        <w:t xml:space="preserve"> De plus, il poursuit l’élaboration de normes et a notamment, à cet égard, adopté ses Principes directeurs concernant la recherche de personnes disparues (2019) et publié sa </w:t>
      </w:r>
      <w:r w:rsidRPr="00EA7479">
        <w:t>Déclaration sur les acteurs non étatiques dans le contexte de la Convention</w:t>
      </w:r>
      <w:r>
        <w:t xml:space="preserve"> (2023)</w:t>
      </w:r>
      <w:r w:rsidRPr="00EA7479">
        <w:rPr>
          <w:rStyle w:val="Appelnotedebasdep"/>
        </w:rPr>
        <w:footnoteReference w:id="22"/>
      </w:r>
      <w:r>
        <w:rPr>
          <w:lang w:val="fr-FR"/>
        </w:rPr>
        <w:t>, qui définissent une position claire, interprétative et faisant autorité sur la manière de prévenir les disparitions forcées dans le contexte des migrations et d’y faire face</w:t>
      </w:r>
      <w:r w:rsidRPr="00C82A45">
        <w:rPr>
          <w:lang w:val="fr-FR"/>
        </w:rPr>
        <w:t>.</w:t>
      </w:r>
      <w:r>
        <w:rPr>
          <w:lang w:val="fr-FR"/>
        </w:rPr>
        <w:t xml:space="preserve"> </w:t>
      </w:r>
    </w:p>
    <w:p w14:paraId="5151129A" w14:textId="6CFE7975" w:rsidR="00DC22DE" w:rsidRDefault="00DC22DE" w:rsidP="00DC22DE">
      <w:pPr>
        <w:pStyle w:val="SingleTxtG"/>
        <w:rPr>
          <w:lang w:val="fr-FR"/>
        </w:rPr>
      </w:pPr>
      <w:r>
        <w:rPr>
          <w:lang w:val="fr-FR"/>
        </w:rPr>
        <w:t>11</w:t>
      </w:r>
      <w:r w:rsidRPr="00C82A45">
        <w:rPr>
          <w:lang w:val="fr-FR"/>
        </w:rPr>
        <w:t>.</w:t>
      </w:r>
      <w:r>
        <w:rPr>
          <w:lang w:val="fr-FR"/>
        </w:rPr>
        <w:tab/>
        <w:t>Dans la présente observation générale, le Comité s’appuie sur les enseignements tirés de l’examen des rapports des États parties, de la jurisprudence des organes créés en vertu d’instruments internationaux relatifs aux droits de l’homme, des recommandations du Conseil des droits de l’homme et des titulaires de mandat au titre des procédures spéciales du Conseil, de deux séries de consultations avec des représentants des États, des experts et d’autres parties prenantes concernant la note de cadrage et l’avant-projet élaborés, et des consultations menées dans les régions suivantes</w:t>
      </w:r>
      <w:r w:rsidR="00D24034">
        <w:rPr>
          <w:lang w:val="fr-FR"/>
        </w:rPr>
        <w:t> </w:t>
      </w:r>
      <w:r>
        <w:rPr>
          <w:lang w:val="fr-FR"/>
        </w:rPr>
        <w:t>: Amérique latine et Caraïbes, Asie et Pacifique, Europe et Afrique, y compris la région du Moyen-Orient et de l’Afrique du Nord</w:t>
      </w:r>
      <w:r w:rsidRPr="00C82A45">
        <w:rPr>
          <w:lang w:val="fr-FR"/>
        </w:rPr>
        <w:t>.</w:t>
      </w:r>
    </w:p>
    <w:p w14:paraId="2E4380B4" w14:textId="77777777" w:rsidR="00DC22DE" w:rsidRDefault="00DC22DE" w:rsidP="00DC22DE">
      <w:pPr>
        <w:pStyle w:val="HChG"/>
        <w:rPr>
          <w:lang w:val="fr-FR"/>
        </w:rPr>
      </w:pPr>
      <w:bookmarkStart w:id="6" w:name="_Toc127804274"/>
      <w:bookmarkStart w:id="7" w:name="_Toc129893184"/>
      <w:bookmarkStart w:id="8" w:name="_Toc130394610"/>
      <w:r>
        <w:rPr>
          <w:bCs/>
          <w:lang w:val="fr-FR"/>
        </w:rPr>
        <w:tab/>
        <w:t>II</w:t>
      </w:r>
      <w:r w:rsidRPr="00C82A45">
        <w:rPr>
          <w:bCs/>
          <w:lang w:val="fr-FR"/>
        </w:rPr>
        <w:t>.</w:t>
      </w:r>
      <w:r>
        <w:rPr>
          <w:lang w:val="fr-FR"/>
        </w:rPr>
        <w:tab/>
      </w:r>
      <w:r>
        <w:rPr>
          <w:bCs/>
          <w:lang w:val="fr-FR"/>
        </w:rPr>
        <w:t>Objectifs et portée de la présente observation générale</w:t>
      </w:r>
      <w:bookmarkEnd w:id="6"/>
      <w:bookmarkEnd w:id="7"/>
      <w:bookmarkEnd w:id="8"/>
    </w:p>
    <w:p w14:paraId="6EAD3C4D" w14:textId="77777777" w:rsidR="00DC22DE" w:rsidRDefault="00DC22DE" w:rsidP="00DC22DE">
      <w:pPr>
        <w:pStyle w:val="SingleTxtG"/>
        <w:rPr>
          <w:lang w:val="fr-FR"/>
        </w:rPr>
      </w:pPr>
      <w:r>
        <w:rPr>
          <w:lang w:val="fr-FR"/>
        </w:rPr>
        <w:t>12</w:t>
      </w:r>
      <w:r w:rsidRPr="00C82A45">
        <w:rPr>
          <w:lang w:val="fr-FR"/>
        </w:rPr>
        <w:t>.</w:t>
      </w:r>
      <w:r>
        <w:rPr>
          <w:lang w:val="fr-FR"/>
        </w:rPr>
        <w:tab/>
        <w:t>Le Comité est vivement préoccupé par les cas de plus en plus nombreux de disparition forcée survenant dans le contexte des migrations</w:t>
      </w:r>
      <w:r w:rsidRPr="00C82A45">
        <w:rPr>
          <w:lang w:val="fr-FR"/>
        </w:rPr>
        <w:t>.</w:t>
      </w:r>
      <w:r>
        <w:rPr>
          <w:lang w:val="fr-FR"/>
        </w:rPr>
        <w:t xml:space="preserve"> Il engage les États parties à prendre d’urgence des mesures pour prévenir ce phénomène et y faire face, en s’inspirant de la présente observation générale, afin de s’acquitter pleinement de leurs obligations</w:t>
      </w:r>
      <w:r w:rsidRPr="00C82A45">
        <w:rPr>
          <w:lang w:val="fr-FR"/>
        </w:rPr>
        <w:t>.</w:t>
      </w:r>
      <w:r>
        <w:rPr>
          <w:lang w:val="fr-FR"/>
        </w:rPr>
        <w:t xml:space="preserve"> Il entend, par cette observation générale, lever toute incertitude juridique pouvant découler de la Convention et, en adoptant des positions claires sur une question d’intérêt mondial, encourager les États qui ne l’ont pas encore fait à adhérer à cet instrument</w:t>
      </w:r>
      <w:r w:rsidRPr="00C82A45">
        <w:rPr>
          <w:lang w:val="fr-FR"/>
        </w:rPr>
        <w:t>.</w:t>
      </w:r>
      <w:r>
        <w:rPr>
          <w:lang w:val="fr-FR"/>
        </w:rPr>
        <w:t xml:space="preserve"> </w:t>
      </w:r>
    </w:p>
    <w:p w14:paraId="06EF37AF" w14:textId="77777777" w:rsidR="00DC22DE" w:rsidRDefault="00DC22DE" w:rsidP="00D24034">
      <w:pPr>
        <w:pStyle w:val="SingleTxtG"/>
        <w:keepLines/>
        <w:rPr>
          <w:lang w:val="fr-FR"/>
        </w:rPr>
      </w:pPr>
      <w:r>
        <w:rPr>
          <w:lang w:val="fr-FR"/>
        </w:rPr>
        <w:lastRenderedPageBreak/>
        <w:t>13</w:t>
      </w:r>
      <w:r w:rsidRPr="00C82A45">
        <w:rPr>
          <w:lang w:val="fr-FR"/>
        </w:rPr>
        <w:t>.</w:t>
      </w:r>
      <w:r>
        <w:rPr>
          <w:lang w:val="fr-FR"/>
        </w:rPr>
        <w:tab/>
        <w:t>Compte tenu du caractère préventif de la Convention, la présente observation générale a également pour objet d’aider les États parties à élaborer et mettre en application des politiques nationales visant à protéger les migrants contre les disparitions forcées et à lutter contre l’impunité</w:t>
      </w:r>
      <w:r w:rsidRPr="00C82A45">
        <w:rPr>
          <w:lang w:val="fr-FR"/>
        </w:rPr>
        <w:t>.</w:t>
      </w:r>
    </w:p>
    <w:p w14:paraId="2237E2A8" w14:textId="1F4AD5DB" w:rsidR="00DC22DE" w:rsidRDefault="00DC22DE" w:rsidP="00DC22DE">
      <w:pPr>
        <w:pStyle w:val="SingleTxtG"/>
        <w:rPr>
          <w:lang w:val="fr-FR"/>
        </w:rPr>
      </w:pPr>
      <w:r>
        <w:rPr>
          <w:lang w:val="fr-FR"/>
        </w:rPr>
        <w:t>14</w:t>
      </w:r>
      <w:r w:rsidRPr="00C82A45">
        <w:rPr>
          <w:lang w:val="fr-FR"/>
        </w:rPr>
        <w:t>.</w:t>
      </w:r>
      <w:r>
        <w:rPr>
          <w:lang w:val="fr-FR"/>
        </w:rPr>
        <w:tab/>
        <w:t>Le Comité est conscient de la situation de vulnérabilité dans laquelle se trouvent les migrants eux-mêmes et les membres de leur famille qui, dans bien des cas, sont aussi des migrants et se heurtent souvent à des obstacles et à la discrimination lorsqu’ils recherchent leurs proches</w:t>
      </w:r>
      <w:r w:rsidRPr="00C82A45">
        <w:rPr>
          <w:lang w:val="fr-FR"/>
        </w:rPr>
        <w:t>.</w:t>
      </w:r>
      <w:r>
        <w:rPr>
          <w:lang w:val="fr-FR"/>
        </w:rPr>
        <w:t xml:space="preserve"> La présente observation générale a donc également pour objet d’aider les États à garantir l’accès des victimes à la justice, afin de contribuer à l’action internationale visant à améliorer la situation souvent désastreuse des migrants sur le plan des droits humains</w:t>
      </w:r>
      <w:r w:rsidRPr="00C82A45">
        <w:rPr>
          <w:lang w:val="fr-FR"/>
        </w:rPr>
        <w:t>.</w:t>
      </w:r>
    </w:p>
    <w:p w14:paraId="54FF15B4" w14:textId="77777777" w:rsidR="00DC22DE" w:rsidRDefault="00DC22DE" w:rsidP="00DC22DE">
      <w:pPr>
        <w:pStyle w:val="SingleTxtG"/>
        <w:rPr>
          <w:lang w:val="fr-FR"/>
        </w:rPr>
      </w:pPr>
      <w:r>
        <w:rPr>
          <w:lang w:val="fr-FR"/>
        </w:rPr>
        <w:t>15</w:t>
      </w:r>
      <w:r w:rsidRPr="00C82A45">
        <w:rPr>
          <w:lang w:val="fr-FR"/>
        </w:rPr>
        <w:t>.</w:t>
      </w:r>
      <w:r>
        <w:rPr>
          <w:lang w:val="fr-FR"/>
        </w:rPr>
        <w:tab/>
        <w:t>Les disparitions forcées ayant souvent un caractère transfrontalier dans le contexte des migrations, la présente observation générale vise à encourager la coopération internationale et régionale en matière de prévention, de recherche et d’enquête concernant les disparitions de migrants, conformément aux obligations faites par la Convention aux États parties</w:t>
      </w:r>
      <w:r w:rsidRPr="00C82A45">
        <w:rPr>
          <w:lang w:val="fr-FR"/>
        </w:rPr>
        <w:t>.</w:t>
      </w:r>
    </w:p>
    <w:p w14:paraId="58F08FF4" w14:textId="77777777" w:rsidR="00DC22DE" w:rsidRDefault="00DC22DE" w:rsidP="00DC22DE">
      <w:pPr>
        <w:pStyle w:val="HChG"/>
        <w:rPr>
          <w:lang w:val="fr-FR"/>
        </w:rPr>
      </w:pPr>
      <w:bookmarkStart w:id="9" w:name="_Toc127804275"/>
      <w:bookmarkStart w:id="10" w:name="_Toc129893185"/>
      <w:bookmarkStart w:id="11" w:name="_Toc130394611"/>
      <w:r>
        <w:rPr>
          <w:bCs/>
          <w:lang w:val="fr-FR"/>
        </w:rPr>
        <w:tab/>
        <w:t>III</w:t>
      </w:r>
      <w:r w:rsidRPr="00C82A45">
        <w:rPr>
          <w:bCs/>
          <w:lang w:val="fr-FR"/>
        </w:rPr>
        <w:t>.</w:t>
      </w:r>
      <w:r>
        <w:rPr>
          <w:lang w:val="fr-FR"/>
        </w:rPr>
        <w:tab/>
      </w:r>
      <w:r>
        <w:rPr>
          <w:bCs/>
          <w:lang w:val="fr-FR"/>
        </w:rPr>
        <w:t>Mécanismes de prévention</w:t>
      </w:r>
      <w:r>
        <w:rPr>
          <w:lang w:val="fr-FR"/>
        </w:rPr>
        <w:t xml:space="preserve"> </w:t>
      </w:r>
      <w:bookmarkEnd w:id="9"/>
      <w:bookmarkEnd w:id="10"/>
      <w:bookmarkEnd w:id="11"/>
    </w:p>
    <w:p w14:paraId="1FCF5D42" w14:textId="77777777" w:rsidR="00DC22DE" w:rsidRDefault="00DC22DE" w:rsidP="00DC22DE">
      <w:pPr>
        <w:pStyle w:val="H1G"/>
        <w:rPr>
          <w:lang w:val="fr-FR"/>
        </w:rPr>
      </w:pPr>
      <w:bookmarkStart w:id="12" w:name="_Toc127804276"/>
      <w:bookmarkStart w:id="13" w:name="_Toc129893186"/>
      <w:bookmarkStart w:id="14" w:name="_Toc130394612"/>
      <w:r>
        <w:rPr>
          <w:bCs/>
          <w:lang w:val="fr-FR"/>
        </w:rPr>
        <w:tab/>
        <w:t>A</w:t>
      </w:r>
      <w:r w:rsidRPr="00C82A45">
        <w:rPr>
          <w:bCs/>
          <w:lang w:val="fr-FR"/>
        </w:rPr>
        <w:t>.</w:t>
      </w:r>
      <w:r>
        <w:rPr>
          <w:lang w:val="fr-FR"/>
        </w:rPr>
        <w:tab/>
      </w:r>
      <w:r>
        <w:rPr>
          <w:bCs/>
          <w:lang w:val="fr-FR"/>
        </w:rPr>
        <w:t>Interdiction de la détention secrète de migrants</w:t>
      </w:r>
      <w:bookmarkEnd w:id="12"/>
      <w:bookmarkEnd w:id="13"/>
      <w:bookmarkEnd w:id="14"/>
    </w:p>
    <w:p w14:paraId="713969BE" w14:textId="3F72D56F" w:rsidR="00DC22DE" w:rsidRDefault="00DC22DE" w:rsidP="00DC22DE">
      <w:pPr>
        <w:pStyle w:val="SingleTxtG"/>
        <w:rPr>
          <w:lang w:val="fr-FR"/>
        </w:rPr>
      </w:pPr>
      <w:r>
        <w:rPr>
          <w:lang w:val="fr-FR"/>
        </w:rPr>
        <w:t>16</w:t>
      </w:r>
      <w:r w:rsidRPr="00C82A45">
        <w:rPr>
          <w:lang w:val="fr-FR"/>
        </w:rPr>
        <w:t>.</w:t>
      </w:r>
      <w:r>
        <w:rPr>
          <w:lang w:val="fr-FR"/>
        </w:rPr>
        <w:tab/>
        <w:t>Dans le contexte de la détention d’immigrants</w:t>
      </w:r>
      <w:r w:rsidRPr="00EA7479">
        <w:rPr>
          <w:rStyle w:val="Appelnotedebasdep"/>
        </w:rPr>
        <w:footnoteReference w:id="23"/>
      </w:r>
      <w:r>
        <w:rPr>
          <w:lang w:val="fr-FR"/>
        </w:rPr>
        <w:t>, afin de prévenir les cas de disparition forcée, il convient de faire en sorte que les migrants aient toujours la possibilité, dès le début de leur détention et quelles qu’en soit la durée, de communiquer avec leurs proches, leurs autorités consulaires, leurs représentants légaux ou toute autre personne qu’ils pourraient informer de leur sort ou de l’endroit où ils se trouvent</w:t>
      </w:r>
      <w:r w:rsidRPr="00EA7479">
        <w:rPr>
          <w:rStyle w:val="Appelnotedebasdep"/>
        </w:rPr>
        <w:footnoteReference w:id="24"/>
      </w:r>
      <w:r w:rsidRPr="00C82A45">
        <w:rPr>
          <w:lang w:val="fr-FR"/>
        </w:rPr>
        <w:t>.</w:t>
      </w:r>
      <w:r>
        <w:rPr>
          <w:lang w:val="fr-FR"/>
        </w:rPr>
        <w:t xml:space="preserve"> La privation de liberté pour des motifs liés à l’immigration devrait toujours être une mesure de dernier recours et les migrants ne devraient être privés de leur liberté que s’il n’y a pas d’autres solutions que la détention</w:t>
      </w:r>
      <w:r w:rsidRPr="00EA7479">
        <w:rPr>
          <w:rStyle w:val="Appelnotedebasdep"/>
        </w:rPr>
        <w:footnoteReference w:id="25"/>
      </w:r>
      <w:r w:rsidRPr="00C82A45">
        <w:rPr>
          <w:lang w:val="fr-FR"/>
        </w:rPr>
        <w:t>.</w:t>
      </w:r>
      <w:r>
        <w:rPr>
          <w:lang w:val="fr-FR"/>
        </w:rPr>
        <w:t xml:space="preserve"> De plus, compte tenu de l’impossibilité de déroger à l’interdiction des disparitions forcées énoncée à l’article premier (par</w:t>
      </w:r>
      <w:r w:rsidRPr="00C82A45">
        <w:rPr>
          <w:lang w:val="fr-FR"/>
        </w:rPr>
        <w:t>.</w:t>
      </w:r>
      <w:r w:rsidR="00D24034">
        <w:rPr>
          <w:lang w:val="fr-FR"/>
        </w:rPr>
        <w:t> </w:t>
      </w:r>
      <w:r>
        <w:rPr>
          <w:lang w:val="fr-FR"/>
        </w:rPr>
        <w:t>2) de la Convention, les situations d’urgence ne sauraient justifier une quelconque forme de privation de liberté visant des migrants qui pourrait s’apparenter à une disparition forcée</w:t>
      </w:r>
      <w:r w:rsidRPr="00EA7479">
        <w:rPr>
          <w:rStyle w:val="Appelnotedebasdep"/>
        </w:rPr>
        <w:footnoteReference w:id="26"/>
      </w:r>
      <w:r w:rsidRPr="00C82A45">
        <w:rPr>
          <w:lang w:val="fr-FR"/>
        </w:rPr>
        <w:t>.</w:t>
      </w:r>
      <w:r>
        <w:rPr>
          <w:lang w:val="fr-FR"/>
        </w:rPr>
        <w:t xml:space="preserve"> Les enfants ne devraient jamais être privés de leur liberté pour des motifs liés à leur statut ou à celui de leurs parents au regard de la législation relative à l’immigration ou à la résidence, ou à l’absence d’un tel statut, ou au seul motif qu’ils sont non accompagnés ou séparés</w:t>
      </w:r>
      <w:r w:rsidRPr="00EA7479">
        <w:rPr>
          <w:rStyle w:val="Appelnotedebasdep"/>
        </w:rPr>
        <w:footnoteReference w:id="27"/>
      </w:r>
      <w:r>
        <w:rPr>
          <w:lang w:val="fr-FR"/>
        </w:rPr>
        <w:t>, et les mineurs non accompagnés qui</w:t>
      </w:r>
      <w:r>
        <w:rPr>
          <w:strike/>
          <w:lang w:val="fr-FR"/>
        </w:rPr>
        <w:t xml:space="preserve"> </w:t>
      </w:r>
      <w:r>
        <w:rPr>
          <w:lang w:val="fr-FR"/>
        </w:rPr>
        <w:t xml:space="preserve">sont </w:t>
      </w:r>
      <w:r>
        <w:rPr>
          <w:lang w:val="fr-FR"/>
        </w:rPr>
        <w:lastRenderedPageBreak/>
        <w:t>appréhendés au cours de leur migration devraient être confiés aux autorités chargées de la protection de l’enfance</w:t>
      </w:r>
      <w:r w:rsidRPr="00EA7479">
        <w:rPr>
          <w:rStyle w:val="Appelnotedebasdep"/>
        </w:rPr>
        <w:footnoteReference w:id="28"/>
      </w:r>
      <w:r w:rsidRPr="00C82A45">
        <w:rPr>
          <w:lang w:val="fr-FR"/>
        </w:rPr>
        <w:t>.</w:t>
      </w:r>
      <w:r>
        <w:rPr>
          <w:lang w:val="fr-FR"/>
        </w:rPr>
        <w:t xml:space="preserve"> L’interdiction de la détention secrète, énoncée à l’article</w:t>
      </w:r>
      <w:r w:rsidR="008D743A">
        <w:rPr>
          <w:lang w:val="fr-FR"/>
        </w:rPr>
        <w:t> </w:t>
      </w:r>
      <w:r>
        <w:rPr>
          <w:lang w:val="fr-FR"/>
        </w:rPr>
        <w:t>17 de la Convention, est particulièrement importante pour prévenir les cas de disparition et s’étend aux situations dans lesquelles des migrants sont privés de leur liberté par des acteurs non étatiques agissant avec l’appui, l’autorisation ou l’acquiescement de l’État</w:t>
      </w:r>
      <w:r w:rsidRPr="00EA7479">
        <w:rPr>
          <w:rStyle w:val="Appelnotedebasdep"/>
        </w:rPr>
        <w:footnoteReference w:id="29"/>
      </w:r>
      <w:r w:rsidRPr="00C82A45">
        <w:rPr>
          <w:lang w:val="fr-FR"/>
        </w:rPr>
        <w:t>.</w:t>
      </w:r>
      <w:r>
        <w:rPr>
          <w:lang w:val="fr-FR"/>
        </w:rPr>
        <w:t xml:space="preserve"> </w:t>
      </w:r>
    </w:p>
    <w:p w14:paraId="429A83C7" w14:textId="4E99851B" w:rsidR="00DC22DE" w:rsidRDefault="00DC22DE" w:rsidP="003B4E1B">
      <w:pPr>
        <w:pStyle w:val="SingleTxtG"/>
        <w:keepNext/>
        <w:spacing w:after="100" w:line="236" w:lineRule="atLeast"/>
        <w:rPr>
          <w:lang w:val="fr-FR"/>
        </w:rPr>
      </w:pPr>
      <w:r>
        <w:rPr>
          <w:lang w:val="fr-FR"/>
        </w:rPr>
        <w:t>17</w:t>
      </w:r>
      <w:r w:rsidRPr="00C82A45">
        <w:rPr>
          <w:lang w:val="fr-FR"/>
        </w:rPr>
        <w:t>.</w:t>
      </w:r>
      <w:r>
        <w:rPr>
          <w:lang w:val="fr-FR"/>
        </w:rPr>
        <w:tab/>
        <w:t>L’interdiction absolue, énoncée à l’article</w:t>
      </w:r>
      <w:r w:rsidR="008D743A">
        <w:rPr>
          <w:lang w:val="fr-FR"/>
        </w:rPr>
        <w:t> </w:t>
      </w:r>
      <w:r>
        <w:rPr>
          <w:lang w:val="fr-FR"/>
        </w:rPr>
        <w:t>17 (par</w:t>
      </w:r>
      <w:r w:rsidRPr="00C82A45">
        <w:rPr>
          <w:lang w:val="fr-FR"/>
        </w:rPr>
        <w:t>.</w:t>
      </w:r>
      <w:r w:rsidR="008D743A">
        <w:rPr>
          <w:lang w:val="fr-FR"/>
        </w:rPr>
        <w:t> </w:t>
      </w:r>
      <w:r>
        <w:rPr>
          <w:lang w:val="fr-FR"/>
        </w:rPr>
        <w:t>1) de la Convention, de la détention secrète de toute personne</w:t>
      </w:r>
      <w:r w:rsidRPr="00EA7479">
        <w:rPr>
          <w:rStyle w:val="Appelnotedebasdep"/>
        </w:rPr>
        <w:footnoteReference w:id="30"/>
      </w:r>
      <w:r>
        <w:rPr>
          <w:lang w:val="fr-FR"/>
        </w:rPr>
        <w:t>, y compris des migrants, englobe toute forme de privation de liberté, y compris la détention au secret et le transfert dans un lieu secret</w:t>
      </w:r>
      <w:r w:rsidRPr="00EA7479">
        <w:rPr>
          <w:rStyle w:val="Appelnotedebasdep"/>
        </w:rPr>
        <w:footnoteReference w:id="31"/>
      </w:r>
      <w:r>
        <w:rPr>
          <w:lang w:val="fr-FR"/>
        </w:rPr>
        <w:t>, quel que soit le prétexte utilisé pour la justifier et quelle qu’en soit la durée</w:t>
      </w:r>
      <w:r w:rsidRPr="00EA7479">
        <w:rPr>
          <w:rStyle w:val="Appelnotedebasdep"/>
        </w:rPr>
        <w:footnoteReference w:id="32"/>
      </w:r>
      <w:r w:rsidRPr="00C82A45">
        <w:rPr>
          <w:lang w:val="fr-FR"/>
        </w:rPr>
        <w:t>.</w:t>
      </w:r>
      <w:r>
        <w:rPr>
          <w:lang w:val="fr-FR"/>
        </w:rPr>
        <w:t xml:space="preserve"> Les États parties doivent veiller à ce que les migrants privés de leur liberté bénéficient, sans exception et quel que soit le lieu de la privation de liberté, </w:t>
      </w:r>
      <w:r>
        <w:rPr>
          <w:i/>
          <w:iCs/>
          <w:lang w:val="fr-FR"/>
        </w:rPr>
        <w:t>de jure</w:t>
      </w:r>
      <w:r>
        <w:rPr>
          <w:lang w:val="fr-FR"/>
        </w:rPr>
        <w:t xml:space="preserve"> et </w:t>
      </w:r>
      <w:r w:rsidRPr="005B4E23">
        <w:rPr>
          <w:i/>
          <w:iCs/>
          <w:lang w:val="fr-FR"/>
        </w:rPr>
        <w:t>de facto</w:t>
      </w:r>
      <w:r>
        <w:rPr>
          <w:lang w:val="fr-FR"/>
        </w:rPr>
        <w:t>, de toutes les garanties juridiques fondamentales prévues à l’article 17 (par</w:t>
      </w:r>
      <w:r w:rsidRPr="00C82A45">
        <w:rPr>
          <w:lang w:val="fr-FR"/>
        </w:rPr>
        <w:t>.</w:t>
      </w:r>
      <w:r>
        <w:rPr>
          <w:lang w:val="fr-FR"/>
        </w:rPr>
        <w:t xml:space="preserve"> 2) de la Convention et dans d’autres instruments relatifs aux droits de l’homme</w:t>
      </w:r>
      <w:r w:rsidRPr="00EA7479">
        <w:rPr>
          <w:rStyle w:val="Appelnotedebasdep"/>
        </w:rPr>
        <w:footnoteReference w:id="33"/>
      </w:r>
      <w:r w:rsidRPr="00C82A45">
        <w:rPr>
          <w:lang w:val="fr-FR"/>
        </w:rPr>
        <w:t>.</w:t>
      </w:r>
      <w:r>
        <w:rPr>
          <w:lang w:val="fr-FR"/>
        </w:rPr>
        <w:t xml:space="preserve"> Ils doivent notamment : </w:t>
      </w:r>
    </w:p>
    <w:p w14:paraId="3CBE368B" w14:textId="0B640DA7" w:rsidR="00DC22DE" w:rsidRDefault="00DC22DE" w:rsidP="003B4E1B">
      <w:pPr>
        <w:pStyle w:val="SingleTxtG"/>
        <w:spacing w:after="100" w:line="236" w:lineRule="atLeast"/>
        <w:ind w:firstLine="567"/>
        <w:rPr>
          <w:lang w:val="fr-FR"/>
        </w:rPr>
      </w:pPr>
      <w:r>
        <w:rPr>
          <w:lang w:val="fr-FR"/>
        </w:rPr>
        <w:t>a)</w:t>
      </w:r>
      <w:r>
        <w:rPr>
          <w:lang w:val="fr-FR"/>
        </w:rPr>
        <w:tab/>
        <w:t xml:space="preserve">Fixer dans leur législation les conditions dans lesquelles des migrants peuvent être privés de leur liberté ; </w:t>
      </w:r>
    </w:p>
    <w:p w14:paraId="683F56BF" w14:textId="186C747F" w:rsidR="00DC22DE" w:rsidRDefault="00DC22DE" w:rsidP="003B4E1B">
      <w:pPr>
        <w:pStyle w:val="SingleTxtG"/>
        <w:spacing w:after="100" w:line="236" w:lineRule="atLeast"/>
        <w:ind w:firstLine="567"/>
        <w:rPr>
          <w:lang w:val="fr-FR"/>
        </w:rPr>
      </w:pPr>
      <w:r>
        <w:rPr>
          <w:lang w:val="fr-FR"/>
        </w:rPr>
        <w:t>b)</w:t>
      </w:r>
      <w:r>
        <w:rPr>
          <w:lang w:val="fr-FR"/>
        </w:rPr>
        <w:tab/>
        <w:t>Indiquer les autorités habilitées à ordonner des privations de liberté ;</w:t>
      </w:r>
    </w:p>
    <w:p w14:paraId="60EFDEF0" w14:textId="13BDE1CA" w:rsidR="00DC22DE" w:rsidRDefault="00DC22DE" w:rsidP="003B4E1B">
      <w:pPr>
        <w:pStyle w:val="SingleTxtG"/>
        <w:spacing w:after="100" w:line="236" w:lineRule="atLeast"/>
        <w:ind w:firstLine="567"/>
        <w:rPr>
          <w:lang w:val="fr-FR"/>
        </w:rPr>
      </w:pPr>
      <w:r>
        <w:rPr>
          <w:lang w:val="fr-FR"/>
        </w:rPr>
        <w:t>c)</w:t>
      </w:r>
      <w:r>
        <w:rPr>
          <w:lang w:val="fr-FR"/>
        </w:rPr>
        <w:tab/>
        <w:t>Garantir que les migrants privés de liberté sont placés uniquement dans des lieux de privation de liberté officiellement reconnus et contrôlés ;</w:t>
      </w:r>
    </w:p>
    <w:p w14:paraId="6D487932" w14:textId="768BB7F4" w:rsidR="00DC22DE" w:rsidRDefault="00DC22DE" w:rsidP="003B4E1B">
      <w:pPr>
        <w:pStyle w:val="SingleTxtG"/>
        <w:spacing w:after="100" w:line="236" w:lineRule="atLeast"/>
        <w:ind w:firstLine="567"/>
        <w:rPr>
          <w:lang w:val="fr-FR"/>
        </w:rPr>
      </w:pPr>
      <w:r>
        <w:rPr>
          <w:lang w:val="fr-FR"/>
        </w:rPr>
        <w:t>d)</w:t>
      </w:r>
      <w:r>
        <w:rPr>
          <w:lang w:val="fr-FR"/>
        </w:rPr>
        <w:tab/>
        <w:t>Garantir que les migrants privés de leur liberté sont informés de leurs droits dès le début de la privation de liberté, dans une langue qu’ils comprennent, ont un accès effectif aux services d’un conseil et, si nécessaire, d’un interprète professionnel, et sont autorisés à communiquer sans délai avec leurs proches ou toute personne de leur choix, ainsi qu’avec leurs autorités consulaires ou autres autorités diplomatiques, s’ils le souhaitent, et à recevoir leur visite ;</w:t>
      </w:r>
    </w:p>
    <w:p w14:paraId="105E7578" w14:textId="691D06F8" w:rsidR="00DC22DE" w:rsidRDefault="00DC22DE" w:rsidP="003B4E1B">
      <w:pPr>
        <w:pStyle w:val="SingleTxtG"/>
        <w:spacing w:after="100" w:line="236" w:lineRule="atLeast"/>
        <w:ind w:firstLine="567"/>
        <w:rPr>
          <w:lang w:val="fr-FR"/>
        </w:rPr>
      </w:pPr>
      <w:r>
        <w:rPr>
          <w:lang w:val="fr-FR"/>
        </w:rPr>
        <w:t>e)</w:t>
      </w:r>
      <w:r>
        <w:rPr>
          <w:lang w:val="fr-FR"/>
        </w:rPr>
        <w:tab/>
        <w:t>Garantir, sans restriction et en toutes circonstances, quel que soit le lieu de privation de liberté et sans considération de statut migratoire, le droit de la personne privée de sa liberté, ou de toute personne ayant un intérêt légitime, de contester devant un tribunal la légalité de la privation de liberté</w:t>
      </w:r>
      <w:r w:rsidRPr="00EA7479">
        <w:rPr>
          <w:rStyle w:val="Appelnotedebasdep"/>
        </w:rPr>
        <w:footnoteReference w:id="34"/>
      </w:r>
      <w:r w:rsidRPr="00C82A45">
        <w:rPr>
          <w:lang w:val="fr-FR"/>
        </w:rPr>
        <w:t>.</w:t>
      </w:r>
    </w:p>
    <w:p w14:paraId="12CD2B47" w14:textId="77777777" w:rsidR="00DC22DE" w:rsidRDefault="00DC22DE" w:rsidP="00DC22DE">
      <w:pPr>
        <w:pStyle w:val="SingleTxtG"/>
        <w:rPr>
          <w:lang w:val="fr-FR"/>
        </w:rPr>
      </w:pPr>
      <w:r>
        <w:rPr>
          <w:lang w:val="fr-FR"/>
        </w:rPr>
        <w:lastRenderedPageBreak/>
        <w:t>18</w:t>
      </w:r>
      <w:r w:rsidRPr="00C82A45">
        <w:rPr>
          <w:lang w:val="fr-FR"/>
        </w:rPr>
        <w:t>.</w:t>
      </w:r>
      <w:r>
        <w:rPr>
          <w:lang w:val="fr-FR"/>
        </w:rPr>
        <w:tab/>
        <w:t>Les États parties devraient également faire en sorte que les allégations de détention secrète donnent rapidement lieu à une enquête efficace, approfondie et impartiale et que les responsables soient poursuivis et, s’ils sont reconnus coupables, condamnés à une peine proportionnée à la gravité de leurs actes</w:t>
      </w:r>
      <w:r w:rsidRPr="00EA7479">
        <w:rPr>
          <w:rStyle w:val="Appelnotedebasdep"/>
        </w:rPr>
        <w:footnoteReference w:id="35"/>
      </w:r>
      <w:r w:rsidRPr="00C82A45">
        <w:rPr>
          <w:lang w:val="fr-FR"/>
        </w:rPr>
        <w:t>.</w:t>
      </w:r>
      <w:r>
        <w:rPr>
          <w:lang w:val="fr-FR"/>
        </w:rPr>
        <w:t xml:space="preserve"> </w:t>
      </w:r>
    </w:p>
    <w:p w14:paraId="6401FC7C" w14:textId="77777777" w:rsidR="00DC22DE" w:rsidRDefault="00DC22DE" w:rsidP="00DC22DE">
      <w:pPr>
        <w:pStyle w:val="SingleTxtG"/>
        <w:rPr>
          <w:lang w:val="fr-FR"/>
        </w:rPr>
      </w:pPr>
      <w:r>
        <w:rPr>
          <w:lang w:val="fr-FR"/>
        </w:rPr>
        <w:t>19</w:t>
      </w:r>
      <w:r w:rsidRPr="00C82A45">
        <w:rPr>
          <w:lang w:val="fr-FR"/>
        </w:rPr>
        <w:t>.</w:t>
      </w:r>
      <w:r>
        <w:rPr>
          <w:lang w:val="fr-FR"/>
        </w:rPr>
        <w:tab/>
        <w:t>Les États parties doivent garantir que les migrants privés de leur liberté peuvent prendre contact localement avec les représentants du Haut-Commissariat des Nations Unies pour les réfugiés, les organismes nationaux chargées des réfugiés ou d’autres organismes compétents, être contactés par eux et communiquer avec eux en privé</w:t>
      </w:r>
      <w:r w:rsidRPr="00C82A45">
        <w:rPr>
          <w:lang w:val="fr-FR"/>
        </w:rPr>
        <w:t>.</w:t>
      </w:r>
      <w:r>
        <w:rPr>
          <w:lang w:val="fr-FR"/>
        </w:rPr>
        <w:t xml:space="preserve"> Ils doivent leur fournir des informations sur la question et leur donner les moyens d’établir un tel contact</w:t>
      </w:r>
      <w:r w:rsidRPr="00EA7479">
        <w:rPr>
          <w:rStyle w:val="Appelnotedebasdep"/>
        </w:rPr>
        <w:footnoteReference w:id="36"/>
      </w:r>
      <w:r w:rsidRPr="00C82A45">
        <w:rPr>
          <w:lang w:val="fr-FR"/>
        </w:rPr>
        <w:t>.</w:t>
      </w:r>
    </w:p>
    <w:p w14:paraId="3B401C01" w14:textId="5377AB23" w:rsidR="00DC22DE" w:rsidRDefault="00DC22DE" w:rsidP="00DC22DE">
      <w:pPr>
        <w:pStyle w:val="SingleTxtG"/>
        <w:rPr>
          <w:lang w:val="fr-FR"/>
        </w:rPr>
      </w:pPr>
      <w:r>
        <w:rPr>
          <w:lang w:val="fr-FR"/>
        </w:rPr>
        <w:t>20</w:t>
      </w:r>
      <w:r w:rsidRPr="00C82A45">
        <w:rPr>
          <w:lang w:val="fr-FR"/>
        </w:rPr>
        <w:t>.</w:t>
      </w:r>
      <w:r>
        <w:rPr>
          <w:lang w:val="fr-FR"/>
        </w:rPr>
        <w:tab/>
        <w:t>En application de l’article 17 (par</w:t>
      </w:r>
      <w:r w:rsidRPr="00C82A45">
        <w:rPr>
          <w:lang w:val="fr-FR"/>
        </w:rPr>
        <w:t>.</w:t>
      </w:r>
      <w:r>
        <w:rPr>
          <w:lang w:val="fr-FR"/>
        </w:rPr>
        <w:t xml:space="preserve"> 3) de la Convention, les États parties doivent tenir à jour des registres officiels et des dossiers officiels des migrants privés de leur liberté, transférés et libérés, sans exception et indépendamment du lieu ou de la durée de la privation de liberté</w:t>
      </w:r>
      <w:r w:rsidRPr="00EA7479">
        <w:rPr>
          <w:rStyle w:val="Appelnotedebasdep"/>
        </w:rPr>
        <w:footnoteReference w:id="37"/>
      </w:r>
      <w:r w:rsidRPr="00C82A45">
        <w:rPr>
          <w:lang w:val="fr-FR"/>
        </w:rPr>
        <w:t>.</w:t>
      </w:r>
      <w:r>
        <w:rPr>
          <w:lang w:val="fr-FR"/>
        </w:rPr>
        <w:t xml:space="preserve"> Ces registres et dossiers doivent, au minimum, contenir les informations énumérées dans ledit article, et doivent être remplis et tenus à jour avec diligence et sans délai</w:t>
      </w:r>
      <w:r w:rsidRPr="00C82A45">
        <w:rPr>
          <w:lang w:val="fr-FR"/>
        </w:rPr>
        <w:t>.</w:t>
      </w:r>
      <w:r>
        <w:rPr>
          <w:lang w:val="fr-FR"/>
        </w:rPr>
        <w:t xml:space="preserve"> Outre ces informations, et tout en veillant au plein respect des principes régissant la protection des données personnelles conformément à l’article 19, les États parties sont invités à envisager d’y faire figurer une photographie de la personne privée de sa liberté, sachant que certains migrants peuvent ne pas être en possession de documents d’identité ou utiliser une fausse identité</w:t>
      </w:r>
      <w:r w:rsidRPr="00C82A45">
        <w:rPr>
          <w:lang w:val="fr-FR"/>
        </w:rPr>
        <w:t>.</w:t>
      </w:r>
      <w:r>
        <w:rPr>
          <w:lang w:val="fr-FR"/>
        </w:rPr>
        <w:t xml:space="preserve"> Les registres et dossiers doivent</w:t>
      </w:r>
      <w:r>
        <w:t xml:space="preserve">, sur demande, être rapidement mis à la disposition de toute autorité judiciaire ou de toute autre autorité ou institution compétente habilitée par la législation de l’État </w:t>
      </w:r>
      <w:r w:rsidR="00125820">
        <w:t>p</w:t>
      </w:r>
      <w:r>
        <w:t xml:space="preserve">artie concerné ou par tout instrument juridique international pertinent auquel l’État concerné est </w:t>
      </w:r>
      <w:r w:rsidR="00125820">
        <w:t>p</w:t>
      </w:r>
      <w:r>
        <w:t>artie.</w:t>
      </w:r>
      <w:r>
        <w:rPr>
          <w:lang w:val="fr-FR"/>
        </w:rPr>
        <w:t xml:space="preserve"> </w:t>
      </w:r>
    </w:p>
    <w:p w14:paraId="257F2EFA" w14:textId="66C1423F" w:rsidR="00DC22DE" w:rsidRDefault="00DC22DE" w:rsidP="00DC22DE">
      <w:pPr>
        <w:pStyle w:val="SingleTxtG"/>
        <w:rPr>
          <w:lang w:val="fr-FR"/>
        </w:rPr>
      </w:pPr>
      <w:r>
        <w:rPr>
          <w:lang w:val="fr-FR"/>
        </w:rPr>
        <w:t>21</w:t>
      </w:r>
      <w:r w:rsidRPr="00C82A45">
        <w:rPr>
          <w:lang w:val="fr-FR"/>
        </w:rPr>
        <w:t>.</w:t>
      </w:r>
      <w:r>
        <w:rPr>
          <w:lang w:val="fr-FR"/>
        </w:rPr>
        <w:tab/>
        <w:t>L’État partie doit fournir sans délai des informations sur les migrants qui ont été privés de leur liberté à toute personne ayant un intérêt légitime, par exemple leurs proches, leurs représentants ou leurs avocats</w:t>
      </w:r>
      <w:r w:rsidRPr="00C82A45">
        <w:rPr>
          <w:lang w:val="fr-FR"/>
        </w:rPr>
        <w:t>.</w:t>
      </w:r>
      <w:r>
        <w:rPr>
          <w:lang w:val="fr-FR"/>
        </w:rPr>
        <w:t xml:space="preserve"> Il devrait au minimum fournir les informations énumérées à l’article</w:t>
      </w:r>
      <w:r w:rsidR="00FD2180">
        <w:rPr>
          <w:lang w:val="fr-FR"/>
        </w:rPr>
        <w:t> </w:t>
      </w:r>
      <w:r>
        <w:rPr>
          <w:lang w:val="fr-FR"/>
        </w:rPr>
        <w:t>18 (par</w:t>
      </w:r>
      <w:r w:rsidRPr="00C82A45">
        <w:rPr>
          <w:lang w:val="fr-FR"/>
        </w:rPr>
        <w:t>.</w:t>
      </w:r>
      <w:r w:rsidR="00FD2180">
        <w:rPr>
          <w:lang w:val="fr-FR"/>
        </w:rPr>
        <w:t> </w:t>
      </w:r>
      <w:r>
        <w:rPr>
          <w:lang w:val="fr-FR"/>
        </w:rPr>
        <w:t>1) de la Convention et faire en sorte que les personnes ayant un intérêt légitime aient réellement la possibilité d’y accéder</w:t>
      </w:r>
      <w:r w:rsidRPr="00EA7479">
        <w:rPr>
          <w:rStyle w:val="Appelnotedebasdep"/>
        </w:rPr>
        <w:footnoteReference w:id="38"/>
      </w:r>
      <w:r w:rsidRPr="00C82A45">
        <w:rPr>
          <w:lang w:val="fr-FR"/>
        </w:rPr>
        <w:t>.</w:t>
      </w:r>
      <w:r>
        <w:rPr>
          <w:lang w:val="fr-FR"/>
        </w:rPr>
        <w:t xml:space="preserve"> Le droit des personnes ayant un intérêt légitime à accéder à l’information et à la recevoir ne peut être restreint que conformément aux dispositions de l’article</w:t>
      </w:r>
      <w:r w:rsidR="00FD2180">
        <w:rPr>
          <w:lang w:val="fr-FR"/>
        </w:rPr>
        <w:t> </w:t>
      </w:r>
      <w:r>
        <w:rPr>
          <w:lang w:val="fr-FR"/>
        </w:rPr>
        <w:t>20 (par</w:t>
      </w:r>
      <w:r w:rsidRPr="00C82A45">
        <w:rPr>
          <w:lang w:val="fr-FR"/>
        </w:rPr>
        <w:t>.</w:t>
      </w:r>
      <w:r w:rsidR="00FD2180">
        <w:rPr>
          <w:lang w:val="fr-FR"/>
        </w:rPr>
        <w:t> </w:t>
      </w:r>
      <w:r>
        <w:rPr>
          <w:lang w:val="fr-FR"/>
        </w:rPr>
        <w:t>1)</w:t>
      </w:r>
      <w:r w:rsidRPr="00EA7479">
        <w:rPr>
          <w:rStyle w:val="Appelnotedebasdep"/>
        </w:rPr>
        <w:footnoteReference w:id="39"/>
      </w:r>
      <w:r w:rsidRPr="00C82A45">
        <w:rPr>
          <w:lang w:val="fr-FR"/>
        </w:rPr>
        <w:t>.</w:t>
      </w:r>
      <w:r>
        <w:rPr>
          <w:lang w:val="fr-FR"/>
        </w:rPr>
        <w:t xml:space="preserve"> Les États parties devraient veiller à ce que les réglementations relatives à la protection des données ou à la vie privée ne soient pas utilisées pour justifier la rétention d’informations</w:t>
      </w:r>
      <w:r w:rsidRPr="00EA7479">
        <w:rPr>
          <w:rStyle w:val="Appelnotedebasdep"/>
        </w:rPr>
        <w:footnoteReference w:id="40"/>
      </w:r>
      <w:r w:rsidRPr="00C82A45">
        <w:rPr>
          <w:lang w:val="fr-FR"/>
        </w:rPr>
        <w:t>.</w:t>
      </w:r>
      <w:r>
        <w:rPr>
          <w:lang w:val="fr-FR"/>
        </w:rPr>
        <w:t xml:space="preserve"> </w:t>
      </w:r>
      <w:bookmarkStart w:id="15" w:name="_ftnref2"/>
      <w:bookmarkEnd w:id="15"/>
    </w:p>
    <w:p w14:paraId="1B39F3C8" w14:textId="735C2A88" w:rsidR="00DC22DE" w:rsidRDefault="00DC22DE" w:rsidP="00C04DBB">
      <w:pPr>
        <w:pStyle w:val="SingleTxtG"/>
        <w:rPr>
          <w:lang w:val="fr-FR"/>
        </w:rPr>
      </w:pPr>
      <w:r>
        <w:rPr>
          <w:lang w:val="fr-FR"/>
        </w:rPr>
        <w:t>22</w:t>
      </w:r>
      <w:r w:rsidRPr="00C82A45">
        <w:rPr>
          <w:lang w:val="fr-FR"/>
        </w:rPr>
        <w:t>.</w:t>
      </w:r>
      <w:r>
        <w:rPr>
          <w:lang w:val="fr-FR"/>
        </w:rPr>
        <w:tab/>
        <w:t>Les États parties devraient également dresser et rendre publiques des listes exhaustives des lieux de privation de liberté</w:t>
      </w:r>
      <w:r w:rsidRPr="00EA7479">
        <w:rPr>
          <w:rStyle w:val="Appelnotedebasdep"/>
        </w:rPr>
        <w:footnoteReference w:id="41"/>
      </w:r>
      <w:r>
        <w:rPr>
          <w:lang w:val="fr-FR"/>
        </w:rPr>
        <w:t xml:space="preserve"> et veiller à ce que des observateurs indépendants et impartiaux, comme les institutions nationales des droits de l’homme, les mécanismes nationaux de prévention, les organisations de la société civile et les organisations internationales, aient pleinement accès à tous les lieux où des migrants sont privés de leur liberté, que ces lieux soient gérés par l’État partie ou par des organismes privés</w:t>
      </w:r>
      <w:r w:rsidRPr="00EA7479">
        <w:rPr>
          <w:rStyle w:val="Appelnotedebasdep"/>
        </w:rPr>
        <w:footnoteReference w:id="42"/>
      </w:r>
      <w:r w:rsidRPr="00C82A45">
        <w:rPr>
          <w:lang w:val="fr-FR"/>
        </w:rPr>
        <w:t>.</w:t>
      </w:r>
      <w:r>
        <w:rPr>
          <w:lang w:val="fr-FR"/>
        </w:rPr>
        <w:t xml:space="preserve"> L’accès aux lieux de privation de liberté doit être garanti en droit, conformément à l’article</w:t>
      </w:r>
      <w:r w:rsidR="00FD2180">
        <w:rPr>
          <w:lang w:val="fr-FR"/>
        </w:rPr>
        <w:t> </w:t>
      </w:r>
      <w:r>
        <w:rPr>
          <w:lang w:val="fr-FR"/>
        </w:rPr>
        <w:t>17 (par</w:t>
      </w:r>
      <w:r w:rsidRPr="00C82A45">
        <w:rPr>
          <w:lang w:val="fr-FR"/>
        </w:rPr>
        <w:t>.</w:t>
      </w:r>
      <w:r>
        <w:rPr>
          <w:lang w:val="fr-FR"/>
        </w:rPr>
        <w:t> 2</w:t>
      </w:r>
      <w:r w:rsidR="00FD2180">
        <w:rPr>
          <w:lang w:val="fr-FR"/>
        </w:rPr>
        <w:t> </w:t>
      </w:r>
      <w:r>
        <w:rPr>
          <w:lang w:val="fr-FR"/>
        </w:rPr>
        <w:t>e)) de la Convention, et en pratique</w:t>
      </w:r>
      <w:r w:rsidRPr="00C82A45">
        <w:rPr>
          <w:lang w:val="fr-FR"/>
        </w:rPr>
        <w:t>.</w:t>
      </w:r>
      <w:r>
        <w:rPr>
          <w:lang w:val="fr-FR"/>
        </w:rPr>
        <w:t xml:space="preserve"> Les États parties devraient donc mettre en place des mécanismes indépendants et impartiaux de contrôle et de mise en cause des </w:t>
      </w:r>
      <w:r>
        <w:rPr>
          <w:lang w:val="fr-FR"/>
        </w:rPr>
        <w:lastRenderedPageBreak/>
        <w:t>responsabilités dans les lieux de privation de liberté</w:t>
      </w:r>
      <w:r w:rsidRPr="00EA7479">
        <w:rPr>
          <w:rStyle w:val="Appelnotedebasdep"/>
        </w:rPr>
        <w:footnoteReference w:id="43"/>
      </w:r>
      <w:r w:rsidRPr="00C82A45">
        <w:rPr>
          <w:lang w:val="fr-FR"/>
        </w:rPr>
        <w:t>.</w:t>
      </w:r>
      <w:r>
        <w:rPr>
          <w:lang w:val="fr-FR"/>
        </w:rPr>
        <w:t xml:space="preserve"> Ils devraient également veiller à ce que les personnes privées de leur liberté ait accès à des mécanismes appropriés pour signaler aux autorités compétentes les violations de ses droits</w:t>
      </w:r>
      <w:r w:rsidRPr="00EA7479">
        <w:rPr>
          <w:rStyle w:val="Appelnotedebasdep"/>
        </w:rPr>
        <w:footnoteReference w:id="44"/>
      </w:r>
      <w:r w:rsidRPr="00C82A45">
        <w:rPr>
          <w:lang w:val="fr-FR"/>
        </w:rPr>
        <w:t>.</w:t>
      </w:r>
    </w:p>
    <w:p w14:paraId="1949F3A9" w14:textId="77777777" w:rsidR="00DC22DE" w:rsidRDefault="00DC22DE" w:rsidP="00C04DBB">
      <w:pPr>
        <w:pStyle w:val="H1G"/>
        <w:rPr>
          <w:lang w:val="fr-FR"/>
        </w:rPr>
      </w:pPr>
      <w:bookmarkStart w:id="16" w:name="_Toc127804277"/>
      <w:bookmarkStart w:id="17" w:name="_Toc129893187"/>
      <w:bookmarkStart w:id="18" w:name="_Toc130394613"/>
      <w:r>
        <w:rPr>
          <w:lang w:val="fr-FR"/>
        </w:rPr>
        <w:tab/>
        <w:t>B</w:t>
      </w:r>
      <w:r w:rsidRPr="00C82A45">
        <w:rPr>
          <w:lang w:val="fr-FR"/>
        </w:rPr>
        <w:t>.</w:t>
      </w:r>
      <w:r>
        <w:rPr>
          <w:lang w:val="fr-FR"/>
        </w:rPr>
        <w:tab/>
        <w:t>Collecte de données</w:t>
      </w:r>
      <w:bookmarkEnd w:id="16"/>
      <w:bookmarkEnd w:id="17"/>
      <w:bookmarkEnd w:id="18"/>
    </w:p>
    <w:p w14:paraId="4515501E" w14:textId="628D0808" w:rsidR="00DC22DE" w:rsidRDefault="00DC22DE" w:rsidP="00C04DBB">
      <w:pPr>
        <w:pStyle w:val="SingleTxtG"/>
        <w:rPr>
          <w:color w:val="000000" w:themeColor="text1"/>
          <w:lang w:val="fr-FR"/>
        </w:rPr>
      </w:pPr>
      <w:r>
        <w:rPr>
          <w:lang w:val="fr-FR"/>
        </w:rPr>
        <w:t>23</w:t>
      </w:r>
      <w:r w:rsidRPr="00C82A45">
        <w:rPr>
          <w:lang w:val="fr-FR"/>
        </w:rPr>
        <w:t>.</w:t>
      </w:r>
      <w:r>
        <w:rPr>
          <w:lang w:val="fr-FR"/>
        </w:rPr>
        <w:tab/>
        <w:t>Le manque de données et de statistiques fiables sur les migrants disparus et décédés est l’un des principaux obstacles à la prévention de la disparition de migrants et à la lutte contre celle</w:t>
      </w:r>
      <w:r>
        <w:rPr>
          <w:lang w:val="fr-FR"/>
        </w:rPr>
        <w:noBreakHyphen/>
        <w:t>ci</w:t>
      </w:r>
      <w:r w:rsidRPr="00EA7479">
        <w:rPr>
          <w:rStyle w:val="Appelnotedebasdep"/>
        </w:rPr>
        <w:footnoteReference w:id="45"/>
      </w:r>
      <w:r w:rsidRPr="00C82A45">
        <w:rPr>
          <w:lang w:val="fr-FR"/>
        </w:rPr>
        <w:t>.</w:t>
      </w:r>
      <w:r>
        <w:rPr>
          <w:lang w:val="fr-FR"/>
        </w:rPr>
        <w:t xml:space="preserve"> Le Comité souligne que la collecte régulière et systématique de données ventilées et la production de statistiques précises sont essentielles pour comprendre l’ampleur du problème de la disparition de migrants et pour élaborer des politiques de prévention, de recherche, d’enquête, de sanction et d’élimination efficaces, fondées sur une approche différenciée</w:t>
      </w:r>
      <w:r w:rsidRPr="00C82A45">
        <w:rPr>
          <w:lang w:val="fr-FR"/>
        </w:rPr>
        <w:t>.</w:t>
      </w:r>
      <w:r>
        <w:rPr>
          <w:lang w:val="fr-FR"/>
        </w:rPr>
        <w:t xml:space="preserve"> Chacun des États parties devrait créer et mettre à jour régulièrement une base de données nationale unique sur les personnes disparues, qui contienne des informations de base sur les migrants susceptibles d’être victimes d’une disparition, notamment les informations suivantes</w:t>
      </w:r>
      <w:r w:rsidR="00C04DBB">
        <w:rPr>
          <w:lang w:val="fr-FR"/>
        </w:rPr>
        <w:t> </w:t>
      </w:r>
      <w:r>
        <w:rPr>
          <w:lang w:val="fr-FR"/>
        </w:rPr>
        <w:t>: l’âge, le sexe, l’identité de genre, l’orientation sexuelle, la nationalité, l’origine ethnique et l’appartenance religieuse ; le lieu, la date, le contexte et les circonstances de la disparition, y compris tous les éléments de preuve utiles pour déterminer s’il s’agit d’un cas de disparition forcée ; l’état d’avancement des procédures de recherche et d’enquête, et des procédures d’exhumation, d’identification et de restitution</w:t>
      </w:r>
      <w:r w:rsidRPr="00EA7479">
        <w:rPr>
          <w:rStyle w:val="Appelnotedebasdep"/>
        </w:rPr>
        <w:footnoteReference w:id="46"/>
      </w:r>
      <w:r w:rsidRPr="00C82A45">
        <w:rPr>
          <w:lang w:val="fr-FR"/>
        </w:rPr>
        <w:t>.</w:t>
      </w:r>
      <w:r>
        <w:rPr>
          <w:lang w:val="fr-FR"/>
        </w:rPr>
        <w:t xml:space="preserve"> Chacun des États parties qui sont des pays d’origine devrait créer un registre de leurs ressortissants disparus à l’étranger</w:t>
      </w:r>
      <w:r w:rsidRPr="00EA7479">
        <w:rPr>
          <w:rStyle w:val="Appelnotedebasdep"/>
        </w:rPr>
        <w:footnoteReference w:id="47"/>
      </w:r>
      <w:r>
        <w:rPr>
          <w:lang w:val="fr-FR"/>
        </w:rPr>
        <w:t>, et les États parties qui sont des pays d’origine, de transit, de destination ou de retour devraient veiller à ce que l’enregistrement des migrants aux postes frontières donne lieu à un examen individuel de toutes les demandes d’entrée de sorte que, en cas de disparition d’une personne, des recherches efficaces puissent être menées</w:t>
      </w:r>
      <w:r w:rsidRPr="00EA7479">
        <w:rPr>
          <w:rStyle w:val="Appelnotedebasdep"/>
        </w:rPr>
        <w:footnoteReference w:id="48"/>
      </w:r>
      <w:r w:rsidRPr="00C82A45">
        <w:rPr>
          <w:lang w:val="fr-FR"/>
        </w:rPr>
        <w:t>.</w:t>
      </w:r>
      <w:r>
        <w:rPr>
          <w:lang w:val="fr-FR"/>
        </w:rPr>
        <w:t xml:space="preserve"> Les autorités chargées de saisir les données pertinentes doivent le faire de manière uniforme et exhaustive, dès qu’elles ont connaissance d’une disparition</w:t>
      </w:r>
      <w:r w:rsidRPr="00EA7479">
        <w:rPr>
          <w:rStyle w:val="Appelnotedebasdep"/>
        </w:rPr>
        <w:footnoteReference w:id="49"/>
      </w:r>
      <w:r w:rsidRPr="00C82A45">
        <w:rPr>
          <w:lang w:val="fr-FR"/>
        </w:rPr>
        <w:t>.</w:t>
      </w:r>
      <w:r>
        <w:rPr>
          <w:lang w:val="fr-FR"/>
        </w:rPr>
        <w:t xml:space="preserve"> Les États parties doivent veiller à ce que ces données ne soient pas partagées ou utilisées aux fins du contrôle de l’immigration</w:t>
      </w:r>
      <w:r w:rsidRPr="00EA7479">
        <w:rPr>
          <w:rStyle w:val="Appelnotedebasdep"/>
        </w:rPr>
        <w:footnoteReference w:id="50"/>
      </w:r>
      <w:r w:rsidRPr="00C82A45">
        <w:rPr>
          <w:lang w:val="fr-FR"/>
        </w:rPr>
        <w:t>.</w:t>
      </w:r>
    </w:p>
    <w:p w14:paraId="5DAF71CD" w14:textId="3339FFAE" w:rsidR="00DC22DE" w:rsidRDefault="00DC22DE" w:rsidP="00DC22DE">
      <w:pPr>
        <w:pStyle w:val="SingleTxtG"/>
        <w:rPr>
          <w:lang w:val="fr-FR"/>
        </w:rPr>
      </w:pPr>
      <w:r>
        <w:rPr>
          <w:lang w:val="fr-FR"/>
        </w:rPr>
        <w:t>24</w:t>
      </w:r>
      <w:r w:rsidRPr="00C82A45">
        <w:rPr>
          <w:lang w:val="fr-FR"/>
        </w:rPr>
        <w:t>.</w:t>
      </w:r>
      <w:r>
        <w:rPr>
          <w:lang w:val="fr-FR"/>
        </w:rPr>
        <w:tab/>
        <w:t>Le Comité recommande de normaliser la collecte des données afin de faciliter le partage de celles-ci entre les pays d’origine, de transit, de destination et de retour</w:t>
      </w:r>
      <w:r w:rsidRPr="00EA7479">
        <w:rPr>
          <w:rStyle w:val="Appelnotedebasdep"/>
        </w:rPr>
        <w:footnoteReference w:id="51"/>
      </w:r>
      <w:r w:rsidRPr="00C82A45">
        <w:rPr>
          <w:lang w:val="fr-FR"/>
        </w:rPr>
        <w:t>.</w:t>
      </w:r>
      <w:r>
        <w:rPr>
          <w:lang w:val="fr-FR"/>
        </w:rPr>
        <w:t xml:space="preserve"> Les États parties devraient veiller à ce que les bases de données sur les migrants disparus ou portés disparus soient interconnectées et interopérables aux niveaux national et international afin de faciliter le recoupement des informations</w:t>
      </w:r>
      <w:r w:rsidRPr="00C82A45">
        <w:rPr>
          <w:lang w:val="fr-FR"/>
        </w:rPr>
        <w:t>.</w:t>
      </w:r>
      <w:r>
        <w:rPr>
          <w:lang w:val="fr-FR"/>
        </w:rPr>
        <w:t xml:space="preserve"> Tout échange de données personnelles, tant au niveau national qu’au-delà des frontières ou des juridictions, devrait se faire dans le respect des normes internationalement acceptées de protection des données et de protection de la vie privée</w:t>
      </w:r>
      <w:r w:rsidRPr="00EA7479">
        <w:rPr>
          <w:rStyle w:val="Appelnotedebasdep"/>
        </w:rPr>
        <w:footnoteReference w:id="52"/>
      </w:r>
      <w:r w:rsidRPr="00C82A45">
        <w:rPr>
          <w:lang w:val="fr-FR"/>
        </w:rPr>
        <w:t>.</w:t>
      </w:r>
      <w:r>
        <w:rPr>
          <w:lang w:val="fr-FR"/>
        </w:rPr>
        <w:t xml:space="preserve"> De plus, les données personnelles, en particulier les données biométriques, devraient </w:t>
      </w:r>
      <w:r>
        <w:rPr>
          <w:lang w:val="fr-FR"/>
        </w:rPr>
        <w:lastRenderedPageBreak/>
        <w:t>être utilisées dans les seuls buts de rechercher des migrants disparus, conformément à l’article 19 (par</w:t>
      </w:r>
      <w:r w:rsidRPr="00C82A45">
        <w:rPr>
          <w:lang w:val="fr-FR"/>
        </w:rPr>
        <w:t>.</w:t>
      </w:r>
      <w:r w:rsidR="00AF2850">
        <w:rPr>
          <w:lang w:val="fr-FR"/>
        </w:rPr>
        <w:t> </w:t>
      </w:r>
      <w:r>
        <w:rPr>
          <w:lang w:val="fr-FR"/>
        </w:rPr>
        <w:t>1) de la Convention, et de fournir des informations aux personnes ayant un intérêt légitime, conformément à l’article 18</w:t>
      </w:r>
      <w:r w:rsidRPr="00C82A45">
        <w:rPr>
          <w:lang w:val="fr-FR"/>
        </w:rPr>
        <w:t>.</w:t>
      </w:r>
    </w:p>
    <w:p w14:paraId="2EADBCAF" w14:textId="77777777" w:rsidR="00DC22DE" w:rsidRDefault="00DC22DE" w:rsidP="00DC22DE">
      <w:pPr>
        <w:pStyle w:val="SingleTxtG"/>
        <w:rPr>
          <w:lang w:val="fr-FR"/>
        </w:rPr>
      </w:pPr>
      <w:r>
        <w:rPr>
          <w:lang w:val="fr-FR"/>
        </w:rPr>
        <w:t>25</w:t>
      </w:r>
      <w:r w:rsidRPr="00C82A45">
        <w:rPr>
          <w:lang w:val="fr-FR"/>
        </w:rPr>
        <w:t>.</w:t>
      </w:r>
      <w:r>
        <w:rPr>
          <w:lang w:val="fr-FR"/>
        </w:rPr>
        <w:tab/>
        <w:t>Le fait de ne pas tenir de registres tout au long de la prise en charge des personnes qui franchissent des frontières de manière irrégulière accroît encore le risque que ces personnes soient victimes de violations des droits humains, notamment de disparition forcée</w:t>
      </w:r>
      <w:r w:rsidRPr="00EA7479">
        <w:rPr>
          <w:rStyle w:val="Appelnotedebasdep"/>
        </w:rPr>
        <w:footnoteReference w:id="53"/>
      </w:r>
      <w:r w:rsidRPr="00C82A45">
        <w:rPr>
          <w:lang w:val="fr-FR"/>
        </w:rPr>
        <w:t>.</w:t>
      </w:r>
      <w:r>
        <w:rPr>
          <w:lang w:val="fr-FR"/>
        </w:rPr>
        <w:t xml:space="preserve"> Cette absence de registres rend impossible toute application du principe de responsabilité, empêchant notamment la conduite d’enquêtes et d’investigations efficaces</w:t>
      </w:r>
      <w:r w:rsidRPr="00EA7479">
        <w:rPr>
          <w:rStyle w:val="Appelnotedebasdep"/>
        </w:rPr>
        <w:footnoteReference w:id="54"/>
      </w:r>
      <w:r w:rsidRPr="00C82A45">
        <w:rPr>
          <w:lang w:val="fr-FR"/>
        </w:rPr>
        <w:t>.</w:t>
      </w:r>
      <w:r>
        <w:rPr>
          <w:lang w:val="fr-FR"/>
        </w:rPr>
        <w:t xml:space="preserve"> Les États parties doivent donc tenir un registre de la prise en charge des personnes qui franchissent des frontières de manière irrégulière</w:t>
      </w:r>
      <w:r w:rsidRPr="00EA7479">
        <w:rPr>
          <w:rStyle w:val="Appelnotedebasdep"/>
        </w:rPr>
        <w:footnoteReference w:id="55"/>
      </w:r>
      <w:r>
        <w:rPr>
          <w:lang w:val="fr-FR"/>
        </w:rPr>
        <w:t xml:space="preserve"> et recommandé, et les images enregistrées par les équipements de surveillance des frontières devraient être conservées et mises à la disposition des personnes chargées de superviser les opérations frontalières, ainsi que des autorités chargés des recherches des migrants disparus et des enquêtes sur leur disparition</w:t>
      </w:r>
      <w:r w:rsidRPr="00EA7479">
        <w:rPr>
          <w:rStyle w:val="Appelnotedebasdep"/>
        </w:rPr>
        <w:footnoteReference w:id="56"/>
      </w:r>
      <w:r w:rsidRPr="00C82A45">
        <w:rPr>
          <w:lang w:val="fr-FR"/>
        </w:rPr>
        <w:t>.</w:t>
      </w:r>
    </w:p>
    <w:p w14:paraId="5A2C5F0A" w14:textId="77777777" w:rsidR="00DC22DE" w:rsidRDefault="00DC22DE" w:rsidP="00DC22DE">
      <w:pPr>
        <w:pStyle w:val="SingleTxtG"/>
        <w:rPr>
          <w:lang w:val="fr-FR"/>
        </w:rPr>
      </w:pPr>
      <w:r>
        <w:rPr>
          <w:lang w:val="fr-FR"/>
        </w:rPr>
        <w:t>26</w:t>
      </w:r>
      <w:r w:rsidRPr="00C82A45">
        <w:rPr>
          <w:lang w:val="fr-FR"/>
        </w:rPr>
        <w:t>.</w:t>
      </w:r>
      <w:r>
        <w:rPr>
          <w:lang w:val="fr-FR"/>
        </w:rPr>
        <w:tab/>
        <w:t>Outre la collecte de données, les États parties devraient procéder à des analyses contextuelles afin de dégager d’éventuelles constantes concernant les cas de disparition de migrants et les défaillances structurelles sous-jacentes qui favorisent ces infractions</w:t>
      </w:r>
      <w:r w:rsidRPr="00EA7479">
        <w:rPr>
          <w:rStyle w:val="Appelnotedebasdep"/>
        </w:rPr>
        <w:footnoteReference w:id="57"/>
      </w:r>
      <w:r>
        <w:rPr>
          <w:lang w:val="fr-FR"/>
        </w:rPr>
        <w:t>, et de mettre en lumière les liens qui pourraient exister entre les autorités et les réseaux criminels impliqués dans la traite de personnes et le trafic de migrants</w:t>
      </w:r>
      <w:r w:rsidRPr="00C82A45">
        <w:rPr>
          <w:lang w:val="fr-FR"/>
        </w:rPr>
        <w:t>.</w:t>
      </w:r>
      <w:r>
        <w:rPr>
          <w:lang w:val="fr-FR"/>
        </w:rPr>
        <w:t xml:space="preserve"> À cette fin, le Comité recommande aux États parties de collecter des données qualitatives</w:t>
      </w:r>
      <w:r w:rsidRPr="00EA7479">
        <w:rPr>
          <w:rStyle w:val="Appelnotedebasdep"/>
        </w:rPr>
        <w:footnoteReference w:id="58"/>
      </w:r>
      <w:r w:rsidRPr="00C82A45">
        <w:rPr>
          <w:lang w:val="fr-FR"/>
        </w:rPr>
        <w:t>.</w:t>
      </w:r>
      <w:r>
        <w:rPr>
          <w:lang w:val="fr-FR"/>
        </w:rPr>
        <w:t xml:space="preserve"> Afin de dégager des tendances et des constantes concernant les cas de disparition de migrants dans le contexte de la traite, les États parties devraient coopérer avec un large éventail d’acteurs, notamment avec des praticiens de la lutte contre la traite et des migrations</w:t>
      </w:r>
      <w:r w:rsidRPr="00EA7479">
        <w:rPr>
          <w:rStyle w:val="Appelnotedebasdep"/>
        </w:rPr>
        <w:footnoteReference w:id="59"/>
      </w:r>
      <w:r w:rsidRPr="00C82A45">
        <w:rPr>
          <w:lang w:val="fr-FR"/>
        </w:rPr>
        <w:t>.</w:t>
      </w:r>
      <w:r>
        <w:rPr>
          <w:lang w:val="fr-FR"/>
        </w:rPr>
        <w:t xml:space="preserve"> </w:t>
      </w:r>
    </w:p>
    <w:p w14:paraId="7346D7D3" w14:textId="77777777" w:rsidR="00DC22DE" w:rsidRDefault="00DC22DE" w:rsidP="00C04DBB">
      <w:pPr>
        <w:pStyle w:val="H1G"/>
        <w:rPr>
          <w:lang w:val="fr-FR"/>
        </w:rPr>
      </w:pPr>
      <w:r>
        <w:rPr>
          <w:lang w:val="fr-FR"/>
        </w:rPr>
        <w:tab/>
        <w:t>C</w:t>
      </w:r>
      <w:r w:rsidRPr="00C82A45">
        <w:rPr>
          <w:lang w:val="fr-FR"/>
        </w:rPr>
        <w:t>.</w:t>
      </w:r>
      <w:r>
        <w:rPr>
          <w:lang w:val="fr-FR"/>
        </w:rPr>
        <w:tab/>
        <w:t>Orientations générales et non-criminalisation</w:t>
      </w:r>
    </w:p>
    <w:p w14:paraId="7FD2A7A5" w14:textId="77777777" w:rsidR="00DC22DE" w:rsidRDefault="00DC22DE" w:rsidP="00DC22DE">
      <w:pPr>
        <w:pStyle w:val="SingleTxtG"/>
        <w:rPr>
          <w:lang w:val="fr-FR"/>
        </w:rPr>
      </w:pPr>
      <w:r>
        <w:rPr>
          <w:lang w:val="fr-FR"/>
        </w:rPr>
        <w:t>27</w:t>
      </w:r>
      <w:r w:rsidRPr="00C82A45">
        <w:rPr>
          <w:lang w:val="fr-FR"/>
        </w:rPr>
        <w:t>.</w:t>
      </w:r>
      <w:r>
        <w:rPr>
          <w:lang w:val="fr-FR"/>
        </w:rPr>
        <w:tab/>
        <w:t>Les politiques qui font tomber sous le coup du droit pénal les migrants, et la migration elle-même, ne prévoient pas les mécanismes nécessaires pour permettre une évaluation préalable des risques et des circonstances dans chaque cas</w:t>
      </w:r>
      <w:r w:rsidRPr="00C82A45">
        <w:rPr>
          <w:lang w:val="fr-FR"/>
        </w:rPr>
        <w:t>.</w:t>
      </w:r>
      <w:r>
        <w:rPr>
          <w:lang w:val="fr-FR"/>
        </w:rPr>
        <w:t xml:space="preserve"> Elles se concentrent sur la dissuasion et augmentent le risque de violation des droits humains des migrants, notamment le risque de disparition forcée</w:t>
      </w:r>
      <w:r w:rsidRPr="00C82A45">
        <w:rPr>
          <w:lang w:val="fr-FR"/>
        </w:rPr>
        <w:t>.</w:t>
      </w:r>
      <w:r>
        <w:rPr>
          <w:lang w:val="fr-FR"/>
        </w:rPr>
        <w:t xml:space="preserve"> C’est pourquoi le Comité invite instamment les États parties à adopter des politiques fondées sur l’observation des faits afin de faciliter l’accès à des migrations régulières, sûres et ordonnées, conformément aux objectifs du Pacte mondial pour des migrations sûres, ordonnées et régulières et aux engagements qui y sont pris</w:t>
      </w:r>
      <w:r w:rsidRPr="00C82A45">
        <w:rPr>
          <w:lang w:val="fr-FR"/>
        </w:rPr>
        <w:t>.</w:t>
      </w:r>
      <w:r>
        <w:rPr>
          <w:lang w:val="fr-FR"/>
        </w:rPr>
        <w:t xml:space="preserve"> Plus précisément, les États parties devraient s’employer à améliorer les filières de migration régulière, à s’attaquer aux facteurs de vulnérabilité liés aux migrations et à les réduire, à sauver des vies, à lutter contre la traite de personnes et le trafic de migrants, à former et </w:t>
      </w:r>
      <w:r>
        <w:rPr>
          <w:lang w:val="fr-FR"/>
        </w:rPr>
        <w:lastRenderedPageBreak/>
        <w:t>équiper de manière adéquate les autorités frontalières, à chercher des mesures de substitution à la détention, à renforcer l’assistance consulaire et, s’il y a lieu, faciliter l’accès des autorités consulaires aux informations pertinentes concernant les personnes disparues, et à éliminer la discrimination</w:t>
      </w:r>
      <w:r w:rsidRPr="00EA7479">
        <w:rPr>
          <w:rStyle w:val="Appelnotedebasdep"/>
        </w:rPr>
        <w:footnoteReference w:id="60"/>
      </w:r>
      <w:r w:rsidRPr="00C82A45">
        <w:rPr>
          <w:lang w:val="fr-FR"/>
        </w:rPr>
        <w:t>.</w:t>
      </w:r>
      <w:r>
        <w:rPr>
          <w:lang w:val="fr-FR"/>
        </w:rPr>
        <w:t xml:space="preserve"> De plus, les États parties doivent garantir le droit qu’a toute personne de demander une protection juridique fondée sur une évaluation individuelle des risques et d’accéder à la justice par des voies de recours, y compris dans les situations où des forces militaires prennent part au contrôles aux frontières</w:t>
      </w:r>
      <w:r w:rsidRPr="00C82A45">
        <w:rPr>
          <w:lang w:val="fr-FR"/>
        </w:rPr>
        <w:t>.</w:t>
      </w:r>
      <w:r>
        <w:rPr>
          <w:lang w:val="fr-FR"/>
        </w:rPr>
        <w:t xml:space="preserve"> Les États parties doivent mettre fin aux </w:t>
      </w:r>
      <w:r w:rsidRPr="00B96634">
        <w:rPr>
          <w:lang w:val="fr-FR"/>
        </w:rPr>
        <w:t>pratiques d</w:t>
      </w:r>
      <w:r>
        <w:rPr>
          <w:lang w:val="fr-FR"/>
        </w:rPr>
        <w:t>’</w:t>
      </w:r>
      <w:r w:rsidRPr="00B96634">
        <w:rPr>
          <w:lang w:val="fr-FR"/>
        </w:rPr>
        <w:t>expulsion et de renvois sommaires collectifs aux frontières, à celles</w:t>
      </w:r>
      <w:r>
        <w:rPr>
          <w:lang w:val="fr-FR"/>
        </w:rPr>
        <w:t xml:space="preserve"> consistant à s’abstenir d’agir avec diligence pour secourir des migrants qui se trouvent en mer, dans le désert, dans des forêts impraticables, exposés à des températures extrêmes ou dans d’autres situations mettant leur vie en danger, enquêter sur ces pratiques et les réprimer</w:t>
      </w:r>
      <w:r w:rsidRPr="00C82A45">
        <w:rPr>
          <w:lang w:val="fr-FR"/>
        </w:rPr>
        <w:t>.</w:t>
      </w:r>
      <w:r>
        <w:rPr>
          <w:lang w:val="fr-FR"/>
        </w:rPr>
        <w:t xml:space="preserve"> </w:t>
      </w:r>
    </w:p>
    <w:p w14:paraId="4F7657A8" w14:textId="6A1558D4" w:rsidR="00DC22DE" w:rsidRDefault="00DC22DE" w:rsidP="00DC22DE">
      <w:pPr>
        <w:pStyle w:val="SingleTxtG"/>
        <w:rPr>
          <w:lang w:val="fr-FR"/>
        </w:rPr>
      </w:pPr>
      <w:r>
        <w:rPr>
          <w:lang w:val="fr-FR"/>
        </w:rPr>
        <w:t>28</w:t>
      </w:r>
      <w:r w:rsidRPr="00C82A45">
        <w:rPr>
          <w:lang w:val="fr-FR"/>
        </w:rPr>
        <w:t>.</w:t>
      </w:r>
      <w:r>
        <w:rPr>
          <w:lang w:val="fr-FR"/>
        </w:rPr>
        <w:tab/>
        <w:t>Compte tenu du rôle que jouent les acteurs non étatiques dans de nombreux cas de disparition de migrants</w:t>
      </w:r>
      <w:r w:rsidRPr="00EA7479">
        <w:rPr>
          <w:rStyle w:val="Appelnotedebasdep"/>
        </w:rPr>
        <w:footnoteReference w:id="61"/>
      </w:r>
      <w:r>
        <w:rPr>
          <w:lang w:val="fr-FR"/>
        </w:rPr>
        <w:t>, les États parties devraient, en coopération avec les pays d’origine, de transit, de destination et de retour, redoubler d’efforts pour lutter contre toute forme d’exploitation ou de traite de personnes, de trafic et de corruption et remédier aux exactions et violations des droits commises dans le cadre du trafic et du fait de la corruption</w:t>
      </w:r>
      <w:r w:rsidRPr="00EA7479">
        <w:rPr>
          <w:rStyle w:val="Appelnotedebasdep"/>
        </w:rPr>
        <w:footnoteReference w:id="62"/>
      </w:r>
      <w:r w:rsidRPr="00C82A45">
        <w:rPr>
          <w:lang w:val="fr-FR"/>
        </w:rPr>
        <w:t>.</w:t>
      </w:r>
      <w:r>
        <w:rPr>
          <w:lang w:val="fr-FR"/>
        </w:rPr>
        <w:t xml:space="preserve"> Le</w:t>
      </w:r>
      <w:r w:rsidR="005210C1">
        <w:rPr>
          <w:lang w:val="fr-FR"/>
        </w:rPr>
        <w:t> </w:t>
      </w:r>
      <w:r>
        <w:rPr>
          <w:lang w:val="fr-FR"/>
        </w:rPr>
        <w:t>Comité engage les États parties à adhérer aux instruments internationaux visant à éliminer la criminalité transnationale organisée et à appliquer ces instruments, en particulier : le Protocole additionnel à la Convention des Nations Unies contre la criminalité transnationale organisée visant à prévenir, réprimer et punir la traite des personnes, en particulier des femmes et des enfants ; le Protocole contre le trafic illicite de migrants par terre, air et mer, additionnel à la Convention des Nations Unies contre la criminalité transnationale organisée ; la Convention des Nations Unies contre la corruption, et d’autres instruments internationaux et régionaux pertinents, dans le cadre de l’action qu’ils mènent pour prévenir la disparition de migrants</w:t>
      </w:r>
      <w:r w:rsidRPr="00C82A45">
        <w:rPr>
          <w:lang w:val="fr-FR"/>
        </w:rPr>
        <w:t>.</w:t>
      </w:r>
    </w:p>
    <w:p w14:paraId="0A0DA578" w14:textId="04C0FFED" w:rsidR="00DC22DE" w:rsidRDefault="00DC22DE" w:rsidP="00DC22DE">
      <w:pPr>
        <w:pStyle w:val="SingleTxtG"/>
        <w:rPr>
          <w:lang w:val="fr-FR"/>
        </w:rPr>
      </w:pPr>
      <w:r>
        <w:rPr>
          <w:lang w:val="fr-FR"/>
        </w:rPr>
        <w:t>29</w:t>
      </w:r>
      <w:r w:rsidRPr="00C82A45">
        <w:rPr>
          <w:lang w:val="fr-FR"/>
        </w:rPr>
        <w:t>.</w:t>
      </w:r>
      <w:r>
        <w:rPr>
          <w:lang w:val="fr-FR"/>
        </w:rPr>
        <w:tab/>
        <w:t>Une attention particulière doit être accordée aux droits des enfants migrants, en particulier aux droits des mineurs non accompagnés</w:t>
      </w:r>
      <w:r w:rsidRPr="00EA7479">
        <w:rPr>
          <w:rStyle w:val="Appelnotedebasdep"/>
        </w:rPr>
        <w:footnoteReference w:id="63"/>
      </w:r>
      <w:r w:rsidRPr="00C82A45">
        <w:rPr>
          <w:lang w:val="fr-FR"/>
        </w:rPr>
        <w:t>.</w:t>
      </w:r>
      <w:r>
        <w:rPr>
          <w:lang w:val="fr-FR"/>
        </w:rPr>
        <w:t xml:space="preserve"> La séparation des enfants de leur famille augmente le risque de disparition forcée et devrait être évitée, à moins qu’elle soit considérée comme étant dans l’intérêt supérieur de l’enfant, conformément aux normes internationales</w:t>
      </w:r>
      <w:r w:rsidRPr="00EA7479">
        <w:rPr>
          <w:rStyle w:val="Appelnotedebasdep"/>
        </w:rPr>
        <w:footnoteReference w:id="64"/>
      </w:r>
      <w:r w:rsidRPr="00C82A45">
        <w:rPr>
          <w:lang w:val="fr-FR"/>
        </w:rPr>
        <w:t>.</w:t>
      </w:r>
      <w:r>
        <w:rPr>
          <w:lang w:val="fr-FR"/>
        </w:rPr>
        <w:t xml:space="preserve"> Les États parties devraient prendre des mesures efficaces pour assurer la protection des enfants migrants non accompagnés ou séparés qui sont hébergés dans des centres d’accueil ou d’autres lieux d’hébergement, afin qu’ils ne soient pas victimes de violations des droits humains, notamment d’une disparition au sens des articles 2 et 3 de la Convention</w:t>
      </w:r>
      <w:r w:rsidRPr="00EA7479">
        <w:rPr>
          <w:rStyle w:val="Appelnotedebasdep"/>
        </w:rPr>
        <w:footnoteReference w:id="65"/>
      </w:r>
      <w:r w:rsidRPr="00C82A45">
        <w:rPr>
          <w:lang w:val="fr-FR"/>
        </w:rPr>
        <w:t>.</w:t>
      </w:r>
      <w:r>
        <w:rPr>
          <w:lang w:val="fr-FR"/>
        </w:rPr>
        <w:t xml:space="preserve"> Les enfants nés de mères se trouvant sur les routes migratoires ou dans des lieux de privation de liberté sont plus exposés que les autres à la soustraction (art</w:t>
      </w:r>
      <w:r w:rsidRPr="00C82A45">
        <w:rPr>
          <w:lang w:val="fr-FR"/>
        </w:rPr>
        <w:t>.</w:t>
      </w:r>
      <w:r w:rsidR="00AA1861">
        <w:rPr>
          <w:lang w:val="fr-FR"/>
        </w:rPr>
        <w:t> </w:t>
      </w:r>
      <w:r>
        <w:rPr>
          <w:lang w:val="fr-FR"/>
        </w:rPr>
        <w:t xml:space="preserve">25), et il </w:t>
      </w:r>
      <w:r>
        <w:rPr>
          <w:lang w:val="fr-FR"/>
        </w:rPr>
        <w:lastRenderedPageBreak/>
        <w:t>est donc primordial de veiller à ce qu’ils soient enregistrés à la naissance</w:t>
      </w:r>
      <w:r w:rsidRPr="00EA7479">
        <w:rPr>
          <w:rStyle w:val="Appelnotedebasdep"/>
        </w:rPr>
        <w:footnoteReference w:id="66"/>
      </w:r>
      <w:r w:rsidRPr="00C82A45">
        <w:rPr>
          <w:lang w:val="fr-FR"/>
        </w:rPr>
        <w:t>.</w:t>
      </w:r>
      <w:r>
        <w:rPr>
          <w:lang w:val="fr-FR"/>
        </w:rPr>
        <w:t xml:space="preserve"> </w:t>
      </w:r>
      <w:r>
        <w:t>Pour protéger leur intérêt supérieur, les États parties devraient accorder aux enfants le droit d’avoir accès au territoire, qu’ils aient ou non des documents et quels que soient les documents en leur possession, ainsi que le droit d’être dirigés vers les autorités chargées d’évaluer leurs besoins en matière de protection de leurs droits, les garanties de procédure leur étant assurée</w:t>
      </w:r>
      <w:r w:rsidRPr="00EA7479">
        <w:rPr>
          <w:rStyle w:val="Appelnotedebasdep"/>
        </w:rPr>
        <w:footnoteReference w:id="67"/>
      </w:r>
      <w:r>
        <w:rPr>
          <w:lang w:val="fr-FR"/>
        </w:rPr>
        <w:t>. Le</w:t>
      </w:r>
      <w:r w:rsidR="00AA1861">
        <w:rPr>
          <w:lang w:val="fr-FR"/>
        </w:rPr>
        <w:t> </w:t>
      </w:r>
      <w:r>
        <w:rPr>
          <w:lang w:val="fr-FR"/>
        </w:rPr>
        <w:t>respect de l’intérêt supérieur de l’enfant et le maintien de l’unité familiale devraient être prioritaires, c’est pourquoi il convient de recenser rapidement les enfants migrants lors des contrôles aux frontières ou dans d’autres circonstances, de désigner un tuteur pour les enfants non accompagnés et de mettre en place des procédures de détermination de l’intérêt supérieur de l’enfant</w:t>
      </w:r>
      <w:r w:rsidRPr="00EA7479">
        <w:rPr>
          <w:rStyle w:val="Appelnotedebasdep"/>
        </w:rPr>
        <w:footnoteReference w:id="68"/>
      </w:r>
      <w:r w:rsidRPr="00C82A45">
        <w:rPr>
          <w:lang w:val="fr-FR"/>
        </w:rPr>
        <w:t>.</w:t>
      </w:r>
    </w:p>
    <w:p w14:paraId="4891B37A" w14:textId="3A066AD3" w:rsidR="00DC22DE" w:rsidRDefault="00DC22DE" w:rsidP="00DC22DE">
      <w:pPr>
        <w:pStyle w:val="SingleTxtG"/>
        <w:rPr>
          <w:lang w:val="fr-FR"/>
        </w:rPr>
      </w:pPr>
      <w:r>
        <w:rPr>
          <w:lang w:val="fr-FR"/>
        </w:rPr>
        <w:t>30</w:t>
      </w:r>
      <w:r w:rsidRPr="00C82A45">
        <w:rPr>
          <w:lang w:val="fr-FR"/>
        </w:rPr>
        <w:t>.</w:t>
      </w:r>
      <w:r>
        <w:rPr>
          <w:lang w:val="fr-FR"/>
        </w:rPr>
        <w:tab/>
        <w:t>Le fait de faire tomber la migration comme la fourniture d’une aide aux migrants sous le coup du droit pénal contribue directement à accentuer le risque de disparition couru par les migrants, en plaçant ceux</w:t>
      </w:r>
      <w:r>
        <w:rPr>
          <w:lang w:val="fr-FR"/>
        </w:rPr>
        <w:noBreakHyphen/>
        <w:t>ci dans une situation de vulnérabilité</w:t>
      </w:r>
      <w:r w:rsidRPr="00C82A45">
        <w:rPr>
          <w:lang w:val="fr-FR"/>
        </w:rPr>
        <w:t>.</w:t>
      </w:r>
      <w:r>
        <w:rPr>
          <w:lang w:val="fr-FR"/>
        </w:rPr>
        <w:t xml:space="preserve"> Le Comité engage donc les États parties à éviter de faire tomber la migration sous le coup du droit pénal, tant en droit que dans la pratique, et à créer un environnement favorable aux personnes ou aux organisations qui fournissent une assistance humanitaire ou juridique aux migrants</w:t>
      </w:r>
      <w:r w:rsidRPr="00EA7479">
        <w:rPr>
          <w:rStyle w:val="Appelnotedebasdep"/>
        </w:rPr>
        <w:footnoteReference w:id="69"/>
      </w:r>
      <w:r w:rsidRPr="00C82A45">
        <w:rPr>
          <w:lang w:val="fr-FR"/>
        </w:rPr>
        <w:t>.</w:t>
      </w:r>
      <w:r>
        <w:rPr>
          <w:lang w:val="fr-FR"/>
        </w:rPr>
        <w:t xml:space="preserve"> Les</w:t>
      </w:r>
      <w:r w:rsidR="00A66C5A">
        <w:rPr>
          <w:lang w:val="fr-FR"/>
        </w:rPr>
        <w:t> </w:t>
      </w:r>
      <w:r>
        <w:rPr>
          <w:lang w:val="fr-FR"/>
        </w:rPr>
        <w:t>États parties doivent faire en sorte que les défenseurs des droits humains, les acteurs de la société civile, les journalistes et toute personne apportant de telles formes d’assistance ne soient pas considérés comme des délinquants ni poursuivis au motif qu’ils ont participé à des opérations de recherche et de sauvetage de migrants, ont recensé et documenté des cas de violations, ou ont fourni une quelconque forme d’assistance à des migrants</w:t>
      </w:r>
      <w:r w:rsidRPr="00EA7479">
        <w:rPr>
          <w:rStyle w:val="Appelnotedebasdep"/>
        </w:rPr>
        <w:footnoteReference w:id="70"/>
      </w:r>
      <w:r w:rsidRPr="00C82A45">
        <w:rPr>
          <w:lang w:val="fr-FR"/>
        </w:rPr>
        <w:t>.</w:t>
      </w:r>
      <w:r>
        <w:rPr>
          <w:lang w:val="fr-FR"/>
        </w:rPr>
        <w:t xml:space="preserve"> À cette fin, les États parties devraient revoir la terminologie utilisée dans certains types de législation, comme leurs législations relatives à la lutte contre la traite, le trafic de migrants et le terrorisme</w:t>
      </w:r>
      <w:r w:rsidRPr="00EA7479">
        <w:rPr>
          <w:rStyle w:val="Appelnotedebasdep"/>
        </w:rPr>
        <w:footnoteReference w:id="71"/>
      </w:r>
      <w:r w:rsidRPr="00C82A45">
        <w:rPr>
          <w:lang w:val="fr-FR"/>
        </w:rPr>
        <w:t>.</w:t>
      </w:r>
      <w:r>
        <w:rPr>
          <w:lang w:val="fr-FR"/>
        </w:rPr>
        <w:t xml:space="preserve"> </w:t>
      </w:r>
    </w:p>
    <w:p w14:paraId="189F22B8" w14:textId="77777777" w:rsidR="00DC22DE" w:rsidRDefault="00DC22DE" w:rsidP="00FF0278">
      <w:pPr>
        <w:pStyle w:val="H1G"/>
        <w:rPr>
          <w:lang w:val="fr-FR"/>
        </w:rPr>
      </w:pPr>
      <w:bookmarkStart w:id="19" w:name="_Toc127804279"/>
      <w:bookmarkStart w:id="20" w:name="_Toc129893189"/>
      <w:bookmarkStart w:id="21" w:name="_Toc130394615"/>
      <w:r>
        <w:rPr>
          <w:lang w:val="fr-FR"/>
        </w:rPr>
        <w:tab/>
        <w:t>D</w:t>
      </w:r>
      <w:r w:rsidRPr="00C82A45">
        <w:rPr>
          <w:lang w:val="fr-FR"/>
        </w:rPr>
        <w:t>.</w:t>
      </w:r>
      <w:r>
        <w:rPr>
          <w:lang w:val="fr-FR"/>
        </w:rPr>
        <w:tab/>
        <w:t>Non-refoulement et interdiction des renvois</w:t>
      </w:r>
      <w:bookmarkEnd w:id="19"/>
      <w:bookmarkEnd w:id="20"/>
      <w:bookmarkEnd w:id="21"/>
      <w:r>
        <w:rPr>
          <w:lang w:val="fr-FR"/>
        </w:rPr>
        <w:t xml:space="preserve"> sommaires</w:t>
      </w:r>
    </w:p>
    <w:p w14:paraId="2C03A6B1" w14:textId="6F95C608" w:rsidR="00DC22DE" w:rsidRDefault="00DC22DE" w:rsidP="004D2263">
      <w:pPr>
        <w:pStyle w:val="SingleTxtG"/>
        <w:spacing w:after="100"/>
        <w:rPr>
          <w:lang w:val="fr-FR"/>
        </w:rPr>
      </w:pPr>
      <w:r>
        <w:rPr>
          <w:lang w:val="fr-FR"/>
        </w:rPr>
        <w:t>31</w:t>
      </w:r>
      <w:r w:rsidRPr="00C82A45">
        <w:rPr>
          <w:lang w:val="fr-FR"/>
        </w:rPr>
        <w:t>.</w:t>
      </w:r>
      <w:r>
        <w:rPr>
          <w:lang w:val="fr-FR"/>
        </w:rPr>
        <w:tab/>
        <w:t>L’article 16 (par</w:t>
      </w:r>
      <w:r w:rsidRPr="00C82A45">
        <w:rPr>
          <w:lang w:val="fr-FR"/>
        </w:rPr>
        <w:t>.</w:t>
      </w:r>
      <w:r>
        <w:rPr>
          <w:lang w:val="fr-FR"/>
        </w:rPr>
        <w:t xml:space="preserve"> 1) de la Convention consacre le principe du non</w:t>
      </w:r>
      <w:r>
        <w:rPr>
          <w:lang w:val="fr-FR"/>
        </w:rPr>
        <w:noBreakHyphen/>
        <w:t>refoulement d’une personne vers un autre État s’il y a des motifs sérieux de croire qu’elle risque d’être victime d’une disparition forcée, auquel il ne peut pas être dérogé</w:t>
      </w:r>
      <w:r w:rsidRPr="00C82A45">
        <w:rPr>
          <w:lang w:val="fr-FR"/>
        </w:rPr>
        <w:t>.</w:t>
      </w:r>
      <w:r>
        <w:rPr>
          <w:lang w:val="fr-FR"/>
        </w:rPr>
        <w:t xml:space="preserve"> Les États parties devraient inscrire expressément ce principe dans leur législation nationale</w:t>
      </w:r>
      <w:r w:rsidRPr="00EA7479">
        <w:rPr>
          <w:rStyle w:val="Appelnotedebasdep"/>
        </w:rPr>
        <w:footnoteReference w:id="72"/>
      </w:r>
      <w:r>
        <w:rPr>
          <w:lang w:val="fr-FR"/>
        </w:rPr>
        <w:t xml:space="preserve"> et s’abstenir de prévoir des dispositions permettant d’y déroger</w:t>
      </w:r>
      <w:r w:rsidRPr="00EA7479">
        <w:rPr>
          <w:rStyle w:val="Appelnotedebasdep"/>
        </w:rPr>
        <w:footnoteReference w:id="73"/>
      </w:r>
      <w:r w:rsidRPr="00C82A45">
        <w:rPr>
          <w:lang w:val="fr-FR"/>
        </w:rPr>
        <w:t>.</w:t>
      </w:r>
      <w:r>
        <w:rPr>
          <w:lang w:val="fr-FR"/>
        </w:rPr>
        <w:t xml:space="preserve"> L’interdiction du refoulement s’applique partout où l’État partie exerce sa juridiction ou un contrôle effectif sur les personnes concernées, </w:t>
      </w:r>
      <w:r>
        <w:rPr>
          <w:lang w:val="fr-FR"/>
        </w:rPr>
        <w:lastRenderedPageBreak/>
        <w:t>y</w:t>
      </w:r>
      <w:r w:rsidR="00FF0278">
        <w:rPr>
          <w:lang w:val="fr-FR"/>
        </w:rPr>
        <w:t> </w:t>
      </w:r>
      <w:r>
        <w:rPr>
          <w:lang w:val="fr-FR"/>
        </w:rPr>
        <w:t>compris en mer et à bord des navires</w:t>
      </w:r>
      <w:r w:rsidRPr="00EA7479">
        <w:rPr>
          <w:rStyle w:val="Appelnotedebasdep"/>
        </w:rPr>
        <w:footnoteReference w:id="74"/>
      </w:r>
      <w:r w:rsidRPr="00C82A45">
        <w:rPr>
          <w:lang w:val="fr-FR"/>
        </w:rPr>
        <w:t>.</w:t>
      </w:r>
      <w:r>
        <w:rPr>
          <w:lang w:val="fr-FR"/>
        </w:rPr>
        <w:t xml:space="preserve"> Elle s’applique également lorsque des États parties décident d’externaliser la gestion des migrations en la confiant à des pays tiers</w:t>
      </w:r>
      <w:r w:rsidRPr="00EA7479">
        <w:rPr>
          <w:rStyle w:val="Appelnotedebasdep"/>
        </w:rPr>
        <w:footnoteReference w:id="75"/>
      </w:r>
      <w:r w:rsidRPr="00C82A45">
        <w:rPr>
          <w:lang w:val="fr-FR"/>
        </w:rPr>
        <w:t>.</w:t>
      </w:r>
    </w:p>
    <w:p w14:paraId="231E9078" w14:textId="542C4892" w:rsidR="00DC22DE" w:rsidRDefault="00DC22DE" w:rsidP="004D2263">
      <w:pPr>
        <w:pStyle w:val="SingleTxtG"/>
        <w:spacing w:after="100"/>
        <w:rPr>
          <w:lang w:val="fr-FR"/>
        </w:rPr>
      </w:pPr>
      <w:r>
        <w:rPr>
          <w:lang w:val="fr-FR"/>
        </w:rPr>
        <w:t>32</w:t>
      </w:r>
      <w:r w:rsidRPr="00C82A45">
        <w:rPr>
          <w:lang w:val="fr-FR"/>
        </w:rPr>
        <w:t>.</w:t>
      </w:r>
      <w:r>
        <w:rPr>
          <w:lang w:val="fr-FR"/>
        </w:rPr>
        <w:tab/>
        <w:t>Le principe de non-refoulement exige des États parties qu’ils veillent à ce que le cas de chaque personne soit examiné individuellement, de manière impartiale et indépendante, par les autorités administratives et judiciaires compétentes, conformément aux normes internationales relatives au respect de la légalité</w:t>
      </w:r>
      <w:r w:rsidRPr="00EA7479">
        <w:rPr>
          <w:rStyle w:val="Appelnotedebasdep"/>
        </w:rPr>
        <w:footnoteReference w:id="76"/>
      </w:r>
      <w:r w:rsidRPr="00C82A45">
        <w:rPr>
          <w:lang w:val="fr-FR"/>
        </w:rPr>
        <w:t>.</w:t>
      </w:r>
      <w:r>
        <w:rPr>
          <w:lang w:val="fr-FR"/>
        </w:rPr>
        <w:t xml:space="preserve"> Ces normes prévoient notamment l’évaluation du risque de transfert de la personne vers un pays tiers où elle pourrait être soumise à une disparition forcée (« refoulement en chaîne »)</w:t>
      </w:r>
      <w:r w:rsidRPr="00EA7479">
        <w:rPr>
          <w:rStyle w:val="Appelnotedebasdep"/>
        </w:rPr>
        <w:footnoteReference w:id="77"/>
      </w:r>
      <w:r w:rsidRPr="00C82A45">
        <w:rPr>
          <w:lang w:val="fr-FR"/>
        </w:rPr>
        <w:t>.</w:t>
      </w:r>
      <w:r>
        <w:rPr>
          <w:lang w:val="fr-FR"/>
        </w:rPr>
        <w:t xml:space="preserve"> Les listes de « pays sûrs » ne doivent pas être utilisées comme une solution de substitution aux évaluations individuelles des risques</w:t>
      </w:r>
      <w:r w:rsidRPr="00EA7479">
        <w:rPr>
          <w:rStyle w:val="Appelnotedebasdep"/>
        </w:rPr>
        <w:footnoteReference w:id="78"/>
      </w:r>
      <w:r w:rsidRPr="00C82A45">
        <w:rPr>
          <w:lang w:val="fr-FR"/>
        </w:rPr>
        <w:t>.</w:t>
      </w:r>
      <w:r>
        <w:rPr>
          <w:lang w:val="fr-FR"/>
        </w:rPr>
        <w:t xml:space="preserve"> Les assurances diplomatiques éventuellement reçues doivent être évaluées avec le plus grand soin</w:t>
      </w:r>
      <w:r w:rsidRPr="00EA7479">
        <w:rPr>
          <w:rStyle w:val="Appelnotedebasdep"/>
        </w:rPr>
        <w:footnoteReference w:id="79"/>
      </w:r>
      <w:r w:rsidRPr="00C82A45">
        <w:rPr>
          <w:lang w:val="fr-FR"/>
        </w:rPr>
        <w:t>.</w:t>
      </w:r>
      <w:r>
        <w:rPr>
          <w:lang w:val="fr-FR"/>
        </w:rPr>
        <w:t xml:space="preserve"> Toute décision de renvoyer une personne prise après une telle évaluation doit être notifiée au migrant concerné dans une langue qu’il comprend et par écrit s’il le souhaite</w:t>
      </w:r>
      <w:r w:rsidRPr="00EA7479">
        <w:rPr>
          <w:rStyle w:val="Appelnotedebasdep"/>
        </w:rPr>
        <w:footnoteReference w:id="80"/>
      </w:r>
      <w:r w:rsidR="005E4A0A">
        <w:rPr>
          <w:lang w:val="fr-FR"/>
        </w:rPr>
        <w:t>,</w:t>
      </w:r>
      <w:r>
        <w:rPr>
          <w:lang w:val="fr-FR"/>
        </w:rPr>
        <w:t xml:space="preserve"> et doit pouvoir faire l’objet d’un recours, avec effet suspensif, devant une autorité indépendante et impartiale</w:t>
      </w:r>
      <w:r w:rsidRPr="00EA7479">
        <w:rPr>
          <w:rStyle w:val="Appelnotedebasdep"/>
        </w:rPr>
        <w:footnoteReference w:id="81"/>
      </w:r>
      <w:r w:rsidRPr="00C82A45">
        <w:rPr>
          <w:lang w:val="fr-FR"/>
        </w:rPr>
        <w:t>.</w:t>
      </w:r>
    </w:p>
    <w:p w14:paraId="66991FF6" w14:textId="77777777" w:rsidR="00DC22DE" w:rsidRDefault="00DC22DE" w:rsidP="004D2263">
      <w:pPr>
        <w:pStyle w:val="SingleTxtG"/>
        <w:spacing w:after="100"/>
        <w:rPr>
          <w:lang w:val="fr-FR"/>
        </w:rPr>
      </w:pPr>
      <w:r>
        <w:rPr>
          <w:lang w:val="fr-FR"/>
        </w:rPr>
        <w:t>33</w:t>
      </w:r>
      <w:r w:rsidRPr="00C82A45">
        <w:rPr>
          <w:lang w:val="fr-FR"/>
        </w:rPr>
        <w:t>.</w:t>
      </w:r>
      <w:r>
        <w:rPr>
          <w:lang w:val="fr-FR"/>
        </w:rPr>
        <w:tab/>
        <w:t>Afin de garantir le respect du principe de non-refoulement dans la pratique, les États parties devraient mettre en place les capacités institutionnelles nécessaires pour procéder à des évaluations individuelles et les doter de personnel dûment formé et de ressources financières suffisantes, et envisager d’établir un mécanisme national indépendant d’observation des frontières</w:t>
      </w:r>
      <w:r w:rsidRPr="00EA7479">
        <w:rPr>
          <w:rStyle w:val="Appelnotedebasdep"/>
        </w:rPr>
        <w:footnoteReference w:id="82"/>
      </w:r>
      <w:r w:rsidRPr="00C82A45">
        <w:rPr>
          <w:lang w:val="fr-FR"/>
        </w:rPr>
        <w:t>.</w:t>
      </w:r>
      <w:r>
        <w:rPr>
          <w:lang w:val="fr-FR"/>
        </w:rPr>
        <w:t xml:space="preserve"> De plus, les États parties devraient dispenser aux gardes frontière et aux personnes intervenant dans les procédures d’asile, de refoulement, de remise ou d’extradition et, de manière générale, aux agents chargés de l’application des lois, une formation sur la notion de disparition forcée et sur l’évaluation des risques y relatifs</w:t>
      </w:r>
      <w:r w:rsidRPr="00EA7479">
        <w:rPr>
          <w:rStyle w:val="Appelnotedebasdep"/>
        </w:rPr>
        <w:footnoteReference w:id="83"/>
      </w:r>
      <w:r w:rsidRPr="00C82A45">
        <w:rPr>
          <w:lang w:val="fr-FR"/>
        </w:rPr>
        <w:t>.</w:t>
      </w:r>
      <w:r>
        <w:rPr>
          <w:lang w:val="fr-FR"/>
        </w:rPr>
        <w:t xml:space="preserve"> </w:t>
      </w:r>
    </w:p>
    <w:p w14:paraId="1B6C0E70" w14:textId="77777777" w:rsidR="00DC22DE" w:rsidRDefault="00DC22DE" w:rsidP="004D2263">
      <w:pPr>
        <w:pStyle w:val="SingleTxtG"/>
        <w:spacing w:after="100"/>
        <w:rPr>
          <w:lang w:val="fr-FR"/>
        </w:rPr>
      </w:pPr>
      <w:r>
        <w:rPr>
          <w:lang w:val="fr-FR"/>
        </w:rPr>
        <w:t>34</w:t>
      </w:r>
      <w:r w:rsidRPr="00C82A45">
        <w:rPr>
          <w:lang w:val="fr-FR"/>
        </w:rPr>
        <w:t>.</w:t>
      </w:r>
      <w:r>
        <w:rPr>
          <w:lang w:val="fr-FR"/>
        </w:rPr>
        <w:tab/>
        <w:t>Le Comité engage les États parties à éviter les refoulements indirects résultant de la création de conditions qui ne laissent d’autre choix aux migrants que de retourner dans un pays où il y a des motifs sérieux de croire qu’ils risqueraient d’être soumis à une disparition forcée ou d’être transférés vers un autre pays où ils courraient un tel risque</w:t>
      </w:r>
      <w:r w:rsidRPr="00EA7479">
        <w:rPr>
          <w:rStyle w:val="Appelnotedebasdep"/>
        </w:rPr>
        <w:footnoteReference w:id="84"/>
      </w:r>
      <w:r w:rsidRPr="00C82A45">
        <w:rPr>
          <w:lang w:val="fr-FR"/>
        </w:rPr>
        <w:t>.</w:t>
      </w:r>
    </w:p>
    <w:p w14:paraId="1B72B203" w14:textId="326D2259" w:rsidR="00DC22DE" w:rsidRDefault="00DC22DE" w:rsidP="00A24809">
      <w:pPr>
        <w:pStyle w:val="SingleTxtG"/>
        <w:spacing w:after="100" w:line="236" w:lineRule="atLeast"/>
        <w:rPr>
          <w:lang w:val="fr-FR"/>
        </w:rPr>
      </w:pPr>
      <w:r>
        <w:rPr>
          <w:lang w:val="fr-FR"/>
        </w:rPr>
        <w:t>35</w:t>
      </w:r>
      <w:r w:rsidRPr="00C82A45">
        <w:rPr>
          <w:lang w:val="fr-FR"/>
        </w:rPr>
        <w:t>.</w:t>
      </w:r>
      <w:r>
        <w:rPr>
          <w:lang w:val="fr-FR"/>
        </w:rPr>
        <w:tab/>
        <w:t>Les renvois sommaires, et toute autre forme d’expulsion collective ne permettant pas de procéder à une évaluation individuelle, constituent une violation flagrante de l’article 16 de la Convention</w:t>
      </w:r>
      <w:r w:rsidRPr="00EA7479">
        <w:rPr>
          <w:rStyle w:val="Appelnotedebasdep"/>
        </w:rPr>
        <w:footnoteReference w:id="85"/>
      </w:r>
      <w:r w:rsidRPr="00C82A45">
        <w:rPr>
          <w:lang w:val="fr-FR"/>
        </w:rPr>
        <w:t>.</w:t>
      </w:r>
      <w:r>
        <w:rPr>
          <w:lang w:val="fr-FR"/>
        </w:rPr>
        <w:t xml:space="preserve"> En l’absence de définition internationalement reconnue de ce terme, le </w:t>
      </w:r>
      <w:r>
        <w:rPr>
          <w:lang w:val="fr-FR"/>
        </w:rPr>
        <w:lastRenderedPageBreak/>
        <w:t>Comité entend par «</w:t>
      </w:r>
      <w:r w:rsidR="004D2263">
        <w:rPr>
          <w:lang w:val="fr-FR"/>
        </w:rPr>
        <w:t> </w:t>
      </w:r>
      <w:r>
        <w:rPr>
          <w:lang w:val="fr-FR"/>
        </w:rPr>
        <w:t>renvoi sommaire</w:t>
      </w:r>
      <w:r w:rsidR="004D2263">
        <w:rPr>
          <w:lang w:val="fr-FR"/>
        </w:rPr>
        <w:t> </w:t>
      </w:r>
      <w:r>
        <w:rPr>
          <w:lang w:val="fr-FR"/>
        </w:rPr>
        <w:t>» les diverses mesures prises par les États, parfois avec la participation de pays tiers ou d’acteurs non étatiques, qui font que les migrants sont sommairement contraints de retourner, sans que leurs besoins individuels en matière de protection des droits de l’homme soient évalués, dans le pays ou le territoire, ou dans les zones maritimes, qu’il s’agisse d’eaux territoriales ou d’eaux internationales, depuis lequel ou lesquelles ils ont tenté de traverser une frontière internationale ou l’ont effectivement franchie</w:t>
      </w:r>
      <w:r w:rsidRPr="00EA7479">
        <w:rPr>
          <w:rStyle w:val="Appelnotedebasdep"/>
        </w:rPr>
        <w:footnoteReference w:id="86"/>
      </w:r>
      <w:r w:rsidRPr="00C82A45">
        <w:rPr>
          <w:lang w:val="fr-FR"/>
        </w:rPr>
        <w:t>.</w:t>
      </w:r>
      <w:r>
        <w:rPr>
          <w:lang w:val="fr-FR"/>
        </w:rPr>
        <w:t xml:space="preserve"> Le Comité est d’avis que lorsque les renvois sommaires se traduisent par la privation de liberté de migrants et la dissimulation du sort qui leur est réservé ou du lieu où ils se trouvent, ils constituent une disparition forcée au sens de l’article 2 de la Convention, quelle que soit la durée de la privation de liberté</w:t>
      </w:r>
      <w:r w:rsidRPr="00C82A45">
        <w:rPr>
          <w:lang w:val="fr-FR"/>
        </w:rPr>
        <w:t>.</w:t>
      </w:r>
      <w:r>
        <w:rPr>
          <w:lang w:val="fr-FR"/>
        </w:rPr>
        <w:t xml:space="preserve"> Ces renvois peuvent également constituer une violation des articles 17 et 18, qui interdisent la détention secrète et garantissent le droit d’accès aux informations relatives aux personnes privées de leur liberté, ainsi que d’autres articles de la Convention, selon les circonstances</w:t>
      </w:r>
      <w:r w:rsidRPr="00C82A45">
        <w:rPr>
          <w:lang w:val="fr-FR"/>
        </w:rPr>
        <w:t>.</w:t>
      </w:r>
      <w:r>
        <w:rPr>
          <w:lang w:val="fr-FR"/>
        </w:rPr>
        <w:t xml:space="preserve"> Il en va de même pour les cas où les renvois sommaires sont effectués par des acteurs non étatiques ou des organisations intergouvernementales qui agissent avec l’appui, l’autorisation ou l’acquiescement d’un État partie</w:t>
      </w:r>
      <w:r w:rsidRPr="00C82A45">
        <w:rPr>
          <w:lang w:val="fr-FR"/>
        </w:rPr>
        <w:t>.</w:t>
      </w:r>
      <w:r>
        <w:rPr>
          <w:lang w:val="fr-FR"/>
        </w:rPr>
        <w:t xml:space="preserve"> De plus, la saisie et la destruction des effets personnels, des documents d’identité ou du téléphone portable de migrants après leur arrestation peuvent conduire à la disparition forcée des personnes concernées, celles-ci n’ayant plus aucun moyen de faire savoir à leurs proches où elles se trouvent ou de prouver leur identité</w:t>
      </w:r>
      <w:r w:rsidRPr="00EA7479">
        <w:rPr>
          <w:rStyle w:val="Appelnotedebasdep"/>
        </w:rPr>
        <w:footnoteReference w:id="87"/>
      </w:r>
      <w:r w:rsidRPr="00C82A45">
        <w:rPr>
          <w:lang w:val="fr-FR"/>
        </w:rPr>
        <w:t>.</w:t>
      </w:r>
      <w:r>
        <w:rPr>
          <w:lang w:val="fr-FR"/>
        </w:rPr>
        <w:t xml:space="preserve"> </w:t>
      </w:r>
    </w:p>
    <w:p w14:paraId="1A23CFF8" w14:textId="7CECC3EC" w:rsidR="00DC22DE" w:rsidRPr="00A24809" w:rsidRDefault="00DC22DE" w:rsidP="00A24809">
      <w:pPr>
        <w:pStyle w:val="SingleTxtG"/>
        <w:spacing w:after="100" w:line="236" w:lineRule="atLeast"/>
        <w:rPr>
          <w:spacing w:val="-2"/>
          <w:lang w:val="fr-FR"/>
        </w:rPr>
      </w:pPr>
      <w:r w:rsidRPr="00A24809">
        <w:rPr>
          <w:spacing w:val="-2"/>
          <w:lang w:val="fr-FR"/>
        </w:rPr>
        <w:t>36.</w:t>
      </w:r>
      <w:r w:rsidRPr="00A24809">
        <w:rPr>
          <w:spacing w:val="-2"/>
          <w:lang w:val="fr-FR"/>
        </w:rPr>
        <w:tab/>
        <w:t>Les renvois sommaires empêchent les migrants d’accéder au dispositif législatif en vigueur et de bénéficier des garanties de procédures et, de ce fait, les soustraient à la protection de la loi, les rendent vulnérables et peuvent entraîner des violations des droits humains incompatibles avec les obligations que le droit international des droits humains impose aux États</w:t>
      </w:r>
      <w:r w:rsidRPr="00A24809">
        <w:rPr>
          <w:rStyle w:val="Appelnotedebasdep"/>
          <w:spacing w:val="-2"/>
        </w:rPr>
        <w:footnoteReference w:id="88"/>
      </w:r>
      <w:r w:rsidRPr="00A24809">
        <w:rPr>
          <w:spacing w:val="-2"/>
          <w:lang w:val="fr-FR"/>
        </w:rPr>
        <w:t>. Ces obligations découlent non seulement de l’interdiction du refoulement et des expulsions collectives</w:t>
      </w:r>
      <w:r w:rsidRPr="00A24809">
        <w:rPr>
          <w:rStyle w:val="Appelnotedebasdep"/>
          <w:spacing w:val="-2"/>
        </w:rPr>
        <w:footnoteReference w:id="89"/>
      </w:r>
      <w:r w:rsidRPr="00A24809">
        <w:rPr>
          <w:spacing w:val="-2"/>
          <w:lang w:val="fr-FR"/>
        </w:rPr>
        <w:t xml:space="preserve"> mais aussi de l’interdiction de la torture et autres peines ou traitements cruels, inhumains ou dégradants</w:t>
      </w:r>
      <w:r w:rsidRPr="00A24809">
        <w:rPr>
          <w:rStyle w:val="Appelnotedebasdep"/>
          <w:spacing w:val="-2"/>
        </w:rPr>
        <w:footnoteReference w:id="90"/>
      </w:r>
      <w:r w:rsidRPr="00A24809">
        <w:rPr>
          <w:spacing w:val="-2"/>
          <w:lang w:val="fr-FR"/>
        </w:rPr>
        <w:t>, du droit à la liberté</w:t>
      </w:r>
      <w:r w:rsidRPr="00A24809">
        <w:rPr>
          <w:rStyle w:val="Appelnotedebasdep"/>
          <w:spacing w:val="-2"/>
        </w:rPr>
        <w:footnoteReference w:id="91"/>
      </w:r>
      <w:r w:rsidRPr="00A24809">
        <w:rPr>
          <w:spacing w:val="-2"/>
          <w:lang w:val="fr-FR"/>
        </w:rPr>
        <w:t xml:space="preserve"> et du droit à la vie</w:t>
      </w:r>
      <w:r w:rsidRPr="00A24809">
        <w:rPr>
          <w:rStyle w:val="Appelnotedebasdep"/>
          <w:spacing w:val="-2"/>
        </w:rPr>
        <w:footnoteReference w:id="92"/>
      </w:r>
      <w:r w:rsidRPr="00A24809">
        <w:rPr>
          <w:spacing w:val="-2"/>
          <w:lang w:val="fr-FR"/>
        </w:rPr>
        <w:t>. Les</w:t>
      </w:r>
      <w:r w:rsidR="00A24809">
        <w:rPr>
          <w:spacing w:val="-2"/>
          <w:lang w:val="fr-FR"/>
        </w:rPr>
        <w:t xml:space="preserve"> </w:t>
      </w:r>
      <w:r w:rsidRPr="00A24809">
        <w:rPr>
          <w:spacing w:val="-2"/>
          <w:lang w:val="fr-FR"/>
        </w:rPr>
        <w:t>renvois sommaires qui n’entraînent pas de privation de liberté soulèvent eux aussi de graves préoccupations, car ils soustraient effectivement les personnes qui en sont l’objet à toute protection de la loi et contribuent au risque de disparition. Le Comité demande instamment aux États parties de s’abstenir de recourir à de telles pratiques, notamment les renvois sommaires en chaîne, et aux renvois sommaires indirects qui résultent de l’omission délibérée de mener des opérations de recherche et de sauvetage en mer ou sur terre</w:t>
      </w:r>
      <w:r w:rsidRPr="00A24809">
        <w:rPr>
          <w:rStyle w:val="Appelnotedebasdep"/>
          <w:spacing w:val="-2"/>
        </w:rPr>
        <w:footnoteReference w:id="93"/>
      </w:r>
      <w:r w:rsidRPr="00A24809">
        <w:rPr>
          <w:spacing w:val="-2"/>
          <w:lang w:val="fr-FR"/>
        </w:rPr>
        <w:t>. Les</w:t>
      </w:r>
      <w:r w:rsidR="003B75BD">
        <w:rPr>
          <w:spacing w:val="-2"/>
          <w:lang w:val="fr-FR"/>
        </w:rPr>
        <w:t xml:space="preserve"> </w:t>
      </w:r>
      <w:r w:rsidRPr="00A24809">
        <w:rPr>
          <w:spacing w:val="-2"/>
          <w:lang w:val="fr-FR"/>
        </w:rPr>
        <w:t>États parties doivent donc s’abstenir de procéder à des renvois sommaires, faire en sorte que toutes les allégations de telles pratiques fassent l’objet d’une enquête efficace, que les responsables soient poursuivis et, s’ils sont reconnus coupables, sanctionnés, et ne pas nier leur existence</w:t>
      </w:r>
      <w:r w:rsidRPr="00A24809">
        <w:rPr>
          <w:rStyle w:val="Appelnotedebasdep"/>
          <w:spacing w:val="-2"/>
        </w:rPr>
        <w:footnoteReference w:id="94"/>
      </w:r>
      <w:r w:rsidRPr="00A24809">
        <w:rPr>
          <w:spacing w:val="-2"/>
          <w:lang w:val="fr-FR"/>
        </w:rPr>
        <w:t>.</w:t>
      </w:r>
    </w:p>
    <w:p w14:paraId="6AEE1D61" w14:textId="77777777" w:rsidR="00DC22DE" w:rsidRDefault="00DC22DE" w:rsidP="00FF0278">
      <w:pPr>
        <w:pStyle w:val="HChG"/>
        <w:rPr>
          <w:lang w:val="fr-FR"/>
        </w:rPr>
      </w:pPr>
      <w:bookmarkStart w:id="22" w:name="_Toc127804280"/>
      <w:bookmarkStart w:id="23" w:name="_Toc129893190"/>
      <w:bookmarkStart w:id="24" w:name="_Toc130394616"/>
      <w:r>
        <w:rPr>
          <w:lang w:val="fr-FR"/>
        </w:rPr>
        <w:lastRenderedPageBreak/>
        <w:tab/>
        <w:t>IV</w:t>
      </w:r>
      <w:r w:rsidRPr="00C82A45">
        <w:rPr>
          <w:lang w:val="fr-FR"/>
        </w:rPr>
        <w:t>.</w:t>
      </w:r>
      <w:r>
        <w:rPr>
          <w:lang w:val="fr-FR"/>
        </w:rPr>
        <w:tab/>
        <w:t>Obligation de mener des activités de recherche et d’enquête</w:t>
      </w:r>
      <w:bookmarkEnd w:id="22"/>
      <w:bookmarkEnd w:id="23"/>
      <w:bookmarkEnd w:id="24"/>
    </w:p>
    <w:p w14:paraId="4BEA0C99" w14:textId="77777777" w:rsidR="00DC22DE" w:rsidRDefault="00DC22DE" w:rsidP="00DC22DE">
      <w:pPr>
        <w:pStyle w:val="SingleTxtG"/>
        <w:rPr>
          <w:lang w:val="fr-FR"/>
        </w:rPr>
      </w:pPr>
      <w:r>
        <w:rPr>
          <w:lang w:val="fr-FR"/>
        </w:rPr>
        <w:t>37</w:t>
      </w:r>
      <w:r w:rsidRPr="00C82A45">
        <w:rPr>
          <w:lang w:val="fr-FR"/>
        </w:rPr>
        <w:t>.</w:t>
      </w:r>
      <w:r>
        <w:rPr>
          <w:lang w:val="fr-FR"/>
        </w:rPr>
        <w:tab/>
        <w:t>Le Comité rappelle que le respect des obligations de rechercher les personnes disparues, de mener des enquêtes efficaces sur les cas de disparition présumée, y compris ceux qui relèvent de l’article 3 de la Convention, et de poursuivre et punir les auteurs des faits, est fondamental pour mettre fin à ce crime odieux et empêcher qu’il se reproduise</w:t>
      </w:r>
      <w:r w:rsidRPr="00C82A45">
        <w:rPr>
          <w:lang w:val="fr-FR"/>
        </w:rPr>
        <w:t>.</w:t>
      </w:r>
      <w:r>
        <w:rPr>
          <w:lang w:val="fr-FR"/>
        </w:rPr>
        <w:t xml:space="preserve"> Dans le contexte de la migration, il est fréquent que les cas de disparition ne soient pas signalés, du fait, par exemple, des obstacles que rencontrent les proches vivant dans un autre pays, de barrières linguistiques ou culturelles ou d’un manque d’information, et de la peur que ressentent les proches ou témoins, qui sont parfois eux-mêmes des migrants en situation irrégulière</w:t>
      </w:r>
      <w:r w:rsidRPr="00EA7479">
        <w:rPr>
          <w:rStyle w:val="Appelnotedebasdep"/>
        </w:rPr>
        <w:footnoteReference w:id="95"/>
      </w:r>
      <w:r w:rsidRPr="00C82A45">
        <w:rPr>
          <w:lang w:val="fr-FR"/>
        </w:rPr>
        <w:t>.</w:t>
      </w:r>
      <w:r>
        <w:rPr>
          <w:lang w:val="fr-FR"/>
        </w:rPr>
        <w:t xml:space="preserve"> Les autorités doivent engager d’office les activités de recherche et d’enquête dès que, par quelque moyen que ce soit, elles ont connaissance d’une disparition ou disposent d’indices donnant à penser qu’une personne a été soumise à une disparition</w:t>
      </w:r>
      <w:r w:rsidRPr="00EA7479">
        <w:rPr>
          <w:rStyle w:val="Appelnotedebasdep"/>
        </w:rPr>
        <w:footnoteReference w:id="96"/>
      </w:r>
      <w:r w:rsidRPr="00C82A45">
        <w:rPr>
          <w:lang w:val="fr-FR"/>
        </w:rPr>
        <w:t>.</w:t>
      </w:r>
      <w:r>
        <w:rPr>
          <w:lang w:val="fr-FR"/>
        </w:rPr>
        <w:t xml:space="preserve"> La charge de la preuve ne devrait pas incomber aux victimes ou à leurs proches</w:t>
      </w:r>
      <w:r w:rsidRPr="00EA7479">
        <w:rPr>
          <w:rStyle w:val="Appelnotedebasdep"/>
        </w:rPr>
        <w:footnoteReference w:id="97"/>
      </w:r>
      <w:r w:rsidRPr="00C82A45">
        <w:rPr>
          <w:lang w:val="fr-FR"/>
        </w:rPr>
        <w:t>.</w:t>
      </w:r>
      <w:r>
        <w:rPr>
          <w:lang w:val="fr-FR"/>
        </w:rPr>
        <w:t xml:space="preserve"> </w:t>
      </w:r>
    </w:p>
    <w:p w14:paraId="6CF214E2" w14:textId="1E2ABEA6" w:rsidR="00DC22DE" w:rsidRDefault="00DC22DE" w:rsidP="00DC22DE">
      <w:pPr>
        <w:pStyle w:val="SingleTxtG"/>
        <w:rPr>
          <w:lang w:val="fr-FR"/>
        </w:rPr>
      </w:pPr>
      <w:r>
        <w:rPr>
          <w:lang w:val="fr-FR"/>
        </w:rPr>
        <w:t>38</w:t>
      </w:r>
      <w:r w:rsidRPr="00C82A45">
        <w:rPr>
          <w:lang w:val="fr-FR"/>
        </w:rPr>
        <w:t>.</w:t>
      </w:r>
      <w:r>
        <w:rPr>
          <w:lang w:val="fr-FR"/>
        </w:rPr>
        <w:tab/>
        <w:t>Le droit de signaler une disparition forcée doit être garanti à toute personne, quel que soit son statut migratoire (art</w:t>
      </w:r>
      <w:r w:rsidRPr="00C82A45">
        <w:rPr>
          <w:lang w:val="fr-FR"/>
        </w:rPr>
        <w:t>.</w:t>
      </w:r>
      <w:r w:rsidR="00CC4B2E">
        <w:rPr>
          <w:lang w:val="fr-FR"/>
        </w:rPr>
        <w:t> </w:t>
      </w:r>
      <w:r>
        <w:rPr>
          <w:lang w:val="fr-FR"/>
        </w:rPr>
        <w:t>12, par</w:t>
      </w:r>
      <w:r w:rsidRPr="00C82A45">
        <w:rPr>
          <w:lang w:val="fr-FR"/>
        </w:rPr>
        <w:t>.</w:t>
      </w:r>
      <w:r w:rsidR="00CC4B2E">
        <w:rPr>
          <w:lang w:val="fr-FR"/>
        </w:rPr>
        <w:t> </w:t>
      </w:r>
      <w:r>
        <w:rPr>
          <w:lang w:val="fr-FR"/>
        </w:rPr>
        <w:t>1)</w:t>
      </w:r>
      <w:r w:rsidRPr="00C82A45">
        <w:rPr>
          <w:lang w:val="fr-FR"/>
        </w:rPr>
        <w:t>.</w:t>
      </w:r>
      <w:r>
        <w:rPr>
          <w:lang w:val="fr-FR"/>
        </w:rPr>
        <w:t xml:space="preserve"> Pour garantir le caractère effectif de ce droit, les États parties devraient s’efforcer de mieux faire connaître les mécanismes de signalement existants et de mettre à disposition des services d’interprètes professionnels chaque fois que cela est nécessaire</w:t>
      </w:r>
      <w:r w:rsidRPr="00EA7479">
        <w:rPr>
          <w:rStyle w:val="Appelnotedebasdep"/>
        </w:rPr>
        <w:footnoteReference w:id="98"/>
      </w:r>
      <w:r w:rsidRPr="00C82A45">
        <w:rPr>
          <w:lang w:val="fr-FR"/>
        </w:rPr>
        <w:t>.</w:t>
      </w:r>
      <w:r>
        <w:rPr>
          <w:lang w:val="fr-FR"/>
        </w:rPr>
        <w:t xml:space="preserve"> De plus, les témoins ou les proches doivent pouvoir signaler une disparition sans craindre de subir des représailles, notamment d’être expulsés ou privés de liberté</w:t>
      </w:r>
      <w:r w:rsidRPr="00C82A45">
        <w:rPr>
          <w:lang w:val="fr-FR"/>
        </w:rPr>
        <w:t>.</w:t>
      </w:r>
      <w:r>
        <w:rPr>
          <w:lang w:val="fr-FR"/>
        </w:rPr>
        <w:t xml:space="preserve"> Les États parties devraient donc se doter de mécanismes opérationnels et accessibles qui permettent de signaler les disparitions à partir d’un pays tiers et d’alerter rapidement les autorités compétentes du pays dans lequel la disparition présumée a eu lieu</w:t>
      </w:r>
      <w:r w:rsidRPr="00EA7479">
        <w:rPr>
          <w:rStyle w:val="Appelnotedebasdep"/>
        </w:rPr>
        <w:footnoteReference w:id="99"/>
      </w:r>
      <w:r w:rsidRPr="00C82A45">
        <w:rPr>
          <w:lang w:val="fr-FR"/>
        </w:rPr>
        <w:t>.</w:t>
      </w:r>
      <w:r>
        <w:rPr>
          <w:lang w:val="fr-FR"/>
        </w:rPr>
        <w:t xml:space="preserve"> </w:t>
      </w:r>
    </w:p>
    <w:p w14:paraId="1E1810FF" w14:textId="07DD0231" w:rsidR="00DC22DE" w:rsidRDefault="00DC22DE" w:rsidP="00DC22DE">
      <w:pPr>
        <w:pStyle w:val="SingleTxtG"/>
        <w:rPr>
          <w:lang w:val="fr-FR"/>
        </w:rPr>
      </w:pPr>
      <w:r>
        <w:rPr>
          <w:lang w:val="fr-FR"/>
        </w:rPr>
        <w:t>39</w:t>
      </w:r>
      <w:r w:rsidRPr="00C82A45">
        <w:rPr>
          <w:lang w:val="fr-FR"/>
        </w:rPr>
        <w:t>.</w:t>
      </w:r>
      <w:r>
        <w:rPr>
          <w:lang w:val="fr-FR"/>
        </w:rPr>
        <w:tab/>
        <w:t xml:space="preserve">Afin de garantir l’efficacité des recherches, les États parties devraient mettre en application les </w:t>
      </w:r>
      <w:r>
        <w:rPr>
          <w:rStyle w:val="termfield"/>
        </w:rPr>
        <w:t>Principes directeurs concernant la recherche de personnes disparues</w:t>
      </w:r>
      <w:r w:rsidDel="00EF57A5">
        <w:rPr>
          <w:lang w:val="fr-FR"/>
        </w:rPr>
        <w:t xml:space="preserve"> </w:t>
      </w:r>
      <w:r>
        <w:rPr>
          <w:lang w:val="fr-FR"/>
        </w:rPr>
        <w:t>établis par le Comité et d’autres normes internationales</w:t>
      </w:r>
      <w:r w:rsidRPr="00EA7479">
        <w:rPr>
          <w:rStyle w:val="Appelnotedebasdep"/>
        </w:rPr>
        <w:footnoteReference w:id="100"/>
      </w:r>
      <w:r w:rsidRPr="00C82A45">
        <w:rPr>
          <w:lang w:val="fr-FR"/>
        </w:rPr>
        <w:t>.</w:t>
      </w:r>
      <w:r>
        <w:rPr>
          <w:lang w:val="fr-FR"/>
        </w:rPr>
        <w:t xml:space="preserve"> Les recherches doivent être fondées sur la présomption que la personne est en vie ; se faire, à chaque étape, dans le respect de la dignité humaine</w:t>
      </w:r>
      <w:r w:rsidR="00CC4B2E">
        <w:rPr>
          <w:lang w:val="fr-FR"/>
        </w:rPr>
        <w:t> </w:t>
      </w:r>
      <w:r>
        <w:rPr>
          <w:lang w:val="fr-FR"/>
        </w:rPr>
        <w:t>; être régies par une politique émanant des pouvoirs publics</w:t>
      </w:r>
      <w:r w:rsidR="00CC4B2E">
        <w:rPr>
          <w:lang w:val="fr-FR"/>
        </w:rPr>
        <w:t> </w:t>
      </w:r>
      <w:r>
        <w:rPr>
          <w:lang w:val="fr-FR"/>
        </w:rPr>
        <w:t>; reposer sur une approche différenciée</w:t>
      </w:r>
      <w:r w:rsidR="00CC4B2E">
        <w:rPr>
          <w:lang w:val="fr-FR"/>
        </w:rPr>
        <w:t> </w:t>
      </w:r>
      <w:r>
        <w:rPr>
          <w:lang w:val="fr-FR"/>
        </w:rPr>
        <w:t>; respecter le droit à la participation ; être engagées sans délai</w:t>
      </w:r>
      <w:r w:rsidR="00CC4B2E">
        <w:rPr>
          <w:lang w:val="fr-FR"/>
        </w:rPr>
        <w:t> </w:t>
      </w:r>
      <w:r>
        <w:rPr>
          <w:lang w:val="fr-FR"/>
        </w:rPr>
        <w:t>; se poursuivre jusqu’à ce que soient déterminés avec certitude le sort de la personne recherchée et le lieu où elle se trouve ; être fondées sur une stratégie globale ; tenir compte de la vulnérabilité particulière des migrants ; être organisées de manière efficace ; s’appuyer sur une utilisation appropriée des données</w:t>
      </w:r>
      <w:r w:rsidR="00CC4B2E">
        <w:rPr>
          <w:lang w:val="fr-FR"/>
        </w:rPr>
        <w:t> </w:t>
      </w:r>
      <w:r>
        <w:rPr>
          <w:lang w:val="fr-FR"/>
        </w:rPr>
        <w:t>; être conduites de manière coordonnée ; être étroitement liées à l’enquête pénale ; être menées dans des conditions sûres ; être menées de manière indépendante et impartiale ; faire l’objet de protocoles publics</w:t>
      </w:r>
      <w:r w:rsidRPr="00C82A45">
        <w:rPr>
          <w:lang w:val="fr-FR"/>
        </w:rPr>
        <w:t>.</w:t>
      </w:r>
      <w:r>
        <w:rPr>
          <w:lang w:val="fr-FR"/>
        </w:rPr>
        <w:t xml:space="preserve"> </w:t>
      </w:r>
      <w:r>
        <w:t xml:space="preserve">Les enquêtes sur les cas de disparition de migrants doivent être transparentes, approfondies et impartiales et être menées selon une approche différenciée qui tienne compte de la vulnérabilité structurelle des migrants et de la vulnérabilité </w:t>
      </w:r>
      <w:proofErr w:type="spellStart"/>
      <w:r>
        <w:t>intersectionnelle</w:t>
      </w:r>
      <w:proofErr w:type="spellEnd"/>
      <w:r>
        <w:t xml:space="preserve"> de groupes particuliers de migrants, tels que les femmes, les enfants, les membres des communautés LGBTQI+ et les personnes appartenant à certains groupes ethniques ou raciaux</w:t>
      </w:r>
      <w:r w:rsidRPr="00EA7479">
        <w:rPr>
          <w:rStyle w:val="Appelnotedebasdep"/>
        </w:rPr>
        <w:footnoteReference w:id="101"/>
      </w:r>
      <w:r>
        <w:t>.</w:t>
      </w:r>
    </w:p>
    <w:p w14:paraId="1C50D9E2" w14:textId="17D25270" w:rsidR="00DC22DE" w:rsidRDefault="00DC22DE" w:rsidP="00DC22DE">
      <w:pPr>
        <w:pStyle w:val="SingleTxtG"/>
        <w:rPr>
          <w:lang w:val="fr-FR"/>
        </w:rPr>
      </w:pPr>
      <w:r>
        <w:rPr>
          <w:lang w:val="fr-FR"/>
        </w:rPr>
        <w:t>40</w:t>
      </w:r>
      <w:r w:rsidRPr="00C82A45">
        <w:rPr>
          <w:lang w:val="fr-FR"/>
        </w:rPr>
        <w:t>.</w:t>
      </w:r>
      <w:r>
        <w:rPr>
          <w:lang w:val="fr-FR"/>
        </w:rPr>
        <w:tab/>
        <w:t>Lorsqu’ils enquêtent sur des cas de disparition de migrants, les États devraient s’appuyer sur une stratégie claire et complète qui garantisse l’exhaustivité et l’impartialité de l’enquête et comprenne une analyse contextuelle</w:t>
      </w:r>
      <w:r w:rsidRPr="00C82A45">
        <w:rPr>
          <w:lang w:val="fr-FR"/>
        </w:rPr>
        <w:t>.</w:t>
      </w:r>
      <w:r>
        <w:rPr>
          <w:lang w:val="fr-FR"/>
        </w:rPr>
        <w:t xml:space="preserve"> Une fois identifiés, les auteurs des faits devraient être poursuivis et condamnés à une peine proportionnée à la gravité du crime </w:t>
      </w:r>
      <w:r>
        <w:rPr>
          <w:lang w:val="fr-FR"/>
        </w:rPr>
        <w:lastRenderedPageBreak/>
        <w:t>commis, et la situation de vulnérabilité des migrants devant être considérée comme une circonstance aggravante</w:t>
      </w:r>
      <w:r w:rsidRPr="00C82A45">
        <w:rPr>
          <w:lang w:val="fr-FR"/>
        </w:rPr>
        <w:t>.</w:t>
      </w:r>
      <w:r>
        <w:rPr>
          <w:lang w:val="fr-FR"/>
        </w:rPr>
        <w:t xml:space="preserve"> Les États parties qui appliquent un régime de prescription doivent tenir compte du fait que la disparition forcée est une infraction continue et que le délai de prescription de l’action pénale commence à courir lorsque cesse le crime de disparition</w:t>
      </w:r>
      <w:r w:rsidRPr="00C82A45">
        <w:rPr>
          <w:lang w:val="fr-FR"/>
        </w:rPr>
        <w:t>.</w:t>
      </w:r>
      <w:r>
        <w:rPr>
          <w:lang w:val="fr-FR"/>
        </w:rPr>
        <w:t xml:space="preserve"> Les</w:t>
      </w:r>
      <w:r w:rsidR="0032424F">
        <w:rPr>
          <w:lang w:val="fr-FR"/>
        </w:rPr>
        <w:t> </w:t>
      </w:r>
      <w:r>
        <w:rPr>
          <w:lang w:val="fr-FR"/>
        </w:rPr>
        <w:t>États parties doivent également prendre toutes les mesures nécessaires pour établir leur compétence aux fins de connaître d’une infraction de disparition forcée commise hors de leur territoire, comme le prévoit l’article 9 de la Convention</w:t>
      </w:r>
      <w:r w:rsidRPr="00C82A45">
        <w:rPr>
          <w:lang w:val="fr-FR"/>
        </w:rPr>
        <w:t>.</w:t>
      </w:r>
    </w:p>
    <w:p w14:paraId="64C3855F" w14:textId="02165A4F" w:rsidR="00DC22DE" w:rsidRDefault="00DC22DE" w:rsidP="00DC22DE">
      <w:pPr>
        <w:pStyle w:val="SingleTxtG"/>
        <w:rPr>
          <w:lang w:val="fr-FR"/>
        </w:rPr>
      </w:pPr>
      <w:r>
        <w:rPr>
          <w:lang w:val="fr-FR"/>
        </w:rPr>
        <w:t>41</w:t>
      </w:r>
      <w:r w:rsidRPr="00C82A45">
        <w:rPr>
          <w:lang w:val="fr-FR"/>
        </w:rPr>
        <w:t>.</w:t>
      </w:r>
      <w:r>
        <w:rPr>
          <w:lang w:val="fr-FR"/>
        </w:rPr>
        <w:tab/>
        <w:t>Afin de faciliter les activités de recherche et d’enquête, les États parties devraient assurer une coopération et une coordination efficaces entre les institutions au niveau national, ainsi qu’entre les institutions des pays d’origine, de transit, de destination et de retour</w:t>
      </w:r>
      <w:r w:rsidRPr="00EA7479">
        <w:rPr>
          <w:rStyle w:val="Appelnotedebasdep"/>
        </w:rPr>
        <w:footnoteReference w:id="102"/>
      </w:r>
      <w:r w:rsidRPr="00C82A45">
        <w:rPr>
          <w:lang w:val="fr-FR"/>
        </w:rPr>
        <w:t>.</w:t>
      </w:r>
      <w:r>
        <w:rPr>
          <w:lang w:val="fr-FR"/>
        </w:rPr>
        <w:t xml:space="preserve"> Ils</w:t>
      </w:r>
      <w:r w:rsidR="0032424F">
        <w:rPr>
          <w:lang w:val="fr-FR"/>
        </w:rPr>
        <w:t> </w:t>
      </w:r>
      <w:r>
        <w:rPr>
          <w:lang w:val="fr-FR"/>
        </w:rPr>
        <w:t>devraient s’efforcer de mettre au point des protocoles communs normalisés de recherche et d’enquête en cas de disparition de migrants</w:t>
      </w:r>
      <w:r w:rsidRPr="00EA7479">
        <w:rPr>
          <w:rStyle w:val="Appelnotedebasdep"/>
        </w:rPr>
        <w:footnoteReference w:id="103"/>
      </w:r>
      <w:r>
        <w:rPr>
          <w:lang w:val="fr-FR"/>
        </w:rPr>
        <w:t>, et prévoir l’échange de tous les éléments d’information pertinente, notamment les registres nationaux des personnes disparues et les bases de données ADN, tout en respectant les normes internationales de protection des données et de protection de la vie privée et en ne leur faisant pas courir de risque supplémentaire</w:t>
      </w:r>
      <w:r w:rsidRPr="00C82A45">
        <w:rPr>
          <w:lang w:val="fr-FR"/>
        </w:rPr>
        <w:t>.</w:t>
      </w:r>
      <w:r>
        <w:rPr>
          <w:lang w:val="fr-FR"/>
        </w:rPr>
        <w:t xml:space="preserve"> Les États parties doivent veiller à ce que toutes les institutions compétentes soient financées et équipées de manière adéquate et disposent du personnel dûment formé nécessaire</w:t>
      </w:r>
      <w:r w:rsidRPr="00C82A45">
        <w:rPr>
          <w:lang w:val="fr-FR"/>
        </w:rPr>
        <w:t>.</w:t>
      </w:r>
      <w:r>
        <w:rPr>
          <w:lang w:val="fr-FR"/>
        </w:rPr>
        <w:t xml:space="preserve"> </w:t>
      </w:r>
    </w:p>
    <w:p w14:paraId="3BE07849" w14:textId="77777777" w:rsidR="00DC22DE" w:rsidRDefault="00DC22DE" w:rsidP="00DC22DE">
      <w:pPr>
        <w:pStyle w:val="SingleTxtG"/>
        <w:rPr>
          <w:lang w:val="fr-FR"/>
        </w:rPr>
      </w:pPr>
      <w:r>
        <w:rPr>
          <w:lang w:val="fr-FR"/>
        </w:rPr>
        <w:t>42</w:t>
      </w:r>
      <w:r w:rsidRPr="00C82A45">
        <w:rPr>
          <w:lang w:val="fr-FR"/>
        </w:rPr>
        <w:t>.</w:t>
      </w:r>
      <w:r>
        <w:rPr>
          <w:lang w:val="fr-FR"/>
        </w:rPr>
        <w:tab/>
        <w:t>Les États parties doivent faire en sorte que les proches de migrants disparus, leurs représentants et toute autre personne ayant un intérêt légitime, quel que soit leur lieu de résidence, puissent avoir accès à l’information sans délai et participer à toutes les étapes des recherches et de l’enquête s’ils le souhaitent, et bénéficient d’un appui à ces fins</w:t>
      </w:r>
      <w:r w:rsidRPr="00EA7479">
        <w:rPr>
          <w:rStyle w:val="Appelnotedebasdep"/>
        </w:rPr>
        <w:footnoteReference w:id="104"/>
      </w:r>
      <w:r w:rsidRPr="00C82A45">
        <w:rPr>
          <w:lang w:val="fr-FR"/>
        </w:rPr>
        <w:t>.</w:t>
      </w:r>
      <w:r>
        <w:rPr>
          <w:lang w:val="fr-FR"/>
        </w:rPr>
        <w:t xml:space="preserve"> Dans le cadre des activités de recherche et d’enquête, ils devraient s’appuyer sur des informations fournies par des proches, des organisations de la société civile, des organisations internationales et d’autres États, et regroupées grâce à une utilisation novatrice des technologies de l’information et des communications</w:t>
      </w:r>
      <w:r w:rsidRPr="00EA7479">
        <w:rPr>
          <w:rStyle w:val="Appelnotedebasdep"/>
        </w:rPr>
        <w:footnoteReference w:id="105"/>
      </w:r>
      <w:r w:rsidRPr="00C82A45">
        <w:rPr>
          <w:lang w:val="fr-FR"/>
        </w:rPr>
        <w:t>.</w:t>
      </w:r>
      <w:r>
        <w:rPr>
          <w:lang w:val="fr-FR"/>
        </w:rPr>
        <w:t xml:space="preserve"> </w:t>
      </w:r>
    </w:p>
    <w:p w14:paraId="2D735C24" w14:textId="77777777" w:rsidR="00DC22DE" w:rsidRDefault="00DC22DE" w:rsidP="00DC22DE">
      <w:pPr>
        <w:pStyle w:val="SingleTxtG"/>
        <w:rPr>
          <w:lang w:val="fr-FR"/>
        </w:rPr>
      </w:pPr>
      <w:r>
        <w:rPr>
          <w:lang w:val="fr-FR"/>
        </w:rPr>
        <w:t>43</w:t>
      </w:r>
      <w:r w:rsidRPr="00C82A45">
        <w:rPr>
          <w:lang w:val="fr-FR"/>
        </w:rPr>
        <w:t>.</w:t>
      </w:r>
      <w:r>
        <w:rPr>
          <w:lang w:val="fr-FR"/>
        </w:rPr>
        <w:tab/>
        <w:t>Les États parties devraient prendre toutes les mesures appropriées pour rechercher, identifier et restituer les restes des migrants retrouvés morts le long des routes migratoires</w:t>
      </w:r>
      <w:r w:rsidRPr="00C82A45">
        <w:rPr>
          <w:lang w:val="fr-FR"/>
        </w:rPr>
        <w:t>.</w:t>
      </w:r>
      <w:r>
        <w:rPr>
          <w:lang w:val="fr-FR"/>
        </w:rPr>
        <w:t xml:space="preserve"> À cette fin, ils devraient enquêter sur les allégations d’existence de charniers clandestins le long des routes migratoires et établir un registre des restes découverts</w:t>
      </w:r>
      <w:r w:rsidRPr="00C82A45">
        <w:rPr>
          <w:lang w:val="fr-FR"/>
        </w:rPr>
        <w:t>.</w:t>
      </w:r>
      <w:r>
        <w:rPr>
          <w:lang w:val="fr-FR"/>
        </w:rPr>
        <w:t xml:space="preserve"> Sur ce type de sites, les exhumations doivent être menées dans le plein respect des normes internationales</w:t>
      </w:r>
      <w:r w:rsidRPr="00EA7479">
        <w:rPr>
          <w:rStyle w:val="Appelnotedebasdep"/>
        </w:rPr>
        <w:footnoteReference w:id="106"/>
      </w:r>
      <w:r w:rsidRPr="00C82A45">
        <w:rPr>
          <w:lang w:val="fr-FR"/>
        </w:rPr>
        <w:t>.</w:t>
      </w:r>
      <w:r>
        <w:rPr>
          <w:lang w:val="fr-FR"/>
        </w:rPr>
        <w:t xml:space="preserve"> Afin de faciliter la recherche et l’identification des restes humains, les États parties devraient créer des bases de données ADN centralisées contenant les données génétiques nécessaires, ainsi que des informations </w:t>
      </w:r>
      <w:r>
        <w:rPr>
          <w:i/>
          <w:iCs/>
          <w:lang w:val="fr-FR"/>
        </w:rPr>
        <w:t>ante mortem</w:t>
      </w:r>
      <w:r>
        <w:rPr>
          <w:lang w:val="fr-FR"/>
        </w:rPr>
        <w:t xml:space="preserve"> et </w:t>
      </w:r>
      <w:r>
        <w:rPr>
          <w:i/>
          <w:iCs/>
          <w:lang w:val="fr-FR"/>
        </w:rPr>
        <w:t>post mortem</w:t>
      </w:r>
      <w:r>
        <w:rPr>
          <w:lang w:val="fr-FR"/>
        </w:rPr>
        <w:t>, et œuvrer avec tous les pays concernés − c’est-à-dire les pays d’origine, de transit, de destination et de retour potentiels − à l’établissement d’accords, de mécanismes et de pratiques communes, afin de multiplier les possibilités de recoupement des données ADN et d’ainsi identifier les restes humains qui ne l’ont pas encore été</w:t>
      </w:r>
      <w:r w:rsidRPr="00EA7479">
        <w:rPr>
          <w:rStyle w:val="Appelnotedebasdep"/>
        </w:rPr>
        <w:footnoteReference w:id="107"/>
      </w:r>
      <w:r w:rsidRPr="00C82A45">
        <w:rPr>
          <w:lang w:val="fr-FR"/>
        </w:rPr>
        <w:t>.</w:t>
      </w:r>
      <w:r>
        <w:rPr>
          <w:lang w:val="fr-FR"/>
        </w:rPr>
        <w:t xml:space="preserve"> </w:t>
      </w:r>
    </w:p>
    <w:p w14:paraId="3DA29FD4" w14:textId="77777777" w:rsidR="00DC22DE" w:rsidRDefault="00DC22DE" w:rsidP="00DC22DE">
      <w:pPr>
        <w:pStyle w:val="HChG"/>
        <w:rPr>
          <w:lang w:val="fr-FR"/>
        </w:rPr>
      </w:pPr>
      <w:bookmarkStart w:id="25" w:name="_Toc127804281"/>
      <w:bookmarkStart w:id="26" w:name="_Toc129893191"/>
      <w:bookmarkStart w:id="27" w:name="_Toc130394617"/>
      <w:r>
        <w:rPr>
          <w:bCs/>
          <w:lang w:val="fr-FR"/>
        </w:rPr>
        <w:tab/>
        <w:t>V</w:t>
      </w:r>
      <w:r w:rsidRPr="00C82A45">
        <w:rPr>
          <w:bCs/>
          <w:lang w:val="fr-FR"/>
        </w:rPr>
        <w:t>.</w:t>
      </w:r>
      <w:r>
        <w:rPr>
          <w:lang w:val="fr-FR"/>
        </w:rPr>
        <w:tab/>
      </w:r>
      <w:r>
        <w:rPr>
          <w:bCs/>
          <w:lang w:val="fr-FR"/>
        </w:rPr>
        <w:t>Droits des victimes</w:t>
      </w:r>
      <w:bookmarkEnd w:id="25"/>
      <w:bookmarkEnd w:id="26"/>
      <w:bookmarkEnd w:id="27"/>
    </w:p>
    <w:p w14:paraId="22DA5E2F" w14:textId="77777777" w:rsidR="00DC22DE" w:rsidRDefault="00DC22DE" w:rsidP="00DC22DE">
      <w:pPr>
        <w:pStyle w:val="SingleTxtG"/>
        <w:rPr>
          <w:lang w:val="fr-FR"/>
        </w:rPr>
      </w:pPr>
      <w:r>
        <w:rPr>
          <w:lang w:val="fr-FR"/>
        </w:rPr>
        <w:t>44</w:t>
      </w:r>
      <w:r w:rsidRPr="00C82A45">
        <w:rPr>
          <w:lang w:val="fr-FR"/>
        </w:rPr>
        <w:t>.</w:t>
      </w:r>
      <w:r>
        <w:rPr>
          <w:lang w:val="fr-FR"/>
        </w:rPr>
        <w:tab/>
        <w:t>Les États parties ont l’obligation de veiller à ce que toutes les victimes de disparition forcée puissent exercer leurs droits de savoir la vérité, d’accéder à la justice et d’obtenir une réparation et des garanties de non-répétition, y compris lorsque la disparition se produit dans le contexte d’une migration</w:t>
      </w:r>
      <w:r w:rsidRPr="00C82A45">
        <w:rPr>
          <w:lang w:val="fr-FR"/>
        </w:rPr>
        <w:t>.</w:t>
      </w:r>
      <w:r>
        <w:rPr>
          <w:lang w:val="fr-FR"/>
        </w:rPr>
        <w:t xml:space="preserve"> La réparation s’entend au sens large et englobe la restitution, la réadaptation, la satisfaction, y compris le rétablissement de la dignité et de la réputation, et </w:t>
      </w:r>
      <w:r>
        <w:rPr>
          <w:lang w:val="fr-FR"/>
        </w:rPr>
        <w:lastRenderedPageBreak/>
        <w:t>des garanties de non-répétition</w:t>
      </w:r>
      <w:r w:rsidRPr="00C82A45">
        <w:rPr>
          <w:lang w:val="fr-FR"/>
        </w:rPr>
        <w:t>.</w:t>
      </w:r>
      <w:r>
        <w:rPr>
          <w:lang w:val="fr-FR"/>
        </w:rPr>
        <w:t xml:space="preserve"> En outre, toutes les victimes ont le droit d’être indemnisées rapidement, équitablement et de manière adéquate (art</w:t>
      </w:r>
      <w:r w:rsidRPr="00C82A45">
        <w:rPr>
          <w:lang w:val="fr-FR"/>
        </w:rPr>
        <w:t>.</w:t>
      </w:r>
      <w:r>
        <w:rPr>
          <w:lang w:val="fr-FR"/>
        </w:rPr>
        <w:t xml:space="preserve"> 24, par</w:t>
      </w:r>
      <w:r w:rsidRPr="00C82A45">
        <w:rPr>
          <w:lang w:val="fr-FR"/>
        </w:rPr>
        <w:t>.</w:t>
      </w:r>
      <w:r>
        <w:rPr>
          <w:lang w:val="fr-FR"/>
        </w:rPr>
        <w:t xml:space="preserve"> 2 à 5)</w:t>
      </w:r>
      <w:r w:rsidRPr="00EA7479">
        <w:rPr>
          <w:rStyle w:val="Appelnotedebasdep"/>
        </w:rPr>
        <w:footnoteReference w:id="108"/>
      </w:r>
      <w:r w:rsidRPr="00C82A45">
        <w:rPr>
          <w:lang w:val="fr-FR"/>
        </w:rPr>
        <w:t>.</w:t>
      </w:r>
    </w:p>
    <w:p w14:paraId="2E5C0692" w14:textId="77777777" w:rsidR="00DC22DE" w:rsidRDefault="00DC22DE" w:rsidP="00DC22DE">
      <w:pPr>
        <w:pStyle w:val="SingleTxtG"/>
        <w:rPr>
          <w:rFonts w:cstheme="minorHAnsi"/>
          <w:lang w:val="fr-FR"/>
        </w:rPr>
      </w:pPr>
      <w:r>
        <w:rPr>
          <w:lang w:val="fr-FR"/>
        </w:rPr>
        <w:t>45</w:t>
      </w:r>
      <w:r w:rsidRPr="00C82A45">
        <w:rPr>
          <w:lang w:val="fr-FR"/>
        </w:rPr>
        <w:t>.</w:t>
      </w:r>
      <w:r>
        <w:rPr>
          <w:lang w:val="fr-FR"/>
        </w:rPr>
        <w:tab/>
        <w:t>S’agissant d’assurer l’accès à une indemnisation et une réparation, les États parties doivent prendre en considération les besoins particuliers des victimes, et tenir compte, entre autres, de leur sexe, de leur orientation sexuelle, de leur identité de genre, de leur âge, de leur nationalité, de leur origine ethnique, de leur statut social, de leur handicap, de leur statut migratoire et d’autres caractéristiques de la personne concernée ou de ses proches</w:t>
      </w:r>
      <w:r w:rsidRPr="00C82A45">
        <w:rPr>
          <w:lang w:val="fr-FR"/>
        </w:rPr>
        <w:t>.</w:t>
      </w:r>
      <w:r>
        <w:rPr>
          <w:lang w:val="fr-FR"/>
        </w:rPr>
        <w:t xml:space="preserve"> Cet accès doit être garanti aux personnes parties à une union comparable au mariage, quelle qu’en soit la forme, même si elle n’est pas reconnue par la loi de l’État partie ou du pays dans lequel se trouvent les membres de la famille</w:t>
      </w:r>
      <w:r w:rsidRPr="00C82A45">
        <w:rPr>
          <w:lang w:val="fr-FR"/>
        </w:rPr>
        <w:t>.</w:t>
      </w:r>
    </w:p>
    <w:p w14:paraId="1B74CC2F" w14:textId="77777777" w:rsidR="00DC22DE" w:rsidRDefault="00DC22DE" w:rsidP="00DC22DE">
      <w:pPr>
        <w:pStyle w:val="SingleTxtG"/>
        <w:rPr>
          <w:lang w:val="fr-FR"/>
        </w:rPr>
      </w:pPr>
      <w:r>
        <w:rPr>
          <w:lang w:val="fr-FR"/>
        </w:rPr>
        <w:t>46</w:t>
      </w:r>
      <w:r w:rsidRPr="00C82A45">
        <w:rPr>
          <w:lang w:val="fr-FR"/>
        </w:rPr>
        <w:t>.</w:t>
      </w:r>
      <w:r>
        <w:rPr>
          <w:lang w:val="fr-FR"/>
        </w:rPr>
        <w:tab/>
        <w:t>Une attention particulière devrait être accordée au soutien psychosocial et logistique dont peuvent avoir besoin les proches de personnes disparues</w:t>
      </w:r>
      <w:r w:rsidRPr="00C82A45">
        <w:rPr>
          <w:lang w:val="fr-FR"/>
        </w:rPr>
        <w:t>.</w:t>
      </w:r>
      <w:r>
        <w:rPr>
          <w:lang w:val="fr-FR"/>
        </w:rPr>
        <w:t xml:space="preserve"> Ceux-ci devraient bénéficier d’un accès effectif et rapide à des visas humanitaires et à des permis de séjour temporaires, et d’autres mesures doivent être prises pour faciliter leur participation aux recherches et à l’enquête, ainsi que leur accès aux informations concernant leurs proches</w:t>
      </w:r>
      <w:r w:rsidRPr="00EA7479">
        <w:rPr>
          <w:rStyle w:val="Appelnotedebasdep"/>
        </w:rPr>
        <w:footnoteReference w:id="109"/>
      </w:r>
      <w:r w:rsidRPr="00C82A45">
        <w:rPr>
          <w:lang w:val="fr-FR"/>
        </w:rPr>
        <w:t>.</w:t>
      </w:r>
      <w:r>
        <w:rPr>
          <w:lang w:val="fr-FR"/>
        </w:rPr>
        <w:t xml:space="preserve"> Les États parties devraient veiller à ce que les migrants disparus qui sont retrouvés vivants et leurs proches ne soient pas renvoyés ou expulsés du fait de leur situation irrégulière avant l’issue de la procédure pénale, car une telle action pourrait entraver l’accès à la justice</w:t>
      </w:r>
      <w:r w:rsidRPr="00C82A45">
        <w:rPr>
          <w:lang w:val="fr-FR"/>
        </w:rPr>
        <w:t>.</w:t>
      </w:r>
      <w:r>
        <w:rPr>
          <w:lang w:val="fr-FR"/>
        </w:rPr>
        <w:t xml:space="preserve"> Ils devraient garantir le droit des proches de participer au procès, aux recherches et à l’enquête, ou d’être représentés à chacune de ces étapes</w:t>
      </w:r>
      <w:r w:rsidRPr="00C82A45">
        <w:rPr>
          <w:lang w:val="fr-FR"/>
        </w:rPr>
        <w:t>.</w:t>
      </w:r>
      <w:r>
        <w:rPr>
          <w:lang w:val="fr-FR"/>
        </w:rPr>
        <w:t xml:space="preserve"> Les autorités publiques doivent communiquer de manière efficace avec les proches, y compris au moyen de nouvelles technologies ou, s’il y lieu, par l’intermédiaire de la représentation diplomatique ou consulaire</w:t>
      </w:r>
      <w:r w:rsidRPr="00EA7479">
        <w:rPr>
          <w:rStyle w:val="Appelnotedebasdep"/>
        </w:rPr>
        <w:footnoteReference w:id="110"/>
      </w:r>
      <w:r w:rsidRPr="00C82A45">
        <w:rPr>
          <w:lang w:val="fr-FR"/>
        </w:rPr>
        <w:t>.</w:t>
      </w:r>
    </w:p>
    <w:p w14:paraId="6AC9E2F1" w14:textId="77777777" w:rsidR="00DC22DE" w:rsidRDefault="00DC22DE" w:rsidP="00DC22DE">
      <w:pPr>
        <w:pStyle w:val="SingleTxtG"/>
        <w:rPr>
          <w:rFonts w:cstheme="minorHAnsi"/>
          <w:lang w:val="fr-FR"/>
        </w:rPr>
      </w:pPr>
      <w:r>
        <w:rPr>
          <w:lang w:val="fr-FR"/>
        </w:rPr>
        <w:t>47</w:t>
      </w:r>
      <w:r w:rsidRPr="00C82A45">
        <w:rPr>
          <w:lang w:val="fr-FR"/>
        </w:rPr>
        <w:t>.</w:t>
      </w:r>
      <w:r>
        <w:rPr>
          <w:lang w:val="fr-FR"/>
        </w:rPr>
        <w:tab/>
        <w:t>Les États parties devraient supprimer ou simplifier les procédures administratives en place afin que les migrants victimes de disparition forcée retrouvés vivants et les proches de personnes qu’on a fait disparaître de force puissent avoir accès à des services appropriés de soutien aux victimes avant, pendant et, aussi longtemps que nécessaire, après la fin desdites procédures</w:t>
      </w:r>
      <w:r w:rsidRPr="00C82A45">
        <w:rPr>
          <w:lang w:val="fr-FR"/>
        </w:rPr>
        <w:t>.</w:t>
      </w:r>
      <w:r>
        <w:rPr>
          <w:lang w:val="fr-FR"/>
        </w:rPr>
        <w:t xml:space="preserve"> Pour ce faire, il est essentiel à la fois de créer un fonds d’urgence destinés à couvrir les dépenses immédiates des proches liées aux activités de recherche et d’assurer la formation continue des fonctionnaires des institutions publiques, y compris les membres des autorités consulaires, aux questions relatives à l’approche </w:t>
      </w:r>
      <w:proofErr w:type="spellStart"/>
      <w:r>
        <w:rPr>
          <w:lang w:val="fr-FR"/>
        </w:rPr>
        <w:t>psychosociale</w:t>
      </w:r>
      <w:proofErr w:type="spellEnd"/>
      <w:r>
        <w:rPr>
          <w:lang w:val="fr-FR"/>
        </w:rPr>
        <w:t xml:space="preserve">, aux perspectives </w:t>
      </w:r>
      <w:proofErr w:type="spellStart"/>
      <w:r>
        <w:rPr>
          <w:lang w:val="fr-FR"/>
        </w:rPr>
        <w:t>intersectionnelles</w:t>
      </w:r>
      <w:proofErr w:type="spellEnd"/>
      <w:r>
        <w:rPr>
          <w:lang w:val="fr-FR"/>
        </w:rPr>
        <w:t xml:space="preserve"> et interculturelles, aux perspectives de genre et au contexte de la migration forcée, afin que les proches soient traités de manière digne et ne soient pas revictimisés</w:t>
      </w:r>
      <w:r w:rsidRPr="00C82A45">
        <w:rPr>
          <w:lang w:val="fr-FR"/>
        </w:rPr>
        <w:t>.</w:t>
      </w:r>
      <w:r>
        <w:rPr>
          <w:lang w:val="fr-FR"/>
        </w:rPr>
        <w:t xml:space="preserve"> Cette formation devrait également porter sur les besoins particuliers des migrants qui ont disparu après avoir été victimes de traite</w:t>
      </w:r>
      <w:r w:rsidRPr="00EA7479">
        <w:rPr>
          <w:rStyle w:val="Appelnotedebasdep"/>
        </w:rPr>
        <w:footnoteReference w:id="111"/>
      </w:r>
      <w:r>
        <w:rPr>
          <w:lang w:val="fr-FR"/>
        </w:rPr>
        <w:t xml:space="preserve"> ou d’une adoption illégale</w:t>
      </w:r>
      <w:r w:rsidRPr="00EA7479">
        <w:rPr>
          <w:rStyle w:val="Appelnotedebasdep"/>
        </w:rPr>
        <w:footnoteReference w:id="112"/>
      </w:r>
      <w:r w:rsidRPr="00C82A45">
        <w:rPr>
          <w:lang w:val="fr-FR"/>
        </w:rPr>
        <w:t>.</w:t>
      </w:r>
      <w:r>
        <w:rPr>
          <w:lang w:val="fr-FR"/>
        </w:rPr>
        <w:t xml:space="preserve"> Les organes de l’État devraient également se doter d’un système de soins spécialisé permettant de fournir aux proches un soutien social et psychologique, des conseils juridiques et des soins médicaux dans une langue qu’ils comprennent</w:t>
      </w:r>
      <w:r w:rsidRPr="00EA7479">
        <w:rPr>
          <w:rStyle w:val="Appelnotedebasdep"/>
        </w:rPr>
        <w:footnoteReference w:id="113"/>
      </w:r>
      <w:r w:rsidRPr="00C82A45">
        <w:rPr>
          <w:lang w:val="fr-FR"/>
        </w:rPr>
        <w:t>.</w:t>
      </w:r>
      <w:r>
        <w:rPr>
          <w:lang w:val="fr-FR"/>
        </w:rPr>
        <w:t xml:space="preserve"> </w:t>
      </w:r>
    </w:p>
    <w:p w14:paraId="5E141669" w14:textId="77777777" w:rsidR="00DC22DE" w:rsidRDefault="00DC22DE" w:rsidP="00DC22DE">
      <w:pPr>
        <w:pStyle w:val="SingleTxtG"/>
        <w:rPr>
          <w:lang w:val="fr-FR"/>
        </w:rPr>
      </w:pPr>
      <w:r>
        <w:rPr>
          <w:lang w:val="fr-FR"/>
        </w:rPr>
        <w:t>48</w:t>
      </w:r>
      <w:r w:rsidRPr="00C82A45">
        <w:rPr>
          <w:lang w:val="fr-FR"/>
        </w:rPr>
        <w:t>.</w:t>
      </w:r>
      <w:r>
        <w:rPr>
          <w:lang w:val="fr-FR"/>
        </w:rPr>
        <w:tab/>
        <w:t>Les États parties devraient s’appuyer sur des mécanismes de coopération interétatique pour que les victimes continuent de jouir de leurs droits lorsqu’elles migrent d’un État partie à un autre, mais aussi après leur arrivée dans leur pays de destination ou leur retour dans leur pays d’origine</w:t>
      </w:r>
      <w:r w:rsidRPr="00EA7479">
        <w:rPr>
          <w:rStyle w:val="Appelnotedebasdep"/>
        </w:rPr>
        <w:footnoteReference w:id="114"/>
      </w:r>
      <w:r w:rsidRPr="00C82A45">
        <w:rPr>
          <w:lang w:val="fr-FR"/>
        </w:rPr>
        <w:t>.</w:t>
      </w:r>
      <w:r>
        <w:rPr>
          <w:lang w:val="fr-FR"/>
        </w:rPr>
        <w:t xml:space="preserve"> La portée des instruments de coopération ne devrait pas se limiter aux opérations de recherche, mais englober toutes les procédures découlant de l’enquête, </w:t>
      </w:r>
      <w:r>
        <w:rPr>
          <w:lang w:val="fr-FR"/>
        </w:rPr>
        <w:lastRenderedPageBreak/>
        <w:t>notamment la localisation des personnes disparues et leur remise en liberté, ainsi que l’exhumation, l’identification et la restitution des restes retrouvés, et leur rapatriement s’il y a lieu</w:t>
      </w:r>
      <w:r w:rsidRPr="00EA7479">
        <w:rPr>
          <w:rStyle w:val="Appelnotedebasdep"/>
        </w:rPr>
        <w:footnoteReference w:id="115"/>
      </w:r>
      <w:r w:rsidRPr="00C82A45">
        <w:rPr>
          <w:lang w:val="fr-FR"/>
        </w:rPr>
        <w:t>.</w:t>
      </w:r>
      <w:r>
        <w:rPr>
          <w:lang w:val="fr-FR"/>
        </w:rPr>
        <w:t xml:space="preserve"> Le rapatriement des corps doit se faire dans les meilleurs délais, sans frais pour les proches, et doit suivre des protocoles stricts en matière de notification afin d’éviter une </w:t>
      </w:r>
      <w:proofErr w:type="spellStart"/>
      <w:r>
        <w:rPr>
          <w:lang w:val="fr-FR"/>
        </w:rPr>
        <w:t>revictimisation</w:t>
      </w:r>
      <w:proofErr w:type="spellEnd"/>
      <w:r w:rsidRPr="00EA7479">
        <w:rPr>
          <w:rStyle w:val="Appelnotedebasdep"/>
        </w:rPr>
        <w:footnoteReference w:id="116"/>
      </w:r>
      <w:r w:rsidRPr="00C82A45">
        <w:rPr>
          <w:lang w:val="fr-FR"/>
        </w:rPr>
        <w:t>.</w:t>
      </w:r>
      <w:r>
        <w:rPr>
          <w:lang w:val="fr-FR"/>
        </w:rPr>
        <w:t xml:space="preserve"> Lorsqu’ils y sont invités, les bureaux consulaires ou les ambassades devraient jouer un rôle crucial en facilitant la communication avec les proches vivant à l’étranger</w:t>
      </w:r>
      <w:r w:rsidRPr="00C82A45">
        <w:rPr>
          <w:lang w:val="fr-FR"/>
        </w:rPr>
        <w:t>.</w:t>
      </w:r>
      <w:r>
        <w:rPr>
          <w:lang w:val="fr-FR"/>
        </w:rPr>
        <w:t xml:space="preserve"> Des canaux de communication efficaces devraient être établis entre les autorités consulaires du pays dans lequel la personne a disparu et toutes les autorités nationales de ce pays qui sont susceptibles de fournir des informations sur cette personne, notamment les autorités chargées de l’action publique, ainsi que les lieux de privation de liberté, les foyers, les autres missions consulaires, les hôpitaux et les communautés de migrants à l’étranger</w:t>
      </w:r>
      <w:r w:rsidRPr="00EA7479">
        <w:rPr>
          <w:rStyle w:val="Appelnotedebasdep"/>
        </w:rPr>
        <w:footnoteReference w:id="117"/>
      </w:r>
      <w:r w:rsidRPr="00C82A45">
        <w:rPr>
          <w:lang w:val="fr-FR"/>
        </w:rPr>
        <w:t>.</w:t>
      </w:r>
    </w:p>
    <w:p w14:paraId="43AC927C" w14:textId="77777777" w:rsidR="00DC22DE" w:rsidRDefault="00DC22DE" w:rsidP="00DC22DE">
      <w:pPr>
        <w:pStyle w:val="SingleTxtG"/>
        <w:rPr>
          <w:rFonts w:cstheme="minorBidi"/>
          <w:lang w:val="fr-FR"/>
        </w:rPr>
      </w:pPr>
      <w:r>
        <w:rPr>
          <w:lang w:val="fr-FR"/>
        </w:rPr>
        <w:t>49</w:t>
      </w:r>
      <w:r w:rsidRPr="00C82A45">
        <w:rPr>
          <w:lang w:val="fr-FR"/>
        </w:rPr>
        <w:t>.</w:t>
      </w:r>
      <w:r>
        <w:rPr>
          <w:lang w:val="fr-FR"/>
        </w:rPr>
        <w:tab/>
        <w:t>Compte tenu de la situation de vulnérabilité particulière dans laquelle se trouvent les proches de personnes disparues, les États parties doivent faire cesser toute pratique préjudiciable limitant ou entravant le droit de ces personnes de former des organisations et des associations ayant pour objet d’établir les circonstances des cas de disparition forcée et d’élucider le sort des personnes disparues dans le contexte des migrations, ainsi que d’aider les migrants victimes de disparition forcée, et leur droit de participer librement à de telles organisations ou associations</w:t>
      </w:r>
      <w:r w:rsidRPr="00C82A45">
        <w:rPr>
          <w:lang w:val="fr-FR"/>
        </w:rPr>
        <w:t>.</w:t>
      </w:r>
      <w:r>
        <w:rPr>
          <w:lang w:val="fr-FR"/>
        </w:rPr>
        <w:t xml:space="preserve"> </w:t>
      </w:r>
    </w:p>
    <w:p w14:paraId="4E7C7ECE" w14:textId="77777777" w:rsidR="00DC22DE" w:rsidRDefault="00DC22DE" w:rsidP="00DC22DE">
      <w:pPr>
        <w:pStyle w:val="HChG"/>
        <w:rPr>
          <w:lang w:val="fr-FR"/>
        </w:rPr>
      </w:pPr>
      <w:bookmarkStart w:id="28" w:name="_Toc127804282"/>
      <w:bookmarkStart w:id="29" w:name="_Toc129893192"/>
      <w:bookmarkStart w:id="30" w:name="_Toc130394618"/>
      <w:r>
        <w:rPr>
          <w:bCs/>
          <w:lang w:val="fr-FR"/>
        </w:rPr>
        <w:tab/>
        <w:t>VI</w:t>
      </w:r>
      <w:r w:rsidRPr="00C82A45">
        <w:rPr>
          <w:bCs/>
          <w:lang w:val="fr-FR"/>
        </w:rPr>
        <w:t>.</w:t>
      </w:r>
      <w:r>
        <w:rPr>
          <w:lang w:val="fr-FR"/>
        </w:rPr>
        <w:tab/>
      </w:r>
      <w:r>
        <w:rPr>
          <w:bCs/>
          <w:lang w:val="fr-FR"/>
        </w:rPr>
        <w:t>Formation et coopération</w:t>
      </w:r>
      <w:bookmarkEnd w:id="28"/>
      <w:bookmarkEnd w:id="29"/>
      <w:bookmarkEnd w:id="30"/>
    </w:p>
    <w:p w14:paraId="191983EC" w14:textId="514FB955" w:rsidR="00DC22DE" w:rsidRDefault="00DC22DE" w:rsidP="00DC22DE">
      <w:pPr>
        <w:pStyle w:val="SingleTxtG"/>
        <w:rPr>
          <w:b/>
          <w:bCs/>
          <w:lang w:val="fr-FR"/>
        </w:rPr>
      </w:pPr>
      <w:r>
        <w:rPr>
          <w:lang w:val="fr-FR"/>
        </w:rPr>
        <w:t>50</w:t>
      </w:r>
      <w:r w:rsidRPr="00C82A45">
        <w:rPr>
          <w:lang w:val="fr-FR"/>
        </w:rPr>
        <w:t>.</w:t>
      </w:r>
      <w:r>
        <w:rPr>
          <w:lang w:val="fr-FR"/>
        </w:rPr>
        <w:tab/>
        <w:t>Les États parties devraient veiller à ce que les programmes qu’ils exécutent en application de l’article 23 de la Convention comprennent des éléments portant expressément sur la prévention des disparitions forcées dans le contexte des migrations, les enquêtes sur de telles disparitions et la poursuite et la punition des responsables</w:t>
      </w:r>
      <w:r w:rsidRPr="00C82A45">
        <w:rPr>
          <w:lang w:val="fr-FR"/>
        </w:rPr>
        <w:t>.</w:t>
      </w:r>
      <w:r>
        <w:rPr>
          <w:lang w:val="fr-FR"/>
        </w:rPr>
        <w:t xml:space="preserve"> Dans ce contexte, une attention particulière devrait être accordée aux notions de disparition forcée et de non</w:t>
      </w:r>
      <w:r w:rsidR="00233278">
        <w:rPr>
          <w:lang w:val="fr-FR"/>
        </w:rPr>
        <w:noBreakHyphen/>
      </w:r>
      <w:r>
        <w:rPr>
          <w:lang w:val="fr-FR"/>
        </w:rPr>
        <w:t>discrimination</w:t>
      </w:r>
      <w:r w:rsidRPr="00EA7479">
        <w:rPr>
          <w:rStyle w:val="Appelnotedebasdep"/>
        </w:rPr>
        <w:footnoteReference w:id="118"/>
      </w:r>
      <w:r>
        <w:rPr>
          <w:lang w:val="fr-FR"/>
        </w:rPr>
        <w:t>, à la situation de vulnérabilité et aux besoins particuliers des migrants et de leurs proches, ainsi qu’aux mécanismes de coopération internationale</w:t>
      </w:r>
      <w:r w:rsidRPr="00C82A45">
        <w:rPr>
          <w:lang w:val="fr-FR"/>
        </w:rPr>
        <w:t>.</w:t>
      </w:r>
      <w:r>
        <w:rPr>
          <w:lang w:val="fr-FR"/>
        </w:rPr>
        <w:t xml:space="preserve"> Une formation à ces questions devrait être dispensée au personnel chargé de l’application des lois et de la sécurité civile ou militaire, au personnel médical et médico-légal, aux agents de la fonction publique, notamment aux gardes frontière et autres fonctionnaires participant aux mesures de contrôle des frontières et à l’arrestation ou à la privation de liberté de migrants, et aux autres personnes qui peuvent intervenir dans la garde ou le traitement de migrants privés de leur liberté</w:t>
      </w:r>
      <w:r w:rsidRPr="00C82A45">
        <w:rPr>
          <w:lang w:val="fr-FR"/>
        </w:rPr>
        <w:t>.</w:t>
      </w:r>
    </w:p>
    <w:p w14:paraId="02E6BB79" w14:textId="77777777" w:rsidR="00DC22DE" w:rsidRDefault="00DC22DE" w:rsidP="00D624FB">
      <w:pPr>
        <w:pStyle w:val="SingleTxtG"/>
        <w:keepLines/>
        <w:spacing w:after="100"/>
        <w:rPr>
          <w:lang w:val="fr-FR"/>
        </w:rPr>
      </w:pPr>
      <w:r>
        <w:rPr>
          <w:lang w:val="fr-FR"/>
        </w:rPr>
        <w:lastRenderedPageBreak/>
        <w:t>51</w:t>
      </w:r>
      <w:r w:rsidRPr="00C82A45">
        <w:rPr>
          <w:lang w:val="fr-FR"/>
        </w:rPr>
        <w:t>.</w:t>
      </w:r>
      <w:r>
        <w:rPr>
          <w:lang w:val="fr-FR"/>
        </w:rPr>
        <w:tab/>
        <w:t>Compte tenu de la nature souvent transnationale des processus migratoires, afin de s’acquitter pleinement des obligations que leur impose la Convention pour ce qui est de prévenir les disparitions, enquêter sur les disparitions, rechercher les personnes disparues et garantir les droits des victimes, les États parties doivent s’appuyer sur la coopération et sur l’entraide judiciaire, qui revêtent une importance déterminante à cet égard</w:t>
      </w:r>
      <w:r w:rsidRPr="00C82A45">
        <w:rPr>
          <w:lang w:val="fr-FR"/>
        </w:rPr>
        <w:t>.</w:t>
      </w:r>
      <w:r>
        <w:rPr>
          <w:lang w:val="fr-FR"/>
        </w:rPr>
        <w:t xml:space="preserve"> Afin de faciliter cette coopération et cette entraide, les États parties devraient adopter et appliquer des accords de coopération bilatéraux et multilatéraux, renforcer les capacités institutionnelles existantes ou se doter d’autorités compétentes, et prévoir les moyens nécessaires pour assurer une coordination efficace des activités de recherche et d’enquête, notamment l’échange rapide et sûr d’informations et de documents susceptibles d’aider à retrouver les personnes disparues au cours de leur migration</w:t>
      </w:r>
      <w:r w:rsidRPr="00EA7479">
        <w:rPr>
          <w:rStyle w:val="Appelnotedebasdep"/>
        </w:rPr>
        <w:footnoteReference w:id="119"/>
      </w:r>
      <w:r w:rsidRPr="00C82A45">
        <w:rPr>
          <w:lang w:val="fr-FR"/>
        </w:rPr>
        <w:t>.</w:t>
      </w:r>
      <w:r>
        <w:rPr>
          <w:lang w:val="fr-FR"/>
        </w:rPr>
        <w:t xml:space="preserve"> Ces accords devraient être régulièrement révisés et mis à jour afin de tenir compte des circonstances nouvelles</w:t>
      </w:r>
      <w:r w:rsidRPr="00C82A45">
        <w:rPr>
          <w:lang w:val="fr-FR"/>
        </w:rPr>
        <w:t>.</w:t>
      </w:r>
      <w:r>
        <w:rPr>
          <w:lang w:val="fr-FR"/>
        </w:rPr>
        <w:t xml:space="preserve"> </w:t>
      </w:r>
    </w:p>
    <w:p w14:paraId="68B2B00D" w14:textId="77777777" w:rsidR="00DC22DE" w:rsidRDefault="00DC22DE" w:rsidP="00D624FB">
      <w:pPr>
        <w:pStyle w:val="SingleTxtG"/>
        <w:spacing w:after="100"/>
        <w:rPr>
          <w:lang w:val="fr-FR"/>
        </w:rPr>
      </w:pPr>
      <w:r>
        <w:rPr>
          <w:lang w:val="fr-FR"/>
        </w:rPr>
        <w:t>52</w:t>
      </w:r>
      <w:r w:rsidRPr="00C82A45">
        <w:rPr>
          <w:lang w:val="fr-FR"/>
        </w:rPr>
        <w:t>.</w:t>
      </w:r>
      <w:r>
        <w:rPr>
          <w:lang w:val="fr-FR"/>
        </w:rPr>
        <w:tab/>
        <w:t>Le Comité engage les États d’origine, de transit, de destination et de retour à mettre en place des mécanismes transnationaux et régionaux ou sous-régionaux de recherche des migrants disparus afin de faciliter davantage l’échange d’informations et de garantir aux victimes et à leurs proches l’accès à la justice</w:t>
      </w:r>
      <w:r w:rsidRPr="00C82A45">
        <w:rPr>
          <w:lang w:val="fr-FR"/>
        </w:rPr>
        <w:t>.</w:t>
      </w:r>
      <w:r>
        <w:rPr>
          <w:lang w:val="fr-FR"/>
        </w:rPr>
        <w:t xml:space="preserve"> En vue de faciliter les échanges transfrontières d’informations, le Comité recommande la mise en place de mécanismes de notification et de points de contact nationaux chargés de mettre en commun les informations et de communiquer avec leurs homologues et avec les proches des personnes disparues</w:t>
      </w:r>
      <w:r w:rsidRPr="00EA7479">
        <w:rPr>
          <w:rStyle w:val="Appelnotedebasdep"/>
        </w:rPr>
        <w:footnoteReference w:id="120"/>
      </w:r>
      <w:r w:rsidRPr="00C82A45">
        <w:rPr>
          <w:lang w:val="fr-FR"/>
        </w:rPr>
        <w:t>.</w:t>
      </w:r>
      <w:r>
        <w:rPr>
          <w:lang w:val="fr-FR"/>
        </w:rPr>
        <w:t xml:space="preserve"> Lors de la création de tels mécanismes d’échange de l’information, les États parties devraient tenir compte des mécanismes, protocoles et lignes directrices qui existent déjà</w:t>
      </w:r>
      <w:r w:rsidRPr="00EA7479">
        <w:rPr>
          <w:rStyle w:val="Appelnotedebasdep"/>
        </w:rPr>
        <w:footnoteReference w:id="121"/>
      </w:r>
      <w:r w:rsidRPr="00C82A45">
        <w:rPr>
          <w:lang w:val="fr-FR"/>
        </w:rPr>
        <w:t>.</w:t>
      </w:r>
      <w:r>
        <w:rPr>
          <w:lang w:val="fr-FR"/>
        </w:rPr>
        <w:t xml:space="preserve"> </w:t>
      </w:r>
    </w:p>
    <w:p w14:paraId="2A18CB2D" w14:textId="4732F558" w:rsidR="00DC22DE" w:rsidRDefault="00DC22DE" w:rsidP="00D624FB">
      <w:pPr>
        <w:pStyle w:val="SingleTxtG"/>
        <w:spacing w:after="100"/>
        <w:rPr>
          <w:b/>
          <w:bCs/>
          <w:lang w:val="fr-FR"/>
        </w:rPr>
      </w:pPr>
      <w:r>
        <w:rPr>
          <w:lang w:val="fr-FR"/>
        </w:rPr>
        <w:t>53</w:t>
      </w:r>
      <w:r w:rsidRPr="00C82A45">
        <w:rPr>
          <w:lang w:val="fr-FR"/>
        </w:rPr>
        <w:t>.</w:t>
      </w:r>
      <w:r>
        <w:rPr>
          <w:lang w:val="fr-FR"/>
        </w:rPr>
        <w:tab/>
        <w:t>Compte tenu de la nature souvent transnationale des migrations et du fait que les articles</w:t>
      </w:r>
      <w:r w:rsidR="00685AA2">
        <w:rPr>
          <w:lang w:val="fr-FR"/>
        </w:rPr>
        <w:t> </w:t>
      </w:r>
      <w:r>
        <w:rPr>
          <w:lang w:val="fr-FR"/>
        </w:rPr>
        <w:t>15, 24 et 25 (par</w:t>
      </w:r>
      <w:r w:rsidRPr="00C82A45">
        <w:rPr>
          <w:lang w:val="fr-FR"/>
        </w:rPr>
        <w:t>.</w:t>
      </w:r>
      <w:r w:rsidR="00685AA2">
        <w:rPr>
          <w:lang w:val="fr-FR"/>
        </w:rPr>
        <w:t> </w:t>
      </w:r>
      <w:r>
        <w:rPr>
          <w:lang w:val="fr-FR"/>
        </w:rPr>
        <w:t>2 et 3) de la Convention mettent l’accent sur l’assistance aux victimes, les États parties devraient prendre toutes les mesures nécessaires pour permettre l’entraide entre tous les États, en particulier dans le cadre de la recherche et de la collecte d’informations figurant dans les registres et les bases de données d’autres États, qu’ils aient ou non ratifié la Convention</w:t>
      </w:r>
      <w:r w:rsidRPr="00EA7479">
        <w:rPr>
          <w:rStyle w:val="Appelnotedebasdep"/>
        </w:rPr>
        <w:footnoteReference w:id="122"/>
      </w:r>
      <w:r w:rsidRPr="00C82A45">
        <w:rPr>
          <w:lang w:val="fr-FR"/>
        </w:rPr>
        <w:t>.</w:t>
      </w:r>
      <w:r>
        <w:rPr>
          <w:lang w:val="fr-FR"/>
        </w:rPr>
        <w:t xml:space="preserve"> De plus, les États parties devraient solliciter et fournir une assistance pour la collecte de données relatives à la disparition de migrants et appuyer l’action de protection des droits humains des migrants menée l’Organisation des Nations Unies, les mécanismes régionaux et les organisations internationales disposant d’une expertise particulière dans ce domaine</w:t>
      </w:r>
      <w:r w:rsidRPr="00C82A45">
        <w:rPr>
          <w:lang w:val="fr-FR"/>
        </w:rPr>
        <w:t>.</w:t>
      </w:r>
      <w:r>
        <w:rPr>
          <w:lang w:val="fr-FR"/>
        </w:rPr>
        <w:t xml:space="preserve"> </w:t>
      </w:r>
    </w:p>
    <w:p w14:paraId="14374FC6" w14:textId="77777777" w:rsidR="00DC22DE" w:rsidRDefault="00DC22DE" w:rsidP="00D624FB">
      <w:pPr>
        <w:pStyle w:val="SingleTxtG"/>
        <w:spacing w:after="100"/>
        <w:rPr>
          <w:lang w:val="fr-FR"/>
        </w:rPr>
      </w:pPr>
      <w:r>
        <w:rPr>
          <w:lang w:val="fr-FR"/>
        </w:rPr>
        <w:t>54</w:t>
      </w:r>
      <w:r w:rsidRPr="00C82A45">
        <w:rPr>
          <w:lang w:val="fr-FR"/>
        </w:rPr>
        <w:t>.</w:t>
      </w:r>
      <w:r>
        <w:rPr>
          <w:lang w:val="fr-FR"/>
        </w:rPr>
        <w:tab/>
        <w:t>Dans certaines régions, des mécanismes spécialisés ont été créés pour faciliter la communication transnationale entre les victimes de disparitions ou leurs proches et les autorités de l’État dans lequel les faits sont présumés avoir eu lieu</w:t>
      </w:r>
      <w:r w:rsidRPr="00EA7479">
        <w:rPr>
          <w:rStyle w:val="Appelnotedebasdep"/>
        </w:rPr>
        <w:footnoteReference w:id="123"/>
      </w:r>
      <w:r w:rsidRPr="00C82A45">
        <w:rPr>
          <w:lang w:val="fr-FR"/>
        </w:rPr>
        <w:t>.</w:t>
      </w:r>
      <w:r>
        <w:rPr>
          <w:lang w:val="fr-FR"/>
        </w:rPr>
        <w:t xml:space="preserve"> Le Comité engage les </w:t>
      </w:r>
      <w:r>
        <w:rPr>
          <w:lang w:val="fr-FR"/>
        </w:rPr>
        <w:lastRenderedPageBreak/>
        <w:t>États parties à échanger entre eux et avec les États non signataires des informations sur bonnes pratiques et les enseignements à retenir en matière de prévention, de recherche et d’enquête concernant les disparitions de migrants et la mise en cause de la responsabilité des auteurs de tels faits</w:t>
      </w:r>
      <w:r w:rsidRPr="00C82A45">
        <w:rPr>
          <w:lang w:val="fr-FR"/>
        </w:rPr>
        <w:t>.</w:t>
      </w:r>
    </w:p>
    <w:p w14:paraId="28FC0AEA" w14:textId="77777777" w:rsidR="00DC22DE" w:rsidRDefault="00DC22DE" w:rsidP="00DC22DE">
      <w:pPr>
        <w:pStyle w:val="SingleTxtG"/>
        <w:rPr>
          <w:lang w:val="fr-FR"/>
        </w:rPr>
      </w:pPr>
      <w:r>
        <w:rPr>
          <w:lang w:val="fr-FR"/>
        </w:rPr>
        <w:t>55</w:t>
      </w:r>
      <w:r w:rsidRPr="00C82A45">
        <w:rPr>
          <w:lang w:val="fr-FR"/>
        </w:rPr>
        <w:t>.</w:t>
      </w:r>
      <w:r>
        <w:rPr>
          <w:lang w:val="fr-FR"/>
        </w:rPr>
        <w:tab/>
        <w:t>La présente observation générale devrait être traduite dans toutes les langues nationales et largement diffusée auprès de tous les acteurs internationaux, régionaux et nationaux concernés, en particulier toutes les branches de l’administration publique, les forces de sécurité, les autorités et le personnel chargés des migrations et des frontières, le personnel médical et les professionnels de l’aide sociale, ainsi qu’auprès des organisations de proches de migrants disparus et d’autres acteurs de la société civile, du monde universitaire et des médias</w:t>
      </w:r>
      <w:r w:rsidRPr="00C82A45">
        <w:rPr>
          <w:lang w:val="fr-FR"/>
        </w:rPr>
        <w:t>.</w:t>
      </w:r>
      <w:r>
        <w:rPr>
          <w:lang w:val="fr-FR"/>
        </w:rPr>
        <w:t xml:space="preserve"> </w:t>
      </w:r>
    </w:p>
    <w:p w14:paraId="683B7E62" w14:textId="77777777" w:rsidR="00DC22DE" w:rsidRDefault="00DC22DE" w:rsidP="00DC22DE">
      <w:pPr>
        <w:pStyle w:val="HChG"/>
        <w:rPr>
          <w:lang w:val="fr-FR"/>
        </w:rPr>
      </w:pPr>
      <w:bookmarkStart w:id="32" w:name="_Toc129893193"/>
      <w:bookmarkStart w:id="33" w:name="_Toc130394619"/>
      <w:r>
        <w:rPr>
          <w:lang w:val="fr-FR"/>
        </w:rPr>
        <w:tab/>
        <w:t>VII</w:t>
      </w:r>
      <w:r w:rsidRPr="00C82A45">
        <w:rPr>
          <w:lang w:val="fr-FR"/>
        </w:rPr>
        <w:t>.</w:t>
      </w:r>
      <w:r>
        <w:rPr>
          <w:lang w:val="fr-FR"/>
        </w:rPr>
        <w:tab/>
        <w:t>Ratification</w:t>
      </w:r>
      <w:bookmarkEnd w:id="32"/>
      <w:bookmarkEnd w:id="33"/>
    </w:p>
    <w:p w14:paraId="7458E394" w14:textId="7B325B9F" w:rsidR="00446FE5" w:rsidRDefault="00DC22DE" w:rsidP="00DC22DE">
      <w:pPr>
        <w:pStyle w:val="SingleTxtG"/>
        <w:rPr>
          <w:lang w:val="fr-FR"/>
        </w:rPr>
      </w:pPr>
      <w:r>
        <w:rPr>
          <w:lang w:val="fr-FR"/>
        </w:rPr>
        <w:t>56</w:t>
      </w:r>
      <w:r w:rsidRPr="00C82A45">
        <w:rPr>
          <w:lang w:val="fr-FR"/>
        </w:rPr>
        <w:t>.</w:t>
      </w:r>
      <w:r>
        <w:rPr>
          <w:lang w:val="fr-FR"/>
        </w:rPr>
        <w:tab/>
        <w:t>Le Comité engage tous les États qui ne l’ont pas encore fait à ratifier la Convention et à reconnaître la compétence du Comité, en application des articles 31 et 32 de celle-ci</w:t>
      </w:r>
      <w:r w:rsidRPr="00C82A45">
        <w:rPr>
          <w:lang w:val="fr-FR"/>
        </w:rPr>
        <w:t>.</w:t>
      </w:r>
    </w:p>
    <w:p w14:paraId="55F1D986" w14:textId="3A32BFC6" w:rsidR="00DC22DE" w:rsidRPr="00DC22DE" w:rsidRDefault="00DC22DE" w:rsidP="00DC22DE">
      <w:pPr>
        <w:pStyle w:val="SingleTxtG"/>
        <w:spacing w:before="240" w:after="0"/>
        <w:jc w:val="center"/>
        <w:rPr>
          <w:u w:val="single"/>
        </w:rPr>
      </w:pPr>
      <w:r>
        <w:rPr>
          <w:u w:val="single"/>
        </w:rPr>
        <w:tab/>
      </w:r>
      <w:r>
        <w:rPr>
          <w:u w:val="single"/>
        </w:rPr>
        <w:tab/>
      </w:r>
      <w:r>
        <w:rPr>
          <w:u w:val="single"/>
        </w:rPr>
        <w:tab/>
      </w:r>
    </w:p>
    <w:sectPr w:rsidR="00DC22DE" w:rsidRPr="00DC22DE" w:rsidSect="00D47515">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9F6A9" w14:textId="77777777" w:rsidR="009C3580" w:rsidRDefault="009C3580" w:rsidP="00F95C08">
      <w:pPr>
        <w:spacing w:line="240" w:lineRule="auto"/>
      </w:pPr>
    </w:p>
  </w:endnote>
  <w:endnote w:type="continuationSeparator" w:id="0">
    <w:p w14:paraId="3997D666" w14:textId="77777777" w:rsidR="009C3580" w:rsidRPr="00AC3823" w:rsidRDefault="009C3580" w:rsidP="00AC3823">
      <w:pPr>
        <w:pStyle w:val="Pieddepage"/>
      </w:pPr>
    </w:p>
  </w:endnote>
  <w:endnote w:type="continuationNotice" w:id="1">
    <w:p w14:paraId="1BB42DDC" w14:textId="77777777" w:rsidR="009C3580" w:rsidRDefault="009C35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70F9B" w14:textId="50EB7DB0" w:rsidR="00D47515" w:rsidRPr="00D47515" w:rsidRDefault="00D47515" w:rsidP="00D47515">
    <w:pPr>
      <w:pStyle w:val="Pieddepage"/>
      <w:tabs>
        <w:tab w:val="right" w:pos="9638"/>
      </w:tabs>
    </w:pPr>
    <w:r w:rsidRPr="00D47515">
      <w:rPr>
        <w:b/>
        <w:sz w:val="18"/>
      </w:rPr>
      <w:fldChar w:fldCharType="begin"/>
    </w:r>
    <w:r w:rsidRPr="00D47515">
      <w:rPr>
        <w:b/>
        <w:sz w:val="18"/>
      </w:rPr>
      <w:instrText xml:space="preserve"> PAGE  \* MERGEFORMAT </w:instrText>
    </w:r>
    <w:r w:rsidRPr="00D47515">
      <w:rPr>
        <w:b/>
        <w:sz w:val="18"/>
      </w:rPr>
      <w:fldChar w:fldCharType="separate"/>
    </w:r>
    <w:r w:rsidRPr="00D47515">
      <w:rPr>
        <w:b/>
        <w:noProof/>
        <w:sz w:val="18"/>
      </w:rPr>
      <w:t>2</w:t>
    </w:r>
    <w:r w:rsidRPr="00D47515">
      <w:rPr>
        <w:b/>
        <w:sz w:val="18"/>
      </w:rPr>
      <w:fldChar w:fldCharType="end"/>
    </w:r>
    <w:r>
      <w:rPr>
        <w:b/>
        <w:sz w:val="18"/>
      </w:rPr>
      <w:tab/>
    </w:r>
    <w:r>
      <w:t>GE.23-19531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D04B" w14:textId="48EB6214" w:rsidR="00D47515" w:rsidRPr="00D47515" w:rsidRDefault="00D47515" w:rsidP="00D47515">
    <w:pPr>
      <w:pStyle w:val="Pieddepage"/>
      <w:tabs>
        <w:tab w:val="right" w:pos="9638"/>
      </w:tabs>
      <w:rPr>
        <w:b/>
        <w:sz w:val="18"/>
      </w:rPr>
    </w:pPr>
    <w:r>
      <w:t>GE.23-19531</w:t>
    </w:r>
    <w:r>
      <w:tab/>
    </w:r>
    <w:r w:rsidRPr="00D47515">
      <w:rPr>
        <w:b/>
        <w:sz w:val="18"/>
      </w:rPr>
      <w:fldChar w:fldCharType="begin"/>
    </w:r>
    <w:r w:rsidRPr="00D47515">
      <w:rPr>
        <w:b/>
        <w:sz w:val="18"/>
      </w:rPr>
      <w:instrText xml:space="preserve"> PAGE  \* MERGEFORMAT </w:instrText>
    </w:r>
    <w:r w:rsidRPr="00D47515">
      <w:rPr>
        <w:b/>
        <w:sz w:val="18"/>
      </w:rPr>
      <w:fldChar w:fldCharType="separate"/>
    </w:r>
    <w:r w:rsidRPr="00D47515">
      <w:rPr>
        <w:b/>
        <w:noProof/>
        <w:sz w:val="18"/>
      </w:rPr>
      <w:t>3</w:t>
    </w:r>
    <w:r w:rsidRPr="00D4751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E6D7" w14:textId="57D421D7" w:rsidR="00133EDE" w:rsidRPr="00D47515" w:rsidRDefault="00D47515" w:rsidP="00D47515">
    <w:pPr>
      <w:pStyle w:val="Pieddepage"/>
      <w:spacing w:before="120"/>
      <w:rPr>
        <w:sz w:val="20"/>
      </w:rPr>
    </w:pPr>
    <w:r>
      <w:rPr>
        <w:sz w:val="20"/>
      </w:rPr>
      <w:t>GE.</w:t>
    </w:r>
    <w:r w:rsidR="00133EDE">
      <w:rPr>
        <w:noProof/>
        <w:lang w:eastAsia="fr-CH"/>
      </w:rPr>
      <w:drawing>
        <wp:anchor distT="0" distB="0" distL="114300" distR="114300" simplePos="0" relativeHeight="251659264" behindDoc="0" locked="0" layoutInCell="1" allowOverlap="0" wp14:anchorId="0180418F" wp14:editId="371F2788">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23-19531  (F)</w:t>
    </w:r>
    <w:r>
      <w:rPr>
        <w:noProof/>
        <w:sz w:val="20"/>
      </w:rPr>
      <w:drawing>
        <wp:anchor distT="0" distB="0" distL="114300" distR="114300" simplePos="0" relativeHeight="251660288" behindDoc="0" locked="0" layoutInCell="1" allowOverlap="1" wp14:anchorId="74EA9D1E" wp14:editId="796A8FF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1CB">
      <w:rPr>
        <w:sz w:val="20"/>
      </w:rPr>
      <w:t xml:space="preserve">    141123    151123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1D4D7" w14:textId="77777777" w:rsidR="009C3580" w:rsidRPr="00AC3823" w:rsidRDefault="009C3580" w:rsidP="00AC3823">
      <w:pPr>
        <w:pStyle w:val="Pieddepage"/>
        <w:tabs>
          <w:tab w:val="right" w:pos="2155"/>
        </w:tabs>
        <w:spacing w:after="80" w:line="240" w:lineRule="atLeast"/>
        <w:ind w:left="680"/>
        <w:rPr>
          <w:u w:val="single"/>
        </w:rPr>
      </w:pPr>
      <w:r>
        <w:rPr>
          <w:u w:val="single"/>
        </w:rPr>
        <w:tab/>
      </w:r>
    </w:p>
  </w:footnote>
  <w:footnote w:type="continuationSeparator" w:id="0">
    <w:p w14:paraId="5A629869" w14:textId="77777777" w:rsidR="009C3580" w:rsidRPr="00AC3823" w:rsidRDefault="009C3580" w:rsidP="00AC3823">
      <w:pPr>
        <w:pStyle w:val="Pieddepage"/>
        <w:tabs>
          <w:tab w:val="right" w:pos="2155"/>
        </w:tabs>
        <w:spacing w:after="80" w:line="240" w:lineRule="atLeast"/>
        <w:ind w:left="680"/>
        <w:rPr>
          <w:u w:val="single"/>
        </w:rPr>
      </w:pPr>
      <w:r>
        <w:rPr>
          <w:u w:val="single"/>
        </w:rPr>
        <w:tab/>
      </w:r>
    </w:p>
  </w:footnote>
  <w:footnote w:type="continuationNotice" w:id="1">
    <w:p w14:paraId="6028421E" w14:textId="77777777" w:rsidR="009C3580" w:rsidRPr="00AC3823" w:rsidRDefault="009C3580">
      <w:pPr>
        <w:spacing w:line="240" w:lineRule="auto"/>
        <w:rPr>
          <w:sz w:val="2"/>
          <w:szCs w:val="2"/>
        </w:rPr>
      </w:pPr>
    </w:p>
  </w:footnote>
  <w:footnote w:id="2">
    <w:p w14:paraId="0DEB83B9" w14:textId="04563EDD" w:rsidR="00DC22DE" w:rsidRPr="00DC22DE" w:rsidRDefault="00DC22DE">
      <w:pPr>
        <w:pStyle w:val="Notedebasdepage"/>
      </w:pPr>
      <w:r>
        <w:rPr>
          <w:rStyle w:val="Appelnotedebasdep"/>
        </w:rPr>
        <w:tab/>
      </w:r>
      <w:r w:rsidRPr="00DC22DE">
        <w:rPr>
          <w:rStyle w:val="Appelnotedebasdep"/>
          <w:sz w:val="20"/>
          <w:vertAlign w:val="baseline"/>
        </w:rPr>
        <w:t>*</w:t>
      </w:r>
      <w:r>
        <w:rPr>
          <w:rStyle w:val="Appelnotedebasdep"/>
          <w:sz w:val="20"/>
          <w:vertAlign w:val="baseline"/>
        </w:rPr>
        <w:tab/>
      </w:r>
      <w:r>
        <w:t>Adoptée par le Comité à sa vingt-cinquième session (11-29 septembre 2023).</w:t>
      </w:r>
    </w:p>
  </w:footnote>
  <w:footnote w:id="3">
    <w:p w14:paraId="2BB30CB5" w14:textId="4D290DD6" w:rsidR="00DC22DE" w:rsidRPr="00EA7479" w:rsidRDefault="00DC22DE" w:rsidP="00DC22DE">
      <w:pPr>
        <w:pStyle w:val="Notedebasdepage"/>
        <w:rPr>
          <w:rFonts w:cstheme="minorHAnsi"/>
          <w:szCs w:val="18"/>
          <w:lang w:val="fr-FR"/>
        </w:rPr>
      </w:pPr>
      <w:r w:rsidRPr="00B9419B">
        <w:rPr>
          <w:rFonts w:cstheme="minorHAnsi"/>
          <w:szCs w:val="18"/>
          <w:lang w:val="fr-FR"/>
        </w:rPr>
        <w:tab/>
      </w:r>
      <w:r w:rsidRPr="00EA7479">
        <w:rPr>
          <w:rStyle w:val="Appelnotedebasdep"/>
        </w:rPr>
        <w:footnoteRef/>
      </w:r>
      <w:r w:rsidRPr="00EA7479">
        <w:rPr>
          <w:rFonts w:cstheme="minorHAnsi"/>
          <w:szCs w:val="18"/>
          <w:lang w:val="fr-FR"/>
        </w:rPr>
        <w:tab/>
      </w:r>
      <w:r>
        <w:t>Organisation internationale pour les migrations (OIM), définition donnée par l</w:t>
      </w:r>
      <w:r w:rsidR="003A234B">
        <w:t>’</w:t>
      </w:r>
      <w:r>
        <w:t>OIM de l</w:t>
      </w:r>
      <w:r w:rsidR="003A234B">
        <w:t>’</w:t>
      </w:r>
      <w:r>
        <w:t xml:space="preserve">expression </w:t>
      </w:r>
      <w:r w:rsidR="00562F45">
        <w:t>« </w:t>
      </w:r>
      <w:r>
        <w:t>migrant</w:t>
      </w:r>
      <w:r w:rsidR="00562F45">
        <w:t> »</w:t>
      </w:r>
      <w:r>
        <w:t>.</w:t>
      </w:r>
    </w:p>
  </w:footnote>
  <w:footnote w:id="4">
    <w:p w14:paraId="0EFB3CA5" w14:textId="01FDE6A9" w:rsidR="00DC22DE" w:rsidRPr="00EA7479" w:rsidRDefault="00DC22DE" w:rsidP="00DC22DE">
      <w:pPr>
        <w:pStyle w:val="Notedebasdepage"/>
        <w:rPr>
          <w:rFonts w:cstheme="minorHAnsi"/>
          <w:szCs w:val="18"/>
          <w:lang w:val="fr-FR"/>
        </w:rPr>
      </w:pPr>
      <w:r w:rsidRPr="00EA7479">
        <w:rPr>
          <w:rFonts w:cstheme="minorHAnsi"/>
          <w:szCs w:val="18"/>
          <w:lang w:val="fr-FR"/>
        </w:rPr>
        <w:tab/>
      </w:r>
      <w:r w:rsidRPr="00EA7479">
        <w:rPr>
          <w:rStyle w:val="Appelnotedebasdep"/>
        </w:rPr>
        <w:footnoteRef/>
      </w:r>
      <w:r w:rsidRPr="00EA7479">
        <w:rPr>
          <w:rFonts w:cstheme="minorHAnsi"/>
          <w:szCs w:val="18"/>
          <w:lang w:val="fr-FR"/>
        </w:rPr>
        <w:tab/>
      </w:r>
      <w:hyperlink r:id="rId1" w:history="1">
        <w:r w:rsidR="00C56ABF">
          <w:rPr>
            <w:rStyle w:val="Lienhypertexte"/>
            <w:rFonts w:cstheme="minorHAnsi"/>
            <w:szCs w:val="18"/>
            <w:lang w:val="fr-FR"/>
          </w:rPr>
          <w:t>A/76/642</w:t>
        </w:r>
      </w:hyperlink>
      <w:r w:rsidRPr="00EA7479">
        <w:rPr>
          <w:rFonts w:cstheme="minorHAnsi"/>
          <w:szCs w:val="18"/>
          <w:lang w:val="fr-FR"/>
        </w:rPr>
        <w:t xml:space="preserve">, </w:t>
      </w:r>
      <w:r w:rsidR="00562F45">
        <w:rPr>
          <w:rFonts w:cstheme="minorHAnsi"/>
          <w:szCs w:val="18"/>
          <w:lang w:val="fr-FR"/>
        </w:rPr>
        <w:t>par. </w:t>
      </w:r>
      <w:r w:rsidRPr="00EA7479">
        <w:rPr>
          <w:rFonts w:cstheme="minorHAnsi"/>
          <w:szCs w:val="18"/>
          <w:lang w:val="fr-FR"/>
        </w:rPr>
        <w:t xml:space="preserve">11. </w:t>
      </w:r>
      <w:r>
        <w:t>Voir également OIM, Centre d</w:t>
      </w:r>
      <w:r w:rsidR="003A234B">
        <w:t>’</w:t>
      </w:r>
      <w:r>
        <w:t xml:space="preserve">analyse des données migratoires mondiales, Portail sur les données migratoires, </w:t>
      </w:r>
      <w:r>
        <w:rPr>
          <w:i/>
          <w:iCs/>
        </w:rPr>
        <w:t>Population de migrants internationaux</w:t>
      </w:r>
      <w:r>
        <w:t>. Disponible à l</w:t>
      </w:r>
      <w:r w:rsidR="003A234B">
        <w:t>’</w:t>
      </w:r>
      <w:r>
        <w:t>adresse suivante</w:t>
      </w:r>
      <w:r w:rsidR="00382F93">
        <w:t> </w:t>
      </w:r>
      <w:r>
        <w:t xml:space="preserve">: </w:t>
      </w:r>
      <w:hyperlink r:id="rId2" w:history="1">
        <w:r w:rsidR="00C56ABF">
          <w:rPr>
            <w:rStyle w:val="Lienhypertexte"/>
            <w:lang w:val="fr-FR"/>
          </w:rPr>
          <w:t>https://www.migrationdataportal.org/fr/themes/population-de-migrants-internationaux</w:t>
        </w:r>
      </w:hyperlink>
      <w:r>
        <w:rPr>
          <w:rFonts w:cstheme="minorHAnsi"/>
          <w:szCs w:val="18"/>
          <w:lang w:val="fr-FR"/>
        </w:rPr>
        <w:t>.</w:t>
      </w:r>
    </w:p>
  </w:footnote>
  <w:footnote w:id="5">
    <w:p w14:paraId="575244F4" w14:textId="38E3EF60" w:rsidR="00DC22DE" w:rsidRPr="00EA7479" w:rsidRDefault="00DC22DE" w:rsidP="00DC22DE">
      <w:pPr>
        <w:pStyle w:val="Notedebasdepage"/>
        <w:rPr>
          <w:rFonts w:cstheme="minorHAnsi"/>
          <w:szCs w:val="18"/>
          <w:lang w:val="fr-FR"/>
        </w:rPr>
      </w:pPr>
      <w:r w:rsidRPr="00EA7479">
        <w:rPr>
          <w:rFonts w:cstheme="minorHAnsi"/>
          <w:szCs w:val="18"/>
          <w:lang w:val="fr-FR"/>
        </w:rPr>
        <w:tab/>
      </w:r>
      <w:r w:rsidRPr="00EA7479">
        <w:rPr>
          <w:rStyle w:val="Appelnotedebasdep"/>
        </w:rPr>
        <w:footnoteRef/>
      </w:r>
      <w:r w:rsidRPr="00EA7479">
        <w:rPr>
          <w:rFonts w:cstheme="minorHAnsi"/>
          <w:szCs w:val="18"/>
          <w:lang w:val="fr-FR"/>
        </w:rPr>
        <w:tab/>
      </w:r>
      <w:r>
        <w:t>Pacte mondial pour des migrations sûres, ordonnées et régulières, objectif 7. Voir aussi les Principes directeurs concernant la recherche de personnes disparues (</w:t>
      </w:r>
      <w:hyperlink r:id="rId3" w:history="1">
        <w:r w:rsidR="00C56ABF">
          <w:rPr>
            <w:rStyle w:val="Lienhypertexte"/>
          </w:rPr>
          <w:t>CED/C/7</w:t>
        </w:r>
      </w:hyperlink>
      <w:r>
        <w:t>, annexe), principe 9</w:t>
      </w:r>
      <w:r w:rsidR="00634635">
        <w:t> ;</w:t>
      </w:r>
      <w:r>
        <w:t xml:space="preserve"> Commission africaine des droits de l</w:t>
      </w:r>
      <w:r w:rsidR="003A234B">
        <w:t>’</w:t>
      </w:r>
      <w:r>
        <w:t xml:space="preserve">homme et des peuples, </w:t>
      </w:r>
      <w:r w:rsidRPr="00EA7479">
        <w:rPr>
          <w:i/>
          <w:iCs/>
        </w:rPr>
        <w:t>Lignes directrices sur la liberté d</w:t>
      </w:r>
      <w:r w:rsidR="003A234B">
        <w:rPr>
          <w:i/>
          <w:iCs/>
        </w:rPr>
        <w:t>’</w:t>
      </w:r>
      <w:r w:rsidRPr="00EA7479">
        <w:rPr>
          <w:i/>
          <w:iCs/>
        </w:rPr>
        <w:t>association et de réunion en Afrique</w:t>
      </w:r>
      <w:r>
        <w:t xml:space="preserve"> (2022), </w:t>
      </w:r>
      <w:r w:rsidR="00562F45">
        <w:t>par. </w:t>
      </w:r>
      <w:r>
        <w:t>1.3.2.</w:t>
      </w:r>
    </w:p>
  </w:footnote>
  <w:footnote w:id="6">
    <w:p w14:paraId="0A2C3BA1" w14:textId="5799A0BB" w:rsidR="00DC22DE" w:rsidRPr="00EA7479" w:rsidRDefault="00DC22DE" w:rsidP="00DC22DE">
      <w:pPr>
        <w:pStyle w:val="Notedebasdepage"/>
        <w:rPr>
          <w:rFonts w:cstheme="minorHAnsi"/>
          <w:szCs w:val="18"/>
          <w:lang w:val="fr-FR"/>
        </w:rPr>
      </w:pPr>
      <w:r w:rsidRPr="00EA7479">
        <w:rPr>
          <w:rFonts w:cstheme="minorHAnsi"/>
          <w:szCs w:val="18"/>
          <w:lang w:val="fr-FR"/>
        </w:rPr>
        <w:tab/>
      </w:r>
      <w:r w:rsidRPr="00EA7479">
        <w:rPr>
          <w:rStyle w:val="Appelnotedebasdep"/>
        </w:rPr>
        <w:footnoteRef/>
      </w:r>
      <w:r w:rsidRPr="00EA7479">
        <w:rPr>
          <w:rFonts w:cstheme="minorHAnsi"/>
          <w:szCs w:val="18"/>
          <w:lang w:val="fr-FR"/>
        </w:rPr>
        <w:tab/>
      </w:r>
      <w:r>
        <w:t xml:space="preserve">Pacte mondial pour des migrations sûres, ordonnées et régulières, </w:t>
      </w:r>
      <w:r w:rsidR="00562F45">
        <w:t>par. </w:t>
      </w:r>
      <w:r>
        <w:t>4</w:t>
      </w:r>
      <w:r w:rsidRPr="00EA7479">
        <w:rPr>
          <w:rFonts w:cstheme="minorHAnsi"/>
          <w:szCs w:val="18"/>
          <w:lang w:val="fr-FR"/>
        </w:rPr>
        <w:t>.</w:t>
      </w:r>
    </w:p>
  </w:footnote>
  <w:footnote w:id="7">
    <w:p w14:paraId="5DF8540C" w14:textId="0555B603" w:rsidR="00DC22DE" w:rsidRPr="00EA7479" w:rsidRDefault="00DC22DE" w:rsidP="00DC22DE">
      <w:pPr>
        <w:pStyle w:val="Notedebasdepage"/>
        <w:rPr>
          <w:rFonts w:cstheme="minorHAnsi"/>
          <w:szCs w:val="18"/>
          <w:lang w:val="fr-FR"/>
        </w:rPr>
      </w:pPr>
      <w:r w:rsidRPr="00EA7479">
        <w:rPr>
          <w:rFonts w:cstheme="minorHAnsi"/>
          <w:szCs w:val="18"/>
          <w:lang w:val="fr-FR"/>
        </w:rPr>
        <w:tab/>
      </w:r>
      <w:r w:rsidRPr="00EA7479">
        <w:rPr>
          <w:rStyle w:val="Appelnotedebasdep"/>
        </w:rPr>
        <w:footnoteRef/>
      </w:r>
      <w:r w:rsidRPr="00EA7479">
        <w:rPr>
          <w:rFonts w:cstheme="minorHAnsi"/>
          <w:szCs w:val="18"/>
          <w:lang w:val="fr-FR"/>
        </w:rPr>
        <w:tab/>
      </w:r>
      <w:r>
        <w:t>Comité pour l</w:t>
      </w:r>
      <w:r w:rsidR="003A234B">
        <w:t>’</w:t>
      </w:r>
      <w:r>
        <w:t>élimination de la discrimination à l</w:t>
      </w:r>
      <w:r w:rsidR="003A234B">
        <w:t>’</w:t>
      </w:r>
      <w:r>
        <w:t xml:space="preserve">égard des femmes, recommandation générale </w:t>
      </w:r>
      <w:r w:rsidR="00634635">
        <w:rPr>
          <w:rFonts w:eastAsia="MS Mincho"/>
        </w:rPr>
        <w:t>n</w:t>
      </w:r>
      <w:r w:rsidR="00634635">
        <w:rPr>
          <w:rFonts w:eastAsia="MS Mincho"/>
          <w:vertAlign w:val="superscript"/>
        </w:rPr>
        <w:t>o</w:t>
      </w:r>
      <w:r w:rsidR="00634635">
        <w:t> </w:t>
      </w:r>
      <w:r>
        <w:t xml:space="preserve">38 (2020) sur la traite des femmes et des filles dans le contexte des migrations internationales, </w:t>
      </w:r>
      <w:r w:rsidR="00562F45">
        <w:t>par. </w:t>
      </w:r>
      <w:r>
        <w:t>23</w:t>
      </w:r>
      <w:r w:rsidRPr="00EA7479">
        <w:rPr>
          <w:rFonts w:cstheme="minorHAnsi"/>
          <w:szCs w:val="18"/>
          <w:lang w:val="fr-FR"/>
        </w:rPr>
        <w:t xml:space="preserve">. </w:t>
      </w:r>
    </w:p>
  </w:footnote>
  <w:footnote w:id="8">
    <w:p w14:paraId="1ABD31EB" w14:textId="51FB3ECA" w:rsidR="00DC22DE" w:rsidRPr="00EA7479" w:rsidRDefault="00DC22DE" w:rsidP="00DC22DE">
      <w:pPr>
        <w:pStyle w:val="Notedebasdepage"/>
        <w:rPr>
          <w:rFonts w:cstheme="minorHAnsi"/>
          <w:szCs w:val="18"/>
          <w:lang w:val="fr-FR"/>
        </w:rPr>
      </w:pPr>
      <w:r w:rsidRPr="00EA7479">
        <w:rPr>
          <w:rFonts w:cstheme="minorHAnsi"/>
          <w:szCs w:val="18"/>
          <w:lang w:val="fr-FR"/>
        </w:rPr>
        <w:tab/>
      </w:r>
      <w:r w:rsidRPr="00EA7479">
        <w:rPr>
          <w:rStyle w:val="Appelnotedebasdep"/>
        </w:rPr>
        <w:footnoteRef/>
      </w:r>
      <w:r w:rsidRPr="00EA7479">
        <w:rPr>
          <w:rFonts w:cstheme="minorHAnsi"/>
          <w:szCs w:val="18"/>
        </w:rPr>
        <w:tab/>
      </w:r>
      <w:hyperlink r:id="rId4" w:history="1">
        <w:r w:rsidR="00C56ABF">
          <w:rPr>
            <w:rStyle w:val="Lienhypertexte"/>
            <w:rFonts w:cstheme="minorHAnsi"/>
            <w:szCs w:val="18"/>
          </w:rPr>
          <w:t>A/HRC/50/31</w:t>
        </w:r>
      </w:hyperlink>
      <w:r w:rsidRPr="00EA7479">
        <w:rPr>
          <w:rFonts w:cstheme="minorHAnsi"/>
          <w:szCs w:val="18"/>
        </w:rPr>
        <w:t xml:space="preserve">, </w:t>
      </w:r>
      <w:r w:rsidR="00562F45">
        <w:rPr>
          <w:rFonts w:cstheme="minorHAnsi"/>
          <w:szCs w:val="18"/>
        </w:rPr>
        <w:t>par. </w:t>
      </w:r>
      <w:r w:rsidRPr="00EA7479">
        <w:rPr>
          <w:rFonts w:cstheme="minorHAnsi"/>
          <w:szCs w:val="18"/>
        </w:rPr>
        <w:t xml:space="preserve">24. </w:t>
      </w:r>
      <w:r w:rsidRPr="00EA7479">
        <w:rPr>
          <w:rFonts w:cstheme="minorHAnsi"/>
          <w:szCs w:val="18"/>
          <w:lang w:val="fr-FR"/>
        </w:rPr>
        <w:t xml:space="preserve">Voir aussi </w:t>
      </w:r>
      <w:hyperlink r:id="rId5" w:history="1">
        <w:r w:rsidR="00C56ABF">
          <w:rPr>
            <w:rStyle w:val="Lienhypertexte"/>
            <w:rFonts w:cstheme="minorHAnsi"/>
            <w:szCs w:val="18"/>
            <w:lang w:val="fr-FR"/>
          </w:rPr>
          <w:t>CED/C/GRC/CO/1</w:t>
        </w:r>
      </w:hyperlink>
      <w:r w:rsidRPr="00EA7479">
        <w:rPr>
          <w:rFonts w:cstheme="minorHAnsi"/>
          <w:szCs w:val="18"/>
          <w:lang w:val="fr-FR"/>
        </w:rPr>
        <w:t xml:space="preserve">, </w:t>
      </w:r>
      <w:r w:rsidR="00562F45">
        <w:rPr>
          <w:rFonts w:cstheme="minorHAnsi"/>
          <w:szCs w:val="18"/>
          <w:lang w:val="fr-FR"/>
        </w:rPr>
        <w:t>par. </w:t>
      </w:r>
      <w:r w:rsidRPr="00EA7479">
        <w:rPr>
          <w:rFonts w:cstheme="minorHAnsi"/>
          <w:szCs w:val="18"/>
          <w:lang w:val="fr-FR"/>
        </w:rPr>
        <w:t>28</w:t>
      </w:r>
      <w:r w:rsidR="00634635">
        <w:rPr>
          <w:rFonts w:cstheme="minorHAnsi"/>
          <w:szCs w:val="18"/>
          <w:lang w:val="fr-FR"/>
        </w:rPr>
        <w:t> ;</w:t>
      </w:r>
      <w:r w:rsidRPr="00EA7479">
        <w:rPr>
          <w:rFonts w:cstheme="minorHAnsi"/>
          <w:szCs w:val="18"/>
          <w:lang w:val="fr-FR"/>
        </w:rPr>
        <w:t xml:space="preserve"> </w:t>
      </w:r>
      <w:hyperlink r:id="rId6" w:history="1">
        <w:r w:rsidR="00C56ABF">
          <w:rPr>
            <w:rStyle w:val="Lienhypertexte"/>
            <w:rFonts w:cstheme="minorHAnsi"/>
            <w:szCs w:val="18"/>
            <w:lang w:val="fr-FR"/>
          </w:rPr>
          <w:t>CED</w:t>
        </w:r>
        <w:r w:rsidR="00C56ABF">
          <w:rPr>
            <w:rStyle w:val="Lienhypertexte"/>
            <w:rFonts w:cstheme="minorHAnsi"/>
            <w:szCs w:val="18"/>
            <w:lang w:val="fr-FR"/>
          </w:rPr>
          <w:t>/</w:t>
        </w:r>
        <w:r w:rsidR="00C56ABF">
          <w:rPr>
            <w:rStyle w:val="Lienhypertexte"/>
            <w:rFonts w:cstheme="minorHAnsi"/>
            <w:szCs w:val="18"/>
            <w:lang w:val="fr-FR"/>
          </w:rPr>
          <w:t>C/M</w:t>
        </w:r>
        <w:r w:rsidR="00C56ABF">
          <w:rPr>
            <w:rStyle w:val="Lienhypertexte"/>
            <w:rFonts w:cstheme="minorHAnsi"/>
            <w:szCs w:val="18"/>
            <w:lang w:val="fr-FR"/>
          </w:rPr>
          <w:t>E</w:t>
        </w:r>
        <w:r w:rsidR="00C56ABF">
          <w:rPr>
            <w:rStyle w:val="Lienhypertexte"/>
            <w:rFonts w:cstheme="minorHAnsi"/>
            <w:szCs w:val="18"/>
            <w:lang w:val="fr-FR"/>
          </w:rPr>
          <w:t>X/</w:t>
        </w:r>
        <w:r w:rsidR="00C56ABF">
          <w:rPr>
            <w:rStyle w:val="Lienhypertexte"/>
            <w:rFonts w:cstheme="minorHAnsi"/>
            <w:szCs w:val="18"/>
            <w:lang w:val="fr-FR"/>
          </w:rPr>
          <w:t>V</w:t>
        </w:r>
        <w:r w:rsidR="00C56ABF">
          <w:rPr>
            <w:rStyle w:val="Lienhypertexte"/>
            <w:rFonts w:cstheme="minorHAnsi"/>
            <w:szCs w:val="18"/>
            <w:lang w:val="fr-FR"/>
          </w:rPr>
          <w:t>R/1</w:t>
        </w:r>
        <w:r w:rsidR="00C56ABF">
          <w:rPr>
            <w:rStyle w:val="Lienhypertexte"/>
            <w:rFonts w:cstheme="minorHAnsi"/>
            <w:szCs w:val="18"/>
            <w:lang w:val="fr-FR"/>
          </w:rPr>
          <w:t xml:space="preserve"> </w:t>
        </w:r>
        <w:r w:rsidR="00C56ABF">
          <w:rPr>
            <w:rStyle w:val="Lienhypertexte"/>
            <w:rFonts w:cstheme="minorHAnsi"/>
            <w:szCs w:val="18"/>
            <w:lang w:val="fr-FR"/>
          </w:rPr>
          <w:t>(</w:t>
        </w:r>
        <w:proofErr w:type="spellStart"/>
        <w:r w:rsidR="00C56ABF">
          <w:rPr>
            <w:rStyle w:val="Lienhypertexte"/>
            <w:rFonts w:cstheme="minorHAnsi"/>
            <w:szCs w:val="18"/>
            <w:lang w:val="fr-FR"/>
          </w:rPr>
          <w:t>Findings</w:t>
        </w:r>
        <w:proofErr w:type="spellEnd"/>
        <w:r w:rsidR="00C56ABF">
          <w:rPr>
            <w:rStyle w:val="Lienhypertexte"/>
            <w:rFonts w:cstheme="minorHAnsi"/>
            <w:szCs w:val="18"/>
            <w:lang w:val="fr-FR"/>
          </w:rPr>
          <w:t>)</w:t>
        </w:r>
      </w:hyperlink>
      <w:r w:rsidRPr="00EA7479">
        <w:rPr>
          <w:rFonts w:cstheme="minorHAnsi"/>
          <w:szCs w:val="18"/>
          <w:lang w:val="fr-FR"/>
        </w:rPr>
        <w:t xml:space="preserve">, </w:t>
      </w:r>
      <w:r w:rsidR="00562F45">
        <w:rPr>
          <w:rFonts w:cstheme="minorHAnsi"/>
          <w:szCs w:val="18"/>
          <w:lang w:val="fr-FR"/>
        </w:rPr>
        <w:t>par. </w:t>
      </w:r>
      <w:r w:rsidRPr="00EA7479">
        <w:rPr>
          <w:rFonts w:cstheme="minorHAnsi"/>
          <w:szCs w:val="18"/>
          <w:lang w:val="fr-FR"/>
        </w:rPr>
        <w:t>20</w:t>
      </w:r>
      <w:r w:rsidR="00634635">
        <w:rPr>
          <w:rFonts w:cstheme="minorHAnsi"/>
          <w:szCs w:val="18"/>
          <w:lang w:val="fr-FR"/>
        </w:rPr>
        <w:t> ;</w:t>
      </w:r>
      <w:r w:rsidRPr="00EA7479">
        <w:rPr>
          <w:rFonts w:cstheme="minorHAnsi"/>
          <w:szCs w:val="18"/>
          <w:lang w:val="fr-FR"/>
        </w:rPr>
        <w:t xml:space="preserve"> </w:t>
      </w:r>
      <w:hyperlink r:id="rId7" w:history="1">
        <w:r w:rsidR="00C56ABF">
          <w:rPr>
            <w:rStyle w:val="Lienhypertexte"/>
            <w:rFonts w:cstheme="minorHAnsi"/>
            <w:szCs w:val="18"/>
            <w:lang w:val="fr-FR"/>
          </w:rPr>
          <w:t>CED/C/ME</w:t>
        </w:r>
        <w:r w:rsidR="00C56ABF">
          <w:rPr>
            <w:rStyle w:val="Lienhypertexte"/>
            <w:rFonts w:cstheme="minorHAnsi"/>
            <w:szCs w:val="18"/>
            <w:lang w:val="fr-FR"/>
          </w:rPr>
          <w:t>X</w:t>
        </w:r>
        <w:r w:rsidR="00C56ABF">
          <w:rPr>
            <w:rStyle w:val="Lienhypertexte"/>
            <w:rFonts w:cstheme="minorHAnsi"/>
            <w:szCs w:val="18"/>
            <w:lang w:val="fr-FR"/>
          </w:rPr>
          <w:t>/VR/1 (</w:t>
        </w:r>
        <w:proofErr w:type="spellStart"/>
        <w:r w:rsidR="00C56ABF">
          <w:rPr>
            <w:rStyle w:val="Lienhypertexte"/>
            <w:rFonts w:cstheme="minorHAnsi"/>
            <w:szCs w:val="18"/>
            <w:lang w:val="fr-FR"/>
          </w:rPr>
          <w:t>Recomm</w:t>
        </w:r>
        <w:r w:rsidR="00D02991">
          <w:rPr>
            <w:rStyle w:val="Lienhypertexte"/>
            <w:rFonts w:cstheme="minorHAnsi"/>
            <w:szCs w:val="18"/>
            <w:lang w:val="fr-FR"/>
          </w:rPr>
          <w:t>e</w:t>
        </w:r>
        <w:r w:rsidR="00C56ABF">
          <w:rPr>
            <w:rStyle w:val="Lienhypertexte"/>
            <w:rFonts w:cstheme="minorHAnsi"/>
            <w:szCs w:val="18"/>
            <w:lang w:val="fr-FR"/>
          </w:rPr>
          <w:t>ndations</w:t>
        </w:r>
        <w:proofErr w:type="spellEnd"/>
        <w:r w:rsidR="00C56ABF">
          <w:rPr>
            <w:rStyle w:val="Lienhypertexte"/>
            <w:rFonts w:cstheme="minorHAnsi"/>
            <w:szCs w:val="18"/>
            <w:lang w:val="fr-FR"/>
          </w:rPr>
          <w:t>)</w:t>
        </w:r>
      </w:hyperlink>
      <w:r w:rsidRPr="00EA7479">
        <w:rPr>
          <w:rFonts w:cstheme="minorHAnsi"/>
          <w:szCs w:val="18"/>
          <w:lang w:val="fr-FR"/>
        </w:rPr>
        <w:t xml:space="preserve">, </w:t>
      </w:r>
      <w:r w:rsidR="00562F45">
        <w:rPr>
          <w:rFonts w:cstheme="minorHAnsi"/>
          <w:szCs w:val="18"/>
          <w:lang w:val="fr-FR"/>
        </w:rPr>
        <w:t>par. </w:t>
      </w:r>
      <w:r w:rsidRPr="00EA7479">
        <w:rPr>
          <w:rFonts w:cstheme="minorHAnsi"/>
          <w:szCs w:val="18"/>
          <w:lang w:val="fr-FR"/>
        </w:rPr>
        <w:t xml:space="preserve">39 </w:t>
      </w:r>
      <w:r>
        <w:rPr>
          <w:rFonts w:cstheme="minorHAnsi"/>
          <w:szCs w:val="18"/>
          <w:lang w:val="fr-FR"/>
        </w:rPr>
        <w:t xml:space="preserve">à </w:t>
      </w:r>
      <w:r w:rsidRPr="00EA7479">
        <w:rPr>
          <w:rFonts w:cstheme="minorHAnsi"/>
          <w:szCs w:val="18"/>
          <w:lang w:val="fr-FR"/>
        </w:rPr>
        <w:t>42.</w:t>
      </w:r>
    </w:p>
  </w:footnote>
  <w:footnote w:id="9">
    <w:p w14:paraId="6730CAE0" w14:textId="15A45293" w:rsidR="00DC22DE" w:rsidRPr="00EA7479" w:rsidRDefault="00DC22DE" w:rsidP="00DC22DE">
      <w:pPr>
        <w:pStyle w:val="Notedebasdepage"/>
        <w:rPr>
          <w:rFonts w:cstheme="minorHAnsi"/>
          <w:szCs w:val="18"/>
        </w:rPr>
      </w:pPr>
      <w:r w:rsidRPr="00EA7479">
        <w:rPr>
          <w:rFonts w:cstheme="minorHAnsi"/>
          <w:szCs w:val="18"/>
          <w:lang w:val="fr-FR"/>
        </w:rPr>
        <w:tab/>
      </w:r>
      <w:r w:rsidRPr="00EA7479">
        <w:rPr>
          <w:rStyle w:val="Appelnotedebasdep"/>
        </w:rPr>
        <w:footnoteRef/>
      </w:r>
      <w:r w:rsidRPr="00EA7479">
        <w:rPr>
          <w:rFonts w:cstheme="minorHAnsi"/>
          <w:szCs w:val="18"/>
        </w:rPr>
        <w:tab/>
      </w:r>
      <w:hyperlink r:id="rId8" w:history="1">
        <w:r w:rsidR="00C56ABF">
          <w:rPr>
            <w:rStyle w:val="Lienhypertexte"/>
            <w:rFonts w:cstheme="minorHAnsi"/>
            <w:szCs w:val="18"/>
          </w:rPr>
          <w:t>A/72/335</w:t>
        </w:r>
      </w:hyperlink>
      <w:r w:rsidRPr="00EA7479">
        <w:rPr>
          <w:rFonts w:cstheme="minorHAnsi"/>
          <w:szCs w:val="18"/>
        </w:rPr>
        <w:t xml:space="preserve">, </w:t>
      </w:r>
      <w:r w:rsidR="00562F45">
        <w:rPr>
          <w:rFonts w:cstheme="minorHAnsi"/>
          <w:szCs w:val="18"/>
        </w:rPr>
        <w:t>par. </w:t>
      </w:r>
      <w:r w:rsidRPr="00EA7479">
        <w:rPr>
          <w:rFonts w:cstheme="minorHAnsi"/>
          <w:szCs w:val="18"/>
        </w:rPr>
        <w:t xml:space="preserve">1. </w:t>
      </w:r>
    </w:p>
  </w:footnote>
  <w:footnote w:id="10">
    <w:p w14:paraId="55E3F0A7" w14:textId="2506370A" w:rsidR="00DC22DE" w:rsidRPr="00EA7479" w:rsidRDefault="00DC22DE" w:rsidP="00DC22DE">
      <w:pPr>
        <w:pStyle w:val="Notedebasdepage"/>
        <w:rPr>
          <w:rFonts w:cstheme="minorHAnsi"/>
          <w:szCs w:val="18"/>
          <w:lang w:val="fr-FR"/>
        </w:rPr>
      </w:pPr>
      <w:r w:rsidRPr="00EA7479">
        <w:rPr>
          <w:rFonts w:cstheme="minorHAnsi"/>
          <w:szCs w:val="18"/>
        </w:rPr>
        <w:tab/>
      </w:r>
      <w:r w:rsidRPr="00EA7479">
        <w:rPr>
          <w:rStyle w:val="Appelnotedebasdep"/>
        </w:rPr>
        <w:footnoteRef/>
      </w:r>
      <w:r w:rsidRPr="00EA7479">
        <w:rPr>
          <w:rFonts w:cstheme="minorHAnsi"/>
          <w:szCs w:val="18"/>
          <w:lang w:val="fr-FR"/>
        </w:rPr>
        <w:tab/>
      </w:r>
      <w:r>
        <w:t xml:space="preserve">CICR, Principes directeurs/Loi type sur les personnes portées disparues </w:t>
      </w:r>
      <w:r w:rsidR="008E2316">
        <w:t>−</w:t>
      </w:r>
      <w:r>
        <w:t xml:space="preserve"> Principes pour légiférer sur la situation des personnes portées disparues par suite d</w:t>
      </w:r>
      <w:r w:rsidR="003A234B">
        <w:t>’</w:t>
      </w:r>
      <w:r>
        <w:t>un conflit armé ou de situation de violence interne</w:t>
      </w:r>
      <w:r w:rsidR="00BF224A">
        <w:t> </w:t>
      </w:r>
      <w:r>
        <w:t>: mesures de prévention des disparitions et de sauvegarde des droits et des intérêts des personnes portées disparues et de leur famille (Genève, 2009), art. 2 (</w:t>
      </w:r>
      <w:r w:rsidR="00562F45">
        <w:t>par. </w:t>
      </w:r>
      <w:r>
        <w:t>1).</w:t>
      </w:r>
    </w:p>
  </w:footnote>
  <w:footnote w:id="11">
    <w:p w14:paraId="24942B7C" w14:textId="79C3FFF6" w:rsidR="00DC22DE" w:rsidRPr="00EA7479" w:rsidRDefault="00DC22DE" w:rsidP="00DC22DE">
      <w:pPr>
        <w:pStyle w:val="Notedebasdepage"/>
        <w:rPr>
          <w:rFonts w:cstheme="minorHAnsi"/>
          <w:szCs w:val="18"/>
          <w:lang w:val="fr-FR"/>
        </w:rPr>
      </w:pPr>
      <w:r w:rsidRPr="00EA7479">
        <w:rPr>
          <w:rFonts w:cstheme="minorHAnsi"/>
          <w:szCs w:val="18"/>
          <w:lang w:val="fr-FR"/>
        </w:rPr>
        <w:tab/>
      </w:r>
      <w:r w:rsidRPr="00EA7479">
        <w:rPr>
          <w:rStyle w:val="Appelnotedebasdep"/>
        </w:rPr>
        <w:footnoteRef/>
      </w:r>
      <w:r w:rsidRPr="00EA7479">
        <w:rPr>
          <w:rFonts w:cstheme="minorHAnsi"/>
          <w:szCs w:val="18"/>
          <w:lang w:val="fr-FR"/>
        </w:rPr>
        <w:tab/>
      </w:r>
      <w:r>
        <w:t>Les données comptabilisées dans le projet comprennent également les corps trouvés aux points de passage frontaliers qui sont classés comme étant ceux de migrants en se fondant sur leurs effets personnels et/ou des caractéristiques du décès.</w:t>
      </w:r>
    </w:p>
  </w:footnote>
  <w:footnote w:id="12">
    <w:p w14:paraId="6354EE57" w14:textId="3DBD6908" w:rsidR="00DC22DE" w:rsidRPr="00B22BBD" w:rsidRDefault="00DC22DE" w:rsidP="00DC22DE">
      <w:pPr>
        <w:pStyle w:val="Notedebasdepage"/>
        <w:rPr>
          <w:lang w:val="en-US"/>
        </w:rPr>
      </w:pPr>
      <w:r w:rsidRPr="00EA7479">
        <w:rPr>
          <w:lang w:val="fr-FR"/>
        </w:rPr>
        <w:tab/>
      </w:r>
      <w:r w:rsidRPr="00EA7479">
        <w:rPr>
          <w:rStyle w:val="Appelnotedebasdep"/>
        </w:rPr>
        <w:footnoteRef/>
      </w:r>
      <w:r w:rsidRPr="00EA7479">
        <w:tab/>
      </w:r>
      <w:hyperlink r:id="rId9" w:history="1">
        <w:r w:rsidR="00C56ABF">
          <w:rPr>
            <w:rStyle w:val="Lienhypertexte"/>
          </w:rPr>
          <w:t>A/76/642</w:t>
        </w:r>
      </w:hyperlink>
      <w:r w:rsidRPr="00EA7479">
        <w:t xml:space="preserve">, </w:t>
      </w:r>
      <w:r w:rsidR="00562F45">
        <w:t>par. </w:t>
      </w:r>
      <w:r w:rsidRPr="00EA7479">
        <w:t xml:space="preserve">74. </w:t>
      </w:r>
      <w:r>
        <w:t>Les efforts actuels visant à enregistrer les données sont essentiellement menés par des organisations non gouvernementales et internationales.</w:t>
      </w:r>
      <w:r w:rsidRPr="00EA7479" w:rsidDel="00AC5CA0">
        <w:rPr>
          <w:lang w:val="fr-FR"/>
        </w:rPr>
        <w:t xml:space="preserve"> </w:t>
      </w:r>
      <w:r w:rsidRPr="00EA7479">
        <w:rPr>
          <w:lang w:val="fr-FR"/>
        </w:rPr>
        <w:t>Selon le projet Migrants disparus de l</w:t>
      </w:r>
      <w:r w:rsidR="003A234B">
        <w:rPr>
          <w:lang w:val="fr-FR"/>
        </w:rPr>
        <w:t>’</w:t>
      </w:r>
      <w:r w:rsidRPr="00EA7479">
        <w:rPr>
          <w:lang w:val="fr-FR"/>
        </w:rPr>
        <w:t>OIM, plus de 50</w:t>
      </w:r>
      <w:r w:rsidR="00BF224A">
        <w:rPr>
          <w:lang w:val="fr-FR"/>
        </w:rPr>
        <w:t> </w:t>
      </w:r>
      <w:r w:rsidRPr="00EA7479">
        <w:rPr>
          <w:lang w:val="fr-FR"/>
        </w:rPr>
        <w:t>000</w:t>
      </w:r>
      <w:r w:rsidR="00BF224A">
        <w:rPr>
          <w:lang w:val="fr-FR"/>
        </w:rPr>
        <w:t> </w:t>
      </w:r>
      <w:r w:rsidRPr="00EA7479">
        <w:rPr>
          <w:lang w:val="fr-FR"/>
        </w:rPr>
        <w:t>migrants ont disparu depuis 2014</w:t>
      </w:r>
      <w:r w:rsidRPr="00EA7479">
        <w:rPr>
          <w:rFonts w:asciiTheme="majorBidi" w:hAnsiTheme="majorBidi" w:cstheme="majorBidi"/>
          <w:lang w:val="fr-FR"/>
        </w:rPr>
        <w:t>.</w:t>
      </w:r>
      <w:r>
        <w:rPr>
          <w:rFonts w:asciiTheme="majorBidi" w:hAnsiTheme="majorBidi" w:cstheme="majorBidi"/>
          <w:lang w:val="fr-FR"/>
        </w:rPr>
        <w:t xml:space="preserve"> </w:t>
      </w:r>
      <w:proofErr w:type="spellStart"/>
      <w:r w:rsidRPr="00B22BBD">
        <w:rPr>
          <w:rFonts w:asciiTheme="majorBidi" w:hAnsiTheme="majorBidi" w:cstheme="majorBidi"/>
          <w:lang w:val="en-US"/>
        </w:rPr>
        <w:t>Voir</w:t>
      </w:r>
      <w:proofErr w:type="spellEnd"/>
      <w:r w:rsidRPr="00B22BBD">
        <w:rPr>
          <w:rFonts w:asciiTheme="majorBidi" w:hAnsiTheme="majorBidi" w:cstheme="majorBidi"/>
          <w:lang w:val="en-US"/>
        </w:rPr>
        <w:t xml:space="preserve"> </w:t>
      </w:r>
      <w:proofErr w:type="spellStart"/>
      <w:r w:rsidRPr="00B22BBD">
        <w:rPr>
          <w:rFonts w:asciiTheme="majorBidi" w:hAnsiTheme="majorBidi" w:cstheme="majorBidi"/>
          <w:lang w:val="en-US"/>
        </w:rPr>
        <w:t>aussi</w:t>
      </w:r>
      <w:proofErr w:type="spellEnd"/>
      <w:r w:rsidRPr="00B22BBD">
        <w:rPr>
          <w:rFonts w:asciiTheme="majorBidi" w:hAnsiTheme="majorBidi" w:cstheme="majorBidi"/>
          <w:lang w:val="en-US"/>
        </w:rPr>
        <w:t xml:space="preserve"> Julia</w:t>
      </w:r>
      <w:r w:rsidRPr="00B22BBD">
        <w:rPr>
          <w:lang w:val="en-US"/>
        </w:rPr>
        <w:t xml:space="preserve"> Black, </w:t>
      </w:r>
      <w:r w:rsidR="00B22BBD" w:rsidRPr="00B22BBD">
        <w:rPr>
          <w:i/>
          <w:iCs/>
          <w:lang w:val="en-US"/>
        </w:rPr>
        <w:t>Global Migration Indicators 2021 - Insights from the Global Migration Data Porta</w:t>
      </w:r>
      <w:r w:rsidRPr="00B22BBD">
        <w:rPr>
          <w:lang w:val="en-US"/>
        </w:rPr>
        <w:t xml:space="preserve"> (Genève, OIM, 2021), p. 38 et 39.</w:t>
      </w:r>
    </w:p>
  </w:footnote>
  <w:footnote w:id="13">
    <w:p w14:paraId="4C486595" w14:textId="6DD660BC" w:rsidR="00DC22DE" w:rsidRPr="00EA7479" w:rsidRDefault="00DC22DE" w:rsidP="00DC22DE">
      <w:pPr>
        <w:pStyle w:val="Notedebasdepage"/>
        <w:rPr>
          <w:lang w:val="fr-FR"/>
        </w:rPr>
      </w:pPr>
      <w:r w:rsidRPr="00B22BBD">
        <w:rPr>
          <w:lang w:val="en-US"/>
        </w:rPr>
        <w:tab/>
      </w:r>
      <w:r w:rsidRPr="00EA7479">
        <w:rPr>
          <w:rStyle w:val="Appelnotedebasdep"/>
        </w:rPr>
        <w:footnoteRef/>
      </w:r>
      <w:r w:rsidRPr="00EA7479">
        <w:rPr>
          <w:lang w:val="fr-FR"/>
        </w:rPr>
        <w:tab/>
      </w:r>
      <w:hyperlink r:id="rId10" w:history="1">
        <w:r w:rsidR="00C56ABF">
          <w:rPr>
            <w:rStyle w:val="Lienhypertexte"/>
            <w:lang w:val="fr-FR"/>
          </w:rPr>
          <w:t>A/HRC/36/39/Add.2</w:t>
        </w:r>
      </w:hyperlink>
      <w:r w:rsidRPr="00EA7479">
        <w:rPr>
          <w:lang w:val="fr-FR"/>
        </w:rPr>
        <w:t>.</w:t>
      </w:r>
    </w:p>
  </w:footnote>
  <w:footnote w:id="14">
    <w:p w14:paraId="106DE723" w14:textId="61667A71" w:rsidR="00DC22DE" w:rsidRPr="00EA7479" w:rsidRDefault="00DC22DE" w:rsidP="00DC22DE">
      <w:pPr>
        <w:pStyle w:val="Notedebasdepage"/>
        <w:rPr>
          <w:rFonts w:cstheme="minorHAnsi"/>
          <w:szCs w:val="18"/>
          <w:lang w:val="fr-FR"/>
        </w:rPr>
      </w:pPr>
      <w:r w:rsidRPr="00EA7479">
        <w:rPr>
          <w:rFonts w:cstheme="minorHAnsi"/>
          <w:szCs w:val="18"/>
          <w:lang w:val="fr-FR"/>
        </w:rPr>
        <w:tab/>
      </w:r>
      <w:r w:rsidRPr="00EA7479">
        <w:rPr>
          <w:rStyle w:val="Appelnotedebasdep"/>
        </w:rPr>
        <w:footnoteRef/>
      </w:r>
      <w:r w:rsidRPr="00EA7479">
        <w:rPr>
          <w:rFonts w:cstheme="minorHAnsi"/>
          <w:szCs w:val="18"/>
          <w:lang w:val="fr-FR"/>
        </w:rPr>
        <w:tab/>
      </w:r>
      <w:hyperlink r:id="rId11" w:history="1">
        <w:r w:rsidR="00C56ABF">
          <w:rPr>
            <w:rStyle w:val="Lienhypertexte"/>
            <w:rFonts w:cstheme="minorHAnsi"/>
            <w:szCs w:val="18"/>
            <w:lang w:val="fr-FR"/>
          </w:rPr>
          <w:t>A/72/335</w:t>
        </w:r>
      </w:hyperlink>
      <w:r w:rsidRPr="00EA7479">
        <w:rPr>
          <w:rFonts w:cstheme="minorHAnsi"/>
          <w:szCs w:val="18"/>
          <w:lang w:val="fr-FR"/>
        </w:rPr>
        <w:t xml:space="preserve">, </w:t>
      </w:r>
      <w:r w:rsidR="00562F45">
        <w:rPr>
          <w:rFonts w:cstheme="minorHAnsi"/>
          <w:szCs w:val="18"/>
          <w:lang w:val="fr-FR"/>
        </w:rPr>
        <w:t>par. </w:t>
      </w:r>
      <w:r w:rsidRPr="00EA7479">
        <w:rPr>
          <w:rFonts w:cstheme="minorHAnsi"/>
          <w:szCs w:val="18"/>
          <w:lang w:val="fr-FR"/>
        </w:rPr>
        <w:t>2</w:t>
      </w:r>
      <w:r w:rsidR="00634635">
        <w:rPr>
          <w:rFonts w:cstheme="minorHAnsi"/>
          <w:szCs w:val="18"/>
          <w:lang w:val="fr-FR"/>
        </w:rPr>
        <w:t> ;</w:t>
      </w:r>
      <w:r w:rsidRPr="00EA7479">
        <w:rPr>
          <w:rFonts w:cstheme="minorHAnsi"/>
          <w:szCs w:val="18"/>
          <w:lang w:val="fr-FR"/>
        </w:rPr>
        <w:t xml:space="preserve"> </w:t>
      </w:r>
      <w:hyperlink r:id="rId12" w:history="1">
        <w:r w:rsidR="00C56ABF">
          <w:rPr>
            <w:rStyle w:val="Lienhypertexte"/>
            <w:rFonts w:cstheme="minorHAnsi"/>
            <w:szCs w:val="18"/>
            <w:lang w:val="fr-FR"/>
          </w:rPr>
          <w:t>A/HRC/36/39/Add.2</w:t>
        </w:r>
      </w:hyperlink>
      <w:hyperlink w:history="1"/>
      <w:r w:rsidRPr="00EA7479">
        <w:rPr>
          <w:rFonts w:cstheme="minorHAnsi"/>
          <w:szCs w:val="18"/>
          <w:lang w:val="fr-FR"/>
        </w:rPr>
        <w:t xml:space="preserve">, </w:t>
      </w:r>
      <w:r w:rsidR="00562F45">
        <w:rPr>
          <w:rFonts w:cstheme="minorHAnsi"/>
          <w:szCs w:val="18"/>
          <w:lang w:val="fr-FR"/>
        </w:rPr>
        <w:t>par. </w:t>
      </w:r>
      <w:r w:rsidRPr="00EA7479">
        <w:rPr>
          <w:rFonts w:cstheme="minorHAnsi"/>
          <w:szCs w:val="18"/>
          <w:lang w:val="fr-FR"/>
        </w:rPr>
        <w:t>56.</w:t>
      </w:r>
    </w:p>
  </w:footnote>
  <w:footnote w:id="15">
    <w:p w14:paraId="6348F3AB" w14:textId="2C6ABC82" w:rsidR="00DC22DE" w:rsidRPr="00EA7479" w:rsidRDefault="00DC22DE" w:rsidP="00DC22DE">
      <w:pPr>
        <w:pStyle w:val="Notedebasdepage"/>
        <w:rPr>
          <w:rFonts w:cstheme="minorHAnsi"/>
          <w:szCs w:val="18"/>
          <w:lang w:val="fr-FR"/>
        </w:rPr>
      </w:pPr>
      <w:r w:rsidRPr="00EA7479">
        <w:rPr>
          <w:rFonts w:cstheme="minorHAnsi"/>
          <w:szCs w:val="18"/>
          <w:lang w:val="fr-FR"/>
        </w:rPr>
        <w:tab/>
      </w:r>
      <w:r w:rsidRPr="00EA7479">
        <w:rPr>
          <w:rStyle w:val="Appelnotedebasdep"/>
        </w:rPr>
        <w:footnoteRef/>
      </w:r>
      <w:r w:rsidRPr="00EA7479">
        <w:rPr>
          <w:rFonts w:cstheme="minorHAnsi"/>
          <w:szCs w:val="18"/>
          <w:lang w:val="fr-FR"/>
        </w:rPr>
        <w:tab/>
        <w:t>Haut-Commissariat des Nations Unies aux droits de l</w:t>
      </w:r>
      <w:r w:rsidR="003A234B">
        <w:rPr>
          <w:rFonts w:cstheme="minorHAnsi"/>
          <w:szCs w:val="18"/>
          <w:lang w:val="fr-FR"/>
        </w:rPr>
        <w:t>’</w:t>
      </w:r>
      <w:r w:rsidRPr="00EA7479">
        <w:rPr>
          <w:rFonts w:cstheme="minorHAnsi"/>
          <w:szCs w:val="18"/>
          <w:lang w:val="fr-FR"/>
        </w:rPr>
        <w:t xml:space="preserve">homme, </w:t>
      </w:r>
      <w:r>
        <w:rPr>
          <w:rFonts w:cstheme="minorHAnsi"/>
          <w:szCs w:val="18"/>
          <w:lang w:val="fr-FR"/>
        </w:rPr>
        <w:t>"</w:t>
      </w:r>
      <w:proofErr w:type="spellStart"/>
      <w:r w:rsidRPr="00EA7479">
        <w:rPr>
          <w:rFonts w:cstheme="minorHAnsi"/>
          <w:i/>
          <w:iCs/>
          <w:szCs w:val="18"/>
          <w:lang w:val="fr-FR"/>
        </w:rPr>
        <w:t>Lethal</w:t>
      </w:r>
      <w:proofErr w:type="spellEnd"/>
      <w:r w:rsidRPr="00EA7479">
        <w:rPr>
          <w:rFonts w:cstheme="minorHAnsi"/>
          <w:i/>
          <w:iCs/>
          <w:szCs w:val="18"/>
          <w:lang w:val="fr-FR"/>
        </w:rPr>
        <w:t xml:space="preserve"> </w:t>
      </w:r>
      <w:proofErr w:type="spellStart"/>
      <w:r w:rsidRPr="00EA7479">
        <w:rPr>
          <w:rFonts w:cstheme="minorHAnsi"/>
          <w:i/>
          <w:iCs/>
          <w:szCs w:val="18"/>
          <w:lang w:val="fr-FR"/>
        </w:rPr>
        <w:t>disregard</w:t>
      </w:r>
      <w:proofErr w:type="spellEnd"/>
      <w:r>
        <w:rPr>
          <w:rFonts w:cstheme="minorHAnsi"/>
          <w:i/>
          <w:iCs/>
          <w:szCs w:val="18"/>
          <w:lang w:val="fr-FR"/>
        </w:rPr>
        <w:t>"</w:t>
      </w:r>
      <w:bookmarkStart w:id="3" w:name="_Hlk150333958"/>
      <w:r w:rsidRPr="00EA7479">
        <w:rPr>
          <w:rFonts w:cstheme="minorHAnsi"/>
          <w:i/>
          <w:iCs/>
          <w:szCs w:val="18"/>
          <w:lang w:val="fr-FR"/>
        </w:rPr>
        <w:t xml:space="preserve">: </w:t>
      </w:r>
      <w:proofErr w:type="spellStart"/>
      <w:r w:rsidRPr="00EA7479">
        <w:rPr>
          <w:rFonts w:cstheme="minorHAnsi"/>
          <w:i/>
          <w:iCs/>
          <w:szCs w:val="18"/>
          <w:lang w:val="fr-FR"/>
        </w:rPr>
        <w:t>search</w:t>
      </w:r>
      <w:proofErr w:type="spellEnd"/>
      <w:r w:rsidRPr="00EA7479">
        <w:rPr>
          <w:rFonts w:cstheme="minorHAnsi"/>
          <w:i/>
          <w:iCs/>
          <w:szCs w:val="18"/>
          <w:lang w:val="fr-FR"/>
        </w:rPr>
        <w:t xml:space="preserve"> and </w:t>
      </w:r>
      <w:proofErr w:type="spellStart"/>
      <w:r w:rsidRPr="00EA7479">
        <w:rPr>
          <w:rFonts w:cstheme="minorHAnsi"/>
          <w:i/>
          <w:iCs/>
          <w:szCs w:val="18"/>
          <w:lang w:val="fr-FR"/>
        </w:rPr>
        <w:t>rescue</w:t>
      </w:r>
      <w:proofErr w:type="spellEnd"/>
      <w:r w:rsidRPr="00EA7479">
        <w:rPr>
          <w:rFonts w:cstheme="minorHAnsi"/>
          <w:i/>
          <w:iCs/>
          <w:szCs w:val="18"/>
          <w:lang w:val="fr-FR"/>
        </w:rPr>
        <w:t xml:space="preserve"> and the protection of migrants in the central </w:t>
      </w:r>
      <w:proofErr w:type="spellStart"/>
      <w:r w:rsidRPr="00EA7479">
        <w:rPr>
          <w:rFonts w:cstheme="minorHAnsi"/>
          <w:i/>
          <w:iCs/>
          <w:szCs w:val="18"/>
          <w:lang w:val="fr-FR"/>
        </w:rPr>
        <w:t>Mediterranean</w:t>
      </w:r>
      <w:proofErr w:type="spellEnd"/>
      <w:r w:rsidRPr="00EA7479">
        <w:rPr>
          <w:rFonts w:cstheme="minorHAnsi"/>
          <w:i/>
          <w:iCs/>
          <w:szCs w:val="18"/>
          <w:lang w:val="fr-FR"/>
        </w:rPr>
        <w:t xml:space="preserve"> </w:t>
      </w:r>
      <w:proofErr w:type="spellStart"/>
      <w:r w:rsidRPr="00EA7479">
        <w:rPr>
          <w:rFonts w:cstheme="minorHAnsi"/>
          <w:i/>
          <w:iCs/>
          <w:szCs w:val="18"/>
          <w:lang w:val="fr-FR"/>
        </w:rPr>
        <w:t>Sea</w:t>
      </w:r>
      <w:bookmarkEnd w:id="3"/>
      <w:proofErr w:type="spellEnd"/>
      <w:r w:rsidRPr="00EA7479">
        <w:rPr>
          <w:rFonts w:cstheme="minorHAnsi"/>
          <w:szCs w:val="18"/>
          <w:lang w:val="fr-FR"/>
        </w:rPr>
        <w:t xml:space="preserve"> (Genève, 2021)</w:t>
      </w:r>
      <w:r w:rsidR="00634635">
        <w:rPr>
          <w:rFonts w:cstheme="minorHAnsi"/>
          <w:szCs w:val="18"/>
          <w:lang w:val="fr-FR"/>
        </w:rPr>
        <w:t> ;</w:t>
      </w:r>
      <w:r w:rsidRPr="00EA7479">
        <w:rPr>
          <w:rFonts w:cstheme="minorHAnsi"/>
          <w:szCs w:val="18"/>
          <w:lang w:val="fr-FR"/>
        </w:rPr>
        <w:t xml:space="preserve"> </w:t>
      </w:r>
      <w:proofErr w:type="spellStart"/>
      <w:r w:rsidRPr="00EA7479">
        <w:rPr>
          <w:rFonts w:cstheme="minorHAnsi"/>
          <w:szCs w:val="18"/>
          <w:lang w:val="fr-FR"/>
        </w:rPr>
        <w:t>Noemi</w:t>
      </w:r>
      <w:proofErr w:type="spellEnd"/>
      <w:r w:rsidRPr="00EA7479">
        <w:rPr>
          <w:rFonts w:cstheme="minorHAnsi"/>
          <w:szCs w:val="18"/>
          <w:lang w:val="fr-FR"/>
        </w:rPr>
        <w:t xml:space="preserve"> </w:t>
      </w:r>
      <w:proofErr w:type="spellStart"/>
      <w:r w:rsidRPr="00EA7479">
        <w:rPr>
          <w:rFonts w:cstheme="minorHAnsi"/>
          <w:szCs w:val="18"/>
          <w:lang w:val="fr-FR"/>
        </w:rPr>
        <w:t>Magugliani</w:t>
      </w:r>
      <w:proofErr w:type="spellEnd"/>
      <w:r w:rsidRPr="00EA7479">
        <w:rPr>
          <w:rFonts w:cstheme="minorHAnsi"/>
          <w:szCs w:val="18"/>
          <w:lang w:val="fr-FR"/>
        </w:rPr>
        <w:t xml:space="preserve"> et Jean-Pierre </w:t>
      </w:r>
      <w:proofErr w:type="spellStart"/>
      <w:r w:rsidRPr="00EA7479">
        <w:rPr>
          <w:rFonts w:cstheme="minorHAnsi"/>
          <w:szCs w:val="18"/>
          <w:lang w:val="fr-FR"/>
        </w:rPr>
        <w:t>Gauci</w:t>
      </w:r>
      <w:proofErr w:type="spellEnd"/>
      <w:r w:rsidRPr="00EA7479">
        <w:rPr>
          <w:rFonts w:cstheme="minorHAnsi"/>
          <w:szCs w:val="18"/>
          <w:lang w:val="fr-FR"/>
        </w:rPr>
        <w:t xml:space="preserve">, </w:t>
      </w:r>
      <w:r w:rsidRPr="00EA7479">
        <w:rPr>
          <w:rFonts w:cstheme="minorHAnsi"/>
          <w:i/>
          <w:iCs/>
          <w:szCs w:val="18"/>
          <w:lang w:val="fr-FR"/>
        </w:rPr>
        <w:t xml:space="preserve">Migrant </w:t>
      </w:r>
      <w:proofErr w:type="spellStart"/>
      <w:r w:rsidRPr="00EA7479">
        <w:rPr>
          <w:rFonts w:cstheme="minorHAnsi"/>
          <w:i/>
          <w:iCs/>
          <w:szCs w:val="18"/>
          <w:lang w:val="fr-FR"/>
        </w:rPr>
        <w:t>crossings</w:t>
      </w:r>
      <w:proofErr w:type="spellEnd"/>
      <w:r w:rsidRPr="00EA7479">
        <w:rPr>
          <w:rFonts w:cstheme="minorHAnsi"/>
          <w:i/>
          <w:iCs/>
          <w:szCs w:val="18"/>
          <w:lang w:val="fr-FR"/>
        </w:rPr>
        <w:t xml:space="preserve"> in the Channel: non-assistance, </w:t>
      </w:r>
      <w:proofErr w:type="spellStart"/>
      <w:r w:rsidRPr="00EA7479">
        <w:rPr>
          <w:rFonts w:cstheme="minorHAnsi"/>
          <w:i/>
          <w:iCs/>
          <w:szCs w:val="18"/>
          <w:lang w:val="fr-FR"/>
        </w:rPr>
        <w:t>securitisation</w:t>
      </w:r>
      <w:proofErr w:type="spellEnd"/>
      <w:r w:rsidRPr="00EA7479">
        <w:rPr>
          <w:rFonts w:cstheme="minorHAnsi"/>
          <w:i/>
          <w:iCs/>
          <w:szCs w:val="18"/>
          <w:lang w:val="fr-FR"/>
        </w:rPr>
        <w:t xml:space="preserve">, and </w:t>
      </w:r>
      <w:proofErr w:type="spellStart"/>
      <w:r w:rsidRPr="00EA7479">
        <w:rPr>
          <w:rFonts w:cstheme="minorHAnsi"/>
          <w:i/>
          <w:iCs/>
          <w:szCs w:val="18"/>
          <w:lang w:val="fr-FR"/>
        </w:rPr>
        <w:t>accountability</w:t>
      </w:r>
      <w:proofErr w:type="spellEnd"/>
      <w:r w:rsidRPr="00EA7479">
        <w:rPr>
          <w:rFonts w:cstheme="minorHAnsi"/>
          <w:i/>
          <w:iCs/>
          <w:szCs w:val="18"/>
          <w:lang w:val="fr-FR"/>
        </w:rPr>
        <w:t xml:space="preserve"> </w:t>
      </w:r>
      <w:proofErr w:type="spellStart"/>
      <w:r w:rsidRPr="00EA7479">
        <w:rPr>
          <w:rFonts w:cstheme="minorHAnsi"/>
          <w:i/>
          <w:iCs/>
          <w:szCs w:val="18"/>
          <w:lang w:val="fr-FR"/>
        </w:rPr>
        <w:t>under</w:t>
      </w:r>
      <w:proofErr w:type="spellEnd"/>
      <w:r w:rsidRPr="00EA7479">
        <w:rPr>
          <w:rFonts w:cstheme="minorHAnsi"/>
          <w:i/>
          <w:iCs/>
          <w:szCs w:val="18"/>
          <w:lang w:val="fr-FR"/>
        </w:rPr>
        <w:t xml:space="preserve"> international </w:t>
      </w:r>
      <w:proofErr w:type="spellStart"/>
      <w:r w:rsidRPr="00EA7479">
        <w:rPr>
          <w:rFonts w:cstheme="minorHAnsi"/>
          <w:i/>
          <w:iCs/>
          <w:szCs w:val="18"/>
          <w:lang w:val="fr-FR"/>
        </w:rPr>
        <w:t>law</w:t>
      </w:r>
      <w:proofErr w:type="spellEnd"/>
      <w:r w:rsidRPr="00EA7479">
        <w:rPr>
          <w:rFonts w:cstheme="minorHAnsi"/>
          <w:szCs w:val="18"/>
          <w:lang w:val="fr-FR"/>
        </w:rPr>
        <w:t xml:space="preserve">, </w:t>
      </w:r>
      <w:proofErr w:type="spellStart"/>
      <w:r w:rsidRPr="00EA7479">
        <w:rPr>
          <w:rFonts w:cstheme="minorHAnsi"/>
          <w:szCs w:val="18"/>
          <w:lang w:val="fr-FR"/>
        </w:rPr>
        <w:t>Opinio</w:t>
      </w:r>
      <w:proofErr w:type="spellEnd"/>
      <w:r w:rsidRPr="00EA7479">
        <w:rPr>
          <w:rFonts w:cstheme="minorHAnsi"/>
          <w:szCs w:val="18"/>
          <w:lang w:val="fr-FR"/>
        </w:rPr>
        <w:t xml:space="preserve"> </w:t>
      </w:r>
      <w:proofErr w:type="spellStart"/>
      <w:r w:rsidRPr="00EA7479">
        <w:rPr>
          <w:rFonts w:cstheme="minorHAnsi"/>
          <w:szCs w:val="18"/>
          <w:lang w:val="fr-FR"/>
        </w:rPr>
        <w:t>Juris</w:t>
      </w:r>
      <w:proofErr w:type="spellEnd"/>
      <w:r w:rsidRPr="00EA7479">
        <w:rPr>
          <w:rFonts w:cstheme="minorHAnsi"/>
          <w:szCs w:val="18"/>
          <w:lang w:val="fr-FR"/>
        </w:rPr>
        <w:t xml:space="preserve">, 21 décembre 2021. </w:t>
      </w:r>
    </w:p>
  </w:footnote>
  <w:footnote w:id="16">
    <w:p w14:paraId="00B8CBAE" w14:textId="46CA304E" w:rsidR="00DC22DE" w:rsidRPr="001C0389" w:rsidRDefault="00DC22DE" w:rsidP="00DC22DE">
      <w:pPr>
        <w:pStyle w:val="Notedebasdepage"/>
        <w:rPr>
          <w:rFonts w:cstheme="minorHAnsi"/>
          <w:szCs w:val="18"/>
          <w:lang w:val="en-US"/>
        </w:rPr>
      </w:pPr>
      <w:r w:rsidRPr="00EA7479">
        <w:rPr>
          <w:rFonts w:cstheme="minorHAnsi"/>
          <w:szCs w:val="18"/>
          <w:lang w:val="fr-FR"/>
        </w:rPr>
        <w:tab/>
      </w:r>
      <w:r w:rsidRPr="00EA7479">
        <w:rPr>
          <w:rStyle w:val="Appelnotedebasdep"/>
        </w:rPr>
        <w:footnoteRef/>
      </w:r>
      <w:r w:rsidRPr="00EA7479">
        <w:rPr>
          <w:rFonts w:cstheme="minorHAnsi"/>
          <w:szCs w:val="18"/>
          <w:lang w:val="fr-FR"/>
        </w:rPr>
        <w:tab/>
      </w:r>
      <w:hyperlink r:id="rId13" w:history="1">
        <w:r w:rsidR="00C56ABF">
          <w:rPr>
            <w:rStyle w:val="Lienhypertexte"/>
            <w:rFonts w:cstheme="minorHAnsi"/>
            <w:szCs w:val="18"/>
            <w:lang w:val="fr-FR"/>
          </w:rPr>
          <w:t>A/HRC/36/39/Add.2</w:t>
        </w:r>
      </w:hyperlink>
      <w:r w:rsidRPr="00EA7479">
        <w:rPr>
          <w:rFonts w:cstheme="minorHAnsi"/>
          <w:szCs w:val="18"/>
          <w:lang w:val="fr-FR"/>
        </w:rPr>
        <w:t xml:space="preserve">, </w:t>
      </w:r>
      <w:r w:rsidR="00562F45">
        <w:rPr>
          <w:rFonts w:eastAsiaTheme="minorEastAsia" w:cstheme="minorHAnsi"/>
          <w:szCs w:val="18"/>
          <w:lang w:val="fr-FR"/>
        </w:rPr>
        <w:t>par. </w:t>
      </w:r>
      <w:r w:rsidRPr="00EA7479">
        <w:rPr>
          <w:rFonts w:eastAsiaTheme="minorEastAsia" w:cstheme="minorHAnsi"/>
          <w:szCs w:val="18"/>
          <w:lang w:val="fr-FR"/>
        </w:rPr>
        <w:t xml:space="preserve">34 à 43. </w:t>
      </w:r>
      <w:proofErr w:type="spellStart"/>
      <w:r>
        <w:rPr>
          <w:rFonts w:eastAsiaTheme="minorEastAsia" w:cstheme="minorHAnsi"/>
          <w:szCs w:val="18"/>
          <w:lang w:val="en-US"/>
        </w:rPr>
        <w:t>Voir</w:t>
      </w:r>
      <w:proofErr w:type="spellEnd"/>
      <w:r>
        <w:rPr>
          <w:rFonts w:eastAsiaTheme="minorEastAsia" w:cstheme="minorHAnsi"/>
          <w:szCs w:val="18"/>
          <w:lang w:val="en-US"/>
        </w:rPr>
        <w:t xml:space="preserve"> </w:t>
      </w:r>
      <w:proofErr w:type="spellStart"/>
      <w:r>
        <w:rPr>
          <w:rFonts w:eastAsiaTheme="minorEastAsia" w:cstheme="minorHAnsi"/>
          <w:szCs w:val="18"/>
          <w:lang w:val="en-US"/>
        </w:rPr>
        <w:t>également</w:t>
      </w:r>
      <w:proofErr w:type="spellEnd"/>
      <w:r w:rsidRPr="001C0389">
        <w:rPr>
          <w:rFonts w:eastAsiaTheme="minorEastAsia" w:cstheme="minorHAnsi"/>
          <w:szCs w:val="18"/>
          <w:lang w:val="en-US"/>
        </w:rPr>
        <w:t xml:space="preserve"> </w:t>
      </w:r>
      <w:r w:rsidRPr="001C0389">
        <w:rPr>
          <w:rFonts w:cstheme="minorHAnsi"/>
          <w:szCs w:val="18"/>
          <w:lang w:val="en-US"/>
        </w:rPr>
        <w:t xml:space="preserve">Human Rights Commission of Malaysia </w:t>
      </w:r>
      <w:r>
        <w:rPr>
          <w:rFonts w:cstheme="minorHAnsi"/>
          <w:szCs w:val="18"/>
          <w:lang w:val="en-US"/>
        </w:rPr>
        <w:t>et</w:t>
      </w:r>
      <w:r w:rsidRPr="001C0389">
        <w:rPr>
          <w:rFonts w:cstheme="minorHAnsi"/>
          <w:szCs w:val="18"/>
          <w:lang w:val="en-US"/>
        </w:rPr>
        <w:t xml:space="preserve"> Fortify Rights, </w:t>
      </w:r>
      <w:r w:rsidRPr="001C0389">
        <w:rPr>
          <w:rFonts w:cstheme="minorHAnsi"/>
          <w:i/>
          <w:iCs/>
          <w:szCs w:val="18"/>
          <w:lang w:val="en-US"/>
        </w:rPr>
        <w:t>“Sold like Fish</w:t>
      </w:r>
      <w:bookmarkStart w:id="4" w:name="_Hlk150331039"/>
      <w:r w:rsidRPr="001C0389">
        <w:rPr>
          <w:rFonts w:cstheme="minorHAnsi"/>
          <w:i/>
          <w:iCs/>
          <w:szCs w:val="18"/>
          <w:lang w:val="en-US"/>
        </w:rPr>
        <w:t xml:space="preserve">”: Crimes against Humanity, Mass Graves, and Human Trafficking from Myanmar and Bangladesh to Malaysia from 2012 to </w:t>
      </w:r>
      <w:bookmarkEnd w:id="4"/>
      <w:r w:rsidR="00C56ABF" w:rsidRPr="00D479FD">
        <w:rPr>
          <w:i/>
          <w:iCs/>
          <w:lang w:val="en-US"/>
        </w:rPr>
        <w:t>2015</w:t>
      </w:r>
      <w:r w:rsidR="00C56ABF" w:rsidRPr="00D479FD">
        <w:rPr>
          <w:lang w:val="en-US"/>
        </w:rPr>
        <w:t xml:space="preserve"> (2019)</w:t>
      </w:r>
      <w:r>
        <w:rPr>
          <w:lang w:val="en-US"/>
        </w:rPr>
        <w:t>.</w:t>
      </w:r>
      <w:r w:rsidRPr="001C0389">
        <w:rPr>
          <w:lang w:val="en-US"/>
        </w:rPr>
        <w:t xml:space="preserve"> </w:t>
      </w:r>
    </w:p>
  </w:footnote>
  <w:footnote w:id="17">
    <w:p w14:paraId="4C6A7C8C" w14:textId="225FFD49" w:rsidR="00DC22DE" w:rsidRPr="00EA7479" w:rsidRDefault="00DC22DE" w:rsidP="00DC22DE">
      <w:pPr>
        <w:pStyle w:val="Notedebasdepage"/>
        <w:rPr>
          <w:rFonts w:cstheme="minorHAnsi"/>
          <w:szCs w:val="18"/>
        </w:rPr>
      </w:pPr>
      <w:r w:rsidRPr="001C0389">
        <w:rPr>
          <w:rFonts w:cstheme="minorHAnsi"/>
          <w:szCs w:val="18"/>
          <w:lang w:val="en-US"/>
        </w:rPr>
        <w:tab/>
      </w:r>
      <w:r w:rsidRPr="00EA7479">
        <w:rPr>
          <w:rStyle w:val="Appelnotedebasdep"/>
        </w:rPr>
        <w:footnoteRef/>
      </w:r>
      <w:r w:rsidRPr="00EA7479">
        <w:rPr>
          <w:rFonts w:cstheme="minorHAnsi"/>
          <w:szCs w:val="18"/>
        </w:rPr>
        <w:tab/>
      </w:r>
      <w:hyperlink r:id="rId14" w:history="1">
        <w:r w:rsidR="00C56ABF">
          <w:rPr>
            <w:rStyle w:val="Lienhypertexte"/>
            <w:rFonts w:cstheme="minorHAnsi"/>
            <w:szCs w:val="18"/>
          </w:rPr>
          <w:t>A/HRC/36/39/Add.2</w:t>
        </w:r>
      </w:hyperlink>
      <w:r w:rsidRPr="00EA7479">
        <w:rPr>
          <w:rFonts w:cstheme="minorHAnsi"/>
          <w:szCs w:val="18"/>
        </w:rPr>
        <w:t xml:space="preserve">, </w:t>
      </w:r>
      <w:r w:rsidR="00562F45">
        <w:rPr>
          <w:rFonts w:cstheme="minorHAnsi"/>
          <w:szCs w:val="18"/>
        </w:rPr>
        <w:t>par. </w:t>
      </w:r>
      <w:r w:rsidRPr="00EA7479">
        <w:rPr>
          <w:rFonts w:cstheme="minorHAnsi"/>
          <w:szCs w:val="18"/>
        </w:rPr>
        <w:t>50 et 51.</w:t>
      </w:r>
    </w:p>
  </w:footnote>
  <w:footnote w:id="18">
    <w:p w14:paraId="2C38D264" w14:textId="3DEB3E06" w:rsidR="00DC22DE" w:rsidRPr="0080682C" w:rsidRDefault="00DC22DE" w:rsidP="00DC22DE">
      <w:pPr>
        <w:pStyle w:val="Notedebasdepage"/>
        <w:rPr>
          <w:rFonts w:cstheme="minorHAnsi"/>
          <w:szCs w:val="18"/>
          <w:lang w:val="en-US"/>
        </w:rPr>
      </w:pPr>
      <w:r w:rsidRPr="00EA7479">
        <w:rPr>
          <w:rFonts w:cstheme="minorHAnsi"/>
          <w:szCs w:val="18"/>
        </w:rPr>
        <w:tab/>
      </w:r>
      <w:r w:rsidRPr="00EA7479">
        <w:rPr>
          <w:rStyle w:val="Appelnotedebasdep"/>
        </w:rPr>
        <w:footnoteRef/>
      </w:r>
      <w:r w:rsidRPr="00EA7479">
        <w:rPr>
          <w:rFonts w:cstheme="minorHAnsi"/>
          <w:szCs w:val="18"/>
          <w:lang w:val="es-ES"/>
        </w:rPr>
        <w:tab/>
      </w:r>
      <w:hyperlink r:id="rId15" w:history="1">
        <w:r w:rsidR="00C56ABF">
          <w:rPr>
            <w:rStyle w:val="Lienhypertexte"/>
            <w:rFonts w:cstheme="minorHAnsi"/>
            <w:szCs w:val="18"/>
            <w:lang w:val="es-ES"/>
          </w:rPr>
          <w:t>CED/C/BRA/CO/1</w:t>
        </w:r>
      </w:hyperlink>
      <w:r w:rsidRPr="00EA7479">
        <w:rPr>
          <w:rFonts w:cstheme="minorHAnsi"/>
          <w:szCs w:val="18"/>
          <w:lang w:val="es-ES"/>
        </w:rPr>
        <w:t xml:space="preserve">, para. </w:t>
      </w:r>
      <w:r w:rsidRPr="0080682C">
        <w:rPr>
          <w:rFonts w:cstheme="minorHAnsi"/>
          <w:szCs w:val="18"/>
          <w:lang w:val="en-US"/>
        </w:rPr>
        <w:t>23 c)</w:t>
      </w:r>
      <w:r w:rsidR="00634635" w:rsidRPr="0080682C">
        <w:rPr>
          <w:rFonts w:cstheme="minorHAnsi"/>
          <w:szCs w:val="18"/>
          <w:lang w:val="en-US"/>
        </w:rPr>
        <w:t> ;</w:t>
      </w:r>
      <w:r w:rsidRPr="0080682C">
        <w:rPr>
          <w:rFonts w:cstheme="minorHAnsi"/>
          <w:szCs w:val="18"/>
          <w:lang w:val="en-US"/>
        </w:rPr>
        <w:t xml:space="preserve"> </w:t>
      </w:r>
      <w:hyperlink r:id="rId16" w:history="1">
        <w:r w:rsidR="001B66EF" w:rsidRPr="0080682C">
          <w:rPr>
            <w:rStyle w:val="Lienhypertexte"/>
            <w:rFonts w:cstheme="minorHAnsi"/>
            <w:szCs w:val="18"/>
            <w:lang w:val="en-US"/>
          </w:rPr>
          <w:t>CED/C/MEX/VR/1 (Rec</w:t>
        </w:r>
        <w:r w:rsidR="001B66EF" w:rsidRPr="0080682C">
          <w:rPr>
            <w:rStyle w:val="Lienhypertexte"/>
            <w:rFonts w:cstheme="minorHAnsi"/>
            <w:szCs w:val="18"/>
            <w:lang w:val="en-US"/>
          </w:rPr>
          <w:t>o</w:t>
        </w:r>
        <w:r w:rsidR="001B66EF" w:rsidRPr="0080682C">
          <w:rPr>
            <w:rStyle w:val="Lienhypertexte"/>
            <w:rFonts w:cstheme="minorHAnsi"/>
            <w:szCs w:val="18"/>
            <w:lang w:val="en-US"/>
          </w:rPr>
          <w:t>mmendations)</w:t>
        </w:r>
      </w:hyperlink>
      <w:r w:rsidRPr="0080682C">
        <w:rPr>
          <w:szCs w:val="18"/>
          <w:lang w:val="en-US"/>
        </w:rPr>
        <w:t xml:space="preserve">, </w:t>
      </w:r>
      <w:r w:rsidR="00562F45" w:rsidRPr="0080682C">
        <w:rPr>
          <w:szCs w:val="18"/>
          <w:lang w:val="en-US"/>
        </w:rPr>
        <w:t>par. </w:t>
      </w:r>
      <w:r w:rsidRPr="0080682C">
        <w:rPr>
          <w:szCs w:val="18"/>
          <w:lang w:val="en-US"/>
        </w:rPr>
        <w:t>39.</w:t>
      </w:r>
    </w:p>
  </w:footnote>
  <w:footnote w:id="19">
    <w:p w14:paraId="1AEC08DE" w14:textId="56B215C0" w:rsidR="00DC22DE" w:rsidRPr="00634635" w:rsidRDefault="00DC22DE" w:rsidP="00DC22DE">
      <w:pPr>
        <w:pStyle w:val="Notedebasdepage"/>
        <w:rPr>
          <w:rFonts w:cstheme="minorHAnsi"/>
          <w:szCs w:val="18"/>
          <w:lang w:val="en-US"/>
        </w:rPr>
      </w:pPr>
      <w:r w:rsidRPr="0080682C">
        <w:rPr>
          <w:rFonts w:cstheme="minorHAnsi"/>
          <w:szCs w:val="18"/>
          <w:lang w:val="en-US"/>
        </w:rPr>
        <w:tab/>
      </w:r>
      <w:r w:rsidRPr="00EA7479">
        <w:rPr>
          <w:rStyle w:val="Appelnotedebasdep"/>
        </w:rPr>
        <w:footnoteRef/>
      </w:r>
      <w:r w:rsidRPr="00634635">
        <w:rPr>
          <w:rFonts w:cstheme="minorHAnsi"/>
          <w:szCs w:val="18"/>
          <w:lang w:val="en-US"/>
        </w:rPr>
        <w:tab/>
        <w:t xml:space="preserve">Border Violence Monitoring Network, </w:t>
      </w:r>
      <w:bookmarkStart w:id="5" w:name="_Hlk150349552"/>
      <w:r w:rsidR="0080682C" w:rsidRPr="0080682C">
        <w:rPr>
          <w:rStyle w:val="ui-provider"/>
          <w:i/>
          <w:iCs/>
          <w:lang w:val="en-US"/>
        </w:rPr>
        <w:t>EU Member States</w:t>
      </w:r>
      <w:r w:rsidR="003A234B">
        <w:rPr>
          <w:rStyle w:val="ui-provider"/>
          <w:i/>
          <w:iCs/>
          <w:lang w:val="en-US"/>
        </w:rPr>
        <w:t>’</w:t>
      </w:r>
      <w:r w:rsidR="0080682C" w:rsidRPr="0080682C">
        <w:rPr>
          <w:rStyle w:val="ui-provider"/>
          <w:i/>
          <w:iCs/>
          <w:lang w:val="en-US"/>
        </w:rPr>
        <w:t xml:space="preserve"> use of new technologies in enforced disappearances - Input for the thematic study by the UN Working Group on Enforced or Involuntary Disappearances on “new technologies and enforced disappearances</w:t>
      </w:r>
      <w:r w:rsidR="003A234B">
        <w:rPr>
          <w:rStyle w:val="ui-provider"/>
          <w:i/>
          <w:iCs/>
          <w:lang w:val="en-US"/>
        </w:rPr>
        <w:t>”</w:t>
      </w:r>
      <w:r w:rsidRPr="00634635">
        <w:rPr>
          <w:rFonts w:cstheme="minorHAnsi"/>
          <w:szCs w:val="18"/>
          <w:lang w:val="en-US"/>
        </w:rPr>
        <w:t xml:space="preserve"> </w:t>
      </w:r>
      <w:bookmarkEnd w:id="5"/>
      <w:r w:rsidRPr="00634635">
        <w:rPr>
          <w:rFonts w:cstheme="minorHAnsi"/>
          <w:szCs w:val="18"/>
          <w:lang w:val="en-US"/>
        </w:rPr>
        <w:t>(2023)</w:t>
      </w:r>
      <w:r w:rsidRPr="00634635">
        <w:rPr>
          <w:lang w:val="en-US"/>
        </w:rPr>
        <w:t xml:space="preserve">, </w:t>
      </w:r>
      <w:hyperlink w:history="1"/>
      <w:r w:rsidR="00562F45" w:rsidRPr="00634635">
        <w:rPr>
          <w:lang w:val="en-US"/>
        </w:rPr>
        <w:t>par. </w:t>
      </w:r>
      <w:r w:rsidRPr="00634635">
        <w:rPr>
          <w:lang w:val="en-US"/>
        </w:rPr>
        <w:t>9.</w:t>
      </w:r>
    </w:p>
  </w:footnote>
  <w:footnote w:id="20">
    <w:p w14:paraId="6C1CEB83" w14:textId="66F589CD" w:rsidR="00DC22DE" w:rsidRPr="00EA7479" w:rsidRDefault="00DC22DE" w:rsidP="00DC22DE">
      <w:pPr>
        <w:pStyle w:val="Notedebasdepage"/>
        <w:rPr>
          <w:rFonts w:cstheme="minorHAnsi"/>
          <w:szCs w:val="18"/>
          <w:lang w:val="fr-FR"/>
        </w:rPr>
      </w:pPr>
      <w:r w:rsidRPr="00634635">
        <w:rPr>
          <w:rFonts w:cstheme="minorHAnsi"/>
          <w:szCs w:val="18"/>
          <w:lang w:val="en-US"/>
        </w:rPr>
        <w:tab/>
      </w:r>
      <w:r w:rsidRPr="00EA7479">
        <w:rPr>
          <w:rStyle w:val="Appelnotedebasdep"/>
        </w:rPr>
        <w:footnoteRef/>
      </w:r>
      <w:r w:rsidRPr="00EA7479">
        <w:rPr>
          <w:rFonts w:cstheme="minorHAnsi"/>
          <w:szCs w:val="18"/>
          <w:lang w:val="fr-FR"/>
        </w:rPr>
        <w:tab/>
      </w:r>
      <w:r>
        <w:t xml:space="preserve">Comité pour la protection des droits de tous les travailleurs migrants et des membres de leur famille, observation générale </w:t>
      </w:r>
      <w:r w:rsidR="00634635">
        <w:rPr>
          <w:rFonts w:eastAsia="MS Mincho"/>
        </w:rPr>
        <w:t>n</w:t>
      </w:r>
      <w:r w:rsidR="00634635">
        <w:rPr>
          <w:rFonts w:eastAsia="MS Mincho"/>
          <w:vertAlign w:val="superscript"/>
        </w:rPr>
        <w:t>o</w:t>
      </w:r>
      <w:r w:rsidR="00634635">
        <w:t> </w:t>
      </w:r>
      <w:r>
        <w:t>5 (2021) sur le droit des migrants à la liberté et leur droit de ne pas être détenus arbitrairement, et les liens entre ces droits et d</w:t>
      </w:r>
      <w:r w:rsidR="003A234B">
        <w:t>’</w:t>
      </w:r>
      <w:r>
        <w:t>autres droits de l</w:t>
      </w:r>
      <w:r w:rsidR="003A234B">
        <w:t>’</w:t>
      </w:r>
      <w:r>
        <w:t xml:space="preserve">homme, </w:t>
      </w:r>
      <w:r w:rsidR="00562F45">
        <w:t>par. </w:t>
      </w:r>
      <w:r>
        <w:t>32.</w:t>
      </w:r>
      <w:r w:rsidRPr="00EA7479" w:rsidDel="00E8298A">
        <w:rPr>
          <w:rFonts w:cstheme="minorHAnsi"/>
          <w:szCs w:val="18"/>
          <w:lang w:val="fr-FR"/>
        </w:rPr>
        <w:t xml:space="preserve"> </w:t>
      </w:r>
    </w:p>
  </w:footnote>
  <w:footnote w:id="21">
    <w:p w14:paraId="5BA70587" w14:textId="449AD710" w:rsidR="00DC22DE" w:rsidRPr="00300A67" w:rsidRDefault="00DC22DE" w:rsidP="006804AC">
      <w:pPr>
        <w:pStyle w:val="Notedebasdepage"/>
      </w:pPr>
      <w:r w:rsidRPr="00EA7479">
        <w:rPr>
          <w:rFonts w:cstheme="minorHAnsi"/>
          <w:szCs w:val="18"/>
          <w:lang w:val="fr-FR"/>
        </w:rPr>
        <w:tab/>
      </w:r>
      <w:r w:rsidRPr="00EA7479">
        <w:rPr>
          <w:rStyle w:val="Appelnotedebasdep"/>
        </w:rPr>
        <w:footnoteRef/>
      </w:r>
      <w:r w:rsidRPr="00EA7479">
        <w:rPr>
          <w:rFonts w:cstheme="minorHAnsi"/>
          <w:szCs w:val="18"/>
          <w:lang w:val="fr-FR"/>
        </w:rPr>
        <w:tab/>
      </w:r>
      <w:r>
        <w:rPr>
          <w:lang w:val="fr-FR"/>
        </w:rPr>
        <w:t>Le Pacte mondial pour des migrations sûres, ordonnées et régulières énonce plusieurs objectifs qui ont un rapport direct avec les obligations des États parties en matière de prévention de la disparition de migrants et de lutte contre celle-ci et qui sont directement liés au risque de disparition au cours du processus de migration. Les objectifs suivants devraient être utilisées comme lignes directrices pour l</w:t>
      </w:r>
      <w:r w:rsidR="003A234B">
        <w:rPr>
          <w:lang w:val="fr-FR"/>
        </w:rPr>
        <w:t>’</w:t>
      </w:r>
      <w:r>
        <w:rPr>
          <w:lang w:val="fr-FR"/>
        </w:rPr>
        <w:t>élaboration de politiques et de stratégies de prévention</w:t>
      </w:r>
      <w:r w:rsidR="006804AC">
        <w:rPr>
          <w:lang w:val="fr-FR"/>
        </w:rPr>
        <w:t> </w:t>
      </w:r>
      <w:r>
        <w:rPr>
          <w:lang w:val="fr-FR"/>
        </w:rPr>
        <w:t>: l</w:t>
      </w:r>
      <w:r w:rsidR="003A234B">
        <w:rPr>
          <w:lang w:val="fr-FR"/>
        </w:rPr>
        <w:t>’</w:t>
      </w:r>
      <w:r>
        <w:rPr>
          <w:lang w:val="fr-FR"/>
        </w:rPr>
        <w:t>objectif 5 (</w:t>
      </w:r>
      <w:r w:rsidR="003637CC">
        <w:rPr>
          <w:lang w:val="fr-FR"/>
        </w:rPr>
        <w:t>F</w:t>
      </w:r>
      <w:r>
        <w:rPr>
          <w:lang w:val="fr-FR"/>
        </w:rPr>
        <w:t>aire en sorte que les filières de migration régulière soient accessibles et plus souples), l</w:t>
      </w:r>
      <w:r w:rsidR="003A234B">
        <w:rPr>
          <w:lang w:val="fr-FR"/>
        </w:rPr>
        <w:t>’</w:t>
      </w:r>
      <w:r>
        <w:rPr>
          <w:lang w:val="fr-FR"/>
        </w:rPr>
        <w:t>objectif 7 (</w:t>
      </w:r>
      <w:r w:rsidR="003637CC">
        <w:rPr>
          <w:lang w:val="fr-FR"/>
        </w:rPr>
        <w:t>S</w:t>
      </w:r>
      <w:r w:rsidR="003A234B">
        <w:rPr>
          <w:lang w:val="fr-FR"/>
        </w:rPr>
        <w:t>’</w:t>
      </w:r>
      <w:r>
        <w:rPr>
          <w:lang w:val="fr-FR"/>
        </w:rPr>
        <w:t>attaquer aux facteurs de vulnérabilité liés aux migrations et les réduire), l</w:t>
      </w:r>
      <w:r w:rsidR="003A234B">
        <w:rPr>
          <w:lang w:val="fr-FR"/>
        </w:rPr>
        <w:t>’</w:t>
      </w:r>
      <w:r>
        <w:rPr>
          <w:lang w:val="fr-FR"/>
        </w:rPr>
        <w:t>objectif 8 (</w:t>
      </w:r>
      <w:r w:rsidR="003637CC">
        <w:rPr>
          <w:lang w:val="fr-FR"/>
        </w:rPr>
        <w:t>S</w:t>
      </w:r>
      <w:r>
        <w:rPr>
          <w:lang w:val="fr-FR"/>
        </w:rPr>
        <w:t>auver des vies et mettre en place une action internationale coordonnée pour retrouver les migrants disparus), l</w:t>
      </w:r>
      <w:r w:rsidR="003A234B">
        <w:rPr>
          <w:lang w:val="fr-FR"/>
        </w:rPr>
        <w:t>’</w:t>
      </w:r>
      <w:r>
        <w:rPr>
          <w:lang w:val="fr-FR"/>
        </w:rPr>
        <w:t>objectif 9 (</w:t>
      </w:r>
      <w:r w:rsidR="003637CC">
        <w:rPr>
          <w:lang w:val="fr-FR"/>
        </w:rPr>
        <w:t>R</w:t>
      </w:r>
      <w:r>
        <w:rPr>
          <w:lang w:val="fr-FR"/>
        </w:rPr>
        <w:t>enforcer l</w:t>
      </w:r>
      <w:r w:rsidR="003A234B">
        <w:rPr>
          <w:lang w:val="fr-FR"/>
        </w:rPr>
        <w:t>’</w:t>
      </w:r>
      <w:r>
        <w:rPr>
          <w:lang w:val="fr-FR"/>
        </w:rPr>
        <w:t>action transnationale face au trafic de migrants), l</w:t>
      </w:r>
      <w:r w:rsidR="003A234B">
        <w:rPr>
          <w:lang w:val="fr-FR"/>
        </w:rPr>
        <w:t>’</w:t>
      </w:r>
      <w:r>
        <w:rPr>
          <w:lang w:val="fr-FR"/>
        </w:rPr>
        <w:t>objectif 10 (</w:t>
      </w:r>
      <w:r w:rsidR="003637CC">
        <w:rPr>
          <w:lang w:val="fr-FR"/>
        </w:rPr>
        <w:t>P</w:t>
      </w:r>
      <w:r>
        <w:rPr>
          <w:lang w:val="fr-FR"/>
        </w:rPr>
        <w:t>révenir, combattre et éliminer la traite de personnes dans le cadre des migrations internationales) et l</w:t>
      </w:r>
      <w:r w:rsidR="003A234B">
        <w:rPr>
          <w:lang w:val="fr-FR"/>
        </w:rPr>
        <w:t>’</w:t>
      </w:r>
      <w:r>
        <w:rPr>
          <w:lang w:val="fr-FR"/>
        </w:rPr>
        <w:t>objectif 13 (</w:t>
      </w:r>
      <w:r w:rsidR="003637CC">
        <w:rPr>
          <w:lang w:val="fr-FR"/>
        </w:rPr>
        <w:t>N</w:t>
      </w:r>
      <w:r>
        <w:rPr>
          <w:lang w:val="fr-FR"/>
        </w:rPr>
        <w:t>e recourir au placement en rétention administrative des migrants qu</w:t>
      </w:r>
      <w:r w:rsidR="003A234B">
        <w:rPr>
          <w:lang w:val="fr-FR"/>
        </w:rPr>
        <w:t>’</w:t>
      </w:r>
      <w:r>
        <w:rPr>
          <w:lang w:val="fr-FR"/>
        </w:rPr>
        <w:t>en dernier ressort et chercher des solutions de rechange). Voir aussi la Déclaration commune sur l</w:t>
      </w:r>
      <w:r w:rsidR="003A234B">
        <w:rPr>
          <w:lang w:val="fr-FR"/>
        </w:rPr>
        <w:t>’</w:t>
      </w:r>
      <w:r>
        <w:rPr>
          <w:lang w:val="fr-FR"/>
        </w:rPr>
        <w:t>adoption internationale illégale (</w:t>
      </w:r>
      <w:hyperlink r:id="rId17" w:history="1">
        <w:r w:rsidR="00C56ABF">
          <w:rPr>
            <w:rStyle w:val="Lienhypertexte"/>
            <w:lang w:val="fr-FR"/>
          </w:rPr>
          <w:t>CED/C/9</w:t>
        </w:r>
      </w:hyperlink>
      <w:r>
        <w:rPr>
          <w:lang w:val="fr-FR"/>
        </w:rPr>
        <w:t>)</w:t>
      </w:r>
      <w:r w:rsidR="00634635">
        <w:rPr>
          <w:lang w:val="fr-FR"/>
        </w:rPr>
        <w:t> ;</w:t>
      </w:r>
      <w:r>
        <w:rPr>
          <w:lang w:val="fr-FR"/>
        </w:rPr>
        <w:t xml:space="preserve"> Commission africaine des droits de l</w:t>
      </w:r>
      <w:r w:rsidR="003A234B">
        <w:rPr>
          <w:lang w:val="fr-FR"/>
        </w:rPr>
        <w:t>’</w:t>
      </w:r>
      <w:r>
        <w:rPr>
          <w:lang w:val="fr-FR"/>
        </w:rPr>
        <w:t xml:space="preserve">homme et des peuples, </w:t>
      </w:r>
      <w:r>
        <w:rPr>
          <w:i/>
          <w:iCs/>
          <w:lang w:val="fr-FR"/>
        </w:rPr>
        <w:t>Lignes directrices sur la liberté d</w:t>
      </w:r>
      <w:r w:rsidR="003A234B">
        <w:rPr>
          <w:i/>
          <w:iCs/>
          <w:lang w:val="fr-FR"/>
        </w:rPr>
        <w:t>’</w:t>
      </w:r>
      <w:r>
        <w:rPr>
          <w:i/>
          <w:iCs/>
          <w:lang w:val="fr-FR"/>
        </w:rPr>
        <w:t>association et de réunion en Afrique</w:t>
      </w:r>
      <w:r w:rsidR="00634635">
        <w:rPr>
          <w:lang w:val="fr-FR"/>
        </w:rPr>
        <w:t> ;</w:t>
      </w:r>
      <w:r>
        <w:rPr>
          <w:lang w:val="fr-FR"/>
        </w:rPr>
        <w:t xml:space="preserve"> Inter-American Principles on the Human Rights of All Migrants, </w:t>
      </w:r>
      <w:proofErr w:type="spellStart"/>
      <w:r>
        <w:rPr>
          <w:lang w:val="fr-FR"/>
        </w:rPr>
        <w:t>Refugees</w:t>
      </w:r>
      <w:proofErr w:type="spellEnd"/>
      <w:r>
        <w:rPr>
          <w:lang w:val="fr-FR"/>
        </w:rPr>
        <w:t xml:space="preserve">, </w:t>
      </w:r>
      <w:proofErr w:type="spellStart"/>
      <w:r>
        <w:rPr>
          <w:lang w:val="fr-FR"/>
        </w:rPr>
        <w:t>Stateless</w:t>
      </w:r>
      <w:proofErr w:type="spellEnd"/>
      <w:r>
        <w:rPr>
          <w:lang w:val="fr-FR"/>
        </w:rPr>
        <w:t xml:space="preserve"> </w:t>
      </w:r>
      <w:proofErr w:type="spellStart"/>
      <w:r>
        <w:rPr>
          <w:lang w:val="fr-FR"/>
        </w:rPr>
        <w:t>Persons</w:t>
      </w:r>
      <w:proofErr w:type="spellEnd"/>
      <w:r>
        <w:rPr>
          <w:lang w:val="fr-FR"/>
        </w:rPr>
        <w:t xml:space="preserve">, and </w:t>
      </w:r>
      <w:proofErr w:type="spellStart"/>
      <w:r>
        <w:rPr>
          <w:lang w:val="fr-FR"/>
        </w:rPr>
        <w:t>Victims</w:t>
      </w:r>
      <w:proofErr w:type="spellEnd"/>
      <w:r>
        <w:rPr>
          <w:lang w:val="fr-FR"/>
        </w:rPr>
        <w:t xml:space="preserve"> of </w:t>
      </w:r>
      <w:proofErr w:type="spellStart"/>
      <w:r>
        <w:rPr>
          <w:lang w:val="fr-FR"/>
        </w:rPr>
        <w:t>Trafficking</w:t>
      </w:r>
      <w:proofErr w:type="spellEnd"/>
      <w:r>
        <w:rPr>
          <w:lang w:val="fr-FR"/>
        </w:rPr>
        <w:t xml:space="preserve"> in </w:t>
      </w:r>
      <w:proofErr w:type="spellStart"/>
      <w:r>
        <w:rPr>
          <w:lang w:val="fr-FR"/>
        </w:rPr>
        <w:t>Persons</w:t>
      </w:r>
      <w:proofErr w:type="spellEnd"/>
      <w:r w:rsidR="00634635">
        <w:rPr>
          <w:lang w:val="fr-FR"/>
        </w:rPr>
        <w:t> ;</w:t>
      </w:r>
      <w:r>
        <w:rPr>
          <w:lang w:val="fr-FR"/>
        </w:rPr>
        <w:t xml:space="preserve"> CICR, Déclaration pour un traitement digne de toutes les personnes disparues et décédées pendant</w:t>
      </w:r>
      <w:r w:rsidR="00300A67">
        <w:rPr>
          <w:lang w:val="fr-FR"/>
        </w:rPr>
        <w:t xml:space="preserve"> l</w:t>
      </w:r>
      <w:r>
        <w:rPr>
          <w:lang w:val="fr-FR"/>
        </w:rPr>
        <w:t>eurs parcours migratoires et de leurs familles (Déclaration de Mytilène).</w:t>
      </w:r>
      <w:r w:rsidR="00300A67">
        <w:rPr>
          <w:lang w:val="fr-FR"/>
        </w:rPr>
        <w:t xml:space="preserve"> </w:t>
      </w:r>
    </w:p>
  </w:footnote>
  <w:footnote w:id="22">
    <w:p w14:paraId="318BFACA" w14:textId="15919FC7" w:rsidR="00DC22DE" w:rsidRDefault="006804AC" w:rsidP="00DC22DE">
      <w:pPr>
        <w:pStyle w:val="Notedebasdepage"/>
      </w:pPr>
      <w:r>
        <w:tab/>
      </w:r>
      <w:r w:rsidR="00DC22DE" w:rsidRPr="00EA7479">
        <w:rPr>
          <w:rStyle w:val="Appelnotedebasdep"/>
        </w:rPr>
        <w:footnoteRef/>
      </w:r>
      <w:r>
        <w:tab/>
      </w:r>
      <w:hyperlink r:id="rId18" w:history="1">
        <w:r w:rsidR="00C56ABF">
          <w:rPr>
            <w:rStyle w:val="Lienhypertexte"/>
          </w:rPr>
          <w:t>CED/C/10</w:t>
        </w:r>
      </w:hyperlink>
      <w:r w:rsidR="00DC22DE">
        <w:t>.</w:t>
      </w:r>
    </w:p>
  </w:footnote>
  <w:footnote w:id="23">
    <w:p w14:paraId="6220DCB1" w14:textId="75FB9F25" w:rsidR="00DC22DE" w:rsidRPr="00EA7479" w:rsidRDefault="00DC22DE" w:rsidP="00DC22DE">
      <w:pPr>
        <w:pStyle w:val="Notedebasdepage"/>
      </w:pPr>
      <w:r w:rsidRPr="00EA7479">
        <w:rPr>
          <w:rFonts w:cstheme="minorHAnsi"/>
          <w:szCs w:val="18"/>
          <w:lang w:val="fr-FR"/>
        </w:rPr>
        <w:tab/>
      </w:r>
      <w:r w:rsidRPr="00EA7479">
        <w:rPr>
          <w:rStyle w:val="Appelnotedebasdep"/>
        </w:rPr>
        <w:footnoteRef/>
      </w:r>
      <w:r w:rsidRPr="00EA7479">
        <w:rPr>
          <w:rFonts w:cstheme="minorHAnsi"/>
          <w:szCs w:val="18"/>
          <w:lang w:val="fr-FR"/>
        </w:rPr>
        <w:tab/>
      </w:r>
      <w:r>
        <w:rPr>
          <w:lang w:val="fr-FR"/>
        </w:rPr>
        <w:t xml:space="preserve">Par </w:t>
      </w:r>
      <w:r w:rsidR="00634635">
        <w:rPr>
          <w:lang w:val="fr-FR"/>
        </w:rPr>
        <w:t>« </w:t>
      </w:r>
      <w:r>
        <w:rPr>
          <w:lang w:val="fr-FR"/>
        </w:rPr>
        <w:t>détention d</w:t>
      </w:r>
      <w:r w:rsidR="003A234B">
        <w:rPr>
          <w:lang w:val="fr-FR"/>
        </w:rPr>
        <w:t>’</w:t>
      </w:r>
      <w:r>
        <w:rPr>
          <w:lang w:val="fr-FR"/>
        </w:rPr>
        <w:t>immigrants</w:t>
      </w:r>
      <w:r w:rsidR="00634635">
        <w:rPr>
          <w:lang w:val="fr-FR"/>
        </w:rPr>
        <w:t> »</w:t>
      </w:r>
      <w:r w:rsidR="00E6257A">
        <w:rPr>
          <w:lang w:val="fr-FR"/>
        </w:rPr>
        <w:t>,</w:t>
      </w:r>
      <w:r>
        <w:rPr>
          <w:lang w:val="fr-FR"/>
        </w:rPr>
        <w:t xml:space="preserve"> on entend toute forme de privation de liberté liée au statut migratoire d</w:t>
      </w:r>
      <w:r w:rsidR="003A234B">
        <w:rPr>
          <w:lang w:val="fr-FR"/>
        </w:rPr>
        <w:t>’</w:t>
      </w:r>
      <w:r>
        <w:rPr>
          <w:lang w:val="fr-FR"/>
        </w:rPr>
        <w:t>une personne, à savoir son statut au regard de la législation relative à l</w:t>
      </w:r>
      <w:r w:rsidR="003A234B">
        <w:rPr>
          <w:lang w:val="fr-FR"/>
        </w:rPr>
        <w:t>’</w:t>
      </w:r>
      <w:r>
        <w:rPr>
          <w:lang w:val="fr-FR"/>
        </w:rPr>
        <w:t>immigration ou à la résidence ou l</w:t>
      </w:r>
      <w:r w:rsidR="003A234B">
        <w:rPr>
          <w:lang w:val="fr-FR"/>
        </w:rPr>
        <w:t>’</w:t>
      </w:r>
      <w:r>
        <w:rPr>
          <w:lang w:val="fr-FR"/>
        </w:rPr>
        <w:t>absence d</w:t>
      </w:r>
      <w:r w:rsidR="003A234B">
        <w:rPr>
          <w:lang w:val="fr-FR"/>
        </w:rPr>
        <w:t>’</w:t>
      </w:r>
      <w:r>
        <w:rPr>
          <w:lang w:val="fr-FR"/>
        </w:rPr>
        <w:t>un tel statut, lié ou non à une entrée ou à un séjour irréguliers. L</w:t>
      </w:r>
      <w:r w:rsidR="003A234B">
        <w:rPr>
          <w:lang w:val="fr-FR"/>
        </w:rPr>
        <w:t>’</w:t>
      </w:r>
      <w:r>
        <w:rPr>
          <w:lang w:val="fr-FR"/>
        </w:rPr>
        <w:t xml:space="preserve">expression </w:t>
      </w:r>
      <w:r w:rsidR="00634635">
        <w:rPr>
          <w:lang w:val="fr-FR"/>
        </w:rPr>
        <w:t>« </w:t>
      </w:r>
      <w:r>
        <w:rPr>
          <w:lang w:val="fr-FR"/>
        </w:rPr>
        <w:t>détention d</w:t>
      </w:r>
      <w:r w:rsidR="003A234B">
        <w:rPr>
          <w:lang w:val="fr-FR"/>
        </w:rPr>
        <w:t>’</w:t>
      </w:r>
      <w:r>
        <w:rPr>
          <w:lang w:val="fr-FR"/>
        </w:rPr>
        <w:t>immigrants</w:t>
      </w:r>
      <w:r w:rsidR="00634635">
        <w:rPr>
          <w:lang w:val="fr-FR"/>
        </w:rPr>
        <w:t> »</w:t>
      </w:r>
      <w:r>
        <w:rPr>
          <w:lang w:val="fr-FR"/>
        </w:rPr>
        <w:t xml:space="preserve"> désigne toute situation dans laquelle une personne est privée de liberté pour des motifs liés à son statut migratoire, quel que soit le nom donné à la mesure ou la raison invoquée de la privation de liberté, ou encore le nom de l</w:t>
      </w:r>
      <w:r w:rsidR="003A234B">
        <w:rPr>
          <w:lang w:val="fr-FR"/>
        </w:rPr>
        <w:t>’</w:t>
      </w:r>
      <w:r>
        <w:rPr>
          <w:lang w:val="fr-FR"/>
        </w:rPr>
        <w:t>établissement ou du lieu où l</w:t>
      </w:r>
      <w:r w:rsidR="003A234B">
        <w:rPr>
          <w:lang w:val="fr-FR"/>
        </w:rPr>
        <w:t>’</w:t>
      </w:r>
      <w:r>
        <w:rPr>
          <w:lang w:val="fr-FR"/>
        </w:rPr>
        <w:t>intéressé est détenu pendant la privation de liberté. Par conséquent, elle englobe la détention de migrants dans des prisons, des postes de police, des centres de détention d</w:t>
      </w:r>
      <w:r w:rsidR="003A234B">
        <w:rPr>
          <w:lang w:val="fr-FR"/>
        </w:rPr>
        <w:t>’</w:t>
      </w:r>
      <w:r>
        <w:rPr>
          <w:lang w:val="fr-FR"/>
        </w:rPr>
        <w:t>immigrants, des centres d</w:t>
      </w:r>
      <w:r w:rsidR="003A234B">
        <w:rPr>
          <w:lang w:val="fr-FR"/>
        </w:rPr>
        <w:t>’</w:t>
      </w:r>
      <w:r>
        <w:rPr>
          <w:lang w:val="fr-FR"/>
        </w:rPr>
        <w:t xml:space="preserve">accueil fermés, des établissements de santé et dans tout autre lieu fermé, comme les zones internationales ou de transit des aéroports, des ports terrestres et des ports maritimes. Par </w:t>
      </w:r>
      <w:r w:rsidR="00634635">
        <w:rPr>
          <w:lang w:val="fr-FR"/>
        </w:rPr>
        <w:t>« </w:t>
      </w:r>
      <w:r>
        <w:rPr>
          <w:lang w:val="fr-FR"/>
        </w:rPr>
        <w:t>motifs liés au statut migratoire</w:t>
      </w:r>
      <w:r w:rsidR="00634635">
        <w:rPr>
          <w:lang w:val="fr-FR"/>
        </w:rPr>
        <w:t> »</w:t>
      </w:r>
      <w:r>
        <w:rPr>
          <w:lang w:val="fr-FR"/>
        </w:rPr>
        <w:t>, le Comité des travailleurs migrants entend le statut d</w:t>
      </w:r>
      <w:r w:rsidR="003A234B">
        <w:rPr>
          <w:lang w:val="fr-FR"/>
        </w:rPr>
        <w:t>’</w:t>
      </w:r>
      <w:r>
        <w:rPr>
          <w:lang w:val="fr-FR"/>
        </w:rPr>
        <w:t>une personne au regard de la législation relative à l</w:t>
      </w:r>
      <w:r w:rsidR="003A234B">
        <w:rPr>
          <w:lang w:val="fr-FR"/>
        </w:rPr>
        <w:t>’</w:t>
      </w:r>
      <w:r>
        <w:rPr>
          <w:lang w:val="fr-FR"/>
        </w:rPr>
        <w:t>immigration ou à la résidence ou l</w:t>
      </w:r>
      <w:r w:rsidR="003A234B">
        <w:rPr>
          <w:lang w:val="fr-FR"/>
        </w:rPr>
        <w:t>’</w:t>
      </w:r>
      <w:r>
        <w:rPr>
          <w:lang w:val="fr-FR"/>
        </w:rPr>
        <w:t>absence d</w:t>
      </w:r>
      <w:r w:rsidR="003A234B">
        <w:rPr>
          <w:lang w:val="fr-FR"/>
        </w:rPr>
        <w:t>’</w:t>
      </w:r>
      <w:r>
        <w:rPr>
          <w:lang w:val="fr-FR"/>
        </w:rPr>
        <w:t xml:space="preserve">un tel statut, lié à une entrée ou à un séjour irréguliers (observation générale </w:t>
      </w:r>
      <w:r w:rsidR="00634635">
        <w:rPr>
          <w:rFonts w:eastAsia="MS Mincho"/>
        </w:rPr>
        <w:t>n</w:t>
      </w:r>
      <w:r w:rsidR="00634635">
        <w:rPr>
          <w:rFonts w:eastAsia="MS Mincho"/>
          <w:vertAlign w:val="superscript"/>
        </w:rPr>
        <w:t>o</w:t>
      </w:r>
      <w:r w:rsidR="00634635">
        <w:t> </w:t>
      </w:r>
      <w:r>
        <w:rPr>
          <w:lang w:val="fr-FR"/>
        </w:rPr>
        <w:t xml:space="preserve">5 (2021), </w:t>
      </w:r>
      <w:r w:rsidR="00562F45">
        <w:rPr>
          <w:lang w:val="fr-FR"/>
        </w:rPr>
        <w:t>par. </w:t>
      </w:r>
      <w:r>
        <w:rPr>
          <w:lang w:val="fr-FR"/>
        </w:rPr>
        <w:t>14).</w:t>
      </w:r>
      <w:r w:rsidRPr="00EA7479">
        <w:rPr>
          <w:rFonts w:cstheme="minorHAnsi"/>
          <w:szCs w:val="18"/>
          <w:lang w:val="fr-FR"/>
        </w:rPr>
        <w:t xml:space="preserve"> </w:t>
      </w:r>
    </w:p>
  </w:footnote>
  <w:footnote w:id="24">
    <w:p w14:paraId="21BF4CD1" w14:textId="64967B53" w:rsidR="00DC22DE" w:rsidRPr="00EA7479" w:rsidRDefault="00DC22DE" w:rsidP="00DC22DE">
      <w:pPr>
        <w:pStyle w:val="Notedebasdepage"/>
        <w:rPr>
          <w:rFonts w:cstheme="minorHAnsi"/>
          <w:szCs w:val="18"/>
          <w:lang w:val="fr-FR"/>
        </w:rPr>
      </w:pPr>
      <w:r w:rsidRPr="00EA7479">
        <w:rPr>
          <w:rFonts w:cstheme="minorHAnsi"/>
          <w:szCs w:val="18"/>
          <w:lang w:val="fr-FR"/>
        </w:rPr>
        <w:tab/>
      </w:r>
      <w:r w:rsidRPr="00EA7479">
        <w:rPr>
          <w:rStyle w:val="Appelnotedebasdep"/>
        </w:rPr>
        <w:footnoteRef/>
      </w:r>
      <w:r w:rsidRPr="00EA7479">
        <w:rPr>
          <w:rFonts w:cstheme="minorHAnsi"/>
          <w:szCs w:val="18"/>
          <w:lang w:val="fr-FR"/>
        </w:rPr>
        <w:tab/>
        <w:t xml:space="preserve">Voir </w:t>
      </w:r>
      <w:hyperlink r:id="rId19" w:history="1">
        <w:r w:rsidR="0023119A">
          <w:rPr>
            <w:rStyle w:val="Lienhypertexte"/>
            <w:rFonts w:cstheme="minorHAnsi"/>
            <w:szCs w:val="18"/>
            <w:lang w:val="fr-FR"/>
          </w:rPr>
          <w:t>CED/C/MEX/VR/1 (</w:t>
        </w:r>
        <w:proofErr w:type="spellStart"/>
        <w:r w:rsidR="0023119A">
          <w:rPr>
            <w:rStyle w:val="Lienhypertexte"/>
            <w:rFonts w:cstheme="minorHAnsi"/>
            <w:szCs w:val="18"/>
            <w:lang w:val="fr-FR"/>
          </w:rPr>
          <w:t>Findi</w:t>
        </w:r>
        <w:r w:rsidR="0023119A">
          <w:rPr>
            <w:rStyle w:val="Lienhypertexte"/>
            <w:rFonts w:cstheme="minorHAnsi"/>
            <w:szCs w:val="18"/>
            <w:lang w:val="fr-FR"/>
          </w:rPr>
          <w:t>n</w:t>
        </w:r>
        <w:r w:rsidR="0023119A">
          <w:rPr>
            <w:rStyle w:val="Lienhypertexte"/>
            <w:rFonts w:cstheme="minorHAnsi"/>
            <w:szCs w:val="18"/>
            <w:lang w:val="fr-FR"/>
          </w:rPr>
          <w:t>gs</w:t>
        </w:r>
        <w:proofErr w:type="spellEnd"/>
        <w:r w:rsidR="0023119A">
          <w:rPr>
            <w:rStyle w:val="Lienhypertexte"/>
            <w:rFonts w:cstheme="minorHAnsi"/>
            <w:szCs w:val="18"/>
            <w:lang w:val="fr-FR"/>
          </w:rPr>
          <w:t>)</w:t>
        </w:r>
      </w:hyperlink>
      <w:r w:rsidRPr="00EA7479">
        <w:rPr>
          <w:rFonts w:cstheme="minorHAnsi"/>
          <w:szCs w:val="18"/>
          <w:lang w:val="fr-FR"/>
        </w:rPr>
        <w:t xml:space="preserve">, </w:t>
      </w:r>
      <w:r w:rsidR="00562F45">
        <w:rPr>
          <w:rFonts w:cstheme="minorHAnsi"/>
          <w:szCs w:val="18"/>
          <w:lang w:val="fr-FR"/>
        </w:rPr>
        <w:t>par. </w:t>
      </w:r>
      <w:r w:rsidRPr="00EA7479">
        <w:rPr>
          <w:rFonts w:cstheme="minorHAnsi"/>
          <w:szCs w:val="18"/>
          <w:lang w:val="fr-FR"/>
        </w:rPr>
        <w:t>18.</w:t>
      </w:r>
    </w:p>
  </w:footnote>
  <w:footnote w:id="25">
    <w:p w14:paraId="42F2B196" w14:textId="28FC3FEF" w:rsidR="00DC22DE" w:rsidRPr="00EA7479" w:rsidRDefault="00DC22DE" w:rsidP="00DC22DE">
      <w:pPr>
        <w:pStyle w:val="Notedebasdepage"/>
        <w:rPr>
          <w:rFonts w:cstheme="minorHAnsi"/>
          <w:szCs w:val="18"/>
          <w:lang w:val="fr-FR"/>
        </w:rPr>
      </w:pPr>
      <w:r w:rsidRPr="00EA7479">
        <w:rPr>
          <w:rFonts w:cstheme="minorHAnsi"/>
          <w:szCs w:val="18"/>
          <w:lang w:val="fr-FR"/>
        </w:rPr>
        <w:tab/>
      </w:r>
      <w:r w:rsidRPr="00EA7479">
        <w:rPr>
          <w:rStyle w:val="Appelnotedebasdep"/>
        </w:rPr>
        <w:footnoteRef/>
      </w:r>
      <w:r w:rsidRPr="00EA7479">
        <w:rPr>
          <w:rFonts w:cstheme="minorHAnsi"/>
          <w:szCs w:val="18"/>
          <w:lang w:val="fr-FR"/>
        </w:rPr>
        <w:tab/>
      </w:r>
      <w:r>
        <w:rPr>
          <w:rStyle w:val="termfield"/>
        </w:rPr>
        <w:t xml:space="preserve">Comité pour la protection des droits de tous les travailleurs migrants et des membres de leur famille, observation générale </w:t>
      </w:r>
      <w:r w:rsidR="00634635">
        <w:rPr>
          <w:rFonts w:eastAsia="MS Mincho"/>
        </w:rPr>
        <w:t>n</w:t>
      </w:r>
      <w:r w:rsidR="00634635">
        <w:rPr>
          <w:rFonts w:eastAsia="MS Mincho"/>
          <w:vertAlign w:val="superscript"/>
        </w:rPr>
        <w:t>o</w:t>
      </w:r>
      <w:r w:rsidR="00634635">
        <w:t> </w:t>
      </w:r>
      <w:r>
        <w:rPr>
          <w:rStyle w:val="termfield"/>
        </w:rPr>
        <w:t xml:space="preserve">5 (2021), </w:t>
      </w:r>
      <w:r w:rsidR="00562F45">
        <w:rPr>
          <w:rStyle w:val="termfield"/>
        </w:rPr>
        <w:t>par. </w:t>
      </w:r>
      <w:r>
        <w:rPr>
          <w:rStyle w:val="termfield"/>
        </w:rPr>
        <w:t>38</w:t>
      </w:r>
      <w:r w:rsidR="00634635">
        <w:rPr>
          <w:rStyle w:val="termfield"/>
        </w:rPr>
        <w:t> ;</w:t>
      </w:r>
      <w:r>
        <w:rPr>
          <w:rStyle w:val="termfield"/>
        </w:rPr>
        <w:t xml:space="preserve"> </w:t>
      </w:r>
      <w:hyperlink r:id="rId20" w:history="1">
        <w:r w:rsidR="00C56ABF">
          <w:rPr>
            <w:rStyle w:val="Lienhypertexte"/>
          </w:rPr>
          <w:t>A/HRC/36/39/Add.2</w:t>
        </w:r>
      </w:hyperlink>
      <w:r>
        <w:rPr>
          <w:rStyle w:val="termfield"/>
        </w:rPr>
        <w:t xml:space="preserve">, </w:t>
      </w:r>
      <w:r w:rsidR="00562F45">
        <w:rPr>
          <w:rStyle w:val="termfield"/>
        </w:rPr>
        <w:t>par. </w:t>
      </w:r>
      <w:r>
        <w:rPr>
          <w:rStyle w:val="termfield"/>
        </w:rPr>
        <w:t>22.</w:t>
      </w:r>
    </w:p>
  </w:footnote>
  <w:footnote w:id="26">
    <w:p w14:paraId="7393A227" w14:textId="734FAB9C" w:rsidR="00DC22DE" w:rsidRPr="00EA7479" w:rsidRDefault="00DC22DE" w:rsidP="00DC22DE">
      <w:pPr>
        <w:pStyle w:val="Notedebasdepage"/>
        <w:rPr>
          <w:rFonts w:cstheme="minorHAnsi"/>
          <w:szCs w:val="18"/>
          <w:lang w:val="fr-FR"/>
        </w:rPr>
      </w:pPr>
      <w:r w:rsidRPr="00EA7479">
        <w:rPr>
          <w:rFonts w:cstheme="minorHAnsi"/>
          <w:szCs w:val="18"/>
          <w:lang w:val="fr-FR"/>
        </w:rPr>
        <w:tab/>
      </w:r>
      <w:r w:rsidRPr="00EA7479">
        <w:rPr>
          <w:rStyle w:val="Appelnotedebasdep"/>
        </w:rPr>
        <w:footnoteRef/>
      </w:r>
      <w:r w:rsidRPr="00EA7479">
        <w:rPr>
          <w:rFonts w:cstheme="minorHAnsi"/>
          <w:szCs w:val="18"/>
          <w:lang w:val="fr-FR"/>
        </w:rPr>
        <w:tab/>
      </w:r>
      <w:r w:rsidRPr="00EA7479">
        <w:rPr>
          <w:i/>
          <w:iCs/>
          <w:lang w:val="fr-FR"/>
        </w:rPr>
        <w:t>L</w:t>
      </w:r>
      <w:proofErr w:type="spellStart"/>
      <w:r w:rsidRPr="00EA7479">
        <w:rPr>
          <w:i/>
          <w:iCs/>
        </w:rPr>
        <w:t>ignes</w:t>
      </w:r>
      <w:proofErr w:type="spellEnd"/>
      <w:r w:rsidRPr="00EA7479">
        <w:rPr>
          <w:i/>
          <w:iCs/>
        </w:rPr>
        <w:t xml:space="preserve"> directrices sur la COVID-19 et les disparitions forcées</w:t>
      </w:r>
      <w:r>
        <w:t xml:space="preserve">, élaborées conjointement par le Comité et le Groupe de travail sur les disparitions forcées ou involontaires, </w:t>
      </w:r>
      <w:r w:rsidR="00562F45">
        <w:t>par. </w:t>
      </w:r>
      <w:r>
        <w:t>23 et 24.</w:t>
      </w:r>
    </w:p>
  </w:footnote>
  <w:footnote w:id="27">
    <w:p w14:paraId="01C0AA22" w14:textId="2FE6ACE3" w:rsidR="00DC22DE" w:rsidRPr="00EA7479" w:rsidRDefault="00DC22DE" w:rsidP="00DC22DE">
      <w:pPr>
        <w:pStyle w:val="Notedebasdepage"/>
        <w:rPr>
          <w:rFonts w:cstheme="minorHAnsi"/>
          <w:szCs w:val="18"/>
          <w:lang w:val="fr-FR"/>
        </w:rPr>
      </w:pPr>
      <w:r w:rsidRPr="00EA7479">
        <w:rPr>
          <w:rFonts w:cstheme="minorHAnsi"/>
          <w:szCs w:val="18"/>
          <w:lang w:val="fr-FR"/>
        </w:rPr>
        <w:tab/>
      </w:r>
      <w:r w:rsidRPr="00EA7479">
        <w:rPr>
          <w:rStyle w:val="Appelnotedebasdep"/>
        </w:rPr>
        <w:footnoteRef/>
      </w:r>
      <w:r w:rsidRPr="00EA7479">
        <w:rPr>
          <w:rFonts w:cstheme="minorHAnsi"/>
          <w:szCs w:val="18"/>
          <w:lang w:val="fr-FR"/>
        </w:rPr>
        <w:tab/>
      </w:r>
      <w:r w:rsidRPr="00EA7479">
        <w:rPr>
          <w:lang w:val="fr-FR"/>
        </w:rPr>
        <w:t>Comité des droits de l</w:t>
      </w:r>
      <w:r w:rsidR="003A234B">
        <w:rPr>
          <w:lang w:val="fr-FR"/>
        </w:rPr>
        <w:t>’</w:t>
      </w:r>
      <w:r w:rsidRPr="00EA7479">
        <w:rPr>
          <w:lang w:val="fr-FR"/>
        </w:rPr>
        <w:t xml:space="preserve">enfant, observation générale </w:t>
      </w:r>
      <w:r w:rsidR="00634635">
        <w:rPr>
          <w:rFonts w:eastAsia="MS Mincho"/>
        </w:rPr>
        <w:t>n</w:t>
      </w:r>
      <w:r w:rsidR="00634635">
        <w:rPr>
          <w:rFonts w:eastAsia="MS Mincho"/>
          <w:vertAlign w:val="superscript"/>
        </w:rPr>
        <w:t>o</w:t>
      </w:r>
      <w:r w:rsidR="00634635">
        <w:t> </w:t>
      </w:r>
      <w:r w:rsidRPr="00EA7479">
        <w:rPr>
          <w:lang w:val="fr-FR"/>
        </w:rPr>
        <w:t>6 (2005) sur le traitement des enfants non accompagnés et des enfants séparés en dehors de leur pays d</w:t>
      </w:r>
      <w:r w:rsidR="003A234B">
        <w:rPr>
          <w:lang w:val="fr-FR"/>
        </w:rPr>
        <w:t>’</w:t>
      </w:r>
      <w:r w:rsidRPr="00EA7479">
        <w:rPr>
          <w:lang w:val="fr-FR"/>
        </w:rPr>
        <w:t xml:space="preserve">origine, </w:t>
      </w:r>
      <w:r w:rsidR="00562F45">
        <w:rPr>
          <w:lang w:val="fr-FR"/>
        </w:rPr>
        <w:t>par. </w:t>
      </w:r>
      <w:r w:rsidRPr="00EA7479">
        <w:rPr>
          <w:lang w:val="fr-FR"/>
        </w:rPr>
        <w:t>61</w:t>
      </w:r>
      <w:r w:rsidR="00634635">
        <w:rPr>
          <w:rFonts w:cstheme="minorHAnsi"/>
          <w:szCs w:val="18"/>
          <w:lang w:val="fr-FR"/>
        </w:rPr>
        <w:t> ;</w:t>
      </w:r>
      <w:r w:rsidRPr="006F2F8C">
        <w:t xml:space="preserve"> </w:t>
      </w:r>
      <w:r>
        <w:t xml:space="preserve">observation générale conjointe </w:t>
      </w:r>
      <w:r w:rsidR="00634635">
        <w:rPr>
          <w:rFonts w:eastAsia="MS Mincho"/>
        </w:rPr>
        <w:t>n</w:t>
      </w:r>
      <w:r w:rsidR="00634635">
        <w:rPr>
          <w:rFonts w:eastAsia="MS Mincho"/>
          <w:vertAlign w:val="superscript"/>
        </w:rPr>
        <w:t>o</w:t>
      </w:r>
      <w:r w:rsidR="00634635">
        <w:t> </w:t>
      </w:r>
      <w:r>
        <w:t xml:space="preserve">4 du Comité pour la protection des droits de tous les travailleurs migrants et des membres de leur famille et </w:t>
      </w:r>
      <w:r w:rsidR="00634635">
        <w:rPr>
          <w:rFonts w:eastAsia="MS Mincho"/>
        </w:rPr>
        <w:t>n</w:t>
      </w:r>
      <w:r w:rsidR="00634635">
        <w:rPr>
          <w:rFonts w:eastAsia="MS Mincho"/>
          <w:vertAlign w:val="superscript"/>
        </w:rPr>
        <w:t>o</w:t>
      </w:r>
      <w:r w:rsidR="00634635">
        <w:t> </w:t>
      </w:r>
      <w:r>
        <w:t>23 du Comité des droits de l</w:t>
      </w:r>
      <w:r w:rsidR="003A234B">
        <w:t>’</w:t>
      </w:r>
      <w:r>
        <w:t>enfant (2017) sur les obligations des États en matière de droits de l</w:t>
      </w:r>
      <w:r w:rsidR="003A234B">
        <w:t>’</w:t>
      </w:r>
      <w:r>
        <w:t>homme des enfants dans le contexte des migrations internationales dans les pays d</w:t>
      </w:r>
      <w:r w:rsidR="003A234B">
        <w:t>’</w:t>
      </w:r>
      <w:r>
        <w:t xml:space="preserve">origine, de transit, de destination et de retour, </w:t>
      </w:r>
      <w:r w:rsidR="00562F45">
        <w:t>par. </w:t>
      </w:r>
      <w:r>
        <w:t>5 et 8</w:t>
      </w:r>
      <w:r w:rsidR="00634635">
        <w:rPr>
          <w:rFonts w:cstheme="minorHAnsi"/>
          <w:szCs w:val="18"/>
          <w:lang w:val="fr-FR"/>
        </w:rPr>
        <w:t> ;</w:t>
      </w:r>
      <w:r w:rsidRPr="00EA7479">
        <w:rPr>
          <w:rFonts w:cstheme="minorHAnsi"/>
          <w:szCs w:val="18"/>
          <w:lang w:val="fr-FR"/>
        </w:rPr>
        <w:t xml:space="preserve"> </w:t>
      </w:r>
      <w:r>
        <w:rPr>
          <w:rStyle w:val="termfield"/>
        </w:rPr>
        <w:t xml:space="preserve">Comité pour la protection des droits de tous les travailleurs migrants et des membres de leur famille, observation générale </w:t>
      </w:r>
      <w:r w:rsidR="00634635">
        <w:rPr>
          <w:rFonts w:eastAsia="MS Mincho"/>
        </w:rPr>
        <w:t>n</w:t>
      </w:r>
      <w:r w:rsidR="00634635">
        <w:rPr>
          <w:rFonts w:eastAsia="MS Mincho"/>
          <w:vertAlign w:val="superscript"/>
        </w:rPr>
        <w:t>o</w:t>
      </w:r>
      <w:r w:rsidR="00634635">
        <w:t> </w:t>
      </w:r>
      <w:r>
        <w:rPr>
          <w:rStyle w:val="termfield"/>
        </w:rPr>
        <w:t>5 (2021)</w:t>
      </w:r>
      <w:r w:rsidRPr="00EA7479">
        <w:rPr>
          <w:rFonts w:cstheme="minorHAnsi"/>
          <w:szCs w:val="18"/>
          <w:lang w:val="fr-FR"/>
        </w:rPr>
        <w:t xml:space="preserve">, </w:t>
      </w:r>
      <w:r w:rsidR="00562F45">
        <w:rPr>
          <w:rFonts w:cstheme="minorHAnsi"/>
          <w:szCs w:val="18"/>
          <w:lang w:val="fr-FR"/>
        </w:rPr>
        <w:t>par. </w:t>
      </w:r>
      <w:r w:rsidRPr="00EA7479">
        <w:rPr>
          <w:rFonts w:cstheme="minorHAnsi"/>
          <w:szCs w:val="18"/>
          <w:lang w:val="fr-FR"/>
        </w:rPr>
        <w:t xml:space="preserve">39 </w:t>
      </w:r>
      <w:r>
        <w:rPr>
          <w:rFonts w:cstheme="minorHAnsi"/>
          <w:szCs w:val="18"/>
          <w:lang w:val="fr-FR"/>
        </w:rPr>
        <w:t xml:space="preserve">à </w:t>
      </w:r>
      <w:r w:rsidRPr="00EA7479">
        <w:rPr>
          <w:rFonts w:cstheme="minorHAnsi"/>
          <w:szCs w:val="18"/>
          <w:lang w:val="fr-FR"/>
        </w:rPr>
        <w:t>44</w:t>
      </w:r>
      <w:r w:rsidR="00634635">
        <w:rPr>
          <w:rFonts w:cstheme="minorHAnsi"/>
          <w:szCs w:val="18"/>
          <w:lang w:val="fr-FR"/>
        </w:rPr>
        <w:t> ;</w:t>
      </w:r>
      <w:r w:rsidRPr="00EA7479">
        <w:rPr>
          <w:rFonts w:cstheme="minorHAnsi"/>
          <w:szCs w:val="18"/>
          <w:lang w:val="fr-FR"/>
        </w:rPr>
        <w:t xml:space="preserve"> </w:t>
      </w:r>
      <w:hyperlink r:id="rId21" w:history="1">
        <w:r w:rsidR="00C56ABF">
          <w:rPr>
            <w:rStyle w:val="Lienhypertexte"/>
            <w:rFonts w:cstheme="minorHAnsi"/>
            <w:szCs w:val="18"/>
            <w:lang w:val="fr-FR"/>
          </w:rPr>
          <w:t>A/75/183</w:t>
        </w:r>
      </w:hyperlink>
      <w:r w:rsidRPr="00EA7479">
        <w:rPr>
          <w:rFonts w:cstheme="minorHAnsi"/>
          <w:szCs w:val="18"/>
          <w:lang w:val="fr-FR"/>
        </w:rPr>
        <w:t xml:space="preserve">. </w:t>
      </w:r>
    </w:p>
  </w:footnote>
  <w:footnote w:id="28">
    <w:p w14:paraId="574B867C" w14:textId="31AB93D6" w:rsidR="00DC22DE" w:rsidRPr="00EA7479" w:rsidRDefault="00DC22DE" w:rsidP="00DC22DE">
      <w:pPr>
        <w:pStyle w:val="Notedebasdepage"/>
        <w:rPr>
          <w:rFonts w:cstheme="minorHAnsi"/>
          <w:szCs w:val="18"/>
          <w:lang w:val="fr-FR"/>
        </w:rPr>
      </w:pPr>
      <w:r w:rsidRPr="00EA7479">
        <w:rPr>
          <w:rFonts w:cstheme="minorHAnsi"/>
          <w:szCs w:val="18"/>
          <w:lang w:val="fr-FR"/>
        </w:rPr>
        <w:tab/>
      </w:r>
      <w:r w:rsidRPr="00EA7479">
        <w:rPr>
          <w:rStyle w:val="Appelnotedebasdep"/>
        </w:rPr>
        <w:footnoteRef/>
      </w:r>
      <w:r w:rsidRPr="00EA7479">
        <w:rPr>
          <w:rFonts w:cstheme="minorHAnsi"/>
          <w:szCs w:val="18"/>
          <w:lang w:val="fr-FR"/>
        </w:rPr>
        <w:tab/>
      </w:r>
      <w:r w:rsidRPr="00EA7479">
        <w:rPr>
          <w:rStyle w:val="termfield"/>
          <w:lang w:val="fr-FR"/>
        </w:rPr>
        <w:t xml:space="preserve">Comité pour la protection des droits de tous les travailleurs migrants et des membres de leur famille, observation générale </w:t>
      </w:r>
      <w:r w:rsidR="00634635">
        <w:rPr>
          <w:rFonts w:eastAsia="MS Mincho"/>
        </w:rPr>
        <w:t>n</w:t>
      </w:r>
      <w:r w:rsidR="00634635">
        <w:rPr>
          <w:rFonts w:eastAsia="MS Mincho"/>
          <w:vertAlign w:val="superscript"/>
        </w:rPr>
        <w:t>o</w:t>
      </w:r>
      <w:r w:rsidR="00634635">
        <w:t> </w:t>
      </w:r>
      <w:r w:rsidRPr="00EA7479">
        <w:rPr>
          <w:rStyle w:val="termfield"/>
          <w:lang w:val="fr-FR"/>
        </w:rPr>
        <w:t>5 (2021)</w:t>
      </w:r>
      <w:r w:rsidRPr="00D65877">
        <w:rPr>
          <w:rFonts w:cstheme="minorHAnsi"/>
          <w:szCs w:val="18"/>
          <w:lang w:val="fr-FR"/>
        </w:rPr>
        <w:t xml:space="preserve">, </w:t>
      </w:r>
      <w:r w:rsidR="00562F45">
        <w:rPr>
          <w:rFonts w:cstheme="minorHAnsi"/>
          <w:szCs w:val="18"/>
          <w:lang w:val="fr-FR"/>
        </w:rPr>
        <w:t>par. </w:t>
      </w:r>
      <w:r w:rsidRPr="00D65877">
        <w:rPr>
          <w:rFonts w:cstheme="minorHAnsi"/>
          <w:szCs w:val="18"/>
          <w:lang w:val="fr-FR"/>
        </w:rPr>
        <w:t>44</w:t>
      </w:r>
      <w:r w:rsidR="00634635">
        <w:rPr>
          <w:rFonts w:cstheme="minorHAnsi"/>
          <w:szCs w:val="18"/>
          <w:lang w:val="fr-FR"/>
        </w:rPr>
        <w:t> ;</w:t>
      </w:r>
      <w:r w:rsidRPr="00EA7479">
        <w:rPr>
          <w:rFonts w:cstheme="minorHAnsi"/>
          <w:szCs w:val="18"/>
          <w:lang w:val="fr-FR"/>
        </w:rPr>
        <w:t xml:space="preserve"> Comité des droits de l</w:t>
      </w:r>
      <w:r w:rsidR="003A234B">
        <w:rPr>
          <w:rFonts w:cstheme="minorHAnsi"/>
          <w:szCs w:val="18"/>
          <w:lang w:val="fr-FR"/>
        </w:rPr>
        <w:t>’</w:t>
      </w:r>
      <w:r w:rsidRPr="00EA7479">
        <w:rPr>
          <w:rFonts w:cstheme="minorHAnsi"/>
          <w:szCs w:val="18"/>
          <w:lang w:val="fr-FR"/>
        </w:rPr>
        <w:t xml:space="preserve">enfant, observation générale </w:t>
      </w:r>
      <w:r w:rsidR="00634635">
        <w:rPr>
          <w:rFonts w:eastAsia="MS Mincho"/>
        </w:rPr>
        <w:t>n</w:t>
      </w:r>
      <w:r w:rsidR="00634635">
        <w:rPr>
          <w:rFonts w:eastAsia="MS Mincho"/>
          <w:vertAlign w:val="superscript"/>
        </w:rPr>
        <w:t>o</w:t>
      </w:r>
      <w:r w:rsidR="00634635">
        <w:t> </w:t>
      </w:r>
      <w:r w:rsidRPr="00EA7479">
        <w:rPr>
          <w:rFonts w:cstheme="minorHAnsi"/>
          <w:szCs w:val="18"/>
          <w:lang w:val="fr-FR"/>
        </w:rPr>
        <w:t xml:space="preserve">6 (2005), </w:t>
      </w:r>
      <w:r w:rsidR="00562F45">
        <w:rPr>
          <w:rFonts w:cstheme="minorHAnsi"/>
          <w:szCs w:val="18"/>
          <w:lang w:val="fr-FR"/>
        </w:rPr>
        <w:t>par. </w:t>
      </w:r>
      <w:r w:rsidRPr="00EA7479">
        <w:rPr>
          <w:rFonts w:cstheme="minorHAnsi"/>
          <w:szCs w:val="18"/>
          <w:lang w:val="fr-FR"/>
        </w:rPr>
        <w:t>40 et 61 à</w:t>
      </w:r>
      <w:r>
        <w:rPr>
          <w:rFonts w:cstheme="minorHAnsi"/>
          <w:szCs w:val="18"/>
          <w:lang w:val="fr-FR"/>
        </w:rPr>
        <w:t xml:space="preserve"> </w:t>
      </w:r>
      <w:r w:rsidRPr="00EA7479">
        <w:rPr>
          <w:rFonts w:cstheme="minorHAnsi"/>
          <w:szCs w:val="18"/>
          <w:lang w:val="fr-FR"/>
        </w:rPr>
        <w:t xml:space="preserve"> 63</w:t>
      </w:r>
      <w:r w:rsidR="00634635">
        <w:rPr>
          <w:rFonts w:cstheme="minorHAnsi"/>
          <w:szCs w:val="18"/>
          <w:lang w:val="fr-FR"/>
        </w:rPr>
        <w:t> ;</w:t>
      </w:r>
      <w:r w:rsidRPr="00EA7479">
        <w:rPr>
          <w:rFonts w:cstheme="minorHAnsi"/>
          <w:szCs w:val="18"/>
          <w:lang w:val="fr-FR"/>
        </w:rPr>
        <w:t xml:space="preserve"> </w:t>
      </w:r>
      <w:r>
        <w:rPr>
          <w:rStyle w:val="termfield"/>
        </w:rPr>
        <w:t xml:space="preserve">observation générale conjointe </w:t>
      </w:r>
      <w:r w:rsidR="00634635">
        <w:rPr>
          <w:rFonts w:eastAsia="MS Mincho"/>
        </w:rPr>
        <w:t>n</w:t>
      </w:r>
      <w:r w:rsidR="00634635">
        <w:rPr>
          <w:rFonts w:eastAsia="MS Mincho"/>
          <w:vertAlign w:val="superscript"/>
        </w:rPr>
        <w:t>o</w:t>
      </w:r>
      <w:r w:rsidR="00634635">
        <w:t> </w:t>
      </w:r>
      <w:r>
        <w:rPr>
          <w:rStyle w:val="termfield"/>
        </w:rPr>
        <w:t xml:space="preserve">3 du Comité pour la protection des droits de tous les travailleurs migrants et des membres de leur famille et </w:t>
      </w:r>
      <w:r w:rsidR="00634635">
        <w:rPr>
          <w:rFonts w:eastAsia="MS Mincho"/>
        </w:rPr>
        <w:t>n</w:t>
      </w:r>
      <w:r w:rsidR="00634635">
        <w:rPr>
          <w:rFonts w:eastAsia="MS Mincho"/>
          <w:vertAlign w:val="superscript"/>
        </w:rPr>
        <w:t>o</w:t>
      </w:r>
      <w:r w:rsidR="00634635">
        <w:t> </w:t>
      </w:r>
      <w:r>
        <w:rPr>
          <w:rStyle w:val="termfield"/>
        </w:rPr>
        <w:t>22 du Comité des droits de l</w:t>
      </w:r>
      <w:r w:rsidR="003A234B">
        <w:rPr>
          <w:rStyle w:val="termfield"/>
        </w:rPr>
        <w:t>’</w:t>
      </w:r>
      <w:r>
        <w:rPr>
          <w:rStyle w:val="termfield"/>
        </w:rPr>
        <w:t>enfant (2017) sur les principes généraux relatifs aux droits de l</w:t>
      </w:r>
      <w:r w:rsidR="003A234B">
        <w:rPr>
          <w:rStyle w:val="termfield"/>
        </w:rPr>
        <w:t>’</w:t>
      </w:r>
      <w:r>
        <w:rPr>
          <w:rStyle w:val="termfield"/>
        </w:rPr>
        <w:t>homme des enfants dans le contexte des migrations internationales</w:t>
      </w:r>
      <w:r w:rsidR="00495C79">
        <w:rPr>
          <w:rStyle w:val="termfield"/>
        </w:rPr>
        <w:t>, par. 32</w:t>
      </w:r>
      <w:r w:rsidR="00634635">
        <w:rPr>
          <w:rFonts w:cstheme="minorHAnsi"/>
          <w:szCs w:val="18"/>
          <w:lang w:val="fr-FR"/>
        </w:rPr>
        <w:t> ;</w:t>
      </w:r>
      <w:r w:rsidRPr="00EA7479">
        <w:rPr>
          <w:rFonts w:cstheme="minorHAnsi"/>
          <w:szCs w:val="18"/>
          <w:lang w:val="fr-FR"/>
        </w:rPr>
        <w:t xml:space="preserve"> </w:t>
      </w:r>
      <w:r>
        <w:rPr>
          <w:rStyle w:val="termfield"/>
        </w:rPr>
        <w:t xml:space="preserve">observation générale conjointe </w:t>
      </w:r>
      <w:r w:rsidR="00634635">
        <w:rPr>
          <w:rFonts w:eastAsia="MS Mincho"/>
        </w:rPr>
        <w:t>n</w:t>
      </w:r>
      <w:r w:rsidR="00634635">
        <w:rPr>
          <w:rFonts w:eastAsia="MS Mincho"/>
          <w:vertAlign w:val="superscript"/>
        </w:rPr>
        <w:t>o</w:t>
      </w:r>
      <w:r w:rsidR="00634635">
        <w:t> </w:t>
      </w:r>
      <w:r>
        <w:rPr>
          <w:rStyle w:val="termfield"/>
        </w:rPr>
        <w:t xml:space="preserve">4 du Comité pour la protection des droits de tous les travailleurs migrants et des membres de leur famille et </w:t>
      </w:r>
      <w:r w:rsidR="00634635">
        <w:rPr>
          <w:rFonts w:eastAsia="MS Mincho"/>
        </w:rPr>
        <w:t>n</w:t>
      </w:r>
      <w:r w:rsidR="00634635">
        <w:rPr>
          <w:rFonts w:eastAsia="MS Mincho"/>
          <w:vertAlign w:val="superscript"/>
        </w:rPr>
        <w:t>o</w:t>
      </w:r>
      <w:r w:rsidR="00634635">
        <w:t> </w:t>
      </w:r>
      <w:r>
        <w:rPr>
          <w:rStyle w:val="termfield"/>
        </w:rPr>
        <w:t>23 du Comité des droits de l</w:t>
      </w:r>
      <w:r w:rsidR="003A234B">
        <w:rPr>
          <w:rStyle w:val="termfield"/>
        </w:rPr>
        <w:t>’</w:t>
      </w:r>
      <w:r>
        <w:rPr>
          <w:rStyle w:val="termfield"/>
        </w:rPr>
        <w:t>enfant (2017)</w:t>
      </w:r>
      <w:r w:rsidRPr="00EA7479">
        <w:rPr>
          <w:rFonts w:cstheme="minorHAnsi"/>
          <w:szCs w:val="18"/>
          <w:lang w:val="fr-FR"/>
        </w:rPr>
        <w:t xml:space="preserve">, </w:t>
      </w:r>
      <w:r w:rsidR="00562F45">
        <w:rPr>
          <w:rFonts w:cstheme="minorHAnsi"/>
          <w:szCs w:val="18"/>
          <w:lang w:val="fr-FR"/>
        </w:rPr>
        <w:t>par. </w:t>
      </w:r>
      <w:r w:rsidRPr="00EA7479">
        <w:rPr>
          <w:rFonts w:cstheme="minorHAnsi"/>
          <w:szCs w:val="18"/>
          <w:lang w:val="fr-FR"/>
        </w:rPr>
        <w:t xml:space="preserve">12 </w:t>
      </w:r>
      <w:r>
        <w:rPr>
          <w:rFonts w:cstheme="minorHAnsi"/>
          <w:szCs w:val="18"/>
          <w:lang w:val="fr-FR"/>
        </w:rPr>
        <w:t xml:space="preserve">et </w:t>
      </w:r>
      <w:r w:rsidRPr="00EA7479">
        <w:rPr>
          <w:rFonts w:cstheme="minorHAnsi"/>
          <w:szCs w:val="18"/>
          <w:lang w:val="fr-FR"/>
        </w:rPr>
        <w:t>13.</w:t>
      </w:r>
    </w:p>
  </w:footnote>
  <w:footnote w:id="29">
    <w:p w14:paraId="07731C5E" w14:textId="3549DE5A" w:rsidR="00DC22DE" w:rsidRPr="00EA7479" w:rsidRDefault="00DC22DE" w:rsidP="00DC22DE">
      <w:pPr>
        <w:pStyle w:val="Notedebasdepage"/>
        <w:rPr>
          <w:rFonts w:cstheme="minorHAnsi"/>
          <w:szCs w:val="18"/>
          <w:lang w:val="fr-FR"/>
        </w:rPr>
      </w:pPr>
      <w:r w:rsidRPr="00EA7479">
        <w:rPr>
          <w:rFonts w:cstheme="minorHAnsi"/>
          <w:szCs w:val="18"/>
          <w:lang w:val="fr-FR"/>
        </w:rPr>
        <w:tab/>
      </w:r>
      <w:r w:rsidRPr="00EA7479">
        <w:rPr>
          <w:rStyle w:val="Appelnotedebasdep"/>
        </w:rPr>
        <w:footnoteRef/>
      </w:r>
      <w:r w:rsidRPr="00EA7479">
        <w:rPr>
          <w:lang w:val="fr-FR"/>
        </w:rPr>
        <w:tab/>
      </w:r>
      <w:hyperlink r:id="rId22" w:history="1">
        <w:r w:rsidR="00C56ABF">
          <w:rPr>
            <w:rStyle w:val="Lienhypertexte"/>
            <w:lang w:val="fr-FR"/>
          </w:rPr>
          <w:t>CED/</w:t>
        </w:r>
        <w:r w:rsidR="00C56ABF">
          <w:rPr>
            <w:rStyle w:val="Lienhypertexte"/>
            <w:lang w:val="fr-FR"/>
          </w:rPr>
          <w:t>C</w:t>
        </w:r>
        <w:r w:rsidR="00C56ABF">
          <w:rPr>
            <w:rStyle w:val="Lienhypertexte"/>
            <w:lang w:val="fr-FR"/>
          </w:rPr>
          <w:t>/10</w:t>
        </w:r>
      </w:hyperlink>
      <w:r w:rsidRPr="00EA7479">
        <w:rPr>
          <w:lang w:val="fr-FR"/>
        </w:rPr>
        <w:t xml:space="preserve">, </w:t>
      </w:r>
      <w:r w:rsidR="00562F45">
        <w:rPr>
          <w:lang w:val="fr-FR"/>
        </w:rPr>
        <w:t>par. </w:t>
      </w:r>
      <w:r w:rsidRPr="00EA7479">
        <w:rPr>
          <w:lang w:val="fr-FR"/>
        </w:rPr>
        <w:t>2 à 8</w:t>
      </w:r>
      <w:r w:rsidR="00634635">
        <w:rPr>
          <w:lang w:val="fr-FR"/>
        </w:rPr>
        <w:t> ;</w:t>
      </w:r>
      <w:r w:rsidRPr="00EA7479">
        <w:rPr>
          <w:lang w:val="fr-FR"/>
        </w:rPr>
        <w:t xml:space="preserve"> </w:t>
      </w:r>
      <w:hyperlink r:id="rId23" w:history="1">
        <w:r w:rsidR="00C56ABF">
          <w:rPr>
            <w:rStyle w:val="Lienhypertexte"/>
            <w:lang w:val="fr-FR"/>
          </w:rPr>
          <w:t>A/H</w:t>
        </w:r>
        <w:r w:rsidR="00C56ABF">
          <w:rPr>
            <w:rStyle w:val="Lienhypertexte"/>
            <w:lang w:val="fr-FR"/>
          </w:rPr>
          <w:t>R</w:t>
        </w:r>
        <w:r w:rsidR="00C56ABF">
          <w:rPr>
            <w:rStyle w:val="Lienhypertexte"/>
            <w:lang w:val="fr-FR"/>
          </w:rPr>
          <w:t>C/13/42</w:t>
        </w:r>
      </w:hyperlink>
      <w:r w:rsidR="00634635">
        <w:rPr>
          <w:lang w:val="fr-FR"/>
        </w:rPr>
        <w:t> ;</w:t>
      </w:r>
      <w:r w:rsidRPr="00EA7479">
        <w:rPr>
          <w:lang w:val="fr-FR"/>
        </w:rPr>
        <w:t xml:space="preserve"> </w:t>
      </w:r>
      <w:hyperlink r:id="rId24" w:history="1">
        <w:r w:rsidR="00C56ABF">
          <w:rPr>
            <w:rStyle w:val="Lienhypertexte"/>
            <w:lang w:val="fr-FR"/>
          </w:rPr>
          <w:t>A/HRC/36/39/Add.2</w:t>
        </w:r>
      </w:hyperlink>
      <w:r w:rsidRPr="00EA7479">
        <w:rPr>
          <w:lang w:val="fr-FR"/>
        </w:rPr>
        <w:t>, par 21 à 24</w:t>
      </w:r>
      <w:r w:rsidR="00634635">
        <w:rPr>
          <w:lang w:val="fr-FR"/>
        </w:rPr>
        <w:t> ;</w:t>
      </w:r>
      <w:r w:rsidRPr="00EA7479">
        <w:rPr>
          <w:lang w:val="fr-FR"/>
        </w:rPr>
        <w:t xml:space="preserve"> </w:t>
      </w:r>
      <w:r>
        <w:t>Comité des droits de l</w:t>
      </w:r>
      <w:r w:rsidR="003A234B">
        <w:t>’</w:t>
      </w:r>
      <w:r>
        <w:t xml:space="preserve">homme, observation générale </w:t>
      </w:r>
      <w:r w:rsidR="00634635">
        <w:rPr>
          <w:rFonts w:eastAsia="MS Mincho"/>
        </w:rPr>
        <w:t>n</w:t>
      </w:r>
      <w:r w:rsidR="00634635">
        <w:rPr>
          <w:rFonts w:eastAsia="MS Mincho"/>
          <w:vertAlign w:val="superscript"/>
        </w:rPr>
        <w:t>o</w:t>
      </w:r>
      <w:r w:rsidR="00634635">
        <w:t> </w:t>
      </w:r>
      <w:r>
        <w:t xml:space="preserve">36 (2018) sur le droit à la vie, </w:t>
      </w:r>
      <w:r w:rsidR="00562F45">
        <w:t>par. </w:t>
      </w:r>
      <w:r>
        <w:t>57 et 58</w:t>
      </w:r>
      <w:r w:rsidR="00634635">
        <w:t> ;</w:t>
      </w:r>
      <w:r>
        <w:t xml:space="preserve"> Comité pour la protection des droits de tous les travailleurs migrants et des membres de leur famille, observation générale </w:t>
      </w:r>
      <w:r w:rsidR="00634635">
        <w:rPr>
          <w:rFonts w:eastAsia="MS Mincho"/>
        </w:rPr>
        <w:t>n</w:t>
      </w:r>
      <w:r w:rsidR="00634635">
        <w:rPr>
          <w:rFonts w:eastAsia="MS Mincho"/>
          <w:vertAlign w:val="superscript"/>
        </w:rPr>
        <w:t>o</w:t>
      </w:r>
      <w:r w:rsidR="00634635">
        <w:t> </w:t>
      </w:r>
      <w:r>
        <w:t xml:space="preserve">5 (2021), </w:t>
      </w:r>
      <w:r w:rsidR="00562F45">
        <w:t>par. </w:t>
      </w:r>
      <w:r>
        <w:t>17.</w:t>
      </w:r>
      <w:r w:rsidR="00634635">
        <w:rPr>
          <w:lang w:val="fr-FR"/>
        </w:rPr>
        <w:t> ;</w:t>
      </w:r>
      <w:r w:rsidRPr="00EA7479">
        <w:rPr>
          <w:lang w:val="fr-FR"/>
        </w:rPr>
        <w:t xml:space="preserve"> </w:t>
      </w:r>
      <w:r>
        <w:t>Commission interaméricaine des droits de l</w:t>
      </w:r>
      <w:r w:rsidR="003A234B">
        <w:t>’</w:t>
      </w:r>
      <w:r>
        <w:t xml:space="preserve">homme, </w:t>
      </w:r>
      <w:r>
        <w:rPr>
          <w:i/>
          <w:iCs/>
        </w:rPr>
        <w:t xml:space="preserve">Human Rights of migrants and </w:t>
      </w:r>
      <w:proofErr w:type="spellStart"/>
      <w:r>
        <w:rPr>
          <w:i/>
          <w:iCs/>
        </w:rPr>
        <w:t>other</w:t>
      </w:r>
      <w:proofErr w:type="spellEnd"/>
      <w:r>
        <w:rPr>
          <w:i/>
          <w:iCs/>
        </w:rPr>
        <w:t xml:space="preserve"> </w:t>
      </w:r>
      <w:proofErr w:type="spellStart"/>
      <w:r>
        <w:rPr>
          <w:i/>
          <w:iCs/>
        </w:rPr>
        <w:t>persons</w:t>
      </w:r>
      <w:proofErr w:type="spellEnd"/>
      <w:r>
        <w:rPr>
          <w:i/>
          <w:iCs/>
        </w:rPr>
        <w:t xml:space="preserve"> in the </w:t>
      </w:r>
      <w:proofErr w:type="spellStart"/>
      <w:r>
        <w:rPr>
          <w:i/>
          <w:iCs/>
        </w:rPr>
        <w:t>context</w:t>
      </w:r>
      <w:proofErr w:type="spellEnd"/>
      <w:r>
        <w:rPr>
          <w:i/>
          <w:iCs/>
        </w:rPr>
        <w:t xml:space="preserve"> of </w:t>
      </w:r>
      <w:proofErr w:type="spellStart"/>
      <w:r>
        <w:rPr>
          <w:i/>
          <w:iCs/>
        </w:rPr>
        <w:t>human</w:t>
      </w:r>
      <w:proofErr w:type="spellEnd"/>
      <w:r>
        <w:rPr>
          <w:i/>
          <w:iCs/>
        </w:rPr>
        <w:t xml:space="preserve"> </w:t>
      </w:r>
      <w:proofErr w:type="spellStart"/>
      <w:r>
        <w:rPr>
          <w:i/>
          <w:iCs/>
        </w:rPr>
        <w:t>mobility</w:t>
      </w:r>
      <w:proofErr w:type="spellEnd"/>
      <w:r>
        <w:rPr>
          <w:i/>
          <w:iCs/>
        </w:rPr>
        <w:t xml:space="preserve"> in Mexico</w:t>
      </w:r>
      <w:r>
        <w:t xml:space="preserve"> (2013), </w:t>
      </w:r>
      <w:r w:rsidR="00562F45">
        <w:t>par. </w:t>
      </w:r>
      <w:r>
        <w:t>175 à 240.</w:t>
      </w:r>
    </w:p>
  </w:footnote>
  <w:footnote w:id="30">
    <w:p w14:paraId="6613FA0B" w14:textId="0E5F1AFC" w:rsidR="00DC22DE" w:rsidRPr="00EA7479" w:rsidRDefault="00DC22DE" w:rsidP="00DC22DE">
      <w:pPr>
        <w:pStyle w:val="Notedebasdepage"/>
        <w:rPr>
          <w:rFonts w:cstheme="minorHAnsi"/>
          <w:szCs w:val="18"/>
        </w:rPr>
      </w:pPr>
      <w:r w:rsidRPr="00EA7479">
        <w:rPr>
          <w:rFonts w:cstheme="minorHAnsi"/>
          <w:szCs w:val="18"/>
          <w:lang w:val="fr-FR"/>
        </w:rPr>
        <w:tab/>
      </w:r>
      <w:r w:rsidRPr="00EA7479">
        <w:rPr>
          <w:rStyle w:val="Appelnotedebasdep"/>
        </w:rPr>
        <w:footnoteRef/>
      </w:r>
      <w:r w:rsidRPr="00EA7479">
        <w:rPr>
          <w:rFonts w:cstheme="minorHAnsi"/>
          <w:szCs w:val="18"/>
        </w:rPr>
        <w:tab/>
      </w:r>
      <w:hyperlink r:id="rId25" w:history="1">
        <w:r w:rsidR="004F2BC7">
          <w:rPr>
            <w:rStyle w:val="Lienhypertexte"/>
            <w:rFonts w:cstheme="minorHAnsi"/>
            <w:szCs w:val="18"/>
          </w:rPr>
          <w:t>E/CN</w:t>
        </w:r>
        <w:r w:rsidR="004F2BC7">
          <w:rPr>
            <w:rStyle w:val="Lienhypertexte"/>
            <w:rFonts w:cstheme="minorHAnsi"/>
            <w:szCs w:val="18"/>
          </w:rPr>
          <w:t>.</w:t>
        </w:r>
        <w:r w:rsidR="004F2BC7">
          <w:rPr>
            <w:rStyle w:val="Lienhypertexte"/>
            <w:rFonts w:cstheme="minorHAnsi"/>
            <w:szCs w:val="18"/>
          </w:rPr>
          <w:t>4/2003/71</w:t>
        </w:r>
      </w:hyperlink>
      <w:r w:rsidRPr="00EA7479">
        <w:rPr>
          <w:rFonts w:cstheme="minorHAnsi"/>
          <w:szCs w:val="18"/>
        </w:rPr>
        <w:t xml:space="preserve">, </w:t>
      </w:r>
      <w:r w:rsidR="00562F45">
        <w:rPr>
          <w:rFonts w:cstheme="minorHAnsi"/>
          <w:szCs w:val="18"/>
        </w:rPr>
        <w:t>par. </w:t>
      </w:r>
      <w:r w:rsidRPr="00EA7479">
        <w:rPr>
          <w:rFonts w:cstheme="minorHAnsi"/>
          <w:szCs w:val="18"/>
        </w:rPr>
        <w:t xml:space="preserve">67. </w:t>
      </w:r>
    </w:p>
  </w:footnote>
  <w:footnote w:id="31">
    <w:p w14:paraId="276C652B" w14:textId="5DFA29D6" w:rsidR="00DC22DE" w:rsidRPr="00EA7479" w:rsidRDefault="00DC22DE" w:rsidP="00DC22DE">
      <w:pPr>
        <w:pStyle w:val="Notedebasdepage"/>
        <w:rPr>
          <w:rFonts w:cstheme="minorHAnsi"/>
          <w:szCs w:val="18"/>
        </w:rPr>
      </w:pPr>
      <w:r w:rsidRPr="00EA7479">
        <w:rPr>
          <w:rFonts w:cstheme="minorHAnsi"/>
          <w:szCs w:val="18"/>
        </w:rPr>
        <w:tab/>
      </w:r>
      <w:r w:rsidRPr="00EA7479">
        <w:rPr>
          <w:rStyle w:val="Appelnotedebasdep"/>
        </w:rPr>
        <w:footnoteRef/>
      </w:r>
      <w:r w:rsidRPr="00EA7479">
        <w:rPr>
          <w:rFonts w:cstheme="minorHAnsi"/>
          <w:szCs w:val="18"/>
          <w:lang w:val="fr-FR"/>
        </w:rPr>
        <w:tab/>
      </w:r>
      <w:r w:rsidRPr="002B0B8A">
        <w:rPr>
          <w:rStyle w:val="termfield"/>
          <w:lang w:val="fr-FR"/>
        </w:rPr>
        <w:t xml:space="preserve">Comité pour la protection des droits de tous les travailleurs migrants et des membres de leur famille, observation générale </w:t>
      </w:r>
      <w:r w:rsidR="00634635">
        <w:rPr>
          <w:rFonts w:eastAsia="MS Mincho"/>
        </w:rPr>
        <w:t>n</w:t>
      </w:r>
      <w:r w:rsidR="00634635">
        <w:rPr>
          <w:rFonts w:eastAsia="MS Mincho"/>
          <w:vertAlign w:val="superscript"/>
        </w:rPr>
        <w:t>o</w:t>
      </w:r>
      <w:r w:rsidR="00634635">
        <w:t> </w:t>
      </w:r>
      <w:r w:rsidRPr="002B0B8A">
        <w:rPr>
          <w:rStyle w:val="termfield"/>
          <w:lang w:val="fr-FR"/>
        </w:rPr>
        <w:t>5 (2021)</w:t>
      </w:r>
      <w:r w:rsidRPr="002B0B8A">
        <w:rPr>
          <w:rFonts w:cstheme="minorHAnsi"/>
          <w:szCs w:val="18"/>
          <w:lang w:val="fr-FR"/>
        </w:rPr>
        <w:t>, par.</w:t>
      </w:r>
      <w:r w:rsidRPr="00EA7479">
        <w:rPr>
          <w:rFonts w:cstheme="minorHAnsi"/>
          <w:szCs w:val="18"/>
          <w:lang w:val="fr-FR"/>
        </w:rPr>
        <w:t>12 et 13</w:t>
      </w:r>
      <w:r w:rsidR="00634635">
        <w:t> ;</w:t>
      </w:r>
      <w:r>
        <w:t xml:space="preserve"> observation générale conjointe </w:t>
      </w:r>
      <w:r w:rsidR="00634635">
        <w:rPr>
          <w:rFonts w:eastAsia="MS Mincho"/>
        </w:rPr>
        <w:t>n</w:t>
      </w:r>
      <w:r w:rsidR="00634635">
        <w:rPr>
          <w:rFonts w:eastAsia="MS Mincho"/>
          <w:vertAlign w:val="superscript"/>
        </w:rPr>
        <w:t>o</w:t>
      </w:r>
      <w:r w:rsidR="00634635">
        <w:t> </w:t>
      </w:r>
      <w:r>
        <w:t xml:space="preserve">4 du Comité pour la protection des droits de tous les travailleurs migrants et des membres de leur famille et </w:t>
      </w:r>
      <w:r w:rsidR="00634635">
        <w:rPr>
          <w:rFonts w:eastAsia="MS Mincho"/>
        </w:rPr>
        <w:t>n</w:t>
      </w:r>
      <w:r w:rsidR="00634635">
        <w:rPr>
          <w:rFonts w:eastAsia="MS Mincho"/>
          <w:vertAlign w:val="superscript"/>
        </w:rPr>
        <w:t>o</w:t>
      </w:r>
      <w:r w:rsidR="00634635">
        <w:t> </w:t>
      </w:r>
      <w:r>
        <w:t>23 du Comité des droits de l</w:t>
      </w:r>
      <w:r w:rsidR="003A234B">
        <w:t>’</w:t>
      </w:r>
      <w:r>
        <w:t xml:space="preserve">enfant (2017), </w:t>
      </w:r>
      <w:r w:rsidR="00562F45">
        <w:t>par. </w:t>
      </w:r>
      <w:r>
        <w:t>6</w:t>
      </w:r>
      <w:r w:rsidRPr="00EA7479">
        <w:rPr>
          <w:rFonts w:cstheme="minorHAnsi"/>
          <w:szCs w:val="18"/>
        </w:rPr>
        <w:t xml:space="preserve">. </w:t>
      </w:r>
    </w:p>
  </w:footnote>
  <w:footnote w:id="32">
    <w:p w14:paraId="0471EF0D" w14:textId="289730CE" w:rsidR="00DC22DE" w:rsidRPr="00EA7479" w:rsidRDefault="00DC22DE" w:rsidP="00DC22DE">
      <w:pPr>
        <w:pStyle w:val="Notedebasdepage"/>
        <w:rPr>
          <w:rFonts w:cstheme="minorHAnsi"/>
          <w:szCs w:val="18"/>
        </w:rPr>
      </w:pPr>
      <w:r w:rsidRPr="00EA7479">
        <w:rPr>
          <w:rFonts w:cstheme="minorHAnsi"/>
          <w:szCs w:val="18"/>
        </w:rPr>
        <w:tab/>
      </w:r>
      <w:r w:rsidRPr="00EA7479">
        <w:rPr>
          <w:rStyle w:val="Appelnotedebasdep"/>
        </w:rPr>
        <w:footnoteRef/>
      </w:r>
      <w:r w:rsidRPr="00EA7479">
        <w:rPr>
          <w:rFonts w:cstheme="minorHAnsi"/>
          <w:szCs w:val="18"/>
        </w:rPr>
        <w:tab/>
      </w:r>
      <w:proofErr w:type="spellStart"/>
      <w:r w:rsidRPr="00EA7479">
        <w:rPr>
          <w:rFonts w:cstheme="minorHAnsi"/>
          <w:i/>
          <w:iCs/>
          <w:szCs w:val="18"/>
        </w:rPr>
        <w:t>Yrusta</w:t>
      </w:r>
      <w:proofErr w:type="spellEnd"/>
      <w:r w:rsidRPr="00EA7479">
        <w:rPr>
          <w:rFonts w:cstheme="minorHAnsi"/>
          <w:i/>
          <w:iCs/>
          <w:szCs w:val="18"/>
        </w:rPr>
        <w:t xml:space="preserve"> et </w:t>
      </w:r>
      <w:proofErr w:type="spellStart"/>
      <w:r w:rsidRPr="00EA7479">
        <w:rPr>
          <w:rFonts w:cstheme="minorHAnsi"/>
          <w:i/>
          <w:iCs/>
          <w:szCs w:val="18"/>
        </w:rPr>
        <w:t>Yrusta</w:t>
      </w:r>
      <w:proofErr w:type="spellEnd"/>
      <w:r w:rsidRPr="00EA7479">
        <w:rPr>
          <w:rFonts w:cstheme="minorHAnsi"/>
          <w:i/>
          <w:iCs/>
          <w:szCs w:val="18"/>
        </w:rPr>
        <w:t xml:space="preserve"> c. Argentine </w:t>
      </w:r>
      <w:r w:rsidRPr="00EA7479">
        <w:rPr>
          <w:rFonts w:cstheme="minorHAnsi"/>
          <w:szCs w:val="18"/>
        </w:rPr>
        <w:t>(</w:t>
      </w:r>
      <w:hyperlink r:id="rId26" w:history="1">
        <w:r w:rsidR="00B26E3B">
          <w:rPr>
            <w:rStyle w:val="Lienhypertexte"/>
            <w:rFonts w:cstheme="minorHAnsi"/>
            <w:szCs w:val="18"/>
          </w:rPr>
          <w:t>CED/C/10/D/1/2</w:t>
        </w:r>
        <w:r w:rsidR="00B26E3B">
          <w:rPr>
            <w:rStyle w:val="Lienhypertexte"/>
            <w:rFonts w:cstheme="minorHAnsi"/>
            <w:szCs w:val="18"/>
          </w:rPr>
          <w:t>0</w:t>
        </w:r>
        <w:r w:rsidR="00B26E3B">
          <w:rPr>
            <w:rStyle w:val="Lienhypertexte"/>
            <w:rFonts w:cstheme="minorHAnsi"/>
            <w:szCs w:val="18"/>
          </w:rPr>
          <w:t>13</w:t>
        </w:r>
      </w:hyperlink>
      <w:r w:rsidRPr="00EA7479">
        <w:rPr>
          <w:rFonts w:cstheme="minorHAnsi"/>
          <w:szCs w:val="18"/>
        </w:rPr>
        <w:t xml:space="preserve">), </w:t>
      </w:r>
      <w:r w:rsidR="00562F45">
        <w:rPr>
          <w:rFonts w:cstheme="minorHAnsi"/>
          <w:szCs w:val="18"/>
        </w:rPr>
        <w:t>par. </w:t>
      </w:r>
      <w:r w:rsidRPr="00EA7479">
        <w:rPr>
          <w:rFonts w:cstheme="minorHAnsi"/>
          <w:szCs w:val="18"/>
          <w:lang w:val="fr-FR"/>
        </w:rPr>
        <w:t>10.3.</w:t>
      </w:r>
    </w:p>
  </w:footnote>
  <w:footnote w:id="33">
    <w:p w14:paraId="21EC83B1" w14:textId="678B6417" w:rsidR="00DC22DE" w:rsidRPr="00EA7479" w:rsidRDefault="00DC22DE" w:rsidP="00DC22DE">
      <w:pPr>
        <w:pStyle w:val="Notedebasdepage"/>
        <w:rPr>
          <w:rFonts w:cstheme="minorHAnsi"/>
          <w:szCs w:val="18"/>
        </w:rPr>
      </w:pPr>
      <w:r w:rsidRPr="00EA7479">
        <w:rPr>
          <w:rFonts w:cstheme="minorHAnsi"/>
          <w:szCs w:val="18"/>
        </w:rPr>
        <w:tab/>
      </w:r>
      <w:r w:rsidRPr="00EA7479">
        <w:rPr>
          <w:rStyle w:val="Appelnotedebasdep"/>
        </w:rPr>
        <w:footnoteRef/>
      </w:r>
      <w:r w:rsidRPr="00EA7479">
        <w:rPr>
          <w:rFonts w:cstheme="minorHAnsi"/>
          <w:szCs w:val="18"/>
          <w:lang w:val="fr-FR"/>
        </w:rPr>
        <w:tab/>
      </w:r>
      <w:r>
        <w:t>Par exemple, le Pacte international relatif aux droits civils et politiques, la Convention internationale sur la protection des droits de tous les travailleurs migrants et des membres de leur famille, la Convention relative aux droits de l</w:t>
      </w:r>
      <w:r w:rsidR="003A234B">
        <w:t>’</w:t>
      </w:r>
      <w:r>
        <w:t xml:space="preserve">enfant et la Convention contre la torture et autres peines ou traitements cruels, inhumains ou dégradants (voir Comité pour la protection des droits de tous les travailleurs migrants et des membres de leur famille, observations générales </w:t>
      </w:r>
      <w:r w:rsidR="00D14FBD">
        <w:rPr>
          <w:rFonts w:eastAsia="MS Mincho"/>
        </w:rPr>
        <w:t>n</w:t>
      </w:r>
      <w:r w:rsidR="00D14FBD">
        <w:rPr>
          <w:rFonts w:eastAsia="MS Mincho"/>
          <w:vertAlign w:val="superscript"/>
        </w:rPr>
        <w:t>o</w:t>
      </w:r>
      <w:r w:rsidR="00D14FBD">
        <w:t> </w:t>
      </w:r>
      <w:r>
        <w:t xml:space="preserve">2 (2013) sur les droits des travailleurs migrants en situation irrégulière et des membres de leur famille, </w:t>
      </w:r>
      <w:r w:rsidR="00562F45">
        <w:t>par. </w:t>
      </w:r>
      <w:r>
        <w:t xml:space="preserve">27 à 33, et </w:t>
      </w:r>
      <w:r w:rsidR="00D14FBD">
        <w:rPr>
          <w:rFonts w:eastAsia="MS Mincho"/>
        </w:rPr>
        <w:t>n</w:t>
      </w:r>
      <w:r w:rsidR="00D14FBD">
        <w:rPr>
          <w:rFonts w:eastAsia="MS Mincho"/>
          <w:vertAlign w:val="superscript"/>
        </w:rPr>
        <w:t>o</w:t>
      </w:r>
      <w:r w:rsidR="00D14FBD">
        <w:t> </w:t>
      </w:r>
      <w:r>
        <w:t xml:space="preserve">5 (2021), </w:t>
      </w:r>
      <w:r w:rsidR="00562F45">
        <w:t>par. </w:t>
      </w:r>
      <w:r>
        <w:t>53, 58 et 65 à 67</w:t>
      </w:r>
      <w:r w:rsidRPr="00EA7479">
        <w:rPr>
          <w:rFonts w:cstheme="minorHAnsi"/>
          <w:szCs w:val="18"/>
          <w:lang w:val="fr-FR"/>
        </w:rPr>
        <w:t xml:space="preserve">. Voir aussi </w:t>
      </w:r>
      <w:hyperlink r:id="rId27" w:history="1">
        <w:r w:rsidR="00C55FDA">
          <w:rPr>
            <w:rStyle w:val="Lienhypertexte"/>
            <w:rFonts w:cstheme="minorHAnsi"/>
            <w:szCs w:val="18"/>
            <w:lang w:val="fr-FR"/>
          </w:rPr>
          <w:t>CED/C/GRC/CO/1</w:t>
        </w:r>
      </w:hyperlink>
      <w:r w:rsidRPr="00EA7479">
        <w:rPr>
          <w:rFonts w:cstheme="minorHAnsi"/>
          <w:szCs w:val="18"/>
          <w:lang w:val="fr-FR"/>
        </w:rPr>
        <w:t xml:space="preserve">, </w:t>
      </w:r>
      <w:r w:rsidR="00562F45">
        <w:rPr>
          <w:rFonts w:cstheme="minorHAnsi"/>
          <w:szCs w:val="18"/>
          <w:lang w:val="fr-FR"/>
        </w:rPr>
        <w:t>par. </w:t>
      </w:r>
      <w:r w:rsidRPr="00EA7479">
        <w:rPr>
          <w:rFonts w:cstheme="minorHAnsi"/>
          <w:szCs w:val="18"/>
          <w:lang w:val="fr-FR"/>
        </w:rPr>
        <w:t xml:space="preserve">31 c) et </w:t>
      </w:r>
      <w:r>
        <w:rPr>
          <w:rFonts w:cstheme="minorHAnsi"/>
          <w:szCs w:val="18"/>
          <w:lang w:val="fr-FR"/>
        </w:rPr>
        <w:t>d)</w:t>
      </w:r>
      <w:r w:rsidR="00634635">
        <w:rPr>
          <w:rFonts w:cstheme="minorHAnsi"/>
          <w:szCs w:val="18"/>
          <w:lang w:val="fr-FR"/>
        </w:rPr>
        <w:t> ;</w:t>
      </w:r>
      <w:r w:rsidRPr="00EA7479">
        <w:rPr>
          <w:rFonts w:cstheme="minorHAnsi"/>
          <w:szCs w:val="18"/>
          <w:lang w:val="fr-FR"/>
        </w:rPr>
        <w:t xml:space="preserve"> </w:t>
      </w:r>
      <w:hyperlink r:id="rId28" w:history="1">
        <w:r w:rsidR="00C55FDA">
          <w:rPr>
            <w:rStyle w:val="Lienhypertexte"/>
            <w:rFonts w:cstheme="minorHAnsi"/>
            <w:szCs w:val="18"/>
            <w:lang w:val="fr-FR"/>
          </w:rPr>
          <w:t>CED/C/FRA/CO/1</w:t>
        </w:r>
      </w:hyperlink>
      <w:r w:rsidRPr="00EA7479">
        <w:rPr>
          <w:rFonts w:cstheme="minorHAnsi"/>
          <w:szCs w:val="18"/>
          <w:lang w:val="fr-FR"/>
        </w:rPr>
        <w:t xml:space="preserve">, par. </w:t>
      </w:r>
      <w:r w:rsidRPr="00EA7479">
        <w:rPr>
          <w:rFonts w:cstheme="minorHAnsi"/>
          <w:szCs w:val="18"/>
        </w:rPr>
        <w:t>30 et 31</w:t>
      </w:r>
      <w:r w:rsidR="00634635">
        <w:rPr>
          <w:rFonts w:cstheme="minorHAnsi"/>
          <w:szCs w:val="18"/>
        </w:rPr>
        <w:t> ;</w:t>
      </w:r>
      <w:r w:rsidRPr="00EA7479">
        <w:rPr>
          <w:rFonts w:cstheme="minorHAnsi"/>
          <w:szCs w:val="18"/>
        </w:rPr>
        <w:t xml:space="preserve"> </w:t>
      </w:r>
      <w:hyperlink r:id="rId29" w:history="1">
        <w:r w:rsidR="00C55FDA">
          <w:rPr>
            <w:rStyle w:val="Lienhypertexte"/>
            <w:rFonts w:cstheme="minorHAnsi"/>
            <w:szCs w:val="18"/>
          </w:rPr>
          <w:t>A/HRC/37/50</w:t>
        </w:r>
      </w:hyperlink>
      <w:r w:rsidRPr="00EA7479">
        <w:rPr>
          <w:rFonts w:cstheme="minorHAnsi"/>
          <w:szCs w:val="18"/>
        </w:rPr>
        <w:t>, par. 73 et 74</w:t>
      </w:r>
      <w:r>
        <w:rPr>
          <w:rFonts w:cstheme="minorHAnsi"/>
          <w:szCs w:val="18"/>
        </w:rPr>
        <w:t>)</w:t>
      </w:r>
      <w:r w:rsidRPr="00EA7479">
        <w:rPr>
          <w:rFonts w:cstheme="minorHAnsi"/>
          <w:szCs w:val="18"/>
        </w:rPr>
        <w:t>.</w:t>
      </w:r>
    </w:p>
  </w:footnote>
  <w:footnote w:id="34">
    <w:p w14:paraId="0984D919" w14:textId="1AD6AAFD" w:rsidR="00DC22DE" w:rsidRPr="00C55FDA" w:rsidRDefault="00DC22DE" w:rsidP="00DC22DE">
      <w:pPr>
        <w:pStyle w:val="Notedebasdepage"/>
        <w:rPr>
          <w:rFonts w:cstheme="minorHAnsi"/>
          <w:szCs w:val="18"/>
          <w:lang w:val="en-US"/>
        </w:rPr>
      </w:pPr>
      <w:r w:rsidRPr="00EA7479">
        <w:rPr>
          <w:rFonts w:cstheme="minorHAnsi"/>
          <w:szCs w:val="18"/>
        </w:rPr>
        <w:tab/>
      </w:r>
      <w:r w:rsidRPr="00EA7479">
        <w:rPr>
          <w:rStyle w:val="Appelnotedebasdep"/>
        </w:rPr>
        <w:footnoteRef/>
      </w:r>
      <w:r w:rsidRPr="00C55FDA">
        <w:rPr>
          <w:rFonts w:cstheme="minorHAnsi"/>
          <w:szCs w:val="18"/>
          <w:lang w:val="en-US"/>
        </w:rPr>
        <w:tab/>
      </w:r>
      <w:hyperlink r:id="rId30" w:history="1">
        <w:r w:rsidR="00C55FDA" w:rsidRPr="00C55FDA">
          <w:rPr>
            <w:rStyle w:val="Lienhypertexte"/>
            <w:rFonts w:cstheme="minorHAnsi"/>
            <w:szCs w:val="18"/>
            <w:lang w:val="en-US"/>
          </w:rPr>
          <w:t>CED/C/GRC/CO/1</w:t>
        </w:r>
      </w:hyperlink>
      <w:r w:rsidRPr="00C55FDA">
        <w:rPr>
          <w:rFonts w:cstheme="minorHAnsi"/>
          <w:szCs w:val="18"/>
          <w:lang w:val="en-US"/>
        </w:rPr>
        <w:t xml:space="preserve">, </w:t>
      </w:r>
      <w:r w:rsidR="00562F45" w:rsidRPr="00C55FDA">
        <w:rPr>
          <w:rFonts w:cstheme="minorHAnsi"/>
          <w:szCs w:val="18"/>
          <w:lang w:val="en-US"/>
        </w:rPr>
        <w:t>par. </w:t>
      </w:r>
      <w:r w:rsidRPr="00C55FDA">
        <w:rPr>
          <w:rFonts w:cstheme="minorHAnsi"/>
          <w:szCs w:val="18"/>
          <w:lang w:val="en-US"/>
        </w:rPr>
        <w:t>31 d).</w:t>
      </w:r>
    </w:p>
  </w:footnote>
  <w:footnote w:id="35">
    <w:p w14:paraId="4889459C" w14:textId="61E8C605" w:rsidR="00DC22DE" w:rsidRPr="00EA7479" w:rsidRDefault="00DC22DE" w:rsidP="00DC22DE">
      <w:pPr>
        <w:pStyle w:val="Notedebasdepage"/>
        <w:rPr>
          <w:rFonts w:cstheme="minorHAnsi"/>
          <w:szCs w:val="18"/>
        </w:rPr>
      </w:pPr>
      <w:r w:rsidRPr="00C55FDA">
        <w:rPr>
          <w:rFonts w:cstheme="minorHAnsi"/>
          <w:szCs w:val="18"/>
          <w:lang w:val="en-US"/>
        </w:rPr>
        <w:tab/>
      </w:r>
      <w:r w:rsidRPr="00EA7479">
        <w:rPr>
          <w:rStyle w:val="Appelnotedebasdep"/>
        </w:rPr>
        <w:footnoteRef/>
      </w:r>
      <w:r w:rsidRPr="00EA7479">
        <w:tab/>
        <w:t xml:space="preserve">Ibid., </w:t>
      </w:r>
      <w:r w:rsidR="00562F45">
        <w:t>par. </w:t>
      </w:r>
      <w:r w:rsidRPr="00EA7479">
        <w:t>31 a).</w:t>
      </w:r>
    </w:p>
  </w:footnote>
  <w:footnote w:id="36">
    <w:p w14:paraId="55404DFC" w14:textId="576A7904" w:rsidR="00DC22DE" w:rsidRPr="00EA7479" w:rsidRDefault="00DC22DE" w:rsidP="00DC22DE">
      <w:pPr>
        <w:pStyle w:val="Notedebasdepage"/>
        <w:rPr>
          <w:rFonts w:cstheme="minorHAnsi"/>
          <w:szCs w:val="18"/>
          <w:lang w:val="fr-FR"/>
        </w:rPr>
      </w:pPr>
      <w:r w:rsidRPr="00EA7479">
        <w:rPr>
          <w:rFonts w:cstheme="minorHAnsi"/>
          <w:szCs w:val="18"/>
        </w:rPr>
        <w:tab/>
      </w:r>
      <w:r w:rsidRPr="00EA7479">
        <w:rPr>
          <w:rStyle w:val="Appelnotedebasdep"/>
        </w:rPr>
        <w:footnoteRef/>
      </w:r>
      <w:r w:rsidRPr="00EA7479">
        <w:rPr>
          <w:rFonts w:cstheme="minorHAnsi"/>
          <w:szCs w:val="18"/>
          <w:lang w:val="fr-FR"/>
        </w:rPr>
        <w:tab/>
      </w:r>
      <w:r>
        <w:t xml:space="preserve">HCDH, </w:t>
      </w:r>
      <w:r>
        <w:rPr>
          <w:i/>
          <w:iCs/>
        </w:rPr>
        <w:t>Principes directeurs relatifs aux critères et aux normes applicables à la détention des demandeurs d</w:t>
      </w:r>
      <w:r w:rsidR="003A234B">
        <w:rPr>
          <w:i/>
          <w:iCs/>
        </w:rPr>
        <w:t>’</w:t>
      </w:r>
      <w:r>
        <w:rPr>
          <w:i/>
          <w:iCs/>
        </w:rPr>
        <w:t>asile et alternatives à la détention</w:t>
      </w:r>
      <w:r>
        <w:t xml:space="preserve"> (Genève, 2012), </w:t>
      </w:r>
      <w:r w:rsidR="00562F45">
        <w:t>par. </w:t>
      </w:r>
      <w:r>
        <w:t>47 vii).</w:t>
      </w:r>
      <w:r w:rsidRPr="00EA7479">
        <w:rPr>
          <w:rFonts w:cstheme="minorHAnsi"/>
          <w:szCs w:val="18"/>
          <w:shd w:val="clear" w:color="auto" w:fill="FFFFFF"/>
          <w:lang w:val="fr-FR"/>
        </w:rPr>
        <w:t xml:space="preserve"> </w:t>
      </w:r>
    </w:p>
  </w:footnote>
  <w:footnote w:id="37">
    <w:p w14:paraId="1EFC8DFF" w14:textId="3635426D" w:rsidR="00DC22DE" w:rsidRPr="00EA7479" w:rsidRDefault="00DC22DE" w:rsidP="00DC22DE">
      <w:pPr>
        <w:pStyle w:val="Notedebasdepage"/>
        <w:rPr>
          <w:rFonts w:cstheme="minorHAnsi"/>
          <w:szCs w:val="18"/>
          <w:lang w:val="fr-FR"/>
        </w:rPr>
      </w:pPr>
      <w:r w:rsidRPr="00EA7479">
        <w:rPr>
          <w:rFonts w:cstheme="minorHAnsi"/>
          <w:szCs w:val="18"/>
          <w:lang w:val="fr-FR"/>
        </w:rPr>
        <w:tab/>
      </w:r>
      <w:r w:rsidRPr="00EA7479">
        <w:rPr>
          <w:rStyle w:val="Appelnotedebasdep"/>
        </w:rPr>
        <w:footnoteRef/>
      </w:r>
      <w:r w:rsidRPr="00EA7479">
        <w:rPr>
          <w:rFonts w:cstheme="minorHAnsi"/>
          <w:szCs w:val="18"/>
        </w:rPr>
        <w:tab/>
      </w:r>
      <w:hyperlink r:id="rId31" w:history="1">
        <w:r w:rsidR="008E0903">
          <w:rPr>
            <w:rStyle w:val="Lienhypertexte"/>
            <w:rFonts w:cstheme="minorHAnsi"/>
            <w:szCs w:val="18"/>
          </w:rPr>
          <w:t>CED/C/MEX/VR/1 (</w:t>
        </w:r>
        <w:proofErr w:type="spellStart"/>
        <w:r w:rsidR="008E0903">
          <w:rPr>
            <w:rStyle w:val="Lienhypertexte"/>
            <w:rFonts w:cstheme="minorHAnsi"/>
            <w:szCs w:val="18"/>
          </w:rPr>
          <w:t>Recommendations</w:t>
        </w:r>
        <w:proofErr w:type="spellEnd"/>
        <w:r w:rsidR="008E0903">
          <w:rPr>
            <w:rStyle w:val="Lienhypertexte"/>
            <w:rFonts w:cstheme="minorHAnsi"/>
            <w:szCs w:val="18"/>
          </w:rPr>
          <w:t>)</w:t>
        </w:r>
      </w:hyperlink>
      <w:r w:rsidRPr="00EA7479">
        <w:rPr>
          <w:rFonts w:cstheme="minorHAnsi"/>
          <w:szCs w:val="18"/>
        </w:rPr>
        <w:t xml:space="preserve">, par. </w:t>
      </w:r>
      <w:r w:rsidRPr="00EA7479">
        <w:rPr>
          <w:rFonts w:cstheme="minorHAnsi"/>
          <w:szCs w:val="18"/>
          <w:lang w:val="fr-FR"/>
        </w:rPr>
        <w:t>11</w:t>
      </w:r>
      <w:r w:rsidR="00634635">
        <w:rPr>
          <w:rFonts w:cstheme="minorHAnsi"/>
          <w:szCs w:val="18"/>
          <w:lang w:val="fr-FR"/>
        </w:rPr>
        <w:t> ;</w:t>
      </w:r>
      <w:r w:rsidRPr="00EA7479">
        <w:rPr>
          <w:rFonts w:cstheme="minorHAnsi"/>
          <w:szCs w:val="18"/>
          <w:lang w:val="fr-FR"/>
        </w:rPr>
        <w:t xml:space="preserve"> </w:t>
      </w:r>
      <w:hyperlink r:id="rId32" w:history="1">
        <w:r w:rsidR="008E0903">
          <w:rPr>
            <w:rStyle w:val="Lienhypertexte"/>
            <w:rFonts w:cstheme="minorHAnsi"/>
            <w:szCs w:val="18"/>
            <w:lang w:val="fr-FR"/>
          </w:rPr>
          <w:t>CED/C/ITA/CO/1</w:t>
        </w:r>
      </w:hyperlink>
      <w:r w:rsidRPr="00EA7479">
        <w:rPr>
          <w:rFonts w:cstheme="minorHAnsi"/>
          <w:szCs w:val="18"/>
          <w:lang w:val="fr-FR"/>
        </w:rPr>
        <w:t xml:space="preserve">, </w:t>
      </w:r>
      <w:r w:rsidR="00562F45">
        <w:rPr>
          <w:rFonts w:cstheme="minorHAnsi"/>
          <w:szCs w:val="18"/>
          <w:lang w:val="fr-FR"/>
        </w:rPr>
        <w:t>par. </w:t>
      </w:r>
      <w:r w:rsidRPr="00EA7479">
        <w:rPr>
          <w:rFonts w:cstheme="minorHAnsi"/>
          <w:szCs w:val="18"/>
          <w:lang w:val="fr-FR"/>
        </w:rPr>
        <w:t>28 et 29</w:t>
      </w:r>
      <w:r w:rsidR="00634635">
        <w:rPr>
          <w:rFonts w:cstheme="minorHAnsi"/>
          <w:szCs w:val="18"/>
          <w:lang w:val="fr-FR"/>
        </w:rPr>
        <w:t> ;</w:t>
      </w:r>
      <w:r w:rsidRPr="00EA7479">
        <w:rPr>
          <w:rFonts w:cstheme="minorHAnsi"/>
          <w:szCs w:val="18"/>
          <w:lang w:val="fr-FR"/>
        </w:rPr>
        <w:t xml:space="preserve"> </w:t>
      </w:r>
      <w:hyperlink r:id="rId33" w:history="1">
        <w:r w:rsidR="008E0903">
          <w:rPr>
            <w:rStyle w:val="Lienhypertexte"/>
            <w:rFonts w:cstheme="minorHAnsi"/>
            <w:szCs w:val="18"/>
            <w:lang w:val="fr-FR"/>
          </w:rPr>
          <w:t>CED/C/JPN/CO/1</w:t>
        </w:r>
      </w:hyperlink>
      <w:r w:rsidRPr="00EA7479">
        <w:rPr>
          <w:rFonts w:cstheme="minorHAnsi"/>
          <w:szCs w:val="18"/>
          <w:lang w:val="fr-FR"/>
        </w:rPr>
        <w:t xml:space="preserve">, </w:t>
      </w:r>
      <w:r w:rsidR="00562F45">
        <w:rPr>
          <w:rFonts w:cstheme="minorHAnsi"/>
          <w:szCs w:val="18"/>
          <w:lang w:val="fr-FR"/>
        </w:rPr>
        <w:t>par. </w:t>
      </w:r>
      <w:r w:rsidRPr="00EA7479">
        <w:rPr>
          <w:rFonts w:cstheme="minorHAnsi"/>
          <w:szCs w:val="18"/>
          <w:lang w:val="fr-FR"/>
        </w:rPr>
        <w:t>35 et 36</w:t>
      </w:r>
      <w:r w:rsidR="00634635">
        <w:rPr>
          <w:rFonts w:cstheme="minorHAnsi"/>
          <w:szCs w:val="18"/>
          <w:lang w:val="fr-FR"/>
        </w:rPr>
        <w:t> ;</w:t>
      </w:r>
      <w:r w:rsidRPr="00EA7479">
        <w:rPr>
          <w:rFonts w:cstheme="minorHAnsi"/>
          <w:szCs w:val="18"/>
          <w:lang w:val="fr-FR"/>
        </w:rPr>
        <w:t xml:space="preserve"> </w:t>
      </w:r>
      <w:hyperlink r:id="rId34" w:history="1">
        <w:r w:rsidR="008E0903">
          <w:rPr>
            <w:rStyle w:val="Lienhypertexte"/>
            <w:rFonts w:eastAsiaTheme="minorEastAsia" w:cstheme="minorHAnsi"/>
            <w:szCs w:val="18"/>
            <w:lang w:val="fr-FR"/>
          </w:rPr>
          <w:t>A/HRC/36/39/Add.2</w:t>
        </w:r>
      </w:hyperlink>
      <w:r w:rsidRPr="00EA7479">
        <w:rPr>
          <w:rFonts w:eastAsiaTheme="minorEastAsia" w:cstheme="minorHAnsi"/>
          <w:szCs w:val="18"/>
          <w:lang w:val="fr-FR"/>
        </w:rPr>
        <w:t xml:space="preserve">, </w:t>
      </w:r>
      <w:r w:rsidR="00562F45">
        <w:rPr>
          <w:rFonts w:eastAsiaTheme="minorEastAsia" w:cstheme="minorHAnsi"/>
          <w:szCs w:val="18"/>
          <w:lang w:val="fr-FR"/>
        </w:rPr>
        <w:t>par. </w:t>
      </w:r>
      <w:r w:rsidRPr="00EA7479">
        <w:rPr>
          <w:rFonts w:eastAsiaTheme="minorEastAsia" w:cstheme="minorHAnsi"/>
          <w:szCs w:val="18"/>
          <w:lang w:val="fr-FR"/>
        </w:rPr>
        <w:t>23, 24 et 62</w:t>
      </w:r>
      <w:r w:rsidR="00634635">
        <w:rPr>
          <w:rFonts w:eastAsiaTheme="minorEastAsia" w:cstheme="minorHAnsi"/>
          <w:szCs w:val="18"/>
          <w:lang w:val="fr-FR"/>
        </w:rPr>
        <w:t> ;</w:t>
      </w:r>
      <w:r w:rsidRPr="00EA7479">
        <w:rPr>
          <w:rFonts w:eastAsiaTheme="minorEastAsia" w:cstheme="minorHAnsi"/>
          <w:szCs w:val="18"/>
          <w:lang w:val="fr-FR"/>
        </w:rPr>
        <w:t xml:space="preserve"> </w:t>
      </w:r>
      <w:hyperlink r:id="rId35" w:history="1">
        <w:r w:rsidR="008E0903">
          <w:rPr>
            <w:rStyle w:val="Lienhypertexte"/>
            <w:rFonts w:eastAsia="Verdana" w:cstheme="minorHAnsi"/>
            <w:szCs w:val="18"/>
            <w:lang w:val="fr-FR"/>
          </w:rPr>
          <w:t>E/CN.4/1997/34</w:t>
        </w:r>
      </w:hyperlink>
      <w:r w:rsidRPr="00EA7479">
        <w:rPr>
          <w:rFonts w:eastAsia="Verdana" w:cstheme="minorHAnsi"/>
          <w:szCs w:val="18"/>
          <w:lang w:val="fr-FR"/>
        </w:rPr>
        <w:t xml:space="preserve">, </w:t>
      </w:r>
      <w:r w:rsidR="00562F45">
        <w:rPr>
          <w:rFonts w:eastAsia="Verdana" w:cstheme="minorHAnsi"/>
          <w:szCs w:val="18"/>
          <w:lang w:val="fr-FR"/>
        </w:rPr>
        <w:t>par. </w:t>
      </w:r>
      <w:r w:rsidRPr="00EA7479">
        <w:rPr>
          <w:rFonts w:eastAsia="Verdana" w:cstheme="minorHAnsi"/>
          <w:szCs w:val="18"/>
          <w:lang w:val="fr-FR"/>
        </w:rPr>
        <w:t xml:space="preserve">22 </w:t>
      </w:r>
      <w:r>
        <w:rPr>
          <w:rFonts w:eastAsia="Verdana" w:cstheme="minorHAnsi"/>
          <w:szCs w:val="18"/>
          <w:lang w:val="fr-FR"/>
        </w:rPr>
        <w:t>à</w:t>
      </w:r>
      <w:r w:rsidR="00C04DBB">
        <w:rPr>
          <w:rFonts w:eastAsia="Verdana" w:cstheme="minorHAnsi"/>
          <w:szCs w:val="18"/>
          <w:lang w:val="fr-FR"/>
        </w:rPr>
        <w:t> </w:t>
      </w:r>
      <w:r w:rsidRPr="00EA7479">
        <w:rPr>
          <w:rFonts w:eastAsia="Verdana" w:cstheme="minorHAnsi"/>
          <w:szCs w:val="18"/>
          <w:lang w:val="fr-FR"/>
        </w:rPr>
        <w:t>30.</w:t>
      </w:r>
    </w:p>
  </w:footnote>
  <w:footnote w:id="38">
    <w:p w14:paraId="59E0341F" w14:textId="53E9C0F1" w:rsidR="00DC22DE" w:rsidRPr="00EA7479" w:rsidRDefault="00DC22DE" w:rsidP="00DC22DE">
      <w:pPr>
        <w:pStyle w:val="Notedebasdepage"/>
        <w:rPr>
          <w:rFonts w:cstheme="minorHAnsi"/>
          <w:szCs w:val="18"/>
          <w:lang w:val="en-US"/>
        </w:rPr>
      </w:pPr>
      <w:r w:rsidRPr="00EA7479">
        <w:rPr>
          <w:rFonts w:cstheme="minorHAnsi"/>
          <w:szCs w:val="18"/>
          <w:lang w:val="fr-FR"/>
        </w:rPr>
        <w:tab/>
      </w:r>
      <w:r w:rsidRPr="00EA7479">
        <w:rPr>
          <w:rStyle w:val="Appelnotedebasdep"/>
        </w:rPr>
        <w:footnoteRef/>
      </w:r>
      <w:r w:rsidRPr="001C0389">
        <w:rPr>
          <w:rFonts w:cstheme="minorHAnsi"/>
          <w:szCs w:val="18"/>
          <w:lang w:val="en-US"/>
        </w:rPr>
        <w:tab/>
      </w:r>
      <w:hyperlink r:id="rId36" w:history="1">
        <w:r w:rsidR="006B7920">
          <w:rPr>
            <w:rStyle w:val="Lienhypertexte"/>
            <w:rFonts w:cstheme="minorHAnsi"/>
            <w:szCs w:val="18"/>
            <w:lang w:val="en-US"/>
          </w:rPr>
          <w:t>CED/C/NLD/CO/1</w:t>
        </w:r>
      </w:hyperlink>
      <w:r w:rsidRPr="001C0389">
        <w:rPr>
          <w:rFonts w:cstheme="minorHAnsi"/>
          <w:szCs w:val="18"/>
          <w:lang w:val="en-US"/>
        </w:rPr>
        <w:t xml:space="preserve">, </w:t>
      </w:r>
      <w:r w:rsidR="00562F45">
        <w:rPr>
          <w:rFonts w:cstheme="minorHAnsi"/>
          <w:szCs w:val="18"/>
          <w:lang w:val="en-US"/>
        </w:rPr>
        <w:t>par. </w:t>
      </w:r>
      <w:r w:rsidRPr="00EA7479">
        <w:rPr>
          <w:rFonts w:cstheme="minorHAnsi"/>
          <w:szCs w:val="18"/>
          <w:lang w:val="en-US"/>
        </w:rPr>
        <w:t>29.</w:t>
      </w:r>
    </w:p>
  </w:footnote>
  <w:footnote w:id="39">
    <w:p w14:paraId="093C63DB" w14:textId="35B618C4" w:rsidR="00DC22DE" w:rsidRPr="00EA7479" w:rsidRDefault="00DC22DE" w:rsidP="00DC22DE">
      <w:pPr>
        <w:pStyle w:val="Notedebasdepage"/>
        <w:rPr>
          <w:rFonts w:cstheme="minorHAnsi"/>
          <w:szCs w:val="18"/>
        </w:rPr>
      </w:pPr>
      <w:r w:rsidRPr="00EA7479">
        <w:rPr>
          <w:rFonts w:cstheme="minorHAnsi"/>
          <w:szCs w:val="18"/>
          <w:lang w:val="en-US"/>
        </w:rPr>
        <w:tab/>
      </w:r>
      <w:r w:rsidRPr="00EA7479">
        <w:rPr>
          <w:rStyle w:val="Appelnotedebasdep"/>
        </w:rPr>
        <w:footnoteRef/>
      </w:r>
      <w:r w:rsidRPr="00EA7479">
        <w:rPr>
          <w:rFonts w:cstheme="minorHAnsi"/>
          <w:szCs w:val="18"/>
        </w:rPr>
        <w:tab/>
      </w:r>
      <w:proofErr w:type="spellStart"/>
      <w:r w:rsidRPr="00EA7479">
        <w:rPr>
          <w:rFonts w:cstheme="minorHAnsi"/>
          <w:i/>
          <w:iCs/>
          <w:szCs w:val="18"/>
        </w:rPr>
        <w:t>Yrusta</w:t>
      </w:r>
      <w:proofErr w:type="spellEnd"/>
      <w:r w:rsidRPr="00EA7479">
        <w:rPr>
          <w:rFonts w:cstheme="minorHAnsi"/>
          <w:i/>
          <w:iCs/>
          <w:szCs w:val="18"/>
        </w:rPr>
        <w:t xml:space="preserve"> et </w:t>
      </w:r>
      <w:proofErr w:type="spellStart"/>
      <w:r w:rsidRPr="00EA7479">
        <w:rPr>
          <w:rFonts w:cstheme="minorHAnsi"/>
          <w:i/>
          <w:iCs/>
          <w:szCs w:val="18"/>
        </w:rPr>
        <w:t>Yrusta</w:t>
      </w:r>
      <w:proofErr w:type="spellEnd"/>
      <w:r w:rsidRPr="00EA7479">
        <w:rPr>
          <w:rFonts w:cstheme="minorHAnsi"/>
          <w:i/>
          <w:iCs/>
          <w:szCs w:val="18"/>
        </w:rPr>
        <w:t xml:space="preserve"> c. Argentine</w:t>
      </w:r>
      <w:r w:rsidRPr="00EA7479">
        <w:rPr>
          <w:rFonts w:cstheme="minorHAnsi"/>
          <w:szCs w:val="18"/>
        </w:rPr>
        <w:t xml:space="preserve">, </w:t>
      </w:r>
      <w:r w:rsidR="00562F45">
        <w:rPr>
          <w:rFonts w:cstheme="minorHAnsi"/>
          <w:szCs w:val="18"/>
        </w:rPr>
        <w:t>par. </w:t>
      </w:r>
      <w:r w:rsidRPr="00EA7479">
        <w:rPr>
          <w:rFonts w:cstheme="minorHAnsi"/>
          <w:szCs w:val="18"/>
        </w:rPr>
        <w:t>10.5 et 10.6.</w:t>
      </w:r>
    </w:p>
  </w:footnote>
  <w:footnote w:id="40">
    <w:p w14:paraId="6CCF6CD2" w14:textId="447DF86A" w:rsidR="00DC22DE" w:rsidRPr="00EA7479" w:rsidRDefault="00DC22DE" w:rsidP="00DC22DE">
      <w:pPr>
        <w:pStyle w:val="Notedebasdepage"/>
        <w:rPr>
          <w:rFonts w:cstheme="minorHAnsi"/>
          <w:szCs w:val="18"/>
          <w:lang w:val="fr-FR"/>
        </w:rPr>
      </w:pPr>
      <w:r w:rsidRPr="00EA7479">
        <w:rPr>
          <w:rFonts w:cstheme="minorHAnsi"/>
          <w:szCs w:val="18"/>
        </w:rPr>
        <w:tab/>
      </w:r>
      <w:r w:rsidRPr="00EA7479">
        <w:rPr>
          <w:rStyle w:val="Appelnotedebasdep"/>
        </w:rPr>
        <w:footnoteRef/>
      </w:r>
      <w:r w:rsidRPr="00EA7479">
        <w:rPr>
          <w:rFonts w:cstheme="minorHAnsi"/>
          <w:szCs w:val="18"/>
        </w:rPr>
        <w:tab/>
      </w:r>
      <w:hyperlink r:id="rId37" w:history="1">
        <w:r w:rsidR="006B7920">
          <w:rPr>
            <w:rStyle w:val="Lienhypertexte"/>
            <w:rFonts w:cstheme="minorHAnsi"/>
            <w:szCs w:val="18"/>
          </w:rPr>
          <w:t>CED/C/NLD/CO/1</w:t>
        </w:r>
      </w:hyperlink>
      <w:r w:rsidRPr="00EA7479">
        <w:rPr>
          <w:rFonts w:cstheme="minorHAnsi"/>
          <w:szCs w:val="18"/>
        </w:rPr>
        <w:t xml:space="preserve">, </w:t>
      </w:r>
      <w:r w:rsidR="00562F45">
        <w:rPr>
          <w:rFonts w:cstheme="minorHAnsi"/>
          <w:szCs w:val="18"/>
        </w:rPr>
        <w:t>par. </w:t>
      </w:r>
      <w:r w:rsidRPr="00EA7479">
        <w:rPr>
          <w:rFonts w:cstheme="minorHAnsi"/>
          <w:szCs w:val="18"/>
          <w:lang w:val="fr-FR"/>
        </w:rPr>
        <w:t>28 et 29.</w:t>
      </w:r>
    </w:p>
  </w:footnote>
  <w:footnote w:id="41">
    <w:p w14:paraId="6C8EB131" w14:textId="00905424" w:rsidR="00DC22DE" w:rsidRPr="00EA7479" w:rsidRDefault="00DC22DE" w:rsidP="00DC22DE">
      <w:pPr>
        <w:pStyle w:val="Notedebasdepage"/>
        <w:rPr>
          <w:rFonts w:cstheme="minorHAnsi"/>
          <w:szCs w:val="18"/>
          <w:lang w:val="fr-FR"/>
        </w:rPr>
      </w:pPr>
      <w:r w:rsidRPr="00EA7479">
        <w:rPr>
          <w:rFonts w:cstheme="minorHAnsi"/>
          <w:szCs w:val="18"/>
          <w:lang w:val="fr-FR"/>
        </w:rPr>
        <w:tab/>
      </w:r>
      <w:r w:rsidRPr="00EA7479">
        <w:rPr>
          <w:rStyle w:val="Appelnotedebasdep"/>
        </w:rPr>
        <w:footnoteRef/>
      </w:r>
      <w:r w:rsidRPr="00EA7479">
        <w:rPr>
          <w:rFonts w:cstheme="minorHAnsi"/>
          <w:szCs w:val="18"/>
          <w:lang w:val="fr-FR"/>
        </w:rPr>
        <w:tab/>
      </w:r>
      <w:hyperlink r:id="rId38" w:history="1">
        <w:r w:rsidR="006B7920">
          <w:rPr>
            <w:rStyle w:val="Lienhypertexte"/>
            <w:rFonts w:cstheme="minorHAnsi"/>
            <w:szCs w:val="18"/>
            <w:lang w:val="fr-FR"/>
          </w:rPr>
          <w:t>CED/C/ITA/CO/1</w:t>
        </w:r>
      </w:hyperlink>
      <w:r w:rsidRPr="00EA7479">
        <w:rPr>
          <w:rFonts w:cstheme="minorHAnsi"/>
          <w:szCs w:val="18"/>
          <w:lang w:val="fr-FR"/>
        </w:rPr>
        <w:t xml:space="preserve">, </w:t>
      </w:r>
      <w:r w:rsidR="00562F45">
        <w:rPr>
          <w:rFonts w:cstheme="minorHAnsi"/>
          <w:szCs w:val="18"/>
          <w:lang w:val="fr-FR"/>
        </w:rPr>
        <w:t>par. </w:t>
      </w:r>
      <w:r w:rsidRPr="00EA7479">
        <w:rPr>
          <w:rFonts w:cstheme="minorHAnsi"/>
          <w:szCs w:val="18"/>
          <w:lang w:val="fr-FR"/>
        </w:rPr>
        <w:t>29.</w:t>
      </w:r>
    </w:p>
  </w:footnote>
  <w:footnote w:id="42">
    <w:p w14:paraId="39309D36" w14:textId="43053CE9" w:rsidR="00DC22DE" w:rsidRPr="00EA7479" w:rsidRDefault="00DC22DE" w:rsidP="00DC22DE">
      <w:pPr>
        <w:pStyle w:val="Notedebasdepage"/>
        <w:rPr>
          <w:rFonts w:cstheme="minorHAnsi"/>
          <w:szCs w:val="18"/>
          <w:lang w:val="fr-FR"/>
        </w:rPr>
      </w:pPr>
      <w:r w:rsidRPr="00EA7479">
        <w:rPr>
          <w:rFonts w:cstheme="minorHAnsi"/>
          <w:szCs w:val="18"/>
          <w:lang w:val="fr-FR"/>
        </w:rPr>
        <w:tab/>
      </w:r>
      <w:r w:rsidRPr="00EA7479">
        <w:rPr>
          <w:rStyle w:val="Appelnotedebasdep"/>
        </w:rPr>
        <w:footnoteRef/>
      </w:r>
      <w:r w:rsidRPr="00EA7479">
        <w:rPr>
          <w:rFonts w:cstheme="minorHAnsi"/>
          <w:szCs w:val="18"/>
          <w:lang w:val="fr-FR"/>
        </w:rPr>
        <w:tab/>
      </w:r>
      <w:hyperlink r:id="rId39" w:history="1">
        <w:r w:rsidR="006B7920">
          <w:rPr>
            <w:rStyle w:val="Lienhypertexte"/>
            <w:rFonts w:cstheme="minorHAnsi"/>
            <w:szCs w:val="18"/>
            <w:lang w:val="fr-FR"/>
          </w:rPr>
          <w:t>A/HRC/36/39/Add.2</w:t>
        </w:r>
      </w:hyperlink>
      <w:r w:rsidRPr="00EA7479">
        <w:rPr>
          <w:rFonts w:cstheme="minorHAnsi"/>
          <w:szCs w:val="18"/>
          <w:lang w:val="fr-FR"/>
        </w:rPr>
        <w:t xml:space="preserve">, </w:t>
      </w:r>
      <w:r w:rsidR="00562F45">
        <w:rPr>
          <w:rFonts w:cstheme="minorHAnsi"/>
          <w:szCs w:val="18"/>
          <w:lang w:val="fr-FR"/>
        </w:rPr>
        <w:t>par. </w:t>
      </w:r>
      <w:r w:rsidRPr="00EA7479">
        <w:rPr>
          <w:rFonts w:cstheme="minorHAnsi"/>
          <w:szCs w:val="18"/>
          <w:lang w:val="fr-FR"/>
        </w:rPr>
        <w:t>88 d)</w:t>
      </w:r>
      <w:r w:rsidR="00634635">
        <w:rPr>
          <w:rFonts w:cstheme="minorHAnsi"/>
          <w:szCs w:val="18"/>
          <w:lang w:val="fr-FR"/>
        </w:rPr>
        <w:t> ;</w:t>
      </w:r>
      <w:r w:rsidRPr="00EA7479">
        <w:rPr>
          <w:rFonts w:cstheme="minorHAnsi"/>
          <w:szCs w:val="18"/>
          <w:lang w:val="fr-FR"/>
        </w:rPr>
        <w:t xml:space="preserve"> </w:t>
      </w:r>
      <w:r w:rsidRPr="002B0B8A">
        <w:rPr>
          <w:rStyle w:val="termfield"/>
          <w:lang w:val="fr-FR"/>
        </w:rPr>
        <w:t xml:space="preserve">Comité pour la protection des droits de tous les travailleurs migrants et des membres de leur famille, observation générale </w:t>
      </w:r>
      <w:r w:rsidR="00634635">
        <w:rPr>
          <w:rFonts w:eastAsia="MS Mincho"/>
        </w:rPr>
        <w:t>n</w:t>
      </w:r>
      <w:r w:rsidR="00634635">
        <w:rPr>
          <w:rFonts w:eastAsia="MS Mincho"/>
          <w:vertAlign w:val="superscript"/>
        </w:rPr>
        <w:t>o</w:t>
      </w:r>
      <w:r w:rsidR="00634635">
        <w:t> </w:t>
      </w:r>
      <w:r w:rsidRPr="002B0B8A">
        <w:rPr>
          <w:rStyle w:val="termfield"/>
          <w:lang w:val="fr-FR"/>
        </w:rPr>
        <w:t>5 (2021)</w:t>
      </w:r>
      <w:r>
        <w:rPr>
          <w:rStyle w:val="termfield"/>
          <w:lang w:val="fr-FR"/>
        </w:rPr>
        <w:t xml:space="preserve">, </w:t>
      </w:r>
      <w:r w:rsidR="00562F45">
        <w:rPr>
          <w:rFonts w:cstheme="minorHAnsi"/>
          <w:szCs w:val="18"/>
          <w:lang w:val="fr-FR"/>
        </w:rPr>
        <w:t>par. </w:t>
      </w:r>
      <w:r w:rsidRPr="00EA7479">
        <w:rPr>
          <w:rFonts w:cstheme="minorHAnsi"/>
          <w:szCs w:val="18"/>
          <w:lang w:val="fr-FR"/>
        </w:rPr>
        <w:t>84</w:t>
      </w:r>
      <w:r>
        <w:rPr>
          <w:rFonts w:cstheme="minorHAnsi"/>
          <w:szCs w:val="18"/>
          <w:lang w:val="fr-FR"/>
        </w:rPr>
        <w:t xml:space="preserve"> à </w:t>
      </w:r>
      <w:r w:rsidRPr="00EA7479">
        <w:rPr>
          <w:rFonts w:cstheme="minorHAnsi"/>
          <w:szCs w:val="18"/>
          <w:lang w:val="fr-FR"/>
        </w:rPr>
        <w:t xml:space="preserve">89. </w:t>
      </w:r>
      <w:r w:rsidRPr="004A2616">
        <w:rPr>
          <w:rFonts w:cstheme="minorHAnsi"/>
          <w:szCs w:val="18"/>
          <w:lang w:val="fr-FR"/>
        </w:rPr>
        <w:t>V</w:t>
      </w:r>
      <w:r w:rsidRPr="00EA7479">
        <w:rPr>
          <w:rFonts w:cstheme="minorHAnsi"/>
          <w:szCs w:val="18"/>
          <w:lang w:val="fr-FR"/>
        </w:rPr>
        <w:t xml:space="preserve">oir aussi </w:t>
      </w:r>
      <w:r w:rsidRPr="002B0B8A">
        <w:rPr>
          <w:rStyle w:val="termfield"/>
          <w:lang w:val="fr-FR"/>
        </w:rPr>
        <w:t xml:space="preserve">Comité pour la protection des droits de tous les travailleurs migrants et des membres de leur famille, observation générale </w:t>
      </w:r>
      <w:r w:rsidR="00634635">
        <w:rPr>
          <w:rFonts w:eastAsia="MS Mincho"/>
        </w:rPr>
        <w:t>n</w:t>
      </w:r>
      <w:r w:rsidR="00634635">
        <w:rPr>
          <w:rFonts w:eastAsia="MS Mincho"/>
          <w:vertAlign w:val="superscript"/>
        </w:rPr>
        <w:t>o</w:t>
      </w:r>
      <w:r w:rsidR="00634635">
        <w:t> </w:t>
      </w:r>
      <w:r>
        <w:rPr>
          <w:rStyle w:val="termfield"/>
          <w:lang w:val="fr-FR"/>
        </w:rPr>
        <w:t>2</w:t>
      </w:r>
      <w:r w:rsidRPr="002B0B8A">
        <w:rPr>
          <w:rStyle w:val="termfield"/>
          <w:lang w:val="fr-FR"/>
        </w:rPr>
        <w:t xml:space="preserve"> (20</w:t>
      </w:r>
      <w:r>
        <w:rPr>
          <w:rStyle w:val="termfield"/>
          <w:lang w:val="fr-FR"/>
        </w:rPr>
        <w:t>13</w:t>
      </w:r>
      <w:r w:rsidRPr="002B0B8A">
        <w:rPr>
          <w:rStyle w:val="termfield"/>
          <w:lang w:val="fr-FR"/>
        </w:rPr>
        <w:t>)</w:t>
      </w:r>
      <w:r w:rsidRPr="00EA7479">
        <w:rPr>
          <w:rFonts w:cstheme="minorHAnsi"/>
          <w:szCs w:val="18"/>
          <w:lang w:val="fr-FR"/>
        </w:rPr>
        <w:t xml:space="preserve">, </w:t>
      </w:r>
      <w:r w:rsidR="00562F45">
        <w:rPr>
          <w:rFonts w:cstheme="minorHAnsi"/>
          <w:szCs w:val="18"/>
          <w:lang w:val="fr-FR"/>
        </w:rPr>
        <w:t>par. </w:t>
      </w:r>
      <w:r w:rsidRPr="00EA7479">
        <w:rPr>
          <w:rFonts w:cstheme="minorHAnsi"/>
          <w:szCs w:val="18"/>
          <w:lang w:val="fr-FR"/>
        </w:rPr>
        <w:t>39 et 48</w:t>
      </w:r>
      <w:r w:rsidR="00634635">
        <w:rPr>
          <w:rFonts w:cstheme="minorHAnsi"/>
          <w:szCs w:val="18"/>
          <w:lang w:val="fr-FR"/>
        </w:rPr>
        <w:t> ;</w:t>
      </w:r>
      <w:r w:rsidRPr="00EA7479">
        <w:rPr>
          <w:rFonts w:cstheme="minorHAnsi"/>
          <w:szCs w:val="18"/>
          <w:lang w:val="fr-FR"/>
        </w:rPr>
        <w:t xml:space="preserve"> </w:t>
      </w:r>
      <w:hyperlink r:id="rId40" w:history="1">
        <w:r w:rsidR="006B7920">
          <w:rPr>
            <w:rStyle w:val="Lienhypertexte"/>
            <w:rFonts w:cstheme="minorHAnsi"/>
            <w:szCs w:val="18"/>
            <w:lang w:val="fr-FR"/>
          </w:rPr>
          <w:t>A/HRC/37/50</w:t>
        </w:r>
      </w:hyperlink>
      <w:r w:rsidRPr="00EA7479">
        <w:rPr>
          <w:rFonts w:cstheme="minorHAnsi"/>
          <w:szCs w:val="18"/>
          <w:lang w:val="fr-FR"/>
        </w:rPr>
        <w:t xml:space="preserve">, </w:t>
      </w:r>
      <w:r w:rsidR="00562F45">
        <w:rPr>
          <w:rFonts w:cstheme="minorHAnsi"/>
          <w:szCs w:val="18"/>
          <w:lang w:val="fr-FR"/>
        </w:rPr>
        <w:t>par. </w:t>
      </w:r>
      <w:r w:rsidRPr="00EA7479">
        <w:rPr>
          <w:rFonts w:cstheme="minorHAnsi"/>
          <w:szCs w:val="18"/>
          <w:lang w:val="fr-FR"/>
        </w:rPr>
        <w:t>73</w:t>
      </w:r>
      <w:r w:rsidR="00634635">
        <w:rPr>
          <w:rFonts w:cstheme="minorHAnsi"/>
          <w:szCs w:val="18"/>
          <w:lang w:val="fr-FR"/>
        </w:rPr>
        <w:t> ;</w:t>
      </w:r>
      <w:r w:rsidRPr="00EA7479">
        <w:rPr>
          <w:rFonts w:cstheme="minorHAnsi"/>
          <w:szCs w:val="18"/>
          <w:lang w:val="fr-FR"/>
        </w:rPr>
        <w:t xml:space="preserve"> </w:t>
      </w:r>
      <w:r>
        <w:t xml:space="preserve">Association pour la prévention de la torture, International </w:t>
      </w:r>
      <w:proofErr w:type="spellStart"/>
      <w:r>
        <w:t>Detention</w:t>
      </w:r>
      <w:proofErr w:type="spellEnd"/>
      <w:r>
        <w:t xml:space="preserve"> Coalition et HCDH, </w:t>
      </w:r>
      <w:r>
        <w:rPr>
          <w:i/>
          <w:iCs/>
        </w:rPr>
        <w:t xml:space="preserve">Monitoring de la détention des migrants </w:t>
      </w:r>
      <w:r w:rsidR="00C04DBB">
        <w:rPr>
          <w:i/>
          <w:iCs/>
        </w:rPr>
        <w:t>−</w:t>
      </w:r>
      <w:r>
        <w:rPr>
          <w:i/>
          <w:iCs/>
        </w:rPr>
        <w:t xml:space="preserve"> Un manuel pratique </w:t>
      </w:r>
      <w:r>
        <w:t>(Genève, Association pour la prévention de la torture et HCDH, 2014).</w:t>
      </w:r>
    </w:p>
  </w:footnote>
  <w:footnote w:id="43">
    <w:p w14:paraId="190BF690" w14:textId="384F06E7" w:rsidR="00DC22DE" w:rsidRPr="00EA7479" w:rsidRDefault="00DC22DE" w:rsidP="00DC22DE">
      <w:pPr>
        <w:pStyle w:val="Notedebasdepage"/>
        <w:rPr>
          <w:rFonts w:cstheme="minorHAnsi"/>
          <w:szCs w:val="18"/>
        </w:rPr>
      </w:pPr>
      <w:r w:rsidRPr="00EA7479">
        <w:rPr>
          <w:rFonts w:cstheme="minorHAnsi"/>
          <w:szCs w:val="18"/>
          <w:lang w:val="fr-FR"/>
        </w:rPr>
        <w:tab/>
      </w:r>
      <w:r w:rsidRPr="00EA7479">
        <w:rPr>
          <w:rStyle w:val="Appelnotedebasdep"/>
        </w:rPr>
        <w:footnoteRef/>
      </w:r>
      <w:r w:rsidRPr="00EA7479">
        <w:rPr>
          <w:rFonts w:cstheme="minorHAnsi"/>
          <w:szCs w:val="18"/>
          <w:lang w:val="fr-FR"/>
        </w:rPr>
        <w:tab/>
      </w:r>
      <w:r w:rsidRPr="002B0B8A">
        <w:rPr>
          <w:rStyle w:val="termfield"/>
          <w:lang w:val="fr-FR"/>
        </w:rPr>
        <w:t xml:space="preserve">Comité pour la protection des droits de tous les travailleurs migrants et des membres de leur famille, observation générale </w:t>
      </w:r>
      <w:r w:rsidR="00634635">
        <w:rPr>
          <w:rFonts w:eastAsia="MS Mincho"/>
        </w:rPr>
        <w:t>n</w:t>
      </w:r>
      <w:r w:rsidR="00634635">
        <w:rPr>
          <w:rFonts w:eastAsia="MS Mincho"/>
          <w:vertAlign w:val="superscript"/>
        </w:rPr>
        <w:t>o</w:t>
      </w:r>
      <w:r w:rsidR="00634635">
        <w:t> </w:t>
      </w:r>
      <w:r w:rsidRPr="002B0B8A">
        <w:rPr>
          <w:rStyle w:val="termfield"/>
          <w:lang w:val="fr-FR"/>
        </w:rPr>
        <w:t>5 (2021)</w:t>
      </w:r>
      <w:r>
        <w:rPr>
          <w:rStyle w:val="termfield"/>
          <w:lang w:val="fr-FR"/>
        </w:rPr>
        <w:t xml:space="preserve">, </w:t>
      </w:r>
      <w:r w:rsidR="00562F45">
        <w:rPr>
          <w:rFonts w:cstheme="minorHAnsi"/>
          <w:szCs w:val="18"/>
          <w:lang w:val="fr-FR"/>
        </w:rPr>
        <w:t>par. </w:t>
      </w:r>
      <w:r w:rsidRPr="00EA7479">
        <w:rPr>
          <w:rFonts w:cstheme="minorHAnsi"/>
          <w:szCs w:val="18"/>
        </w:rPr>
        <w:t>89.</w:t>
      </w:r>
    </w:p>
  </w:footnote>
  <w:footnote w:id="44">
    <w:p w14:paraId="7AFEB2E6" w14:textId="02B9E4F0" w:rsidR="00DC22DE" w:rsidRPr="001C0389" w:rsidRDefault="00DC22DE" w:rsidP="00DC22DE">
      <w:pPr>
        <w:pStyle w:val="Notedebasdepage"/>
        <w:rPr>
          <w:rFonts w:cstheme="minorHAnsi"/>
          <w:szCs w:val="18"/>
          <w:lang w:val="en-US"/>
        </w:rPr>
      </w:pPr>
      <w:r w:rsidRPr="00EA7479">
        <w:rPr>
          <w:rFonts w:cstheme="minorHAnsi"/>
          <w:szCs w:val="18"/>
        </w:rPr>
        <w:tab/>
      </w:r>
      <w:r w:rsidRPr="00EA7479">
        <w:rPr>
          <w:rStyle w:val="Appelnotedebasdep"/>
        </w:rPr>
        <w:footnoteRef/>
      </w:r>
      <w:r w:rsidRPr="001C0389">
        <w:rPr>
          <w:rFonts w:cstheme="minorHAnsi"/>
          <w:szCs w:val="18"/>
          <w:lang w:val="en-US"/>
        </w:rPr>
        <w:tab/>
      </w:r>
      <w:hyperlink r:id="rId41" w:history="1">
        <w:r w:rsidR="00D06B78">
          <w:rPr>
            <w:rStyle w:val="Lienhypertexte"/>
            <w:rFonts w:cstheme="minorHAnsi"/>
            <w:szCs w:val="18"/>
            <w:lang w:val="en-US"/>
          </w:rPr>
          <w:t>CED/C/GRC/CO/1</w:t>
        </w:r>
      </w:hyperlink>
      <w:r w:rsidRPr="001C0389">
        <w:rPr>
          <w:rFonts w:cstheme="minorHAnsi"/>
          <w:szCs w:val="18"/>
          <w:lang w:val="en-US"/>
        </w:rPr>
        <w:t xml:space="preserve">, </w:t>
      </w:r>
      <w:r w:rsidR="00562F45">
        <w:rPr>
          <w:rFonts w:cstheme="minorHAnsi"/>
          <w:szCs w:val="18"/>
          <w:lang w:val="en-US"/>
        </w:rPr>
        <w:t>par. </w:t>
      </w:r>
      <w:r w:rsidRPr="001C0389">
        <w:rPr>
          <w:rFonts w:cstheme="minorHAnsi"/>
          <w:szCs w:val="18"/>
          <w:lang w:val="en-US"/>
        </w:rPr>
        <w:t>31 e)</w:t>
      </w:r>
      <w:r w:rsidRPr="00C82A45">
        <w:rPr>
          <w:rFonts w:cstheme="minorHAnsi"/>
          <w:szCs w:val="18"/>
          <w:lang w:val="en-US"/>
        </w:rPr>
        <w:t>.</w:t>
      </w:r>
    </w:p>
  </w:footnote>
  <w:footnote w:id="45">
    <w:p w14:paraId="1822116D" w14:textId="2146A087" w:rsidR="00DC22DE" w:rsidRPr="00EA7479" w:rsidRDefault="00DC22DE" w:rsidP="00DC22DE">
      <w:pPr>
        <w:pStyle w:val="Notedebasdepage"/>
        <w:rPr>
          <w:rFonts w:cstheme="minorHAnsi"/>
          <w:szCs w:val="18"/>
          <w:lang w:val="fr-FR"/>
        </w:rPr>
      </w:pPr>
      <w:r w:rsidRPr="001C0389">
        <w:rPr>
          <w:rFonts w:cstheme="minorHAnsi"/>
          <w:szCs w:val="18"/>
          <w:lang w:val="en-US"/>
        </w:rPr>
        <w:tab/>
      </w:r>
      <w:r w:rsidRPr="00EA7479">
        <w:rPr>
          <w:rStyle w:val="Appelnotedebasdep"/>
        </w:rPr>
        <w:footnoteRef/>
      </w:r>
      <w:r w:rsidRPr="00EA7479">
        <w:rPr>
          <w:rFonts w:cstheme="minorHAnsi"/>
          <w:szCs w:val="18"/>
          <w:lang w:val="fr-FR"/>
        </w:rPr>
        <w:tab/>
      </w:r>
      <w:hyperlink r:id="rId42" w:history="1">
        <w:r w:rsidR="00D06B78">
          <w:rPr>
            <w:rStyle w:val="Lienhypertexte"/>
            <w:rFonts w:cstheme="minorHAnsi"/>
            <w:szCs w:val="18"/>
            <w:lang w:val="fr-FR"/>
          </w:rPr>
          <w:t>A/HRC/36/39/Add.2</w:t>
        </w:r>
      </w:hyperlink>
      <w:r w:rsidRPr="00EA7479">
        <w:rPr>
          <w:rFonts w:cstheme="minorHAnsi"/>
          <w:szCs w:val="18"/>
          <w:lang w:val="fr-FR"/>
        </w:rPr>
        <w:t xml:space="preserve">, </w:t>
      </w:r>
      <w:r w:rsidR="00562F45">
        <w:rPr>
          <w:rFonts w:cstheme="minorHAnsi"/>
          <w:szCs w:val="18"/>
          <w:lang w:val="fr-FR"/>
        </w:rPr>
        <w:t>par. </w:t>
      </w:r>
      <w:r w:rsidRPr="00EA7479">
        <w:rPr>
          <w:rFonts w:cstheme="minorHAnsi"/>
          <w:szCs w:val="18"/>
          <w:lang w:val="fr-FR"/>
        </w:rPr>
        <w:t>56</w:t>
      </w:r>
      <w:r w:rsidR="00634635">
        <w:rPr>
          <w:rFonts w:cstheme="minorHAnsi"/>
          <w:szCs w:val="18"/>
          <w:lang w:val="fr-FR"/>
        </w:rPr>
        <w:t> ;</w:t>
      </w:r>
      <w:r w:rsidRPr="00EA7479">
        <w:rPr>
          <w:rFonts w:cstheme="minorHAnsi"/>
          <w:szCs w:val="18"/>
          <w:lang w:val="fr-FR"/>
        </w:rPr>
        <w:t xml:space="preserve"> </w:t>
      </w:r>
      <w:r>
        <w:t>HCDH et Groupe mondial chargé de la question migratoire, Principes et lignes directrices, accompagnés de directives pratiques, sur la protection des droits de l</w:t>
      </w:r>
      <w:r w:rsidR="003A234B">
        <w:t>’</w:t>
      </w:r>
      <w:r>
        <w:t>homme des migrants en situation de vulnérabilité (Genève, 2018), p. 60 et 61</w:t>
      </w:r>
      <w:r w:rsidRPr="00EA7479">
        <w:rPr>
          <w:rFonts w:cstheme="minorHAnsi"/>
          <w:szCs w:val="18"/>
          <w:lang w:val="fr-FR"/>
        </w:rPr>
        <w:t>.</w:t>
      </w:r>
    </w:p>
  </w:footnote>
  <w:footnote w:id="46">
    <w:p w14:paraId="6E033D6A" w14:textId="6169018B" w:rsidR="00DC22DE" w:rsidRPr="00EA7479" w:rsidRDefault="00DC22DE" w:rsidP="00DC22DE">
      <w:pPr>
        <w:pStyle w:val="Notedebasdepage"/>
        <w:rPr>
          <w:rFonts w:cstheme="minorHAnsi"/>
          <w:szCs w:val="18"/>
          <w:lang w:val="fr-FR"/>
        </w:rPr>
      </w:pPr>
      <w:r w:rsidRPr="00EA7479">
        <w:rPr>
          <w:rFonts w:cstheme="minorHAnsi"/>
          <w:szCs w:val="18"/>
          <w:lang w:val="fr-FR"/>
        </w:rPr>
        <w:tab/>
      </w:r>
      <w:r w:rsidRPr="00EA7479">
        <w:rPr>
          <w:rStyle w:val="Appelnotedebasdep"/>
        </w:rPr>
        <w:footnoteRef/>
      </w:r>
      <w:r w:rsidRPr="00EA7479">
        <w:rPr>
          <w:rFonts w:cstheme="minorHAnsi"/>
          <w:szCs w:val="18"/>
          <w:lang w:val="fr-FR"/>
        </w:rPr>
        <w:tab/>
      </w:r>
      <w:hyperlink r:id="rId43" w:history="1">
        <w:r w:rsidR="00D06B78">
          <w:rPr>
            <w:rStyle w:val="Lienhypertexte"/>
            <w:rFonts w:cstheme="minorHAnsi"/>
            <w:szCs w:val="18"/>
            <w:lang w:val="fr-FR"/>
          </w:rPr>
          <w:t>CED/C/COL/OAI/1</w:t>
        </w:r>
      </w:hyperlink>
      <w:r w:rsidRPr="00EA7479">
        <w:rPr>
          <w:rFonts w:cstheme="minorHAnsi"/>
          <w:szCs w:val="18"/>
          <w:lang w:val="fr-FR"/>
        </w:rPr>
        <w:t xml:space="preserve">, </w:t>
      </w:r>
      <w:r w:rsidR="00562F45">
        <w:rPr>
          <w:rFonts w:cstheme="minorHAnsi"/>
          <w:szCs w:val="18"/>
          <w:lang w:val="fr-FR"/>
        </w:rPr>
        <w:t>par. </w:t>
      </w:r>
      <w:r w:rsidRPr="00EA7479">
        <w:rPr>
          <w:rFonts w:cstheme="minorHAnsi"/>
          <w:szCs w:val="18"/>
          <w:lang w:val="fr-FR"/>
        </w:rPr>
        <w:t>17</w:t>
      </w:r>
      <w:r w:rsidR="00634635">
        <w:rPr>
          <w:rFonts w:cstheme="minorHAnsi"/>
          <w:szCs w:val="18"/>
          <w:lang w:val="fr-FR"/>
        </w:rPr>
        <w:t> ;</w:t>
      </w:r>
      <w:r w:rsidRPr="00EA7479">
        <w:rPr>
          <w:rFonts w:cstheme="minorHAnsi"/>
          <w:szCs w:val="18"/>
          <w:lang w:val="fr-FR"/>
        </w:rPr>
        <w:t xml:space="preserve"> </w:t>
      </w:r>
      <w:hyperlink r:id="rId44" w:history="1">
        <w:r w:rsidR="00D06B78">
          <w:rPr>
            <w:rStyle w:val="Lienhypertexte"/>
            <w:rFonts w:cstheme="minorHAnsi"/>
            <w:szCs w:val="18"/>
            <w:lang w:val="fr-FR"/>
          </w:rPr>
          <w:t>CED/C/IRQ/OAI/1</w:t>
        </w:r>
      </w:hyperlink>
      <w:r w:rsidRPr="00EA7479">
        <w:rPr>
          <w:rFonts w:cstheme="minorHAnsi"/>
          <w:szCs w:val="18"/>
          <w:lang w:val="fr-FR"/>
        </w:rPr>
        <w:t xml:space="preserve">, </w:t>
      </w:r>
      <w:r w:rsidR="00562F45">
        <w:rPr>
          <w:rFonts w:cstheme="minorHAnsi"/>
          <w:szCs w:val="18"/>
          <w:lang w:val="fr-FR"/>
        </w:rPr>
        <w:t>par. </w:t>
      </w:r>
      <w:r w:rsidRPr="00EA7479">
        <w:rPr>
          <w:rFonts w:cstheme="minorHAnsi"/>
          <w:szCs w:val="18"/>
          <w:lang w:val="fr-FR"/>
        </w:rPr>
        <w:t>5</w:t>
      </w:r>
      <w:r w:rsidR="00634635">
        <w:rPr>
          <w:rFonts w:cstheme="minorHAnsi"/>
          <w:szCs w:val="18"/>
          <w:lang w:val="fr-FR"/>
        </w:rPr>
        <w:t> ;</w:t>
      </w:r>
      <w:r w:rsidRPr="00EA7479">
        <w:rPr>
          <w:rFonts w:cstheme="minorHAnsi"/>
          <w:szCs w:val="18"/>
          <w:lang w:val="fr-FR"/>
        </w:rPr>
        <w:t xml:space="preserve"> </w:t>
      </w:r>
      <w:hyperlink r:id="rId45" w:history="1">
        <w:r w:rsidR="00D06B78">
          <w:rPr>
            <w:rStyle w:val="Lienhypertexte"/>
            <w:rFonts w:cstheme="minorHAnsi"/>
            <w:szCs w:val="18"/>
            <w:lang w:val="fr-FR"/>
          </w:rPr>
          <w:t>CED/C/BRA/CO/1</w:t>
        </w:r>
      </w:hyperlink>
      <w:r w:rsidRPr="00EA7479">
        <w:rPr>
          <w:rFonts w:cstheme="minorHAnsi"/>
          <w:szCs w:val="18"/>
          <w:lang w:val="fr-FR"/>
        </w:rPr>
        <w:t xml:space="preserve">, </w:t>
      </w:r>
      <w:r w:rsidR="00562F45">
        <w:rPr>
          <w:rFonts w:cstheme="minorHAnsi"/>
          <w:szCs w:val="18"/>
          <w:lang w:val="fr-FR"/>
        </w:rPr>
        <w:t>par. </w:t>
      </w:r>
      <w:r w:rsidRPr="00EA7479">
        <w:rPr>
          <w:rFonts w:cstheme="minorHAnsi"/>
          <w:szCs w:val="18"/>
          <w:lang w:val="fr-FR"/>
        </w:rPr>
        <w:t>13</w:t>
      </w:r>
      <w:r w:rsidR="00634635">
        <w:rPr>
          <w:rFonts w:cstheme="minorHAnsi"/>
          <w:szCs w:val="18"/>
          <w:lang w:val="fr-FR"/>
        </w:rPr>
        <w:t> ;</w:t>
      </w:r>
      <w:r w:rsidRPr="00EA7479">
        <w:rPr>
          <w:rFonts w:cstheme="minorHAnsi"/>
          <w:szCs w:val="18"/>
          <w:lang w:val="fr-FR"/>
        </w:rPr>
        <w:t xml:space="preserve">  </w:t>
      </w:r>
      <w:hyperlink r:id="rId46" w:history="1">
        <w:r w:rsidR="00D06B78">
          <w:rPr>
            <w:rStyle w:val="Lienhypertexte"/>
            <w:rFonts w:cstheme="minorHAnsi"/>
            <w:szCs w:val="18"/>
            <w:lang w:val="fr-FR"/>
          </w:rPr>
          <w:t>CED/C/NER/CO/1</w:t>
        </w:r>
      </w:hyperlink>
      <w:r w:rsidRPr="00EA7479">
        <w:rPr>
          <w:rFonts w:cstheme="minorHAnsi"/>
          <w:szCs w:val="18"/>
          <w:lang w:val="fr-FR"/>
        </w:rPr>
        <w:t xml:space="preserve">, </w:t>
      </w:r>
      <w:r w:rsidR="00562F45">
        <w:rPr>
          <w:rFonts w:cstheme="minorHAnsi"/>
          <w:szCs w:val="18"/>
          <w:lang w:val="fr-FR"/>
        </w:rPr>
        <w:t>par. </w:t>
      </w:r>
      <w:r w:rsidRPr="00EA7479">
        <w:rPr>
          <w:rFonts w:cstheme="minorHAnsi"/>
          <w:szCs w:val="18"/>
          <w:lang w:val="fr-FR"/>
        </w:rPr>
        <w:t>15.</w:t>
      </w:r>
    </w:p>
  </w:footnote>
  <w:footnote w:id="47">
    <w:p w14:paraId="0D57FBE7" w14:textId="5708F14A" w:rsidR="00DC22DE" w:rsidRDefault="00DC22DE" w:rsidP="00DC22DE">
      <w:pPr>
        <w:pStyle w:val="Notedebasdepage"/>
        <w:rPr>
          <w:rFonts w:cstheme="minorHAnsi"/>
          <w:szCs w:val="18"/>
          <w:lang w:val="en-GB"/>
        </w:rPr>
      </w:pPr>
      <w:r w:rsidRPr="00EA7479">
        <w:rPr>
          <w:rFonts w:cstheme="minorHAnsi"/>
          <w:szCs w:val="18"/>
          <w:lang w:val="fr-FR"/>
        </w:rPr>
        <w:tab/>
      </w:r>
      <w:r w:rsidRPr="00EA7479">
        <w:rPr>
          <w:rStyle w:val="Appelnotedebasdep"/>
        </w:rPr>
        <w:footnoteRef/>
      </w:r>
      <w:r w:rsidRPr="001C0389">
        <w:rPr>
          <w:rFonts w:cstheme="minorHAnsi"/>
          <w:szCs w:val="18"/>
          <w:lang w:val="en-US"/>
        </w:rPr>
        <w:tab/>
      </w:r>
      <w:hyperlink r:id="rId47" w:history="1">
        <w:r w:rsidR="00EF187F">
          <w:rPr>
            <w:rStyle w:val="Lienhypertexte"/>
            <w:rFonts w:cstheme="minorHAnsi"/>
            <w:szCs w:val="18"/>
            <w:lang w:val="en-US"/>
          </w:rPr>
          <w:t>CED/C/HND/CO/1</w:t>
        </w:r>
      </w:hyperlink>
      <w:r w:rsidRPr="001C0389">
        <w:rPr>
          <w:rFonts w:cstheme="minorHAnsi"/>
          <w:szCs w:val="18"/>
          <w:lang w:val="en-US"/>
        </w:rPr>
        <w:t xml:space="preserve">, </w:t>
      </w:r>
      <w:r w:rsidR="00562F45">
        <w:rPr>
          <w:rFonts w:cstheme="minorHAnsi"/>
          <w:szCs w:val="18"/>
          <w:lang w:val="en-US"/>
        </w:rPr>
        <w:t>par. </w:t>
      </w:r>
      <w:r w:rsidRPr="001C0389">
        <w:rPr>
          <w:rFonts w:cstheme="minorHAnsi"/>
          <w:szCs w:val="18"/>
          <w:lang w:val="en-US"/>
        </w:rPr>
        <w:t>29</w:t>
      </w:r>
      <w:r w:rsidRPr="00C82A45">
        <w:rPr>
          <w:rFonts w:cstheme="minorHAnsi"/>
          <w:szCs w:val="18"/>
          <w:lang w:val="en-US"/>
        </w:rPr>
        <w:t>.</w:t>
      </w:r>
    </w:p>
  </w:footnote>
  <w:footnote w:id="48">
    <w:p w14:paraId="03679215" w14:textId="1F521106" w:rsidR="00DC22DE" w:rsidRPr="00EA7479" w:rsidRDefault="00DC22DE" w:rsidP="00DC22DE">
      <w:pPr>
        <w:pStyle w:val="Notedebasdepage"/>
        <w:rPr>
          <w:rFonts w:cstheme="minorHAnsi"/>
          <w:szCs w:val="18"/>
        </w:rPr>
      </w:pPr>
      <w:r w:rsidRPr="001C0389">
        <w:rPr>
          <w:rFonts w:cstheme="minorHAnsi"/>
          <w:szCs w:val="18"/>
          <w:lang w:val="en-US"/>
        </w:rPr>
        <w:tab/>
      </w:r>
      <w:r w:rsidRPr="00EA7479">
        <w:rPr>
          <w:rStyle w:val="Appelnotedebasdep"/>
        </w:rPr>
        <w:footnoteRef/>
      </w:r>
      <w:r w:rsidRPr="00EA7479">
        <w:rPr>
          <w:rFonts w:cstheme="minorHAnsi"/>
          <w:szCs w:val="18"/>
          <w:lang w:val="fr-FR"/>
        </w:rPr>
        <w:tab/>
      </w:r>
      <w:r>
        <w:t>Principes directeurs concernant la recherche de personnes disparues, principe 9 (</w:t>
      </w:r>
      <w:r w:rsidR="00562F45">
        <w:t>par. </w:t>
      </w:r>
      <w:r>
        <w:t>3)</w:t>
      </w:r>
      <w:r w:rsidR="00634635">
        <w:t> ;</w:t>
      </w:r>
      <w:r>
        <w:t xml:space="preserve"> </w:t>
      </w:r>
      <w:hyperlink r:id="rId48" w:history="1">
        <w:r w:rsidR="00EF187F">
          <w:rPr>
            <w:rStyle w:val="Lienhypertexte"/>
            <w:rFonts w:cstheme="minorHAnsi"/>
            <w:szCs w:val="18"/>
            <w:lang w:val="fr-FR"/>
          </w:rPr>
          <w:t>CED/C/19/2</w:t>
        </w:r>
      </w:hyperlink>
      <w:r w:rsidRPr="00EA7479">
        <w:rPr>
          <w:rFonts w:cstheme="minorHAnsi"/>
          <w:szCs w:val="18"/>
          <w:lang w:val="fr-FR"/>
        </w:rPr>
        <w:t xml:space="preserve">, </w:t>
      </w:r>
      <w:r w:rsidR="00562F45">
        <w:rPr>
          <w:rFonts w:cstheme="minorHAnsi"/>
          <w:szCs w:val="18"/>
          <w:lang w:val="fr-FR"/>
        </w:rPr>
        <w:t>par. </w:t>
      </w:r>
      <w:r w:rsidRPr="00EA7479">
        <w:rPr>
          <w:rFonts w:cstheme="minorHAnsi"/>
          <w:szCs w:val="18"/>
        </w:rPr>
        <w:t>14.</w:t>
      </w:r>
    </w:p>
  </w:footnote>
  <w:footnote w:id="49">
    <w:p w14:paraId="375BD5D8" w14:textId="7D0D8F86" w:rsidR="00DC22DE" w:rsidRPr="001C0389" w:rsidRDefault="00DC22DE" w:rsidP="00DC22DE">
      <w:pPr>
        <w:pStyle w:val="Notedebasdepage"/>
        <w:rPr>
          <w:rFonts w:cstheme="minorHAnsi"/>
          <w:szCs w:val="18"/>
          <w:lang w:val="en-US"/>
        </w:rPr>
      </w:pPr>
      <w:r w:rsidRPr="00EA7479">
        <w:rPr>
          <w:rFonts w:cstheme="minorHAnsi"/>
          <w:szCs w:val="18"/>
        </w:rPr>
        <w:tab/>
      </w:r>
      <w:r w:rsidRPr="00EA7479">
        <w:rPr>
          <w:rStyle w:val="Appelnotedebasdep"/>
        </w:rPr>
        <w:footnoteRef/>
      </w:r>
      <w:r w:rsidRPr="001C0389">
        <w:rPr>
          <w:rFonts w:cstheme="minorHAnsi"/>
          <w:szCs w:val="18"/>
          <w:lang w:val="en-US"/>
        </w:rPr>
        <w:tab/>
      </w:r>
      <w:hyperlink r:id="rId49" w:history="1">
        <w:r w:rsidR="00EF187F">
          <w:rPr>
            <w:rStyle w:val="Lienhypertexte"/>
            <w:rFonts w:cstheme="minorHAnsi"/>
            <w:szCs w:val="18"/>
            <w:lang w:val="en-US"/>
          </w:rPr>
          <w:t>CED/C/MEX/CO/1</w:t>
        </w:r>
      </w:hyperlink>
      <w:r w:rsidRPr="001C0389">
        <w:rPr>
          <w:rFonts w:cstheme="minorHAnsi"/>
          <w:szCs w:val="18"/>
          <w:lang w:val="en-US"/>
        </w:rPr>
        <w:t xml:space="preserve">, </w:t>
      </w:r>
      <w:r w:rsidR="00562F45">
        <w:rPr>
          <w:rFonts w:cstheme="minorHAnsi"/>
          <w:szCs w:val="18"/>
          <w:lang w:val="en-US"/>
        </w:rPr>
        <w:t>par. </w:t>
      </w:r>
      <w:r w:rsidRPr="001C0389">
        <w:rPr>
          <w:rFonts w:cstheme="minorHAnsi"/>
          <w:szCs w:val="18"/>
          <w:lang w:val="en-US"/>
        </w:rPr>
        <w:t>18</w:t>
      </w:r>
      <w:r w:rsidRPr="00C82A45">
        <w:rPr>
          <w:rFonts w:cstheme="minorHAnsi"/>
          <w:szCs w:val="18"/>
          <w:lang w:val="en-US"/>
        </w:rPr>
        <w:t>.</w:t>
      </w:r>
    </w:p>
  </w:footnote>
  <w:footnote w:id="50">
    <w:p w14:paraId="59278B5F" w14:textId="32D3D37C" w:rsidR="00DC22DE" w:rsidRPr="00EA7479" w:rsidRDefault="00DC22DE" w:rsidP="00DC22DE">
      <w:pPr>
        <w:pStyle w:val="Notedebasdepage"/>
        <w:rPr>
          <w:rFonts w:cstheme="minorHAnsi"/>
          <w:szCs w:val="18"/>
          <w:lang w:val="fr-FR"/>
        </w:rPr>
      </w:pPr>
      <w:r w:rsidRPr="001C0389">
        <w:rPr>
          <w:rFonts w:cstheme="minorHAnsi"/>
          <w:szCs w:val="18"/>
          <w:lang w:val="en-US"/>
        </w:rPr>
        <w:tab/>
      </w:r>
      <w:r w:rsidRPr="00EA7479">
        <w:rPr>
          <w:rStyle w:val="Appelnotedebasdep"/>
        </w:rPr>
        <w:footnoteRef/>
      </w:r>
      <w:r w:rsidRPr="00EA7479">
        <w:rPr>
          <w:rFonts w:cstheme="minorHAnsi"/>
          <w:szCs w:val="18"/>
          <w:lang w:val="fr-FR"/>
        </w:rPr>
        <w:tab/>
      </w:r>
      <w:r>
        <w:t xml:space="preserve">Observation générale conjointe </w:t>
      </w:r>
      <w:r w:rsidR="00634635">
        <w:rPr>
          <w:rFonts w:eastAsia="MS Mincho"/>
        </w:rPr>
        <w:t>n</w:t>
      </w:r>
      <w:r w:rsidR="00634635">
        <w:rPr>
          <w:rFonts w:eastAsia="MS Mincho"/>
          <w:vertAlign w:val="superscript"/>
        </w:rPr>
        <w:t>o</w:t>
      </w:r>
      <w:r w:rsidR="00634635">
        <w:t> </w:t>
      </w:r>
      <w:r>
        <w:t xml:space="preserve">3 du Comité pour la protection des droits de tous les travailleurs migrants et des membres de leur famille et </w:t>
      </w:r>
      <w:r w:rsidR="00634635">
        <w:rPr>
          <w:rFonts w:eastAsia="MS Mincho"/>
        </w:rPr>
        <w:t>n</w:t>
      </w:r>
      <w:r w:rsidR="00634635">
        <w:rPr>
          <w:rFonts w:eastAsia="MS Mincho"/>
          <w:vertAlign w:val="superscript"/>
        </w:rPr>
        <w:t>o</w:t>
      </w:r>
      <w:r w:rsidR="00634635">
        <w:t> </w:t>
      </w:r>
      <w:r>
        <w:t>22 du Comité des droits de l</w:t>
      </w:r>
      <w:r w:rsidR="003A234B">
        <w:t>’</w:t>
      </w:r>
      <w:r>
        <w:t xml:space="preserve">enfant (2017), </w:t>
      </w:r>
      <w:r w:rsidR="00562F45">
        <w:t>par. </w:t>
      </w:r>
      <w:r>
        <w:t>17.</w:t>
      </w:r>
    </w:p>
  </w:footnote>
  <w:footnote w:id="51">
    <w:p w14:paraId="5D1A956D" w14:textId="77777777" w:rsidR="00DC22DE" w:rsidRPr="00EA7479" w:rsidRDefault="00DC22DE" w:rsidP="00DC22DE">
      <w:pPr>
        <w:pStyle w:val="Notedebasdepage"/>
        <w:rPr>
          <w:rFonts w:cstheme="minorHAnsi"/>
          <w:szCs w:val="18"/>
          <w:lang w:val="fr-FR"/>
        </w:rPr>
      </w:pPr>
      <w:r w:rsidRPr="00EA7479">
        <w:rPr>
          <w:rFonts w:cstheme="minorHAnsi"/>
          <w:szCs w:val="18"/>
          <w:lang w:val="fr-FR"/>
        </w:rPr>
        <w:tab/>
      </w:r>
      <w:r w:rsidRPr="00EA7479">
        <w:rPr>
          <w:rStyle w:val="Appelnotedebasdep"/>
        </w:rPr>
        <w:footnoteRef/>
      </w:r>
      <w:r w:rsidRPr="00EA7479">
        <w:rPr>
          <w:rFonts w:cstheme="minorHAnsi"/>
          <w:szCs w:val="18"/>
          <w:lang w:val="fr-FR"/>
        </w:rPr>
        <w:tab/>
      </w:r>
      <w:r>
        <w:t xml:space="preserve">Voir CICR, </w:t>
      </w:r>
      <w:r>
        <w:rPr>
          <w:i/>
          <w:iCs/>
        </w:rPr>
        <w:t>Ensemble de données de base à collecter pour la recherche des migrants portés disparus</w:t>
      </w:r>
      <w:r>
        <w:t xml:space="preserve"> (Genève, 2021)</w:t>
      </w:r>
      <w:r w:rsidRPr="00EA7479">
        <w:rPr>
          <w:rFonts w:cstheme="minorHAnsi"/>
          <w:szCs w:val="18"/>
          <w:lang w:val="fr-FR"/>
        </w:rPr>
        <w:t xml:space="preserve">. </w:t>
      </w:r>
      <w:r>
        <w:t xml:space="preserve">Voir aussi le Pacte mondial pour des migrations sûres, ordonnées et </w:t>
      </w:r>
      <w:r w:rsidRPr="008661A9">
        <w:t>régulières, objectif 8.</w:t>
      </w:r>
    </w:p>
  </w:footnote>
  <w:footnote w:id="52">
    <w:p w14:paraId="5FE34F3C" w14:textId="0C0552C4" w:rsidR="00DC22DE" w:rsidRPr="00EA7479" w:rsidRDefault="00C04DBB" w:rsidP="00DC22DE">
      <w:pPr>
        <w:pStyle w:val="Notedebasdepage"/>
        <w:rPr>
          <w:rFonts w:eastAsia="Times New Roman"/>
          <w:sz w:val="20"/>
          <w:szCs w:val="18"/>
        </w:rPr>
      </w:pPr>
      <w:r>
        <w:rPr>
          <w:rFonts w:cstheme="minorHAnsi"/>
          <w:sz w:val="20"/>
          <w:szCs w:val="18"/>
        </w:rPr>
        <w:tab/>
      </w:r>
      <w:r w:rsidR="00DC22DE" w:rsidRPr="00EA7479">
        <w:rPr>
          <w:rStyle w:val="Appelnotedebasdep"/>
        </w:rPr>
        <w:footnoteRef/>
      </w:r>
      <w:r w:rsidR="00DC22DE" w:rsidRPr="00EA7479">
        <w:rPr>
          <w:rFonts w:cstheme="minorHAnsi"/>
          <w:sz w:val="20"/>
          <w:szCs w:val="18"/>
        </w:rPr>
        <w:tab/>
      </w:r>
      <w:r w:rsidR="00DC22DE" w:rsidRPr="00EA7479">
        <w:rPr>
          <w:rFonts w:cstheme="minorHAnsi"/>
          <w:szCs w:val="18"/>
        </w:rPr>
        <w:t xml:space="preserve">CICR, </w:t>
      </w:r>
      <w:r w:rsidR="00DC22DE" w:rsidRPr="00EA7479">
        <w:rPr>
          <w:i/>
          <w:iCs/>
          <w:szCs w:val="18"/>
        </w:rPr>
        <w:t>Lignes directrices relatives aux mécanismes de coordination et d</w:t>
      </w:r>
      <w:r w:rsidR="003A234B">
        <w:rPr>
          <w:i/>
          <w:iCs/>
          <w:szCs w:val="18"/>
        </w:rPr>
        <w:t>’</w:t>
      </w:r>
      <w:r w:rsidR="00DC22DE" w:rsidRPr="00EA7479">
        <w:rPr>
          <w:i/>
          <w:iCs/>
          <w:szCs w:val="18"/>
        </w:rPr>
        <w:t>échange d</w:t>
      </w:r>
      <w:r w:rsidR="003A234B">
        <w:rPr>
          <w:i/>
          <w:iCs/>
          <w:szCs w:val="18"/>
        </w:rPr>
        <w:t>’</w:t>
      </w:r>
      <w:r w:rsidR="00DC22DE" w:rsidRPr="00EA7479">
        <w:rPr>
          <w:i/>
          <w:iCs/>
          <w:szCs w:val="18"/>
        </w:rPr>
        <w:t>informations concernant la recherche de migrants disparus</w:t>
      </w:r>
      <w:r w:rsidR="00DC22DE" w:rsidRPr="00EA7479">
        <w:rPr>
          <w:rFonts w:cstheme="minorHAnsi"/>
          <w:szCs w:val="18"/>
        </w:rPr>
        <w:t>, novembre 2021, p. 1</w:t>
      </w:r>
      <w:r w:rsidR="00DC22DE">
        <w:rPr>
          <w:rFonts w:cstheme="minorHAnsi"/>
          <w:szCs w:val="18"/>
        </w:rPr>
        <w:t>9</w:t>
      </w:r>
      <w:r w:rsidR="00DC22DE" w:rsidRPr="00EA7479">
        <w:rPr>
          <w:rFonts w:cstheme="minorHAnsi"/>
          <w:szCs w:val="18"/>
        </w:rPr>
        <w:t xml:space="preserve">. </w:t>
      </w:r>
      <w:r w:rsidR="00DC22DE" w:rsidRPr="0094234F">
        <w:rPr>
          <w:rFonts w:cstheme="minorHAnsi"/>
          <w:szCs w:val="18"/>
        </w:rPr>
        <w:t>Voir aussi</w:t>
      </w:r>
      <w:r w:rsidR="00DC22DE" w:rsidRPr="00EA7479">
        <w:rPr>
          <w:rFonts w:cstheme="minorHAnsi"/>
          <w:szCs w:val="18"/>
        </w:rPr>
        <w:t xml:space="preserve"> </w:t>
      </w:r>
      <w:hyperlink r:id="rId50" w:history="1">
        <w:r w:rsidR="00EF187F">
          <w:rPr>
            <w:rStyle w:val="Lienhypertexte"/>
            <w:rFonts w:cstheme="minorHAnsi"/>
            <w:szCs w:val="18"/>
          </w:rPr>
          <w:t>A/77/196</w:t>
        </w:r>
      </w:hyperlink>
      <w:r w:rsidR="00634635">
        <w:rPr>
          <w:rFonts w:cstheme="minorHAnsi"/>
          <w:szCs w:val="18"/>
        </w:rPr>
        <w:t> ;</w:t>
      </w:r>
      <w:r w:rsidR="00DC22DE" w:rsidRPr="00EA7479">
        <w:rPr>
          <w:rFonts w:cstheme="minorHAnsi"/>
          <w:szCs w:val="18"/>
        </w:rPr>
        <w:t xml:space="preserve"> Christopher </w:t>
      </w:r>
      <w:proofErr w:type="spellStart"/>
      <w:r w:rsidR="00DC22DE" w:rsidRPr="00EA7479">
        <w:rPr>
          <w:rFonts w:cstheme="minorHAnsi"/>
          <w:szCs w:val="18"/>
        </w:rPr>
        <w:t>Kuner</w:t>
      </w:r>
      <w:proofErr w:type="spellEnd"/>
      <w:r w:rsidR="00DC22DE" w:rsidRPr="00EA7479">
        <w:rPr>
          <w:rFonts w:cstheme="minorHAnsi"/>
          <w:szCs w:val="18"/>
        </w:rPr>
        <w:t xml:space="preserve"> et Massimo </w:t>
      </w:r>
      <w:proofErr w:type="spellStart"/>
      <w:r w:rsidR="00DC22DE" w:rsidRPr="00EA7479">
        <w:rPr>
          <w:rFonts w:cstheme="minorHAnsi"/>
          <w:szCs w:val="18"/>
        </w:rPr>
        <w:t>Marelli</w:t>
      </w:r>
      <w:proofErr w:type="spellEnd"/>
      <w:r w:rsidR="00DC22DE" w:rsidRPr="00EA7479">
        <w:rPr>
          <w:rFonts w:cstheme="minorHAnsi"/>
          <w:szCs w:val="18"/>
        </w:rPr>
        <w:t xml:space="preserve">, </w:t>
      </w:r>
      <w:proofErr w:type="spellStart"/>
      <w:r w:rsidR="00DC22DE" w:rsidRPr="00EA7479">
        <w:rPr>
          <w:rFonts w:cstheme="minorHAnsi"/>
          <w:szCs w:val="18"/>
        </w:rPr>
        <w:t>dir</w:t>
      </w:r>
      <w:proofErr w:type="spellEnd"/>
      <w:r w:rsidR="00DC22DE" w:rsidRPr="00EA7479">
        <w:rPr>
          <w:rFonts w:cstheme="minorHAnsi"/>
          <w:szCs w:val="18"/>
        </w:rPr>
        <w:t xml:space="preserve">. </w:t>
      </w:r>
      <w:proofErr w:type="spellStart"/>
      <w:r w:rsidR="00DC22DE" w:rsidRPr="00EA7479">
        <w:rPr>
          <w:rFonts w:cstheme="minorHAnsi"/>
          <w:szCs w:val="18"/>
        </w:rPr>
        <w:t>publ</w:t>
      </w:r>
      <w:proofErr w:type="spellEnd"/>
      <w:r w:rsidR="00DC22DE" w:rsidRPr="00EA7479">
        <w:rPr>
          <w:rFonts w:cstheme="minorHAnsi"/>
          <w:szCs w:val="18"/>
        </w:rPr>
        <w:t xml:space="preserve">., </w:t>
      </w:r>
      <w:r w:rsidR="00DC22DE" w:rsidRPr="00EA7479">
        <w:rPr>
          <w:rFonts w:cstheme="minorHAnsi"/>
          <w:i/>
          <w:iCs/>
          <w:szCs w:val="18"/>
        </w:rPr>
        <w:t>Manue</w:t>
      </w:r>
      <w:r w:rsidR="00DC22DE">
        <w:rPr>
          <w:rFonts w:cstheme="minorHAnsi"/>
          <w:i/>
          <w:iCs/>
          <w:szCs w:val="18"/>
        </w:rPr>
        <w:t>l sur la protection des données dans l</w:t>
      </w:r>
      <w:r w:rsidR="003A234B">
        <w:rPr>
          <w:rFonts w:cstheme="minorHAnsi"/>
          <w:i/>
          <w:iCs/>
          <w:szCs w:val="18"/>
        </w:rPr>
        <w:t>’</w:t>
      </w:r>
      <w:r w:rsidR="00DC22DE">
        <w:rPr>
          <w:rFonts w:cstheme="minorHAnsi"/>
          <w:i/>
          <w:iCs/>
          <w:szCs w:val="18"/>
        </w:rPr>
        <w:t>action humanitaire</w:t>
      </w:r>
      <w:r w:rsidR="00DC22DE" w:rsidRPr="00EA7479">
        <w:rPr>
          <w:rFonts w:cstheme="minorHAnsi"/>
          <w:szCs w:val="18"/>
        </w:rPr>
        <w:t>, 2</w:t>
      </w:r>
      <w:r w:rsidR="00DC22DE" w:rsidRPr="00EA7479">
        <w:rPr>
          <w:rFonts w:cstheme="minorHAnsi"/>
          <w:szCs w:val="18"/>
          <w:vertAlign w:val="superscript"/>
        </w:rPr>
        <w:t>e</w:t>
      </w:r>
      <w:r w:rsidR="00DC22DE">
        <w:rPr>
          <w:rFonts w:cstheme="minorHAnsi"/>
          <w:szCs w:val="18"/>
        </w:rPr>
        <w:t xml:space="preserve"> éd.</w:t>
      </w:r>
      <w:r w:rsidR="00DC22DE" w:rsidRPr="00EA7479">
        <w:rPr>
          <w:rFonts w:cstheme="minorHAnsi"/>
          <w:szCs w:val="18"/>
        </w:rPr>
        <w:t xml:space="preserve"> (Genève, CICR, 2020)</w:t>
      </w:r>
      <w:hyperlink w:history="1"/>
      <w:r w:rsidR="00DC22DE" w:rsidRPr="00EA7479">
        <w:rPr>
          <w:rFonts w:cstheme="minorHAnsi"/>
          <w:szCs w:val="18"/>
        </w:rPr>
        <w:t>.</w:t>
      </w:r>
    </w:p>
  </w:footnote>
  <w:footnote w:id="53">
    <w:p w14:paraId="2E63AC6E" w14:textId="237942EE" w:rsidR="00DC22DE" w:rsidRPr="00EA7479" w:rsidRDefault="00DC22DE" w:rsidP="00DC22DE">
      <w:pPr>
        <w:pStyle w:val="Notedebasdepage"/>
      </w:pPr>
      <w:r w:rsidRPr="00EA7479">
        <w:tab/>
      </w:r>
      <w:r w:rsidRPr="00EA7479">
        <w:rPr>
          <w:rStyle w:val="Appelnotedebasdep"/>
        </w:rPr>
        <w:footnoteRef/>
      </w:r>
      <w:r w:rsidRPr="00EA7479">
        <w:rPr>
          <w:lang w:val="fr-FR"/>
        </w:rPr>
        <w:tab/>
      </w:r>
      <w:hyperlink r:id="rId51" w:history="1">
        <w:r w:rsidR="004F1A51">
          <w:rPr>
            <w:rStyle w:val="Lienhypertexte"/>
            <w:lang w:val="fr-FR"/>
          </w:rPr>
          <w:t>A/HRC/36/39/Add.2</w:t>
        </w:r>
      </w:hyperlink>
      <w:r w:rsidRPr="00EA7479">
        <w:rPr>
          <w:lang w:val="fr-FR"/>
        </w:rPr>
        <w:t xml:space="preserve">, </w:t>
      </w:r>
      <w:r w:rsidR="00562F45">
        <w:rPr>
          <w:lang w:val="fr-FR"/>
        </w:rPr>
        <w:t>par. </w:t>
      </w:r>
      <w:r w:rsidRPr="00EA7479">
        <w:rPr>
          <w:lang w:val="fr-FR"/>
        </w:rPr>
        <w:t>54 et 88</w:t>
      </w:r>
      <w:r w:rsidR="00634635">
        <w:rPr>
          <w:lang w:val="fr-FR"/>
        </w:rPr>
        <w:t> ;</w:t>
      </w:r>
      <w:r w:rsidRPr="00EA7479">
        <w:rPr>
          <w:lang w:val="fr-FR"/>
        </w:rPr>
        <w:t xml:space="preserve"> </w:t>
      </w:r>
      <w:hyperlink r:id="rId52" w:history="1">
        <w:r w:rsidR="004F1A51">
          <w:rPr>
            <w:rStyle w:val="Lienhypertexte"/>
            <w:lang w:val="fr-FR"/>
          </w:rPr>
          <w:t>CED/C/GRC/CO/1</w:t>
        </w:r>
      </w:hyperlink>
      <w:r w:rsidRPr="00EA7479">
        <w:rPr>
          <w:lang w:val="fr-FR"/>
        </w:rPr>
        <w:t xml:space="preserve">, </w:t>
      </w:r>
      <w:r w:rsidR="00562F45">
        <w:rPr>
          <w:lang w:val="fr-FR"/>
        </w:rPr>
        <w:t>par. </w:t>
      </w:r>
      <w:r w:rsidRPr="00EA7479">
        <w:rPr>
          <w:lang w:val="fr-FR"/>
        </w:rPr>
        <w:t>30</w:t>
      </w:r>
      <w:r w:rsidR="00634635">
        <w:rPr>
          <w:lang w:val="fr-FR"/>
        </w:rPr>
        <w:t> ;</w:t>
      </w:r>
      <w:r w:rsidRPr="00EA7479">
        <w:rPr>
          <w:lang w:val="fr-FR"/>
        </w:rPr>
        <w:t xml:space="preserve"> </w:t>
      </w:r>
      <w:hyperlink r:id="rId53" w:history="1">
        <w:r w:rsidR="004F1A51">
          <w:rPr>
            <w:rStyle w:val="Lienhypertexte"/>
            <w:lang w:val="fr-FR"/>
          </w:rPr>
          <w:t>CED/C/MEX/VR/1 (</w:t>
        </w:r>
        <w:proofErr w:type="spellStart"/>
        <w:r w:rsidR="004F1A51">
          <w:rPr>
            <w:rStyle w:val="Lienhypertexte"/>
            <w:lang w:val="fr-FR"/>
          </w:rPr>
          <w:t>Findings</w:t>
        </w:r>
        <w:proofErr w:type="spellEnd"/>
        <w:r w:rsidR="004F1A51">
          <w:rPr>
            <w:rStyle w:val="Lienhypertexte"/>
            <w:lang w:val="fr-FR"/>
          </w:rPr>
          <w:t>)</w:t>
        </w:r>
      </w:hyperlink>
      <w:r w:rsidRPr="00EA7479">
        <w:rPr>
          <w:lang w:val="fr-FR"/>
        </w:rPr>
        <w:t xml:space="preserve">, </w:t>
      </w:r>
      <w:r w:rsidR="00562F45">
        <w:rPr>
          <w:lang w:val="fr-FR"/>
        </w:rPr>
        <w:t>par. </w:t>
      </w:r>
      <w:r w:rsidRPr="00EA7479">
        <w:rPr>
          <w:lang w:val="fr-FR"/>
        </w:rPr>
        <w:t>18 à 20</w:t>
      </w:r>
      <w:r w:rsidR="00634635">
        <w:rPr>
          <w:lang w:val="fr-FR"/>
        </w:rPr>
        <w:t> ;</w:t>
      </w:r>
      <w:r w:rsidRPr="00EA7479">
        <w:rPr>
          <w:lang w:val="fr-FR"/>
        </w:rPr>
        <w:t xml:space="preserve"> </w:t>
      </w:r>
      <w:r>
        <w:t xml:space="preserve">Comité européen pour la prévention de la torture et des peines ou traitements inhumains ou dégradants, </w:t>
      </w:r>
      <w:r w:rsidR="004F1A51">
        <w:t>12</w:t>
      </w:r>
      <w:r w:rsidR="004F1A51" w:rsidRPr="004F1A51">
        <w:rPr>
          <w:vertAlign w:val="superscript"/>
        </w:rPr>
        <w:t>e</w:t>
      </w:r>
      <w:r w:rsidR="004F1A51">
        <w:t xml:space="preserve"> </w:t>
      </w:r>
      <w:r>
        <w:t xml:space="preserve">rapport général, 3 septembre 2002, </w:t>
      </w:r>
      <w:r w:rsidR="00562F45">
        <w:t>par. </w:t>
      </w:r>
      <w:r>
        <w:t xml:space="preserve">33, </w:t>
      </w:r>
      <w:r>
        <w:rPr>
          <w:i/>
          <w:iCs/>
        </w:rPr>
        <w:t>R</w:t>
      </w:r>
      <w:r w:rsidRPr="00363B22">
        <w:rPr>
          <w:i/>
          <w:iCs/>
        </w:rPr>
        <w:t xml:space="preserve">eport to the </w:t>
      </w:r>
      <w:proofErr w:type="spellStart"/>
      <w:r w:rsidRPr="00363B22">
        <w:rPr>
          <w:i/>
          <w:iCs/>
        </w:rPr>
        <w:t>Government</w:t>
      </w:r>
      <w:proofErr w:type="spellEnd"/>
      <w:r w:rsidRPr="00363B22">
        <w:rPr>
          <w:i/>
          <w:iCs/>
        </w:rPr>
        <w:t xml:space="preserve"> of </w:t>
      </w:r>
      <w:proofErr w:type="spellStart"/>
      <w:r w:rsidRPr="00363B22">
        <w:rPr>
          <w:i/>
          <w:iCs/>
        </w:rPr>
        <w:t>Greece</w:t>
      </w:r>
      <w:proofErr w:type="spellEnd"/>
      <w:r w:rsidRPr="00363B22">
        <w:rPr>
          <w:i/>
          <w:iCs/>
        </w:rPr>
        <w:t xml:space="preserve"> on the </w:t>
      </w:r>
      <w:proofErr w:type="spellStart"/>
      <w:r w:rsidRPr="00363B22">
        <w:rPr>
          <w:i/>
          <w:iCs/>
        </w:rPr>
        <w:t>visit</w:t>
      </w:r>
      <w:proofErr w:type="spellEnd"/>
      <w:r w:rsidRPr="00363B22">
        <w:rPr>
          <w:i/>
          <w:iCs/>
        </w:rPr>
        <w:t xml:space="preserve"> to </w:t>
      </w:r>
      <w:proofErr w:type="spellStart"/>
      <w:r w:rsidRPr="00363B22">
        <w:rPr>
          <w:i/>
          <w:iCs/>
        </w:rPr>
        <w:t>Greece</w:t>
      </w:r>
      <w:proofErr w:type="spellEnd"/>
      <w:r w:rsidRPr="00363B22">
        <w:rPr>
          <w:i/>
          <w:iCs/>
        </w:rPr>
        <w:t xml:space="preserve"> </w:t>
      </w:r>
      <w:proofErr w:type="spellStart"/>
      <w:r w:rsidRPr="00363B22">
        <w:rPr>
          <w:i/>
          <w:iCs/>
        </w:rPr>
        <w:t>from</w:t>
      </w:r>
      <w:proofErr w:type="spellEnd"/>
      <w:r w:rsidRPr="00363B22">
        <w:rPr>
          <w:i/>
          <w:iCs/>
        </w:rPr>
        <w:t xml:space="preserve"> 17 to 29 </w:t>
      </w:r>
      <w:proofErr w:type="spellStart"/>
      <w:r w:rsidRPr="00363B22">
        <w:rPr>
          <w:i/>
          <w:iCs/>
        </w:rPr>
        <w:t>September</w:t>
      </w:r>
      <w:proofErr w:type="spellEnd"/>
      <w:r w:rsidRPr="00363B22">
        <w:rPr>
          <w:i/>
          <w:iCs/>
        </w:rPr>
        <w:t xml:space="preserve"> 2009</w:t>
      </w:r>
      <w:r>
        <w:t xml:space="preserve">, 17 novembre 2010, </w:t>
      </w:r>
      <w:r w:rsidR="00562F45">
        <w:t>par. </w:t>
      </w:r>
      <w:r>
        <w:t>39 et 40</w:t>
      </w:r>
      <w:r w:rsidRPr="00363B22">
        <w:t xml:space="preserve">. </w:t>
      </w:r>
    </w:p>
  </w:footnote>
  <w:footnote w:id="54">
    <w:p w14:paraId="40DAC690" w14:textId="294FBD80" w:rsidR="00DC22DE" w:rsidRPr="00EA7479" w:rsidRDefault="00DC22DE" w:rsidP="00DC22DE">
      <w:pPr>
        <w:pStyle w:val="Notedebasdepage"/>
      </w:pPr>
      <w:r w:rsidRPr="00EA7479">
        <w:tab/>
      </w:r>
      <w:r w:rsidRPr="00EA7479">
        <w:rPr>
          <w:rStyle w:val="Appelnotedebasdep"/>
        </w:rPr>
        <w:footnoteRef/>
      </w:r>
      <w:r w:rsidRPr="00EA7479">
        <w:tab/>
      </w:r>
      <w:r>
        <w:t>Comité européen pour la prévention de la torture et des peines ou traitements inhumains ou dégradants</w:t>
      </w:r>
      <w:r w:rsidRPr="00EA7479">
        <w:t xml:space="preserve">, </w:t>
      </w:r>
      <w:r w:rsidRPr="00EA7479">
        <w:rPr>
          <w:i/>
          <w:iCs/>
        </w:rPr>
        <w:t xml:space="preserve">Report to the </w:t>
      </w:r>
      <w:proofErr w:type="spellStart"/>
      <w:r w:rsidRPr="00EA7479">
        <w:rPr>
          <w:i/>
          <w:iCs/>
        </w:rPr>
        <w:t>Government</w:t>
      </w:r>
      <w:proofErr w:type="spellEnd"/>
      <w:r w:rsidRPr="00EA7479">
        <w:rPr>
          <w:i/>
          <w:iCs/>
        </w:rPr>
        <w:t xml:space="preserve"> of </w:t>
      </w:r>
      <w:proofErr w:type="spellStart"/>
      <w:r w:rsidRPr="00EA7479">
        <w:rPr>
          <w:i/>
          <w:iCs/>
        </w:rPr>
        <w:t>Croatia</w:t>
      </w:r>
      <w:proofErr w:type="spellEnd"/>
      <w:r w:rsidRPr="00EA7479">
        <w:rPr>
          <w:i/>
          <w:iCs/>
        </w:rPr>
        <w:t xml:space="preserve"> on the </w:t>
      </w:r>
      <w:proofErr w:type="spellStart"/>
      <w:r w:rsidRPr="00EA7479">
        <w:rPr>
          <w:i/>
          <w:iCs/>
        </w:rPr>
        <w:t>visit</w:t>
      </w:r>
      <w:proofErr w:type="spellEnd"/>
      <w:r w:rsidRPr="00EA7479">
        <w:rPr>
          <w:i/>
          <w:iCs/>
        </w:rPr>
        <w:t xml:space="preserve"> to </w:t>
      </w:r>
      <w:proofErr w:type="spellStart"/>
      <w:r w:rsidRPr="00EA7479">
        <w:rPr>
          <w:i/>
          <w:iCs/>
        </w:rPr>
        <w:t>Croatia</w:t>
      </w:r>
      <w:proofErr w:type="spellEnd"/>
      <w:r w:rsidRPr="00EA7479">
        <w:rPr>
          <w:i/>
          <w:iCs/>
        </w:rPr>
        <w:t xml:space="preserve"> </w:t>
      </w:r>
      <w:proofErr w:type="spellStart"/>
      <w:r w:rsidRPr="00EA7479">
        <w:rPr>
          <w:i/>
          <w:iCs/>
        </w:rPr>
        <w:t>from</w:t>
      </w:r>
      <w:proofErr w:type="spellEnd"/>
      <w:r w:rsidRPr="00EA7479">
        <w:rPr>
          <w:i/>
          <w:iCs/>
        </w:rPr>
        <w:t xml:space="preserve"> 10 to 14 August 2020</w:t>
      </w:r>
      <w:r>
        <w:t xml:space="preserve">, </w:t>
      </w:r>
      <w:r w:rsidR="00DF78DC">
        <w:t xml:space="preserve">3 décembre 2021, </w:t>
      </w:r>
      <w:r w:rsidR="00562F45">
        <w:t>par. </w:t>
      </w:r>
      <w:r w:rsidRPr="00EA7479">
        <w:t xml:space="preserve">22. </w:t>
      </w:r>
      <w:r>
        <w:t xml:space="preserve">Sur la nécessité de tenir des registres et de les contrôler, voir </w:t>
      </w:r>
      <w:hyperlink r:id="rId54" w:history="1">
        <w:r w:rsidR="00DF78DC">
          <w:rPr>
            <w:rStyle w:val="Lienhypertexte"/>
          </w:rPr>
          <w:t>CED/C/GRC/CO/1</w:t>
        </w:r>
      </w:hyperlink>
      <w:r>
        <w:t xml:space="preserve">, </w:t>
      </w:r>
      <w:r w:rsidR="00562F45">
        <w:t>par. </w:t>
      </w:r>
      <w:r>
        <w:t>31 f) et g)</w:t>
      </w:r>
      <w:r w:rsidR="00634635">
        <w:t> ;</w:t>
      </w:r>
      <w:r>
        <w:t xml:space="preserve"> </w:t>
      </w:r>
      <w:r w:rsidRPr="00EA7479">
        <w:t>)</w:t>
      </w:r>
      <w:r w:rsidR="00634635">
        <w:t> ;</w:t>
      </w:r>
      <w:r w:rsidRPr="00EA7479">
        <w:t xml:space="preserve"> </w:t>
      </w:r>
      <w:hyperlink r:id="rId55" w:history="1">
        <w:r w:rsidR="00DF78DC">
          <w:rPr>
            <w:rStyle w:val="Lienhypertexte"/>
          </w:rPr>
          <w:t>CED/C/MEX/CO/1</w:t>
        </w:r>
      </w:hyperlink>
      <w:r w:rsidRPr="00EA7479">
        <w:t xml:space="preserve">, </w:t>
      </w:r>
      <w:r w:rsidR="00562F45">
        <w:t>par. </w:t>
      </w:r>
      <w:r w:rsidRPr="00EA7479">
        <w:t>34</w:t>
      </w:r>
      <w:r>
        <w:t xml:space="preserve"> et </w:t>
      </w:r>
      <w:r w:rsidRPr="00EA7479">
        <w:t xml:space="preserve">35, </w:t>
      </w:r>
      <w:r>
        <w:t xml:space="preserve">et </w:t>
      </w:r>
      <w:hyperlink r:id="rId56" w:history="1">
        <w:r w:rsidR="00DF78DC">
          <w:rPr>
            <w:rStyle w:val="Lienhypertexte"/>
          </w:rPr>
          <w:t>CED/C/MEX/VR/1 (</w:t>
        </w:r>
        <w:proofErr w:type="spellStart"/>
        <w:r w:rsidR="00DF78DC">
          <w:rPr>
            <w:rStyle w:val="Lienhypertexte"/>
          </w:rPr>
          <w:t>Recommendations</w:t>
        </w:r>
        <w:proofErr w:type="spellEnd"/>
        <w:r w:rsidR="00DF78DC">
          <w:rPr>
            <w:rStyle w:val="Lienhypertexte"/>
          </w:rPr>
          <w:t>)</w:t>
        </w:r>
      </w:hyperlink>
      <w:r w:rsidRPr="00EA7479">
        <w:t xml:space="preserve">, </w:t>
      </w:r>
      <w:r w:rsidR="00562F45">
        <w:t>par. </w:t>
      </w:r>
      <w:r w:rsidRPr="00EA7479">
        <w:t xml:space="preserve">105 à 107. </w:t>
      </w:r>
    </w:p>
  </w:footnote>
  <w:footnote w:id="55">
    <w:p w14:paraId="24004A8C" w14:textId="1BD99451" w:rsidR="00DC22DE" w:rsidRPr="00EA7479" w:rsidRDefault="00DC22DE" w:rsidP="00DC22DE">
      <w:pPr>
        <w:pStyle w:val="Notedebasdepage"/>
        <w:rPr>
          <w:lang w:val="en-US"/>
        </w:rPr>
      </w:pPr>
      <w:r w:rsidRPr="00EA7479">
        <w:tab/>
      </w:r>
      <w:r w:rsidRPr="00EA7479">
        <w:rPr>
          <w:rStyle w:val="Appelnotedebasdep"/>
        </w:rPr>
        <w:footnoteRef/>
      </w:r>
      <w:r w:rsidRPr="00DF78DC">
        <w:rPr>
          <w:lang w:val="en-US"/>
        </w:rPr>
        <w:tab/>
      </w:r>
      <w:proofErr w:type="spellStart"/>
      <w:r w:rsidRPr="00DF78DC">
        <w:rPr>
          <w:lang w:val="en-US"/>
        </w:rPr>
        <w:t>Comité</w:t>
      </w:r>
      <w:proofErr w:type="spellEnd"/>
      <w:r w:rsidRPr="00DF78DC">
        <w:rPr>
          <w:lang w:val="en-US"/>
        </w:rPr>
        <w:t xml:space="preserve"> </w:t>
      </w:r>
      <w:proofErr w:type="spellStart"/>
      <w:r w:rsidRPr="00DF78DC">
        <w:rPr>
          <w:lang w:val="en-US"/>
        </w:rPr>
        <w:t>européen</w:t>
      </w:r>
      <w:proofErr w:type="spellEnd"/>
      <w:r w:rsidRPr="00DF78DC">
        <w:rPr>
          <w:lang w:val="en-US"/>
        </w:rPr>
        <w:t xml:space="preserve"> pour la </w:t>
      </w:r>
      <w:proofErr w:type="spellStart"/>
      <w:r w:rsidRPr="00DF78DC">
        <w:rPr>
          <w:lang w:val="en-US"/>
        </w:rPr>
        <w:t>prévention</w:t>
      </w:r>
      <w:proofErr w:type="spellEnd"/>
      <w:r w:rsidRPr="00DF78DC">
        <w:rPr>
          <w:lang w:val="en-US"/>
        </w:rPr>
        <w:t xml:space="preserve"> de la torture et des </w:t>
      </w:r>
      <w:proofErr w:type="spellStart"/>
      <w:r w:rsidRPr="00DF78DC">
        <w:rPr>
          <w:lang w:val="en-US"/>
        </w:rPr>
        <w:t>peines</w:t>
      </w:r>
      <w:proofErr w:type="spellEnd"/>
      <w:r w:rsidRPr="00DF78DC">
        <w:rPr>
          <w:lang w:val="en-US"/>
        </w:rPr>
        <w:t xml:space="preserve"> </w:t>
      </w:r>
      <w:proofErr w:type="spellStart"/>
      <w:r w:rsidRPr="00DF78DC">
        <w:rPr>
          <w:lang w:val="en-US"/>
        </w:rPr>
        <w:t>ou</w:t>
      </w:r>
      <w:proofErr w:type="spellEnd"/>
      <w:r w:rsidRPr="00DF78DC">
        <w:rPr>
          <w:lang w:val="en-US"/>
        </w:rPr>
        <w:t xml:space="preserve"> </w:t>
      </w:r>
      <w:proofErr w:type="spellStart"/>
      <w:r w:rsidRPr="00DF78DC">
        <w:rPr>
          <w:lang w:val="en-US"/>
        </w:rPr>
        <w:t>traitements</w:t>
      </w:r>
      <w:proofErr w:type="spellEnd"/>
      <w:r w:rsidRPr="00DF78DC">
        <w:rPr>
          <w:lang w:val="en-US"/>
        </w:rPr>
        <w:t xml:space="preserve"> </w:t>
      </w:r>
      <w:proofErr w:type="spellStart"/>
      <w:r w:rsidRPr="00DF78DC">
        <w:rPr>
          <w:lang w:val="en-US"/>
        </w:rPr>
        <w:t>inhumains</w:t>
      </w:r>
      <w:proofErr w:type="spellEnd"/>
      <w:r w:rsidRPr="00DF78DC">
        <w:rPr>
          <w:lang w:val="en-US"/>
        </w:rPr>
        <w:t xml:space="preserve"> </w:t>
      </w:r>
      <w:proofErr w:type="spellStart"/>
      <w:r w:rsidRPr="00DF78DC">
        <w:rPr>
          <w:lang w:val="en-US"/>
        </w:rPr>
        <w:t>ou</w:t>
      </w:r>
      <w:proofErr w:type="spellEnd"/>
      <w:r w:rsidRPr="00DF78DC">
        <w:rPr>
          <w:lang w:val="en-US"/>
        </w:rPr>
        <w:t xml:space="preserve"> </w:t>
      </w:r>
      <w:proofErr w:type="spellStart"/>
      <w:r w:rsidRPr="00DF78DC">
        <w:rPr>
          <w:lang w:val="en-US"/>
        </w:rPr>
        <w:t>dégradants</w:t>
      </w:r>
      <w:proofErr w:type="spellEnd"/>
      <w:r w:rsidRPr="00DF78DC">
        <w:rPr>
          <w:lang w:val="en-US"/>
        </w:rPr>
        <w:t xml:space="preserve">, </w:t>
      </w:r>
      <w:r w:rsidRPr="00DF78DC">
        <w:rPr>
          <w:i/>
          <w:iCs/>
          <w:lang w:val="en-US"/>
        </w:rPr>
        <w:t>Report to the Government of Greece on the visit to Greece from 13 to 17 March 2020</w:t>
      </w:r>
      <w:r w:rsidRPr="00DF78DC">
        <w:rPr>
          <w:lang w:val="en-US"/>
        </w:rPr>
        <w:t xml:space="preserve">, </w:t>
      </w:r>
      <w:r w:rsidR="00DF78DC" w:rsidRPr="00DF78DC">
        <w:rPr>
          <w:lang w:val="en-US"/>
        </w:rPr>
        <w:t>19 </w:t>
      </w:r>
      <w:proofErr w:type="spellStart"/>
      <w:r w:rsidR="00DF78DC" w:rsidRPr="00DF78DC">
        <w:rPr>
          <w:lang w:val="en-US"/>
        </w:rPr>
        <w:t>novembre</w:t>
      </w:r>
      <w:proofErr w:type="spellEnd"/>
      <w:r w:rsidR="00DF78DC" w:rsidRPr="00DF78DC">
        <w:rPr>
          <w:lang w:val="en-US"/>
        </w:rPr>
        <w:t xml:space="preserve"> 2020, </w:t>
      </w:r>
      <w:r w:rsidR="00562F45" w:rsidRPr="00DF78DC">
        <w:rPr>
          <w:lang w:val="en-US"/>
        </w:rPr>
        <w:t>par. </w:t>
      </w:r>
      <w:r w:rsidRPr="00EA7479">
        <w:rPr>
          <w:lang w:val="en-US"/>
        </w:rPr>
        <w:t>57</w:t>
      </w:r>
      <w:r w:rsidR="00634635">
        <w:rPr>
          <w:lang w:val="en-US"/>
        </w:rPr>
        <w:t> ;</w:t>
      </w:r>
      <w:r w:rsidRPr="00EA7479">
        <w:rPr>
          <w:lang w:val="en-US"/>
        </w:rPr>
        <w:t xml:space="preserve"> </w:t>
      </w:r>
      <w:r w:rsidRPr="00EA7479">
        <w:rPr>
          <w:i/>
          <w:iCs/>
          <w:lang w:val="en-US"/>
        </w:rPr>
        <w:t>Report to the Government of Croatia on the visit to Croatia from 10 to 14 August 2020</w:t>
      </w:r>
      <w:r w:rsidRPr="00EA7479">
        <w:rPr>
          <w:lang w:val="en-US"/>
        </w:rPr>
        <w:t xml:space="preserve">, </w:t>
      </w:r>
      <w:r w:rsidR="00562F45">
        <w:rPr>
          <w:lang w:val="en-US"/>
        </w:rPr>
        <w:t>par. </w:t>
      </w:r>
      <w:r w:rsidRPr="00EA7479">
        <w:rPr>
          <w:lang w:val="en-US"/>
        </w:rPr>
        <w:t>14 et 22.</w:t>
      </w:r>
    </w:p>
  </w:footnote>
  <w:footnote w:id="56">
    <w:p w14:paraId="3A38943B" w14:textId="4E76E8ED" w:rsidR="00DC22DE" w:rsidRPr="00EA7479" w:rsidRDefault="00DC22DE" w:rsidP="00DC22DE">
      <w:pPr>
        <w:pStyle w:val="Notedebasdepage"/>
        <w:rPr>
          <w:u w:val="single"/>
        </w:rPr>
      </w:pPr>
      <w:r w:rsidRPr="00EA7479">
        <w:rPr>
          <w:lang w:val="en-US"/>
        </w:rPr>
        <w:tab/>
      </w:r>
      <w:r w:rsidRPr="00EA7479">
        <w:rPr>
          <w:rStyle w:val="Appelnotedebasdep"/>
        </w:rPr>
        <w:footnoteRef/>
      </w:r>
      <w:r w:rsidRPr="00EA7479">
        <w:tab/>
      </w:r>
      <w:r>
        <w:t xml:space="preserve">Comité européen pour la prévention de la torture et des peines ou traitements inhumains ou dégradants, </w:t>
      </w:r>
      <w:r w:rsidRPr="00EA7479">
        <w:rPr>
          <w:i/>
          <w:iCs/>
        </w:rPr>
        <w:t xml:space="preserve">Report to the </w:t>
      </w:r>
      <w:proofErr w:type="spellStart"/>
      <w:r w:rsidRPr="00EA7479">
        <w:rPr>
          <w:i/>
          <w:iCs/>
        </w:rPr>
        <w:t>Government</w:t>
      </w:r>
      <w:proofErr w:type="spellEnd"/>
      <w:r w:rsidRPr="00EA7479">
        <w:rPr>
          <w:i/>
          <w:iCs/>
        </w:rPr>
        <w:t xml:space="preserve"> of </w:t>
      </w:r>
      <w:proofErr w:type="spellStart"/>
      <w:r w:rsidRPr="00EA7479">
        <w:rPr>
          <w:i/>
          <w:iCs/>
        </w:rPr>
        <w:t>Croatia</w:t>
      </w:r>
      <w:proofErr w:type="spellEnd"/>
      <w:r w:rsidRPr="00EA7479">
        <w:rPr>
          <w:i/>
          <w:iCs/>
        </w:rPr>
        <w:t xml:space="preserve"> on the </w:t>
      </w:r>
      <w:proofErr w:type="spellStart"/>
      <w:r w:rsidRPr="00EA7479">
        <w:rPr>
          <w:i/>
          <w:iCs/>
        </w:rPr>
        <w:t>visit</w:t>
      </w:r>
      <w:proofErr w:type="spellEnd"/>
      <w:r w:rsidRPr="00EA7479">
        <w:rPr>
          <w:i/>
          <w:iCs/>
        </w:rPr>
        <w:t xml:space="preserve"> to </w:t>
      </w:r>
      <w:proofErr w:type="spellStart"/>
      <w:r w:rsidRPr="00EA7479">
        <w:rPr>
          <w:i/>
          <w:iCs/>
        </w:rPr>
        <w:t>Croatia</w:t>
      </w:r>
      <w:proofErr w:type="spellEnd"/>
      <w:r w:rsidRPr="00EA7479">
        <w:rPr>
          <w:i/>
          <w:iCs/>
        </w:rPr>
        <w:t xml:space="preserve"> </w:t>
      </w:r>
      <w:proofErr w:type="spellStart"/>
      <w:r w:rsidRPr="00EA7479">
        <w:rPr>
          <w:i/>
          <w:iCs/>
        </w:rPr>
        <w:t>from</w:t>
      </w:r>
      <w:proofErr w:type="spellEnd"/>
      <w:r w:rsidRPr="00EA7479">
        <w:rPr>
          <w:i/>
          <w:iCs/>
        </w:rPr>
        <w:t xml:space="preserve"> 10 to 14 August 2020</w:t>
      </w:r>
      <w:r w:rsidRPr="00EA7479">
        <w:t xml:space="preserve">, </w:t>
      </w:r>
      <w:r w:rsidR="00562F45">
        <w:t>par. </w:t>
      </w:r>
      <w:r w:rsidRPr="00EA7479">
        <w:t>5, 9 et 22.</w:t>
      </w:r>
      <w:r w:rsidRPr="00B451BE">
        <w:t xml:space="preserve"> </w:t>
      </w:r>
      <w:r>
        <w:t>Sur l</w:t>
      </w:r>
      <w:r w:rsidR="003A234B">
        <w:t>’</w:t>
      </w:r>
      <w:r>
        <w:t xml:space="preserve">utilisation de la technologie comme outil pour réunir des informations sur les cas de disparition forcée, voir Border Violence Monitoring Network, </w:t>
      </w:r>
      <w:r>
        <w:rPr>
          <w:i/>
          <w:iCs/>
        </w:rPr>
        <w:t xml:space="preserve">EU </w:t>
      </w:r>
      <w:proofErr w:type="spellStart"/>
      <w:r>
        <w:rPr>
          <w:i/>
          <w:iCs/>
        </w:rPr>
        <w:t>Member</w:t>
      </w:r>
      <w:proofErr w:type="spellEnd"/>
      <w:r>
        <w:rPr>
          <w:i/>
          <w:iCs/>
        </w:rPr>
        <w:t xml:space="preserve"> States</w:t>
      </w:r>
      <w:r w:rsidR="003A234B">
        <w:rPr>
          <w:i/>
          <w:iCs/>
        </w:rPr>
        <w:t>’</w:t>
      </w:r>
      <w:r>
        <w:rPr>
          <w:i/>
          <w:iCs/>
        </w:rPr>
        <w:t xml:space="preserve"> use of new technologies in </w:t>
      </w:r>
      <w:proofErr w:type="spellStart"/>
      <w:r>
        <w:rPr>
          <w:i/>
          <w:iCs/>
        </w:rPr>
        <w:t>enforced</w:t>
      </w:r>
      <w:proofErr w:type="spellEnd"/>
      <w:r>
        <w:rPr>
          <w:i/>
          <w:iCs/>
        </w:rPr>
        <w:t xml:space="preserve"> </w:t>
      </w:r>
      <w:proofErr w:type="spellStart"/>
      <w:r>
        <w:rPr>
          <w:i/>
          <w:iCs/>
        </w:rPr>
        <w:t>disappearances</w:t>
      </w:r>
      <w:proofErr w:type="spellEnd"/>
      <w:r>
        <w:t xml:space="preserve">, </w:t>
      </w:r>
      <w:r w:rsidR="00562F45">
        <w:t>par. </w:t>
      </w:r>
      <w:r>
        <w:t>16 à 28</w:t>
      </w:r>
      <w:r w:rsidRPr="00EA7479">
        <w:t>.</w:t>
      </w:r>
    </w:p>
  </w:footnote>
  <w:footnote w:id="57">
    <w:p w14:paraId="279B7E31" w14:textId="6A8D23CC" w:rsidR="00DC22DE" w:rsidRPr="00EA7479" w:rsidRDefault="00DC22DE" w:rsidP="00DC22DE">
      <w:pPr>
        <w:pStyle w:val="Notedebasdepage"/>
        <w:rPr>
          <w:rFonts w:cstheme="minorHAnsi"/>
          <w:szCs w:val="18"/>
        </w:rPr>
      </w:pPr>
      <w:r w:rsidRPr="00396D7B">
        <w:rPr>
          <w:rFonts w:cstheme="minorHAnsi"/>
          <w:szCs w:val="18"/>
        </w:rPr>
        <w:tab/>
      </w:r>
      <w:r w:rsidRPr="00EA7479">
        <w:rPr>
          <w:rStyle w:val="Appelnotedebasdep"/>
        </w:rPr>
        <w:footnoteRef/>
      </w:r>
      <w:r w:rsidRPr="00EA7479">
        <w:rPr>
          <w:rFonts w:cstheme="minorHAnsi"/>
          <w:szCs w:val="18"/>
        </w:rPr>
        <w:tab/>
      </w:r>
      <w:hyperlink r:id="rId57" w:history="1">
        <w:r w:rsidR="00322909">
          <w:rPr>
            <w:rStyle w:val="Lienhypertexte"/>
            <w:rFonts w:cstheme="minorHAnsi"/>
            <w:szCs w:val="18"/>
          </w:rPr>
          <w:t>CED/C/MEX/VR/1 (</w:t>
        </w:r>
        <w:proofErr w:type="spellStart"/>
        <w:r w:rsidR="00322909">
          <w:rPr>
            <w:rStyle w:val="Lienhypertexte"/>
            <w:rFonts w:cstheme="minorHAnsi"/>
            <w:szCs w:val="18"/>
          </w:rPr>
          <w:t>Recommendations</w:t>
        </w:r>
        <w:proofErr w:type="spellEnd"/>
        <w:r w:rsidR="00322909">
          <w:rPr>
            <w:rStyle w:val="Lienhypertexte"/>
            <w:rFonts w:cstheme="minorHAnsi"/>
            <w:szCs w:val="18"/>
          </w:rPr>
          <w:t>)</w:t>
        </w:r>
      </w:hyperlink>
      <w:r w:rsidRPr="00EA7479">
        <w:rPr>
          <w:rFonts w:cstheme="minorHAnsi"/>
          <w:szCs w:val="18"/>
        </w:rPr>
        <w:t xml:space="preserve">, </w:t>
      </w:r>
      <w:r w:rsidR="00562F45">
        <w:rPr>
          <w:rFonts w:cstheme="minorHAnsi"/>
          <w:szCs w:val="18"/>
        </w:rPr>
        <w:t>par. </w:t>
      </w:r>
      <w:r>
        <w:rPr>
          <w:rFonts w:cstheme="minorHAnsi"/>
          <w:szCs w:val="18"/>
        </w:rPr>
        <w:t>16 et 17.</w:t>
      </w:r>
      <w:r w:rsidRPr="00EA7479">
        <w:rPr>
          <w:rFonts w:cstheme="minorHAnsi"/>
          <w:szCs w:val="18"/>
        </w:rPr>
        <w:t>.</w:t>
      </w:r>
    </w:p>
  </w:footnote>
  <w:footnote w:id="58">
    <w:p w14:paraId="1344E0B7" w14:textId="2562E34D" w:rsidR="00DC22DE" w:rsidRPr="00EA7479" w:rsidRDefault="00DC22DE" w:rsidP="00DC22DE">
      <w:pPr>
        <w:pStyle w:val="Notedebasdepage"/>
        <w:rPr>
          <w:rFonts w:cstheme="minorHAnsi"/>
          <w:szCs w:val="18"/>
          <w:lang w:val="fr-FR"/>
        </w:rPr>
      </w:pPr>
      <w:r w:rsidRPr="00EA7479">
        <w:rPr>
          <w:rFonts w:cstheme="minorHAnsi"/>
          <w:szCs w:val="18"/>
        </w:rPr>
        <w:tab/>
      </w:r>
      <w:r w:rsidRPr="00EA7479">
        <w:rPr>
          <w:rStyle w:val="Appelnotedebasdep"/>
        </w:rPr>
        <w:footnoteRef/>
      </w:r>
      <w:r w:rsidRPr="00EA7479">
        <w:rPr>
          <w:rFonts w:cstheme="minorHAnsi"/>
          <w:szCs w:val="18"/>
        </w:rPr>
        <w:tab/>
        <w:t>Voir aussi Comité des droits de l</w:t>
      </w:r>
      <w:r w:rsidR="003A234B">
        <w:rPr>
          <w:rFonts w:cstheme="minorHAnsi"/>
          <w:szCs w:val="18"/>
        </w:rPr>
        <w:t>’</w:t>
      </w:r>
      <w:r w:rsidRPr="00EA7479">
        <w:rPr>
          <w:rFonts w:cstheme="minorHAnsi"/>
          <w:szCs w:val="18"/>
        </w:rPr>
        <w:t xml:space="preserve">enfant, </w:t>
      </w:r>
      <w:r>
        <w:rPr>
          <w:rFonts w:cstheme="minorHAnsi"/>
          <w:szCs w:val="18"/>
        </w:rPr>
        <w:t xml:space="preserve">observation générale </w:t>
      </w:r>
      <w:r w:rsidR="00634635">
        <w:rPr>
          <w:rFonts w:eastAsia="MS Mincho"/>
        </w:rPr>
        <w:t>n</w:t>
      </w:r>
      <w:r w:rsidR="00634635">
        <w:rPr>
          <w:rFonts w:eastAsia="MS Mincho"/>
          <w:vertAlign w:val="superscript"/>
        </w:rPr>
        <w:t>o</w:t>
      </w:r>
      <w:r w:rsidR="00634635">
        <w:t> </w:t>
      </w:r>
      <w:r w:rsidRPr="00EA7479">
        <w:rPr>
          <w:rFonts w:cstheme="minorHAnsi"/>
          <w:szCs w:val="18"/>
        </w:rPr>
        <w:t xml:space="preserve">6 (2005), </w:t>
      </w:r>
      <w:r w:rsidR="00562F45">
        <w:rPr>
          <w:rFonts w:cstheme="minorHAnsi"/>
          <w:szCs w:val="18"/>
        </w:rPr>
        <w:t>par. </w:t>
      </w:r>
      <w:r w:rsidRPr="00EA7479">
        <w:rPr>
          <w:rFonts w:cstheme="minorHAnsi"/>
          <w:szCs w:val="18"/>
          <w:lang w:val="fr-FR"/>
        </w:rPr>
        <w:t>100.</w:t>
      </w:r>
    </w:p>
  </w:footnote>
  <w:footnote w:id="59">
    <w:p w14:paraId="546D87D3" w14:textId="0032C007" w:rsidR="00DC22DE" w:rsidRPr="00EA7479" w:rsidRDefault="00DC22DE" w:rsidP="00DC22DE">
      <w:pPr>
        <w:pStyle w:val="Notedebasdepage"/>
        <w:rPr>
          <w:rFonts w:cstheme="minorHAnsi"/>
          <w:szCs w:val="18"/>
          <w:lang w:val="fr-FR"/>
        </w:rPr>
      </w:pPr>
      <w:r w:rsidRPr="00EA7479">
        <w:rPr>
          <w:rFonts w:cstheme="minorHAnsi"/>
          <w:szCs w:val="18"/>
          <w:lang w:val="fr-FR"/>
        </w:rPr>
        <w:tab/>
      </w:r>
      <w:r w:rsidRPr="00EA7479">
        <w:rPr>
          <w:rStyle w:val="Appelnotedebasdep"/>
        </w:rPr>
        <w:footnoteRef/>
      </w:r>
      <w:r w:rsidRPr="00EA7479">
        <w:rPr>
          <w:rFonts w:cstheme="minorHAnsi"/>
          <w:szCs w:val="18"/>
        </w:rPr>
        <w:tab/>
      </w:r>
      <w:r>
        <w:rPr>
          <w:rStyle w:val="termfield"/>
          <w:lang w:val="fr-FR"/>
        </w:rPr>
        <w:t>Comité pour l</w:t>
      </w:r>
      <w:r w:rsidR="003A234B">
        <w:rPr>
          <w:rStyle w:val="termfield"/>
          <w:lang w:val="fr-FR"/>
        </w:rPr>
        <w:t>’</w:t>
      </w:r>
      <w:r>
        <w:rPr>
          <w:rStyle w:val="termfield"/>
          <w:lang w:val="fr-FR"/>
        </w:rPr>
        <w:t>élimination de la discrimination à l</w:t>
      </w:r>
      <w:r w:rsidR="003A234B">
        <w:rPr>
          <w:rStyle w:val="termfield"/>
          <w:lang w:val="fr-FR"/>
        </w:rPr>
        <w:t>’</w:t>
      </w:r>
      <w:r>
        <w:rPr>
          <w:rStyle w:val="termfield"/>
          <w:lang w:val="fr-FR"/>
        </w:rPr>
        <w:t>égard des femmes</w:t>
      </w:r>
      <w:r w:rsidRPr="00EA7479">
        <w:rPr>
          <w:rFonts w:cstheme="minorHAnsi"/>
          <w:szCs w:val="18"/>
        </w:rPr>
        <w:t xml:space="preserve">, </w:t>
      </w:r>
      <w:r>
        <w:rPr>
          <w:rFonts w:cstheme="minorHAnsi"/>
          <w:szCs w:val="18"/>
        </w:rPr>
        <w:t xml:space="preserve">recommandation générale </w:t>
      </w:r>
      <w:r w:rsidR="00634635">
        <w:rPr>
          <w:rFonts w:eastAsia="MS Mincho"/>
        </w:rPr>
        <w:t>n</w:t>
      </w:r>
      <w:r w:rsidR="00634635">
        <w:rPr>
          <w:rFonts w:eastAsia="MS Mincho"/>
          <w:vertAlign w:val="superscript"/>
        </w:rPr>
        <w:t>o</w:t>
      </w:r>
      <w:r w:rsidR="00634635">
        <w:t> </w:t>
      </w:r>
      <w:r w:rsidRPr="00EA7479">
        <w:rPr>
          <w:rFonts w:cstheme="minorHAnsi"/>
          <w:szCs w:val="18"/>
        </w:rPr>
        <w:t xml:space="preserve">38 (2020), </w:t>
      </w:r>
      <w:r w:rsidR="00562F45">
        <w:rPr>
          <w:rFonts w:cstheme="minorHAnsi"/>
          <w:szCs w:val="18"/>
        </w:rPr>
        <w:t>par. </w:t>
      </w:r>
      <w:r w:rsidRPr="00EA7479">
        <w:rPr>
          <w:rFonts w:cstheme="minorHAnsi"/>
          <w:szCs w:val="18"/>
          <w:lang w:val="fr-FR"/>
        </w:rPr>
        <w:t>109.</w:t>
      </w:r>
    </w:p>
  </w:footnote>
  <w:footnote w:id="60">
    <w:p w14:paraId="09007E1A" w14:textId="0F4C953D" w:rsidR="00DC22DE" w:rsidRPr="00EA7479" w:rsidRDefault="00DC22DE" w:rsidP="00DC22DE">
      <w:pPr>
        <w:pStyle w:val="Notedebasdepage"/>
        <w:rPr>
          <w:rFonts w:cstheme="minorHAnsi"/>
          <w:szCs w:val="18"/>
        </w:rPr>
      </w:pPr>
      <w:r w:rsidRPr="00EA7479">
        <w:rPr>
          <w:rFonts w:cstheme="minorHAnsi"/>
          <w:szCs w:val="18"/>
          <w:lang w:val="fr-FR"/>
        </w:rPr>
        <w:tab/>
      </w:r>
      <w:r w:rsidRPr="00EA7479">
        <w:rPr>
          <w:rStyle w:val="Appelnotedebasdep"/>
        </w:rPr>
        <w:footnoteRef/>
      </w:r>
      <w:r w:rsidRPr="00EA7479">
        <w:rPr>
          <w:rFonts w:cstheme="minorHAnsi"/>
          <w:szCs w:val="18"/>
        </w:rPr>
        <w:tab/>
      </w:r>
      <w:r>
        <w:t>Pacte mondial pour des migrations sûres, ordonnées et régulières, objectifs 5, 7</w:t>
      </w:r>
      <w:r w:rsidR="00334430">
        <w:t xml:space="preserve"> à 11</w:t>
      </w:r>
      <w:r>
        <w:t>, 13, 14 et 17</w:t>
      </w:r>
      <w:r w:rsidRPr="00EA7479">
        <w:rPr>
          <w:rFonts w:cstheme="minorHAnsi"/>
          <w:szCs w:val="18"/>
        </w:rPr>
        <w:t xml:space="preserve">. </w:t>
      </w:r>
      <w:r>
        <w:rPr>
          <w:rFonts w:cstheme="minorHAnsi"/>
          <w:szCs w:val="18"/>
        </w:rPr>
        <w:t xml:space="preserve">Voir aussi </w:t>
      </w:r>
      <w:r>
        <w:rPr>
          <w:rStyle w:val="termfield"/>
          <w:lang w:val="fr-FR"/>
        </w:rPr>
        <w:t>Comité pour l</w:t>
      </w:r>
      <w:r w:rsidR="003A234B">
        <w:rPr>
          <w:rStyle w:val="termfield"/>
          <w:lang w:val="fr-FR"/>
        </w:rPr>
        <w:t>’</w:t>
      </w:r>
      <w:r>
        <w:rPr>
          <w:rStyle w:val="termfield"/>
          <w:lang w:val="fr-FR"/>
        </w:rPr>
        <w:t>élimination de la discrimination à l</w:t>
      </w:r>
      <w:r w:rsidR="003A234B">
        <w:rPr>
          <w:rStyle w:val="termfield"/>
          <w:lang w:val="fr-FR"/>
        </w:rPr>
        <w:t>’</w:t>
      </w:r>
      <w:r>
        <w:rPr>
          <w:rStyle w:val="termfield"/>
          <w:lang w:val="fr-FR"/>
        </w:rPr>
        <w:t>égard des femmes</w:t>
      </w:r>
      <w:r w:rsidRPr="00396D7B">
        <w:rPr>
          <w:rFonts w:cstheme="minorHAnsi"/>
          <w:szCs w:val="18"/>
        </w:rPr>
        <w:t xml:space="preserve">, </w:t>
      </w:r>
      <w:r>
        <w:rPr>
          <w:rFonts w:cstheme="minorHAnsi"/>
          <w:szCs w:val="18"/>
        </w:rPr>
        <w:t xml:space="preserve">recommandation générale </w:t>
      </w:r>
      <w:r w:rsidR="00634635">
        <w:rPr>
          <w:rFonts w:eastAsia="MS Mincho"/>
        </w:rPr>
        <w:t>n</w:t>
      </w:r>
      <w:r w:rsidR="00634635">
        <w:rPr>
          <w:rFonts w:eastAsia="MS Mincho"/>
          <w:vertAlign w:val="superscript"/>
        </w:rPr>
        <w:t>o</w:t>
      </w:r>
      <w:r w:rsidR="00634635">
        <w:t> </w:t>
      </w:r>
      <w:r w:rsidRPr="00396D7B">
        <w:rPr>
          <w:rFonts w:cstheme="minorHAnsi"/>
          <w:szCs w:val="18"/>
        </w:rPr>
        <w:t>38 (2020)</w:t>
      </w:r>
      <w:r w:rsidRPr="00EA7479">
        <w:rPr>
          <w:rFonts w:cstheme="minorHAnsi"/>
          <w:szCs w:val="18"/>
        </w:rPr>
        <w:t xml:space="preserve">), </w:t>
      </w:r>
      <w:r w:rsidR="00562F45">
        <w:rPr>
          <w:rFonts w:cstheme="minorHAnsi"/>
          <w:szCs w:val="18"/>
        </w:rPr>
        <w:t>par. </w:t>
      </w:r>
      <w:r w:rsidRPr="00EA7479">
        <w:rPr>
          <w:rFonts w:cstheme="minorHAnsi"/>
          <w:szCs w:val="18"/>
        </w:rPr>
        <w:t xml:space="preserve">56 </w:t>
      </w:r>
      <w:r>
        <w:rPr>
          <w:rFonts w:cstheme="minorHAnsi"/>
          <w:szCs w:val="18"/>
        </w:rPr>
        <w:t xml:space="preserve">à </w:t>
      </w:r>
      <w:r w:rsidRPr="00EA7479">
        <w:rPr>
          <w:rFonts w:cstheme="minorHAnsi"/>
          <w:szCs w:val="18"/>
        </w:rPr>
        <w:t>60.</w:t>
      </w:r>
    </w:p>
  </w:footnote>
  <w:footnote w:id="61">
    <w:p w14:paraId="72F253C1" w14:textId="59BC957F" w:rsidR="00DC22DE" w:rsidRPr="001C0389" w:rsidRDefault="00DC22DE" w:rsidP="00DC22DE">
      <w:pPr>
        <w:pStyle w:val="Notedebasdepage"/>
        <w:rPr>
          <w:rFonts w:cstheme="minorHAnsi"/>
          <w:szCs w:val="18"/>
          <w:lang w:val="en-US"/>
        </w:rPr>
      </w:pPr>
      <w:r w:rsidRPr="00EA7479">
        <w:rPr>
          <w:rFonts w:cstheme="minorHAnsi"/>
          <w:szCs w:val="18"/>
          <w:lang w:val="fr-FR"/>
        </w:rPr>
        <w:tab/>
      </w:r>
      <w:r w:rsidRPr="00EA7479">
        <w:rPr>
          <w:rStyle w:val="Appelnotedebasdep"/>
        </w:rPr>
        <w:footnoteRef/>
      </w:r>
      <w:r w:rsidRPr="001C0389">
        <w:rPr>
          <w:rFonts w:cstheme="minorHAnsi"/>
          <w:szCs w:val="18"/>
          <w:lang w:val="en-US"/>
        </w:rPr>
        <w:tab/>
      </w:r>
      <w:hyperlink r:id="rId58" w:history="1">
        <w:r w:rsidR="00334430">
          <w:rPr>
            <w:rStyle w:val="Lienhypertexte"/>
            <w:rFonts w:cstheme="minorHAnsi"/>
            <w:szCs w:val="18"/>
            <w:lang w:val="en-US"/>
          </w:rPr>
          <w:t>A/HRC/36/39/Add.2</w:t>
        </w:r>
      </w:hyperlink>
      <w:r w:rsidRPr="001C0389">
        <w:rPr>
          <w:rFonts w:cstheme="minorHAnsi"/>
          <w:szCs w:val="18"/>
          <w:lang w:val="en-US"/>
        </w:rPr>
        <w:t xml:space="preserve">, </w:t>
      </w:r>
      <w:r w:rsidR="00562F45">
        <w:rPr>
          <w:rFonts w:cstheme="minorHAnsi"/>
          <w:szCs w:val="18"/>
          <w:lang w:val="en-US"/>
        </w:rPr>
        <w:t>par. </w:t>
      </w:r>
      <w:r w:rsidRPr="001C0389">
        <w:rPr>
          <w:rFonts w:cstheme="minorHAnsi"/>
          <w:szCs w:val="18"/>
          <w:lang w:val="en-US"/>
        </w:rPr>
        <w:t>35</w:t>
      </w:r>
      <w:r>
        <w:rPr>
          <w:rFonts w:cstheme="minorHAnsi"/>
          <w:szCs w:val="18"/>
          <w:lang w:val="en-US"/>
        </w:rPr>
        <w:t xml:space="preserve">, </w:t>
      </w:r>
      <w:r w:rsidRPr="001C0389">
        <w:rPr>
          <w:rFonts w:cstheme="minorHAnsi"/>
          <w:szCs w:val="18"/>
          <w:lang w:val="en-US"/>
        </w:rPr>
        <w:t xml:space="preserve">Human Rights Commission of Malaysia </w:t>
      </w:r>
      <w:r>
        <w:rPr>
          <w:rFonts w:cstheme="minorHAnsi"/>
          <w:szCs w:val="18"/>
          <w:lang w:val="en-US"/>
        </w:rPr>
        <w:t>et</w:t>
      </w:r>
      <w:r w:rsidRPr="001C0389">
        <w:rPr>
          <w:rFonts w:cstheme="minorHAnsi"/>
          <w:szCs w:val="18"/>
          <w:lang w:val="en-US"/>
        </w:rPr>
        <w:t xml:space="preserve"> Fortify Rights, </w:t>
      </w:r>
      <w:r w:rsidR="00476F42" w:rsidRPr="00476F42">
        <w:rPr>
          <w:i/>
          <w:iCs/>
          <w:lang w:val="en-US"/>
        </w:rPr>
        <w:t>"</w:t>
      </w:r>
      <w:r w:rsidRPr="00EA7479">
        <w:rPr>
          <w:i/>
          <w:iCs/>
          <w:lang w:val="en-CA"/>
        </w:rPr>
        <w:t>Sold like Fish”: Crimes against Humanity, Mass Graves, and Human Trafficking from Myanmar and Bangladesh to Malaysia from 2012 to 2015</w:t>
      </w:r>
      <w:r>
        <w:rPr>
          <w:rFonts w:cstheme="minorHAnsi"/>
          <w:szCs w:val="18"/>
          <w:lang w:val="en-US"/>
        </w:rPr>
        <w:t>.</w:t>
      </w:r>
    </w:p>
  </w:footnote>
  <w:footnote w:id="62">
    <w:p w14:paraId="558408AD" w14:textId="34F832A3" w:rsidR="00DC22DE" w:rsidRPr="001C0389" w:rsidRDefault="00DC22DE" w:rsidP="00DC22DE">
      <w:pPr>
        <w:pStyle w:val="Notedebasdepage"/>
        <w:rPr>
          <w:rFonts w:cstheme="minorHAnsi"/>
          <w:szCs w:val="18"/>
          <w:lang w:val="en-US"/>
        </w:rPr>
      </w:pPr>
      <w:r w:rsidRPr="001C0389">
        <w:rPr>
          <w:rFonts w:cstheme="minorHAnsi"/>
          <w:szCs w:val="18"/>
          <w:lang w:val="en-US"/>
        </w:rPr>
        <w:tab/>
      </w:r>
      <w:r w:rsidRPr="00EA7479">
        <w:rPr>
          <w:rStyle w:val="Appelnotedebasdep"/>
        </w:rPr>
        <w:footnoteRef/>
      </w:r>
      <w:r w:rsidRPr="001C0389">
        <w:rPr>
          <w:rFonts w:cstheme="minorHAnsi"/>
          <w:szCs w:val="18"/>
          <w:lang w:val="en-US"/>
        </w:rPr>
        <w:tab/>
      </w:r>
      <w:hyperlink r:id="rId59" w:history="1">
        <w:r w:rsidR="00334430">
          <w:rPr>
            <w:rStyle w:val="Lienhypertexte"/>
            <w:rFonts w:cstheme="minorHAnsi"/>
            <w:szCs w:val="18"/>
            <w:lang w:val="en-US"/>
          </w:rPr>
          <w:t>A/HRC/40/59</w:t>
        </w:r>
      </w:hyperlink>
      <w:r w:rsidR="00634635">
        <w:rPr>
          <w:rFonts w:cstheme="minorHAnsi"/>
          <w:szCs w:val="18"/>
          <w:lang w:val="en-US"/>
        </w:rPr>
        <w:t> ;</w:t>
      </w:r>
      <w:r>
        <w:rPr>
          <w:rFonts w:cstheme="minorHAnsi"/>
          <w:szCs w:val="18"/>
          <w:lang w:val="en-US"/>
        </w:rPr>
        <w:t xml:space="preserve"> </w:t>
      </w:r>
      <w:hyperlink r:id="rId60" w:history="1">
        <w:r w:rsidR="00334430">
          <w:rPr>
            <w:rStyle w:val="Lienhypertexte"/>
            <w:rFonts w:cstheme="minorHAnsi"/>
            <w:szCs w:val="18"/>
            <w:lang w:val="en-US"/>
          </w:rPr>
          <w:t>CED/C/GAB/CO/1</w:t>
        </w:r>
      </w:hyperlink>
      <w:r w:rsidRPr="001C0389">
        <w:rPr>
          <w:rFonts w:cstheme="minorHAnsi"/>
          <w:szCs w:val="18"/>
          <w:lang w:val="en-US"/>
        </w:rPr>
        <w:t xml:space="preserve">, </w:t>
      </w:r>
      <w:r w:rsidR="00562F45">
        <w:rPr>
          <w:rFonts w:cstheme="minorHAnsi"/>
          <w:szCs w:val="18"/>
          <w:lang w:val="en-US"/>
        </w:rPr>
        <w:t>par. </w:t>
      </w:r>
      <w:r w:rsidRPr="001C0389">
        <w:rPr>
          <w:rFonts w:cstheme="minorHAnsi"/>
          <w:szCs w:val="18"/>
          <w:lang w:val="en-US"/>
        </w:rPr>
        <w:t>20</w:t>
      </w:r>
      <w:r w:rsidRPr="00C82A45">
        <w:rPr>
          <w:rFonts w:cstheme="minorHAnsi"/>
          <w:szCs w:val="18"/>
          <w:lang w:val="en-US"/>
        </w:rPr>
        <w:t>.</w:t>
      </w:r>
    </w:p>
  </w:footnote>
  <w:footnote w:id="63">
    <w:p w14:paraId="454DAE89" w14:textId="67872959" w:rsidR="00DC22DE" w:rsidRPr="00EA7479" w:rsidRDefault="00DC22DE" w:rsidP="00DC22DE">
      <w:pPr>
        <w:pStyle w:val="Notedebasdepage"/>
        <w:rPr>
          <w:rFonts w:cstheme="minorHAnsi"/>
          <w:szCs w:val="18"/>
        </w:rPr>
      </w:pPr>
      <w:r w:rsidRPr="001C0389">
        <w:rPr>
          <w:rFonts w:cstheme="minorHAnsi"/>
          <w:szCs w:val="18"/>
          <w:lang w:val="en-US"/>
        </w:rPr>
        <w:tab/>
      </w:r>
      <w:r w:rsidRPr="00EA7479">
        <w:rPr>
          <w:rStyle w:val="Appelnotedebasdep"/>
        </w:rPr>
        <w:footnoteRef/>
      </w:r>
      <w:r w:rsidRPr="001C0389">
        <w:rPr>
          <w:rFonts w:cstheme="minorHAnsi"/>
          <w:szCs w:val="18"/>
          <w:lang w:val="en-US"/>
        </w:rPr>
        <w:tab/>
      </w:r>
      <w:hyperlink r:id="rId61" w:history="1">
        <w:r w:rsidR="00334430">
          <w:rPr>
            <w:rStyle w:val="Lienhypertexte"/>
            <w:rFonts w:cstheme="minorHAnsi"/>
            <w:szCs w:val="18"/>
            <w:lang w:val="en-US"/>
          </w:rPr>
          <w:t>CED/C/MEX/CO/1</w:t>
        </w:r>
      </w:hyperlink>
      <w:r w:rsidRPr="001C0389">
        <w:rPr>
          <w:rFonts w:cstheme="minorHAnsi"/>
          <w:szCs w:val="18"/>
          <w:lang w:val="en-US"/>
        </w:rPr>
        <w:t xml:space="preserve">, </w:t>
      </w:r>
      <w:r w:rsidR="00562F45">
        <w:rPr>
          <w:rFonts w:cstheme="minorHAnsi"/>
          <w:szCs w:val="18"/>
          <w:lang w:val="en-US"/>
        </w:rPr>
        <w:t>par. </w:t>
      </w:r>
      <w:r w:rsidRPr="001C0389">
        <w:rPr>
          <w:rFonts w:cstheme="minorHAnsi"/>
          <w:szCs w:val="18"/>
          <w:lang w:val="en-US"/>
        </w:rPr>
        <w:t>23</w:t>
      </w:r>
      <w:r w:rsidRPr="00C82A45">
        <w:rPr>
          <w:rFonts w:cstheme="minorHAnsi"/>
          <w:szCs w:val="18"/>
          <w:lang w:val="en-US"/>
        </w:rPr>
        <w:t>.</w:t>
      </w:r>
      <w:r w:rsidRPr="001C0389">
        <w:rPr>
          <w:rFonts w:cstheme="minorHAnsi"/>
          <w:szCs w:val="18"/>
          <w:lang w:val="en-US"/>
        </w:rPr>
        <w:t xml:space="preserve"> </w:t>
      </w:r>
      <w:r>
        <w:t>Voir aussi Comité des droits de l</w:t>
      </w:r>
      <w:r w:rsidR="003A234B">
        <w:t>’</w:t>
      </w:r>
      <w:r>
        <w:t xml:space="preserve">enfant, observation générale </w:t>
      </w:r>
      <w:r w:rsidR="00634635">
        <w:rPr>
          <w:rFonts w:eastAsia="MS Mincho"/>
        </w:rPr>
        <w:t>n</w:t>
      </w:r>
      <w:r w:rsidR="00634635">
        <w:rPr>
          <w:rFonts w:eastAsia="MS Mincho"/>
          <w:vertAlign w:val="superscript"/>
        </w:rPr>
        <w:t>o</w:t>
      </w:r>
      <w:r w:rsidR="00634635">
        <w:t> </w:t>
      </w:r>
      <w:r>
        <w:t>6 (2005)</w:t>
      </w:r>
      <w:r w:rsidR="00634635">
        <w:t> ;</w:t>
      </w:r>
      <w:r>
        <w:t xml:space="preserve"> observation générale conjointe </w:t>
      </w:r>
      <w:r w:rsidR="00634635">
        <w:rPr>
          <w:rFonts w:eastAsia="MS Mincho"/>
        </w:rPr>
        <w:t>n</w:t>
      </w:r>
      <w:r w:rsidR="00634635">
        <w:rPr>
          <w:rFonts w:eastAsia="MS Mincho"/>
          <w:vertAlign w:val="superscript"/>
        </w:rPr>
        <w:t>o</w:t>
      </w:r>
      <w:r w:rsidR="00634635">
        <w:t> </w:t>
      </w:r>
      <w:r>
        <w:t xml:space="preserve">3 du Comité pour la protection des droits de tous les travailleurs migrants et des membres de leur famille et </w:t>
      </w:r>
      <w:r w:rsidR="00634635">
        <w:rPr>
          <w:rFonts w:eastAsia="MS Mincho"/>
        </w:rPr>
        <w:t>n</w:t>
      </w:r>
      <w:r w:rsidR="00634635">
        <w:rPr>
          <w:rFonts w:eastAsia="MS Mincho"/>
          <w:vertAlign w:val="superscript"/>
        </w:rPr>
        <w:t>o</w:t>
      </w:r>
      <w:r w:rsidR="00634635">
        <w:t> </w:t>
      </w:r>
      <w:r>
        <w:t>22 du Comité des droits de l</w:t>
      </w:r>
      <w:r w:rsidR="003A234B">
        <w:t>’</w:t>
      </w:r>
      <w:r>
        <w:t>enfant (2017)</w:t>
      </w:r>
      <w:r w:rsidR="00634635">
        <w:t> ;</w:t>
      </w:r>
      <w:r>
        <w:t xml:space="preserve"> observation générale conjointe </w:t>
      </w:r>
      <w:r w:rsidR="00634635">
        <w:rPr>
          <w:rFonts w:eastAsia="MS Mincho"/>
        </w:rPr>
        <w:t>n</w:t>
      </w:r>
      <w:r w:rsidR="00634635">
        <w:rPr>
          <w:rFonts w:eastAsia="MS Mincho"/>
          <w:vertAlign w:val="superscript"/>
        </w:rPr>
        <w:t>o</w:t>
      </w:r>
      <w:r w:rsidR="00634635">
        <w:t> </w:t>
      </w:r>
      <w:r>
        <w:t xml:space="preserve">4 du Comité pour la protection des droits de tous les travailleurs migrants et des membres de leur famille et </w:t>
      </w:r>
      <w:r w:rsidR="00634635">
        <w:rPr>
          <w:rFonts w:eastAsia="MS Mincho"/>
        </w:rPr>
        <w:t>n</w:t>
      </w:r>
      <w:r w:rsidR="00634635">
        <w:rPr>
          <w:rFonts w:eastAsia="MS Mincho"/>
          <w:vertAlign w:val="superscript"/>
        </w:rPr>
        <w:t>o</w:t>
      </w:r>
      <w:r w:rsidR="00634635">
        <w:t> </w:t>
      </w:r>
      <w:r>
        <w:t>23 du Comité des droits de l</w:t>
      </w:r>
      <w:r w:rsidR="003A234B">
        <w:t>’</w:t>
      </w:r>
      <w:r>
        <w:t>enfant (2017)</w:t>
      </w:r>
      <w:r w:rsidRPr="00EA7479">
        <w:rPr>
          <w:rFonts w:cstheme="minorHAnsi"/>
          <w:szCs w:val="18"/>
        </w:rPr>
        <w:t>.</w:t>
      </w:r>
    </w:p>
  </w:footnote>
  <w:footnote w:id="64">
    <w:p w14:paraId="028DD149" w14:textId="5D4943E9" w:rsidR="00DC22DE" w:rsidRPr="00476F42" w:rsidRDefault="00DC22DE" w:rsidP="00476F42">
      <w:pPr>
        <w:pStyle w:val="Notedebasdepage"/>
      </w:pPr>
      <w:r w:rsidRPr="00EA7479">
        <w:rPr>
          <w:rFonts w:cstheme="minorHAnsi"/>
          <w:szCs w:val="18"/>
        </w:rPr>
        <w:tab/>
      </w:r>
      <w:r w:rsidRPr="00EA7479">
        <w:rPr>
          <w:rStyle w:val="Appelnotedebasdep"/>
        </w:rPr>
        <w:footnoteRef/>
      </w:r>
      <w:r w:rsidRPr="00EA7479">
        <w:rPr>
          <w:rFonts w:cstheme="minorHAnsi"/>
          <w:szCs w:val="18"/>
        </w:rPr>
        <w:tab/>
      </w:r>
      <w:r>
        <w:rPr>
          <w:lang w:val="fr-FR"/>
        </w:rPr>
        <w:t>Convention relative aux droits de l</w:t>
      </w:r>
      <w:r w:rsidR="003A234B">
        <w:rPr>
          <w:lang w:val="fr-FR"/>
        </w:rPr>
        <w:t>’</w:t>
      </w:r>
      <w:r>
        <w:rPr>
          <w:lang w:val="fr-FR"/>
        </w:rPr>
        <w:t>enfant, art. 9</w:t>
      </w:r>
      <w:r w:rsidR="00634635">
        <w:rPr>
          <w:lang w:val="fr-FR"/>
        </w:rPr>
        <w:t> ;</w:t>
      </w:r>
      <w:r>
        <w:rPr>
          <w:lang w:val="fr-FR"/>
        </w:rPr>
        <w:t xml:space="preserve"> Comité des droits de l</w:t>
      </w:r>
      <w:r w:rsidR="003A234B">
        <w:rPr>
          <w:lang w:val="fr-FR"/>
        </w:rPr>
        <w:t>’</w:t>
      </w:r>
      <w:r>
        <w:rPr>
          <w:lang w:val="fr-FR"/>
        </w:rPr>
        <w:t xml:space="preserve">enfant, observation générale </w:t>
      </w:r>
      <w:r w:rsidR="00634635">
        <w:rPr>
          <w:rFonts w:eastAsia="MS Mincho"/>
        </w:rPr>
        <w:t>n</w:t>
      </w:r>
      <w:r w:rsidR="00634635">
        <w:rPr>
          <w:rFonts w:eastAsia="MS Mincho"/>
          <w:vertAlign w:val="superscript"/>
        </w:rPr>
        <w:t>o</w:t>
      </w:r>
      <w:r w:rsidR="00634635">
        <w:t> </w:t>
      </w:r>
      <w:r>
        <w:rPr>
          <w:lang w:val="fr-FR"/>
        </w:rPr>
        <w:t>14 (2013)</w:t>
      </w:r>
      <w:r w:rsidR="00634635">
        <w:rPr>
          <w:lang w:val="fr-FR"/>
        </w:rPr>
        <w:t> ;</w:t>
      </w:r>
      <w:r>
        <w:rPr>
          <w:lang w:val="fr-FR"/>
        </w:rPr>
        <w:t xml:space="preserve"> observation générale conjointe </w:t>
      </w:r>
      <w:r w:rsidR="00634635">
        <w:rPr>
          <w:rFonts w:eastAsia="MS Mincho"/>
        </w:rPr>
        <w:t>n</w:t>
      </w:r>
      <w:r w:rsidR="00634635">
        <w:rPr>
          <w:rFonts w:eastAsia="MS Mincho"/>
          <w:vertAlign w:val="superscript"/>
        </w:rPr>
        <w:t>o</w:t>
      </w:r>
      <w:r w:rsidR="00634635">
        <w:t> </w:t>
      </w:r>
      <w:r>
        <w:rPr>
          <w:lang w:val="fr-FR"/>
        </w:rPr>
        <w:t xml:space="preserve">3 du Comité pour la protection des droits de tous les travailleurs migrants et des membres de leur famille et </w:t>
      </w:r>
      <w:r w:rsidR="00634635">
        <w:rPr>
          <w:rFonts w:eastAsia="MS Mincho"/>
        </w:rPr>
        <w:t>n</w:t>
      </w:r>
      <w:r w:rsidR="00634635">
        <w:rPr>
          <w:rFonts w:eastAsia="MS Mincho"/>
          <w:vertAlign w:val="superscript"/>
        </w:rPr>
        <w:t>o</w:t>
      </w:r>
      <w:r w:rsidR="00634635">
        <w:t> </w:t>
      </w:r>
      <w:r>
        <w:rPr>
          <w:lang w:val="fr-FR"/>
        </w:rPr>
        <w:t>22 du Comité des droits de l</w:t>
      </w:r>
      <w:r w:rsidR="003A234B">
        <w:rPr>
          <w:lang w:val="fr-FR"/>
        </w:rPr>
        <w:t>’</w:t>
      </w:r>
      <w:r>
        <w:rPr>
          <w:lang w:val="fr-FR"/>
        </w:rPr>
        <w:t xml:space="preserve">enfant (2017), </w:t>
      </w:r>
      <w:r w:rsidR="00562F45">
        <w:rPr>
          <w:lang w:val="fr-FR"/>
        </w:rPr>
        <w:t>par. </w:t>
      </w:r>
      <w:r>
        <w:rPr>
          <w:lang w:val="fr-FR"/>
        </w:rPr>
        <w:t>31 et 32</w:t>
      </w:r>
      <w:r w:rsidR="00634635">
        <w:rPr>
          <w:lang w:val="fr-FR"/>
        </w:rPr>
        <w:t> ;</w:t>
      </w:r>
      <w:r>
        <w:rPr>
          <w:lang w:val="fr-FR"/>
        </w:rPr>
        <w:t xml:space="preserve"> observation générale conjointe </w:t>
      </w:r>
      <w:r w:rsidR="00634635">
        <w:rPr>
          <w:rFonts w:eastAsia="MS Mincho"/>
        </w:rPr>
        <w:t>n</w:t>
      </w:r>
      <w:r w:rsidR="00634635">
        <w:rPr>
          <w:rFonts w:eastAsia="MS Mincho"/>
          <w:vertAlign w:val="superscript"/>
        </w:rPr>
        <w:t>o</w:t>
      </w:r>
      <w:r w:rsidR="00634635">
        <w:t> </w:t>
      </w:r>
      <w:r>
        <w:rPr>
          <w:lang w:val="fr-FR"/>
        </w:rPr>
        <w:t xml:space="preserve">4 du Comité pour la protection des droits de tous les travailleurs migrants et des membres de leur famille et </w:t>
      </w:r>
      <w:r w:rsidR="00634635">
        <w:rPr>
          <w:rFonts w:eastAsia="MS Mincho"/>
        </w:rPr>
        <w:t>n</w:t>
      </w:r>
      <w:r w:rsidR="00634635">
        <w:rPr>
          <w:rFonts w:eastAsia="MS Mincho"/>
          <w:vertAlign w:val="superscript"/>
        </w:rPr>
        <w:t>o</w:t>
      </w:r>
      <w:r w:rsidR="00634635">
        <w:t> </w:t>
      </w:r>
      <w:r>
        <w:rPr>
          <w:lang w:val="fr-FR"/>
        </w:rPr>
        <w:t>23 du Comité des droits de l</w:t>
      </w:r>
      <w:r w:rsidR="003A234B">
        <w:rPr>
          <w:lang w:val="fr-FR"/>
        </w:rPr>
        <w:t>’</w:t>
      </w:r>
      <w:r>
        <w:rPr>
          <w:lang w:val="fr-FR"/>
        </w:rPr>
        <w:t>enfant (2017)</w:t>
      </w:r>
      <w:r w:rsidR="00AD521A">
        <w:rPr>
          <w:lang w:val="fr-FR"/>
        </w:rPr>
        <w:t>, par. 27 à 31</w:t>
      </w:r>
      <w:r w:rsidR="00634635">
        <w:rPr>
          <w:lang w:val="fr-FR"/>
        </w:rPr>
        <w:t> ;</w:t>
      </w:r>
      <w:r>
        <w:rPr>
          <w:lang w:val="fr-FR"/>
        </w:rPr>
        <w:t xml:space="preserve"> HCDH, </w:t>
      </w:r>
      <w:r>
        <w:rPr>
          <w:i/>
          <w:iCs/>
          <w:lang w:val="fr-FR"/>
        </w:rPr>
        <w:t>Principes recommandés lors de la conduite d</w:t>
      </w:r>
      <w:r w:rsidR="003A234B">
        <w:rPr>
          <w:i/>
          <w:iCs/>
          <w:lang w:val="fr-FR"/>
        </w:rPr>
        <w:t>’</w:t>
      </w:r>
      <w:r>
        <w:rPr>
          <w:i/>
          <w:iCs/>
          <w:lang w:val="fr-FR"/>
        </w:rPr>
        <w:t>actions concernant les enfants en déplacement et autres enfants touchés par la migration</w:t>
      </w:r>
      <w:r>
        <w:rPr>
          <w:lang w:val="fr-FR"/>
        </w:rPr>
        <w:t xml:space="preserve">, </w:t>
      </w:r>
      <w:r w:rsidR="00AD521A">
        <w:rPr>
          <w:lang w:val="fr-FR"/>
        </w:rPr>
        <w:t xml:space="preserve">juin 2016, </w:t>
      </w:r>
      <w:r>
        <w:rPr>
          <w:lang w:val="fr-FR"/>
        </w:rPr>
        <w:t>principe 5.</w:t>
      </w:r>
    </w:p>
  </w:footnote>
  <w:footnote w:id="65">
    <w:p w14:paraId="15A284A3" w14:textId="3190A77F" w:rsidR="00DC22DE" w:rsidRPr="00EA7479" w:rsidRDefault="00DC22DE" w:rsidP="00DC22DE">
      <w:pPr>
        <w:pStyle w:val="Notedebasdepage"/>
        <w:rPr>
          <w:rFonts w:cstheme="minorHAnsi"/>
          <w:szCs w:val="18"/>
        </w:rPr>
      </w:pPr>
      <w:r w:rsidRPr="00EA7479">
        <w:rPr>
          <w:rFonts w:cstheme="minorHAnsi"/>
          <w:szCs w:val="18"/>
        </w:rPr>
        <w:tab/>
      </w:r>
      <w:r w:rsidRPr="00EA7479">
        <w:rPr>
          <w:rStyle w:val="Appelnotedebasdep"/>
        </w:rPr>
        <w:footnoteRef/>
      </w:r>
      <w:r w:rsidRPr="00EA7479">
        <w:rPr>
          <w:rFonts w:cstheme="minorHAnsi"/>
          <w:szCs w:val="18"/>
        </w:rPr>
        <w:tab/>
        <w:t>Convention relative aux droits de l</w:t>
      </w:r>
      <w:r w:rsidR="003A234B">
        <w:rPr>
          <w:rFonts w:cstheme="minorHAnsi"/>
          <w:szCs w:val="18"/>
        </w:rPr>
        <w:t>’</w:t>
      </w:r>
      <w:r w:rsidRPr="00EA7479">
        <w:rPr>
          <w:rFonts w:cstheme="minorHAnsi"/>
          <w:szCs w:val="18"/>
        </w:rPr>
        <w:t>enfant, art. 20</w:t>
      </w:r>
      <w:r w:rsidR="00634635">
        <w:rPr>
          <w:rFonts w:cstheme="minorHAnsi"/>
          <w:szCs w:val="18"/>
        </w:rPr>
        <w:t> ;</w:t>
      </w:r>
      <w:r w:rsidRPr="00EA7479">
        <w:rPr>
          <w:rFonts w:cstheme="minorHAnsi"/>
          <w:szCs w:val="18"/>
        </w:rPr>
        <w:t xml:space="preserve"> Comité des droits de l</w:t>
      </w:r>
      <w:r w:rsidR="003A234B">
        <w:rPr>
          <w:rFonts w:cstheme="minorHAnsi"/>
          <w:szCs w:val="18"/>
        </w:rPr>
        <w:t>’</w:t>
      </w:r>
      <w:r w:rsidRPr="00EA7479">
        <w:rPr>
          <w:rFonts w:cstheme="minorHAnsi"/>
          <w:szCs w:val="18"/>
        </w:rPr>
        <w:t xml:space="preserve">enfant, </w:t>
      </w:r>
      <w:r w:rsidRPr="00700D96">
        <w:rPr>
          <w:rFonts w:cstheme="minorHAnsi"/>
          <w:szCs w:val="18"/>
        </w:rPr>
        <w:t xml:space="preserve">observation générale </w:t>
      </w:r>
      <w:r w:rsidR="00634635">
        <w:rPr>
          <w:rFonts w:eastAsia="MS Mincho"/>
        </w:rPr>
        <w:t>n</w:t>
      </w:r>
      <w:r w:rsidR="00634635">
        <w:rPr>
          <w:rFonts w:eastAsia="MS Mincho"/>
          <w:vertAlign w:val="superscript"/>
        </w:rPr>
        <w:t>o</w:t>
      </w:r>
      <w:r w:rsidR="00634635">
        <w:t> </w:t>
      </w:r>
      <w:r w:rsidRPr="00EA7479">
        <w:rPr>
          <w:rFonts w:cstheme="minorHAnsi"/>
          <w:szCs w:val="18"/>
        </w:rPr>
        <w:t xml:space="preserve">6 (2005), </w:t>
      </w:r>
      <w:r w:rsidR="00562F45">
        <w:rPr>
          <w:rFonts w:cstheme="minorHAnsi"/>
          <w:szCs w:val="18"/>
        </w:rPr>
        <w:t>par. </w:t>
      </w:r>
      <w:r w:rsidRPr="00EA7479">
        <w:rPr>
          <w:rFonts w:cstheme="minorHAnsi"/>
          <w:szCs w:val="18"/>
        </w:rPr>
        <w:t>50 à 53</w:t>
      </w:r>
      <w:r w:rsidR="00634635">
        <w:rPr>
          <w:rFonts w:cstheme="minorHAnsi"/>
          <w:szCs w:val="18"/>
        </w:rPr>
        <w:t> ;</w:t>
      </w:r>
      <w:r w:rsidRPr="00EA7479">
        <w:rPr>
          <w:rFonts w:cstheme="minorHAnsi"/>
          <w:szCs w:val="18"/>
        </w:rPr>
        <w:t xml:space="preserve"> </w:t>
      </w:r>
      <w:r>
        <w:t xml:space="preserve">observation générale conjointe </w:t>
      </w:r>
      <w:r w:rsidR="00634635">
        <w:rPr>
          <w:rFonts w:eastAsia="MS Mincho"/>
        </w:rPr>
        <w:t>n</w:t>
      </w:r>
      <w:r w:rsidR="00634635">
        <w:rPr>
          <w:rFonts w:eastAsia="MS Mincho"/>
          <w:vertAlign w:val="superscript"/>
        </w:rPr>
        <w:t>o</w:t>
      </w:r>
      <w:r w:rsidR="00634635">
        <w:t> </w:t>
      </w:r>
      <w:r>
        <w:t xml:space="preserve">4 du Comité pour la protection des droits de tous les travailleurs migrants et des membres de leur famille et </w:t>
      </w:r>
      <w:r w:rsidR="00634635">
        <w:rPr>
          <w:rFonts w:eastAsia="MS Mincho"/>
        </w:rPr>
        <w:t>n</w:t>
      </w:r>
      <w:r w:rsidR="00634635">
        <w:rPr>
          <w:rFonts w:eastAsia="MS Mincho"/>
          <w:vertAlign w:val="superscript"/>
        </w:rPr>
        <w:t>o</w:t>
      </w:r>
      <w:r w:rsidR="00634635">
        <w:t> </w:t>
      </w:r>
      <w:r>
        <w:t>23 du Comité des droits de l</w:t>
      </w:r>
      <w:r w:rsidR="003A234B">
        <w:t>’</w:t>
      </w:r>
      <w:r>
        <w:t>enfant (2017)</w:t>
      </w:r>
      <w:r w:rsidRPr="00EA7479">
        <w:rPr>
          <w:rFonts w:cstheme="minorHAnsi"/>
          <w:szCs w:val="18"/>
        </w:rPr>
        <w:t xml:space="preserve">, </w:t>
      </w:r>
      <w:r w:rsidR="00562F45">
        <w:rPr>
          <w:rFonts w:cstheme="minorHAnsi"/>
          <w:szCs w:val="18"/>
        </w:rPr>
        <w:t>par. </w:t>
      </w:r>
      <w:r w:rsidRPr="00EA7479">
        <w:rPr>
          <w:rFonts w:cstheme="minorHAnsi"/>
          <w:szCs w:val="18"/>
        </w:rPr>
        <w:t>43</w:t>
      </w:r>
      <w:r>
        <w:rPr>
          <w:rFonts w:cstheme="minorHAnsi"/>
          <w:szCs w:val="18"/>
        </w:rPr>
        <w:t xml:space="preserve"> et </w:t>
      </w:r>
      <w:r w:rsidRPr="00EA7479">
        <w:rPr>
          <w:rFonts w:cstheme="minorHAnsi"/>
          <w:szCs w:val="18"/>
        </w:rPr>
        <w:t>44</w:t>
      </w:r>
      <w:r w:rsidR="00634635">
        <w:rPr>
          <w:rFonts w:cstheme="minorHAnsi"/>
          <w:szCs w:val="18"/>
        </w:rPr>
        <w:t> ;</w:t>
      </w:r>
      <w:r w:rsidRPr="00EA7479">
        <w:rPr>
          <w:rFonts w:cstheme="minorHAnsi"/>
          <w:szCs w:val="18"/>
        </w:rPr>
        <w:t xml:space="preserve"> </w:t>
      </w:r>
      <w:hyperlink r:id="rId62" w:history="1">
        <w:r w:rsidR="00D4427C">
          <w:rPr>
            <w:rStyle w:val="Lienhypertexte"/>
            <w:rFonts w:cstheme="minorHAnsi"/>
            <w:szCs w:val="18"/>
          </w:rPr>
          <w:t>CED/C/GRC/CO/1</w:t>
        </w:r>
      </w:hyperlink>
      <w:r w:rsidRPr="00EA7479">
        <w:rPr>
          <w:rFonts w:cstheme="minorHAnsi"/>
          <w:szCs w:val="18"/>
        </w:rPr>
        <w:t xml:space="preserve">, </w:t>
      </w:r>
      <w:r w:rsidR="00562F45">
        <w:rPr>
          <w:rFonts w:cstheme="minorHAnsi"/>
          <w:szCs w:val="18"/>
        </w:rPr>
        <w:t>par. </w:t>
      </w:r>
      <w:r w:rsidRPr="00EA7479">
        <w:rPr>
          <w:rFonts w:cstheme="minorHAnsi"/>
          <w:szCs w:val="18"/>
        </w:rPr>
        <w:t>27 b).</w:t>
      </w:r>
    </w:p>
  </w:footnote>
  <w:footnote w:id="66">
    <w:p w14:paraId="16C70DA7" w14:textId="44ACE2A8" w:rsidR="00DC22DE" w:rsidRPr="00EA7479" w:rsidRDefault="00DC22DE" w:rsidP="00DC22DE">
      <w:pPr>
        <w:pStyle w:val="Notedebasdepage"/>
        <w:rPr>
          <w:rFonts w:cstheme="minorHAnsi"/>
          <w:szCs w:val="18"/>
        </w:rPr>
      </w:pPr>
      <w:r w:rsidRPr="00EA7479">
        <w:rPr>
          <w:rFonts w:cstheme="minorHAnsi"/>
          <w:szCs w:val="18"/>
        </w:rPr>
        <w:tab/>
      </w:r>
      <w:r w:rsidRPr="00EA7479">
        <w:rPr>
          <w:rStyle w:val="Appelnotedebasdep"/>
        </w:rPr>
        <w:footnoteRef/>
      </w:r>
      <w:r w:rsidRPr="00EA7479">
        <w:rPr>
          <w:rFonts w:cstheme="minorHAnsi"/>
          <w:szCs w:val="18"/>
        </w:rPr>
        <w:tab/>
      </w:r>
      <w:r>
        <w:t xml:space="preserve">Observation générale conjointe </w:t>
      </w:r>
      <w:r w:rsidR="00634635">
        <w:rPr>
          <w:rFonts w:eastAsia="MS Mincho"/>
        </w:rPr>
        <w:t>n</w:t>
      </w:r>
      <w:r w:rsidR="00634635">
        <w:rPr>
          <w:rFonts w:eastAsia="MS Mincho"/>
          <w:vertAlign w:val="superscript"/>
        </w:rPr>
        <w:t>o</w:t>
      </w:r>
      <w:r w:rsidR="00634635">
        <w:t> </w:t>
      </w:r>
      <w:r>
        <w:t xml:space="preserve">4 du Comité pour la protection des droits de tous les travailleurs migrants et des membres de leur famille et </w:t>
      </w:r>
      <w:r w:rsidR="00634635">
        <w:rPr>
          <w:rFonts w:eastAsia="MS Mincho"/>
        </w:rPr>
        <w:t>n</w:t>
      </w:r>
      <w:r w:rsidR="00634635">
        <w:rPr>
          <w:rFonts w:eastAsia="MS Mincho"/>
          <w:vertAlign w:val="superscript"/>
        </w:rPr>
        <w:t>o</w:t>
      </w:r>
      <w:r w:rsidR="00634635">
        <w:t> </w:t>
      </w:r>
      <w:r>
        <w:t>23 du Comité des droits de l</w:t>
      </w:r>
      <w:r w:rsidR="003A234B">
        <w:t>’</w:t>
      </w:r>
      <w:r>
        <w:t xml:space="preserve">enfant (2017), </w:t>
      </w:r>
      <w:r w:rsidR="00562F45">
        <w:rPr>
          <w:rFonts w:cstheme="minorHAnsi"/>
          <w:szCs w:val="18"/>
        </w:rPr>
        <w:t>par. </w:t>
      </w:r>
      <w:r w:rsidRPr="00EA7479">
        <w:rPr>
          <w:rFonts w:cstheme="minorHAnsi"/>
          <w:szCs w:val="18"/>
        </w:rPr>
        <w:t>20</w:t>
      </w:r>
      <w:r>
        <w:rPr>
          <w:rFonts w:cstheme="minorHAnsi"/>
          <w:szCs w:val="18"/>
        </w:rPr>
        <w:t xml:space="preserve"> à </w:t>
      </w:r>
      <w:r w:rsidRPr="00EA7479">
        <w:rPr>
          <w:rFonts w:cstheme="minorHAnsi"/>
          <w:szCs w:val="18"/>
        </w:rPr>
        <w:t xml:space="preserve">22. </w:t>
      </w:r>
      <w:r>
        <w:rPr>
          <w:rFonts w:cstheme="minorHAnsi"/>
          <w:szCs w:val="18"/>
        </w:rPr>
        <w:t xml:space="preserve">Voir aussi </w:t>
      </w:r>
      <w:hyperlink r:id="rId63" w:history="1">
        <w:r w:rsidR="00D4427C">
          <w:rPr>
            <w:rStyle w:val="Lienhypertexte"/>
            <w:rFonts w:cstheme="minorHAnsi"/>
            <w:szCs w:val="18"/>
          </w:rPr>
          <w:t>CED/C/ITA/CO/1</w:t>
        </w:r>
      </w:hyperlink>
      <w:r w:rsidRPr="00EA7479">
        <w:rPr>
          <w:rFonts w:cstheme="minorHAnsi"/>
          <w:szCs w:val="18"/>
        </w:rPr>
        <w:t xml:space="preserve">, </w:t>
      </w:r>
      <w:r w:rsidR="00562F45">
        <w:rPr>
          <w:rFonts w:cstheme="minorHAnsi"/>
          <w:szCs w:val="18"/>
        </w:rPr>
        <w:t>par. </w:t>
      </w:r>
      <w:r w:rsidRPr="00EA7479">
        <w:rPr>
          <w:rFonts w:cstheme="minorHAnsi"/>
          <w:szCs w:val="18"/>
        </w:rPr>
        <w:t>34 et 35</w:t>
      </w:r>
      <w:r w:rsidR="00634635">
        <w:rPr>
          <w:rFonts w:cstheme="minorHAnsi"/>
          <w:szCs w:val="18"/>
        </w:rPr>
        <w:t> ;</w:t>
      </w:r>
      <w:r>
        <w:rPr>
          <w:rFonts w:cstheme="minorHAnsi"/>
          <w:szCs w:val="18"/>
        </w:rPr>
        <w:t xml:space="preserve"> </w:t>
      </w:r>
      <w:hyperlink r:id="rId64" w:history="1">
        <w:r w:rsidR="00D4427C">
          <w:rPr>
            <w:rStyle w:val="Lienhypertexte"/>
            <w:rFonts w:cstheme="minorHAnsi"/>
            <w:szCs w:val="18"/>
          </w:rPr>
          <w:t>CED/C/NLD/CO/1</w:t>
        </w:r>
      </w:hyperlink>
      <w:r w:rsidRPr="00EA7479">
        <w:rPr>
          <w:rFonts w:cstheme="minorHAnsi"/>
          <w:szCs w:val="18"/>
        </w:rPr>
        <w:t xml:space="preserve">, </w:t>
      </w:r>
      <w:r w:rsidR="00562F45">
        <w:rPr>
          <w:rFonts w:cstheme="minorHAnsi"/>
          <w:szCs w:val="18"/>
        </w:rPr>
        <w:t>par. </w:t>
      </w:r>
      <w:r w:rsidRPr="00EA7479">
        <w:rPr>
          <w:rFonts w:cstheme="minorHAnsi"/>
          <w:szCs w:val="18"/>
        </w:rPr>
        <w:t>32</w:t>
      </w:r>
      <w:r>
        <w:rPr>
          <w:rFonts w:cstheme="minorHAnsi"/>
          <w:szCs w:val="18"/>
        </w:rPr>
        <w:t xml:space="preserve"> à </w:t>
      </w:r>
      <w:r w:rsidRPr="00EA7479">
        <w:rPr>
          <w:rFonts w:cstheme="minorHAnsi"/>
          <w:szCs w:val="18"/>
        </w:rPr>
        <w:t>39.</w:t>
      </w:r>
    </w:p>
  </w:footnote>
  <w:footnote w:id="67">
    <w:p w14:paraId="6D637F21" w14:textId="1B6F96FE" w:rsidR="00DC22DE" w:rsidRDefault="00DC22DE" w:rsidP="00DC22DE">
      <w:pPr>
        <w:pStyle w:val="Notedebasdepage"/>
      </w:pPr>
      <w:r>
        <w:tab/>
      </w:r>
      <w:r w:rsidRPr="00EA7479">
        <w:rPr>
          <w:rStyle w:val="Appelnotedebasdep"/>
        </w:rPr>
        <w:footnoteRef/>
      </w:r>
      <w:r>
        <w:t xml:space="preserve"> </w:t>
      </w:r>
      <w:r w:rsidR="009F0BFC">
        <w:tab/>
      </w:r>
      <w:r>
        <w:t xml:space="preserve">Observation générale conjointe </w:t>
      </w:r>
      <w:r w:rsidR="00634635">
        <w:rPr>
          <w:rFonts w:eastAsia="MS Mincho"/>
        </w:rPr>
        <w:t>n</w:t>
      </w:r>
      <w:r w:rsidR="00634635">
        <w:rPr>
          <w:rFonts w:eastAsia="MS Mincho"/>
          <w:vertAlign w:val="superscript"/>
        </w:rPr>
        <w:t>o</w:t>
      </w:r>
      <w:r w:rsidR="00634635">
        <w:t> </w:t>
      </w:r>
      <w:r>
        <w:t xml:space="preserve">4 du Comité pour la protection des droits de tous les travailleurs migrants et des membres de leur famille et </w:t>
      </w:r>
      <w:r w:rsidR="00634635">
        <w:rPr>
          <w:rFonts w:eastAsia="MS Mincho"/>
        </w:rPr>
        <w:t>n</w:t>
      </w:r>
      <w:r w:rsidR="00634635">
        <w:rPr>
          <w:rFonts w:eastAsia="MS Mincho"/>
          <w:vertAlign w:val="superscript"/>
        </w:rPr>
        <w:t>o</w:t>
      </w:r>
      <w:r w:rsidR="00634635">
        <w:t> </w:t>
      </w:r>
      <w:r>
        <w:t>23 du Comité des droits de l</w:t>
      </w:r>
      <w:r w:rsidR="003A234B">
        <w:t>’</w:t>
      </w:r>
      <w:r>
        <w:t>enfant (</w:t>
      </w:r>
      <w:r w:rsidRPr="00705032">
        <w:t xml:space="preserve">2017), </w:t>
      </w:r>
      <w:r w:rsidR="00562F45">
        <w:t>par. </w:t>
      </w:r>
      <w:r w:rsidRPr="00705032">
        <w:t>17</w:t>
      </w:r>
      <w:r w:rsidR="009020DF">
        <w:t> </w:t>
      </w:r>
      <w:r w:rsidRPr="00705032">
        <w:t>a).</w:t>
      </w:r>
    </w:p>
  </w:footnote>
  <w:footnote w:id="68">
    <w:p w14:paraId="1D110F6C" w14:textId="65FE6A3A" w:rsidR="00DC22DE" w:rsidRPr="00EA7479" w:rsidRDefault="00DC22DE" w:rsidP="00DC22DE">
      <w:pPr>
        <w:pStyle w:val="Notedebasdepage"/>
      </w:pPr>
      <w:r w:rsidRPr="00EA7479">
        <w:rPr>
          <w:rFonts w:cstheme="minorHAnsi"/>
          <w:szCs w:val="18"/>
        </w:rPr>
        <w:tab/>
      </w:r>
      <w:r w:rsidRPr="00EA7479">
        <w:rPr>
          <w:rStyle w:val="Appelnotedebasdep"/>
        </w:rPr>
        <w:footnoteRef/>
      </w:r>
      <w:r w:rsidRPr="00EA7479">
        <w:rPr>
          <w:rFonts w:cstheme="minorHAnsi"/>
          <w:szCs w:val="18"/>
        </w:rPr>
        <w:tab/>
      </w:r>
      <w:r>
        <w:rPr>
          <w:lang w:val="fr-FR"/>
        </w:rPr>
        <w:t>Comité des droits de l</w:t>
      </w:r>
      <w:r w:rsidR="003A234B">
        <w:rPr>
          <w:lang w:val="fr-FR"/>
        </w:rPr>
        <w:t>’</w:t>
      </w:r>
      <w:r>
        <w:rPr>
          <w:lang w:val="fr-FR"/>
        </w:rPr>
        <w:t xml:space="preserve">enfant, observation générale </w:t>
      </w:r>
      <w:r w:rsidR="00634635">
        <w:rPr>
          <w:rFonts w:eastAsia="MS Mincho"/>
        </w:rPr>
        <w:t>n</w:t>
      </w:r>
      <w:r w:rsidR="00634635">
        <w:rPr>
          <w:rFonts w:eastAsia="MS Mincho"/>
          <w:vertAlign w:val="superscript"/>
        </w:rPr>
        <w:t>o</w:t>
      </w:r>
      <w:r w:rsidR="00634635">
        <w:t> </w:t>
      </w:r>
      <w:r>
        <w:rPr>
          <w:lang w:val="fr-FR"/>
        </w:rPr>
        <w:t xml:space="preserve">6 (2005), </w:t>
      </w:r>
      <w:r w:rsidR="00562F45">
        <w:rPr>
          <w:lang w:val="fr-FR"/>
        </w:rPr>
        <w:t>par. </w:t>
      </w:r>
      <w:r>
        <w:rPr>
          <w:lang w:val="fr-FR"/>
        </w:rPr>
        <w:t>19 à 22 et 81 à 83</w:t>
      </w:r>
      <w:r w:rsidR="00634635">
        <w:rPr>
          <w:lang w:val="fr-FR"/>
        </w:rPr>
        <w:t> ;</w:t>
      </w:r>
      <w:r>
        <w:rPr>
          <w:lang w:val="fr-FR"/>
        </w:rPr>
        <w:t xml:space="preserve"> observation générale conjointe </w:t>
      </w:r>
      <w:r w:rsidR="00634635">
        <w:rPr>
          <w:rFonts w:eastAsia="MS Mincho"/>
        </w:rPr>
        <w:t>n</w:t>
      </w:r>
      <w:r w:rsidR="00634635">
        <w:rPr>
          <w:rFonts w:eastAsia="MS Mincho"/>
          <w:vertAlign w:val="superscript"/>
        </w:rPr>
        <w:t>o</w:t>
      </w:r>
      <w:r w:rsidR="00634635">
        <w:t> </w:t>
      </w:r>
      <w:r>
        <w:rPr>
          <w:lang w:val="fr-FR"/>
        </w:rPr>
        <w:t xml:space="preserve">3 du Comité pour la protection des droits de tous les travailleurs migrants et des membres de leur famille et </w:t>
      </w:r>
      <w:r w:rsidR="00634635">
        <w:rPr>
          <w:rFonts w:eastAsia="MS Mincho"/>
        </w:rPr>
        <w:t>n</w:t>
      </w:r>
      <w:r w:rsidR="00634635">
        <w:rPr>
          <w:rFonts w:eastAsia="MS Mincho"/>
          <w:vertAlign w:val="superscript"/>
        </w:rPr>
        <w:t>o</w:t>
      </w:r>
      <w:r w:rsidR="00634635">
        <w:t> </w:t>
      </w:r>
      <w:r>
        <w:rPr>
          <w:lang w:val="fr-FR"/>
        </w:rPr>
        <w:t>22 du Comité des droits de l</w:t>
      </w:r>
      <w:r w:rsidR="003A234B">
        <w:rPr>
          <w:lang w:val="fr-FR"/>
        </w:rPr>
        <w:t>’</w:t>
      </w:r>
      <w:r>
        <w:rPr>
          <w:lang w:val="fr-FR"/>
        </w:rPr>
        <w:t xml:space="preserve">enfant (2017), </w:t>
      </w:r>
      <w:r w:rsidR="00562F45">
        <w:rPr>
          <w:lang w:val="fr-FR"/>
        </w:rPr>
        <w:t>par. </w:t>
      </w:r>
      <w:r>
        <w:rPr>
          <w:lang w:val="fr-FR"/>
        </w:rPr>
        <w:t>27 à 33</w:t>
      </w:r>
      <w:r w:rsidR="00634635">
        <w:rPr>
          <w:lang w:val="fr-FR"/>
        </w:rPr>
        <w:t> ;</w:t>
      </w:r>
      <w:r>
        <w:rPr>
          <w:lang w:val="fr-FR"/>
        </w:rPr>
        <w:t xml:space="preserve"> observation générale conjointe </w:t>
      </w:r>
      <w:r w:rsidR="00634635">
        <w:rPr>
          <w:rFonts w:eastAsia="MS Mincho"/>
        </w:rPr>
        <w:t>n</w:t>
      </w:r>
      <w:r w:rsidR="00634635">
        <w:rPr>
          <w:rFonts w:eastAsia="MS Mincho"/>
          <w:vertAlign w:val="superscript"/>
        </w:rPr>
        <w:t>o</w:t>
      </w:r>
      <w:r w:rsidR="00634635">
        <w:t> </w:t>
      </w:r>
      <w:r>
        <w:rPr>
          <w:lang w:val="fr-FR"/>
        </w:rPr>
        <w:t xml:space="preserve">4 du Comité pour la protection des droits de tous les travailleurs migrants et des membres de leur famille et </w:t>
      </w:r>
      <w:r w:rsidR="00634635">
        <w:rPr>
          <w:rFonts w:eastAsia="MS Mincho"/>
        </w:rPr>
        <w:t>n</w:t>
      </w:r>
      <w:r w:rsidR="00634635">
        <w:rPr>
          <w:rFonts w:eastAsia="MS Mincho"/>
          <w:vertAlign w:val="superscript"/>
        </w:rPr>
        <w:t>o</w:t>
      </w:r>
      <w:r w:rsidR="00634635">
        <w:t> </w:t>
      </w:r>
      <w:r>
        <w:rPr>
          <w:lang w:val="fr-FR"/>
        </w:rPr>
        <w:t>23 du Comité des droits de l</w:t>
      </w:r>
      <w:r w:rsidR="003A234B">
        <w:rPr>
          <w:lang w:val="fr-FR"/>
        </w:rPr>
        <w:t>’</w:t>
      </w:r>
      <w:r>
        <w:rPr>
          <w:lang w:val="fr-FR"/>
        </w:rPr>
        <w:t xml:space="preserve">enfant (2017), </w:t>
      </w:r>
      <w:r w:rsidR="00562F45">
        <w:rPr>
          <w:lang w:val="fr-FR"/>
        </w:rPr>
        <w:t>par. </w:t>
      </w:r>
      <w:r>
        <w:rPr>
          <w:lang w:val="fr-FR"/>
        </w:rPr>
        <w:t>27 à 38</w:t>
      </w:r>
      <w:r w:rsidRPr="00EA7479">
        <w:rPr>
          <w:rFonts w:cstheme="minorHAnsi"/>
          <w:szCs w:val="18"/>
        </w:rPr>
        <w:t>.</w:t>
      </w:r>
    </w:p>
  </w:footnote>
  <w:footnote w:id="69">
    <w:p w14:paraId="32897495" w14:textId="4C9D769D" w:rsidR="00DC22DE" w:rsidRPr="001C0389" w:rsidRDefault="00DC22DE" w:rsidP="00DC22DE">
      <w:pPr>
        <w:pStyle w:val="Notedebasdepage"/>
        <w:rPr>
          <w:rFonts w:cstheme="minorHAnsi"/>
          <w:szCs w:val="18"/>
          <w:lang w:val="en-US"/>
        </w:rPr>
      </w:pPr>
      <w:r w:rsidRPr="00EA7479">
        <w:rPr>
          <w:rFonts w:cstheme="minorHAnsi"/>
          <w:szCs w:val="18"/>
        </w:rPr>
        <w:tab/>
      </w:r>
      <w:r w:rsidRPr="00EA7479">
        <w:rPr>
          <w:rStyle w:val="Appelnotedebasdep"/>
        </w:rPr>
        <w:footnoteRef/>
      </w:r>
      <w:r w:rsidRPr="001C0389">
        <w:rPr>
          <w:rFonts w:cstheme="minorHAnsi"/>
          <w:szCs w:val="18"/>
          <w:lang w:val="en-US"/>
        </w:rPr>
        <w:tab/>
      </w:r>
      <w:hyperlink r:id="rId65" w:history="1">
        <w:r w:rsidR="009020DF">
          <w:rPr>
            <w:rStyle w:val="Lienhypertexte"/>
            <w:rFonts w:cstheme="minorHAnsi"/>
            <w:szCs w:val="18"/>
            <w:lang w:val="en-US"/>
          </w:rPr>
          <w:t>CED/C/HND/CO/1</w:t>
        </w:r>
      </w:hyperlink>
      <w:r w:rsidRPr="001C0389">
        <w:rPr>
          <w:rFonts w:cstheme="minorHAnsi"/>
          <w:szCs w:val="18"/>
          <w:lang w:val="en-US"/>
        </w:rPr>
        <w:t xml:space="preserve">, </w:t>
      </w:r>
      <w:r w:rsidR="00562F45">
        <w:rPr>
          <w:rFonts w:cstheme="minorHAnsi"/>
          <w:szCs w:val="18"/>
          <w:lang w:val="en-US"/>
        </w:rPr>
        <w:t>par. </w:t>
      </w:r>
      <w:r w:rsidRPr="001C0389">
        <w:rPr>
          <w:rFonts w:cstheme="minorHAnsi"/>
          <w:szCs w:val="18"/>
          <w:lang w:val="en-US"/>
        </w:rPr>
        <w:t>27</w:t>
      </w:r>
      <w:r w:rsidRPr="00C82A45">
        <w:rPr>
          <w:rFonts w:cstheme="minorHAnsi"/>
          <w:szCs w:val="18"/>
          <w:lang w:val="en-US"/>
        </w:rPr>
        <w:t>.</w:t>
      </w:r>
      <w:r w:rsidRPr="001C0389">
        <w:rPr>
          <w:rFonts w:cstheme="minorHAnsi"/>
          <w:szCs w:val="18"/>
          <w:lang w:val="en-US"/>
        </w:rPr>
        <w:t xml:space="preserve"> </w:t>
      </w:r>
    </w:p>
  </w:footnote>
  <w:footnote w:id="70">
    <w:p w14:paraId="5E4A4381" w14:textId="2749C4C4" w:rsidR="00DC22DE" w:rsidRPr="00EA7479" w:rsidRDefault="00DC22DE" w:rsidP="00DC22DE">
      <w:pPr>
        <w:pStyle w:val="Notedebasdepage"/>
        <w:rPr>
          <w:rFonts w:cstheme="minorHAnsi"/>
          <w:szCs w:val="18"/>
          <w:lang w:val="en-CA"/>
        </w:rPr>
      </w:pPr>
      <w:r w:rsidRPr="001C0389">
        <w:rPr>
          <w:rFonts w:cstheme="minorHAnsi"/>
          <w:szCs w:val="18"/>
          <w:lang w:val="en-US"/>
        </w:rPr>
        <w:tab/>
      </w:r>
      <w:r w:rsidRPr="00EA7479">
        <w:rPr>
          <w:rStyle w:val="Appelnotedebasdep"/>
        </w:rPr>
        <w:footnoteRef/>
      </w:r>
      <w:r w:rsidRPr="001C0389">
        <w:rPr>
          <w:rFonts w:cstheme="minorHAnsi"/>
          <w:szCs w:val="18"/>
          <w:lang w:val="en-US"/>
        </w:rPr>
        <w:tab/>
      </w:r>
      <w:hyperlink r:id="rId66" w:history="1">
        <w:r w:rsidR="009020DF">
          <w:rPr>
            <w:rStyle w:val="Lienhypertexte"/>
            <w:rFonts w:cstheme="minorHAnsi"/>
            <w:szCs w:val="18"/>
            <w:lang w:val="en-US"/>
          </w:rPr>
          <w:t>CED/C/GRC/CO/1</w:t>
        </w:r>
      </w:hyperlink>
      <w:r w:rsidRPr="001C0389">
        <w:rPr>
          <w:rFonts w:cstheme="minorHAnsi"/>
          <w:szCs w:val="18"/>
          <w:lang w:val="en-US"/>
        </w:rPr>
        <w:t xml:space="preserve">, </w:t>
      </w:r>
      <w:r w:rsidR="00562F45">
        <w:rPr>
          <w:rFonts w:cstheme="minorHAnsi"/>
          <w:szCs w:val="18"/>
          <w:lang w:val="en-US"/>
        </w:rPr>
        <w:t>par. </w:t>
      </w:r>
      <w:r w:rsidRPr="001C0389">
        <w:rPr>
          <w:rFonts w:cstheme="minorHAnsi"/>
          <w:szCs w:val="18"/>
          <w:lang w:val="en-US"/>
        </w:rPr>
        <w:t>25 b)</w:t>
      </w:r>
      <w:r w:rsidRPr="00C82A45">
        <w:rPr>
          <w:rFonts w:cstheme="minorHAnsi"/>
          <w:szCs w:val="18"/>
          <w:lang w:val="en-US"/>
        </w:rPr>
        <w:t>.</w:t>
      </w:r>
      <w:r w:rsidRPr="001C0389">
        <w:rPr>
          <w:rFonts w:cstheme="minorHAnsi"/>
          <w:szCs w:val="18"/>
          <w:lang w:val="en-US"/>
        </w:rPr>
        <w:t xml:space="preserve"> </w:t>
      </w:r>
      <w:proofErr w:type="spellStart"/>
      <w:r w:rsidRPr="00EA7479">
        <w:rPr>
          <w:rFonts w:cstheme="minorHAnsi"/>
          <w:szCs w:val="18"/>
          <w:lang w:val="en-CA"/>
        </w:rPr>
        <w:t>Voir</w:t>
      </w:r>
      <w:proofErr w:type="spellEnd"/>
      <w:r w:rsidRPr="00EA7479">
        <w:rPr>
          <w:rFonts w:cstheme="minorHAnsi"/>
          <w:szCs w:val="18"/>
          <w:lang w:val="en-CA"/>
        </w:rPr>
        <w:t xml:space="preserve"> </w:t>
      </w:r>
      <w:proofErr w:type="spellStart"/>
      <w:r w:rsidRPr="00EA7479">
        <w:rPr>
          <w:rFonts w:cstheme="minorHAnsi"/>
          <w:szCs w:val="18"/>
          <w:lang w:val="en-CA"/>
        </w:rPr>
        <w:t>aussi</w:t>
      </w:r>
      <w:proofErr w:type="spellEnd"/>
      <w:r w:rsidRPr="00EA7479">
        <w:rPr>
          <w:rFonts w:cstheme="minorHAnsi"/>
          <w:szCs w:val="18"/>
          <w:lang w:val="en-CA"/>
        </w:rPr>
        <w:t xml:space="preserve"> OHCHR, "</w:t>
      </w:r>
      <w:r w:rsidRPr="00EA7479">
        <w:rPr>
          <w:rFonts w:cstheme="minorHAnsi"/>
          <w:i/>
          <w:iCs/>
          <w:szCs w:val="18"/>
          <w:lang w:val="en-CA"/>
        </w:rPr>
        <w:t>Lethal disregard": search and rescue and the protection of migrants in the central Mediterranean Sea</w:t>
      </w:r>
      <w:r w:rsidRPr="00EA7479">
        <w:rPr>
          <w:rFonts w:cstheme="minorHAnsi"/>
          <w:szCs w:val="18"/>
          <w:lang w:val="en-CA"/>
        </w:rPr>
        <w:t xml:space="preserve">, p. 28. </w:t>
      </w:r>
    </w:p>
  </w:footnote>
  <w:footnote w:id="71">
    <w:p w14:paraId="620CA1B9" w14:textId="434215F5" w:rsidR="00DC22DE" w:rsidRPr="00EA7479" w:rsidRDefault="00DC22DE" w:rsidP="00DC22DE">
      <w:pPr>
        <w:pStyle w:val="Notedebasdepage"/>
      </w:pPr>
      <w:r w:rsidRPr="00EA7479">
        <w:rPr>
          <w:rFonts w:cstheme="minorHAnsi"/>
          <w:szCs w:val="18"/>
          <w:lang w:val="en-CA"/>
        </w:rPr>
        <w:tab/>
      </w:r>
      <w:r w:rsidRPr="00EA7479">
        <w:rPr>
          <w:rStyle w:val="Appelnotedebasdep"/>
        </w:rPr>
        <w:footnoteRef/>
      </w:r>
      <w:r w:rsidRPr="00EA7479">
        <w:rPr>
          <w:rFonts w:cstheme="minorHAnsi"/>
          <w:szCs w:val="18"/>
        </w:rPr>
        <w:tab/>
      </w:r>
      <w:hyperlink r:id="rId67" w:history="1">
        <w:r w:rsidR="00C56ABF">
          <w:rPr>
            <w:rStyle w:val="Lienhypertexte"/>
            <w:lang w:val="fr-FR"/>
          </w:rPr>
          <w:t>A/71/314</w:t>
        </w:r>
      </w:hyperlink>
      <w:r>
        <w:rPr>
          <w:lang w:val="fr-FR"/>
        </w:rPr>
        <w:t xml:space="preserve">, </w:t>
      </w:r>
      <w:r w:rsidR="00562F45">
        <w:rPr>
          <w:lang w:val="fr-FR"/>
        </w:rPr>
        <w:t>par. </w:t>
      </w:r>
      <w:r>
        <w:rPr>
          <w:lang w:val="fr-FR"/>
        </w:rPr>
        <w:t xml:space="preserve">58 à 75. Martha </w:t>
      </w:r>
      <w:proofErr w:type="spellStart"/>
      <w:r>
        <w:rPr>
          <w:lang w:val="fr-FR"/>
        </w:rPr>
        <w:t>Gionco</w:t>
      </w:r>
      <w:proofErr w:type="spellEnd"/>
      <w:r>
        <w:rPr>
          <w:lang w:val="fr-FR"/>
        </w:rPr>
        <w:t xml:space="preserve"> et Jyothi </w:t>
      </w:r>
      <w:proofErr w:type="spellStart"/>
      <w:r>
        <w:rPr>
          <w:lang w:val="fr-FR"/>
        </w:rPr>
        <w:t>Kanics</w:t>
      </w:r>
      <w:proofErr w:type="spellEnd"/>
      <w:r>
        <w:rPr>
          <w:lang w:val="fr-FR"/>
        </w:rPr>
        <w:t xml:space="preserve">, </w:t>
      </w:r>
      <w:proofErr w:type="spellStart"/>
      <w:r>
        <w:rPr>
          <w:i/>
          <w:iCs/>
          <w:lang w:val="fr-FR"/>
        </w:rPr>
        <w:t>Resilience</w:t>
      </w:r>
      <w:proofErr w:type="spellEnd"/>
      <w:r>
        <w:rPr>
          <w:i/>
          <w:iCs/>
          <w:lang w:val="fr-FR"/>
        </w:rPr>
        <w:t xml:space="preserve"> and Resistance : The Criminalisation of </w:t>
      </w:r>
      <w:proofErr w:type="spellStart"/>
      <w:r>
        <w:rPr>
          <w:i/>
          <w:iCs/>
          <w:lang w:val="fr-FR"/>
        </w:rPr>
        <w:t>Solidarity</w:t>
      </w:r>
      <w:proofErr w:type="spellEnd"/>
      <w:r>
        <w:rPr>
          <w:i/>
          <w:iCs/>
          <w:lang w:val="fr-FR"/>
        </w:rPr>
        <w:t xml:space="preserve"> </w:t>
      </w:r>
      <w:proofErr w:type="spellStart"/>
      <w:r>
        <w:rPr>
          <w:i/>
          <w:iCs/>
          <w:lang w:val="fr-FR"/>
        </w:rPr>
        <w:t>across</w:t>
      </w:r>
      <w:proofErr w:type="spellEnd"/>
      <w:r>
        <w:rPr>
          <w:i/>
          <w:iCs/>
          <w:lang w:val="fr-FR"/>
        </w:rPr>
        <w:t xml:space="preserve"> Europe</w:t>
      </w:r>
      <w:r>
        <w:rPr>
          <w:lang w:val="fr-FR"/>
        </w:rPr>
        <w:t xml:space="preserve"> (Bruxelles, Les Verts/ALE au Parlement européen, 2022)</w:t>
      </w:r>
      <w:r w:rsidRPr="00EA7479">
        <w:rPr>
          <w:rFonts w:cstheme="minorHAnsi"/>
          <w:szCs w:val="18"/>
        </w:rPr>
        <w:t>.</w:t>
      </w:r>
    </w:p>
  </w:footnote>
  <w:footnote w:id="72">
    <w:p w14:paraId="19A52BB2" w14:textId="6C242551" w:rsidR="00DC22DE" w:rsidRPr="00EA7479" w:rsidRDefault="00DC22DE" w:rsidP="00DC22DE">
      <w:pPr>
        <w:pStyle w:val="Notedebasdepage"/>
        <w:rPr>
          <w:rFonts w:cstheme="minorHAnsi"/>
          <w:szCs w:val="18"/>
        </w:rPr>
      </w:pPr>
      <w:r w:rsidRPr="00EA7479">
        <w:rPr>
          <w:rFonts w:cstheme="minorHAnsi"/>
          <w:szCs w:val="18"/>
        </w:rPr>
        <w:tab/>
      </w:r>
      <w:r w:rsidRPr="00EA7479">
        <w:rPr>
          <w:rStyle w:val="Appelnotedebasdep"/>
        </w:rPr>
        <w:footnoteRef/>
      </w:r>
      <w:r w:rsidRPr="00192C9C">
        <w:rPr>
          <w:rFonts w:cstheme="minorHAnsi"/>
          <w:szCs w:val="18"/>
        </w:rPr>
        <w:tab/>
      </w:r>
      <w:hyperlink r:id="rId68" w:history="1">
        <w:r w:rsidR="00C56ABF" w:rsidRPr="00192C9C">
          <w:rPr>
            <w:rStyle w:val="Lienhypertexte"/>
          </w:rPr>
          <w:t>A/AC.96/951</w:t>
        </w:r>
      </w:hyperlink>
      <w:r w:rsidRPr="00192C9C">
        <w:t xml:space="preserve">, </w:t>
      </w:r>
      <w:r w:rsidR="00562F45" w:rsidRPr="00192C9C">
        <w:t>par. </w:t>
      </w:r>
      <w:r w:rsidRPr="00192C9C">
        <w:t xml:space="preserve">16: </w:t>
      </w:r>
      <w:hyperlink r:id="rId69" w:history="1">
        <w:r w:rsidR="00C56ABF" w:rsidRPr="00192C9C">
          <w:rPr>
            <w:rStyle w:val="Lienhypertexte"/>
          </w:rPr>
          <w:t>CED/C/NER/CO/1</w:t>
        </w:r>
      </w:hyperlink>
      <w:r w:rsidRPr="00192C9C">
        <w:t xml:space="preserve">, </w:t>
      </w:r>
      <w:r w:rsidR="00562F45" w:rsidRPr="00192C9C">
        <w:t>par. </w:t>
      </w:r>
      <w:r w:rsidRPr="00192C9C">
        <w:t>27 a)</w:t>
      </w:r>
      <w:r w:rsidR="00634635" w:rsidRPr="00192C9C">
        <w:t> ;</w:t>
      </w:r>
      <w:r w:rsidRPr="00192C9C">
        <w:t xml:space="preserve"> </w:t>
      </w:r>
      <w:hyperlink r:id="rId70" w:history="1">
        <w:r w:rsidR="00C56ABF" w:rsidRPr="00192C9C">
          <w:rPr>
            <w:rStyle w:val="Lienhypertexte"/>
          </w:rPr>
          <w:t>CED/C/MNG/CO/1</w:t>
        </w:r>
      </w:hyperlink>
      <w:r w:rsidRPr="00192C9C">
        <w:t>, par. 30 et 31</w:t>
      </w:r>
      <w:r w:rsidR="00634635" w:rsidRPr="00192C9C">
        <w:t> ;</w:t>
      </w:r>
      <w:r w:rsidRPr="00192C9C">
        <w:t xml:space="preserve"> </w:t>
      </w:r>
      <w:hyperlink r:id="rId71" w:history="1">
        <w:r w:rsidR="00C56ABF" w:rsidRPr="00192C9C">
          <w:rPr>
            <w:rStyle w:val="Lienhypertexte"/>
          </w:rPr>
          <w:t>CED/C/SVK/CO/1</w:t>
        </w:r>
      </w:hyperlink>
      <w:r w:rsidRPr="00192C9C">
        <w:t xml:space="preserve">, </w:t>
      </w:r>
      <w:r w:rsidR="00562F45" w:rsidRPr="00192C9C">
        <w:t>par. </w:t>
      </w:r>
      <w:r w:rsidRPr="00192C9C">
        <w:t>14 et 15</w:t>
      </w:r>
      <w:r w:rsidR="00634635" w:rsidRPr="00192C9C">
        <w:t> ;</w:t>
      </w:r>
      <w:r w:rsidRPr="00192C9C">
        <w:t xml:space="preserve"> </w:t>
      </w:r>
      <w:hyperlink r:id="rId72" w:history="1">
        <w:r w:rsidR="00C56ABF" w:rsidRPr="00192C9C">
          <w:rPr>
            <w:rStyle w:val="Lienhypertexte"/>
          </w:rPr>
          <w:t>CED/C/PER/CO/1</w:t>
        </w:r>
      </w:hyperlink>
      <w:r w:rsidRPr="00192C9C">
        <w:t xml:space="preserve">, </w:t>
      </w:r>
      <w:r w:rsidR="00562F45" w:rsidRPr="00192C9C">
        <w:t>par. </w:t>
      </w:r>
      <w:r w:rsidRPr="00192C9C">
        <w:t>22 et 23</w:t>
      </w:r>
      <w:r w:rsidR="00634635" w:rsidRPr="00192C9C">
        <w:t> ;</w:t>
      </w:r>
      <w:r w:rsidRPr="00192C9C">
        <w:t xml:space="preserve"> </w:t>
      </w:r>
      <w:hyperlink r:id="rId73" w:history="1">
        <w:r w:rsidR="00C56ABF" w:rsidRPr="00192C9C">
          <w:rPr>
            <w:rStyle w:val="Lienhypertexte"/>
          </w:rPr>
          <w:t>CED/C/AUT/CO/1</w:t>
        </w:r>
      </w:hyperlink>
      <w:r w:rsidRPr="00192C9C">
        <w:t>, par</w:t>
      </w:r>
      <w:r w:rsidR="00192C9C">
        <w:t>. </w:t>
      </w:r>
      <w:r>
        <w:rPr>
          <w:lang w:val="fr-FR"/>
        </w:rPr>
        <w:t>20 et</w:t>
      </w:r>
      <w:r w:rsidR="00192C9C">
        <w:rPr>
          <w:lang w:val="fr-FR"/>
        </w:rPr>
        <w:t> </w:t>
      </w:r>
      <w:r>
        <w:rPr>
          <w:lang w:val="fr-FR"/>
        </w:rPr>
        <w:t>21</w:t>
      </w:r>
      <w:r w:rsidR="00634635">
        <w:rPr>
          <w:lang w:val="fr-FR"/>
        </w:rPr>
        <w:t> ;</w:t>
      </w:r>
      <w:r>
        <w:rPr>
          <w:lang w:val="fr-FR"/>
        </w:rPr>
        <w:t xml:space="preserve"> </w:t>
      </w:r>
      <w:hyperlink r:id="rId74" w:history="1">
        <w:r w:rsidR="00C56ABF">
          <w:rPr>
            <w:rStyle w:val="Lienhypertexte"/>
            <w:lang w:val="fr-FR"/>
          </w:rPr>
          <w:t>CED/C/GAB/CO/1</w:t>
        </w:r>
      </w:hyperlink>
      <w:r>
        <w:rPr>
          <w:lang w:val="fr-FR"/>
        </w:rPr>
        <w:t xml:space="preserve">, </w:t>
      </w:r>
      <w:r w:rsidR="00562F45">
        <w:rPr>
          <w:lang w:val="fr-FR"/>
        </w:rPr>
        <w:t>par. </w:t>
      </w:r>
      <w:r>
        <w:rPr>
          <w:lang w:val="fr-FR"/>
        </w:rPr>
        <w:t>30 et 31</w:t>
      </w:r>
      <w:r w:rsidR="00634635">
        <w:rPr>
          <w:lang w:val="fr-FR"/>
        </w:rPr>
        <w:t> ;</w:t>
      </w:r>
      <w:r>
        <w:rPr>
          <w:lang w:val="fr-FR"/>
        </w:rPr>
        <w:t xml:space="preserve"> Cour européenne des droits de l</w:t>
      </w:r>
      <w:r w:rsidR="003A234B">
        <w:rPr>
          <w:lang w:val="fr-FR"/>
        </w:rPr>
        <w:t>’</w:t>
      </w:r>
      <w:r>
        <w:rPr>
          <w:lang w:val="fr-FR"/>
        </w:rPr>
        <w:t xml:space="preserve">homme, </w:t>
      </w:r>
      <w:proofErr w:type="spellStart"/>
      <w:r>
        <w:rPr>
          <w:i/>
          <w:iCs/>
          <w:lang w:val="fr-FR"/>
        </w:rPr>
        <w:t>Hirsi</w:t>
      </w:r>
      <w:proofErr w:type="spellEnd"/>
      <w:r>
        <w:rPr>
          <w:i/>
          <w:iCs/>
          <w:lang w:val="fr-FR"/>
        </w:rPr>
        <w:t xml:space="preserve"> </w:t>
      </w:r>
      <w:proofErr w:type="spellStart"/>
      <w:r>
        <w:rPr>
          <w:i/>
          <w:iCs/>
          <w:lang w:val="fr-FR"/>
        </w:rPr>
        <w:t>Jamaa</w:t>
      </w:r>
      <w:proofErr w:type="spellEnd"/>
      <w:r>
        <w:rPr>
          <w:i/>
          <w:iCs/>
          <w:lang w:val="fr-FR"/>
        </w:rPr>
        <w:t xml:space="preserve"> et autres c. Italie</w:t>
      </w:r>
      <w:r>
        <w:rPr>
          <w:lang w:val="fr-FR"/>
        </w:rPr>
        <w:t xml:space="preserve">, requête </w:t>
      </w:r>
      <w:r w:rsidR="00634635">
        <w:rPr>
          <w:rFonts w:eastAsia="MS Mincho"/>
        </w:rPr>
        <w:t>n</w:t>
      </w:r>
      <w:r w:rsidR="00634635">
        <w:rPr>
          <w:rFonts w:eastAsia="MS Mincho"/>
          <w:vertAlign w:val="superscript"/>
        </w:rPr>
        <w:t>o</w:t>
      </w:r>
      <w:r w:rsidR="00634635">
        <w:t> </w:t>
      </w:r>
      <w:r>
        <w:rPr>
          <w:lang w:val="fr-FR"/>
        </w:rPr>
        <w:t xml:space="preserve">27765/09, arrêt, 23 février 2012, </w:t>
      </w:r>
      <w:r w:rsidR="00562F45">
        <w:rPr>
          <w:lang w:val="fr-FR"/>
        </w:rPr>
        <w:t>par. </w:t>
      </w:r>
      <w:r>
        <w:rPr>
          <w:lang w:val="fr-FR"/>
        </w:rPr>
        <w:t>23</w:t>
      </w:r>
      <w:r w:rsidRPr="00EA7479">
        <w:rPr>
          <w:rFonts w:cstheme="minorHAnsi"/>
          <w:szCs w:val="18"/>
        </w:rPr>
        <w:t>.</w:t>
      </w:r>
    </w:p>
  </w:footnote>
  <w:footnote w:id="73">
    <w:p w14:paraId="708A1E4F" w14:textId="3E3A242A" w:rsidR="00DC22DE" w:rsidRPr="00EA7479" w:rsidRDefault="00DC22DE" w:rsidP="00DC22DE">
      <w:pPr>
        <w:pStyle w:val="Notedebasdepage"/>
        <w:rPr>
          <w:rFonts w:cstheme="minorHAnsi"/>
          <w:szCs w:val="18"/>
          <w:lang w:val="fr-FR"/>
        </w:rPr>
      </w:pPr>
      <w:r w:rsidRPr="00EA7479">
        <w:rPr>
          <w:rFonts w:cstheme="minorHAnsi"/>
          <w:szCs w:val="18"/>
        </w:rPr>
        <w:tab/>
      </w:r>
      <w:r w:rsidRPr="00EA7479">
        <w:rPr>
          <w:rStyle w:val="Appelnotedebasdep"/>
        </w:rPr>
        <w:footnoteRef/>
      </w:r>
      <w:r w:rsidRPr="00EA7479">
        <w:rPr>
          <w:rFonts w:cstheme="minorHAnsi"/>
          <w:szCs w:val="18"/>
          <w:lang w:val="fr-FR"/>
        </w:rPr>
        <w:tab/>
      </w:r>
      <w:hyperlink r:id="rId75" w:history="1">
        <w:r w:rsidR="005D6463">
          <w:rPr>
            <w:rStyle w:val="Lienhypertexte"/>
            <w:rFonts w:cstheme="minorHAnsi"/>
            <w:szCs w:val="18"/>
            <w:lang w:val="fr-FR"/>
          </w:rPr>
          <w:t>A/HRC/50/31</w:t>
        </w:r>
      </w:hyperlink>
      <w:r w:rsidRPr="00EA7479">
        <w:rPr>
          <w:rFonts w:cstheme="minorHAnsi"/>
          <w:szCs w:val="18"/>
          <w:lang w:val="fr-FR"/>
        </w:rPr>
        <w:t xml:space="preserve">, </w:t>
      </w:r>
      <w:r w:rsidR="00562F45">
        <w:rPr>
          <w:rFonts w:cstheme="minorHAnsi"/>
          <w:szCs w:val="18"/>
          <w:lang w:val="fr-FR"/>
        </w:rPr>
        <w:t>par. </w:t>
      </w:r>
      <w:r w:rsidRPr="00EA7479">
        <w:rPr>
          <w:rFonts w:cstheme="minorHAnsi"/>
          <w:szCs w:val="18"/>
          <w:lang w:val="fr-FR"/>
        </w:rPr>
        <w:t>27.</w:t>
      </w:r>
    </w:p>
  </w:footnote>
  <w:footnote w:id="74">
    <w:p w14:paraId="7DB9A3F2" w14:textId="18AB30E5" w:rsidR="00DC22DE" w:rsidRPr="00EA7479" w:rsidRDefault="00DC22DE" w:rsidP="00DC22DE">
      <w:pPr>
        <w:pStyle w:val="Notedebasdepage"/>
      </w:pPr>
      <w:r w:rsidRPr="00EA7479">
        <w:rPr>
          <w:rFonts w:cstheme="minorHAnsi"/>
          <w:szCs w:val="18"/>
          <w:lang w:val="fr-FR"/>
        </w:rPr>
        <w:tab/>
      </w:r>
      <w:r w:rsidRPr="00EA7479">
        <w:rPr>
          <w:rStyle w:val="Appelnotedebasdep"/>
        </w:rPr>
        <w:footnoteRef/>
      </w:r>
      <w:r w:rsidRPr="00EA7479">
        <w:rPr>
          <w:rFonts w:cstheme="minorHAnsi"/>
          <w:szCs w:val="18"/>
        </w:rPr>
        <w:tab/>
      </w:r>
      <w:r>
        <w:rPr>
          <w:lang w:val="fr-FR"/>
        </w:rPr>
        <w:t xml:space="preserve">Comité pour la protection des droits de tous les travailleurs migrants et des membres de leur famille, observation générale </w:t>
      </w:r>
      <w:r w:rsidR="00634635">
        <w:rPr>
          <w:rFonts w:eastAsia="MS Mincho"/>
        </w:rPr>
        <w:t>n</w:t>
      </w:r>
      <w:r w:rsidR="00634635">
        <w:rPr>
          <w:rFonts w:eastAsia="MS Mincho"/>
          <w:vertAlign w:val="superscript"/>
        </w:rPr>
        <w:t>o</w:t>
      </w:r>
      <w:r w:rsidR="00634635">
        <w:t> </w:t>
      </w:r>
      <w:r>
        <w:rPr>
          <w:lang w:val="fr-FR"/>
        </w:rPr>
        <w:t xml:space="preserve">2 (2013), </w:t>
      </w:r>
      <w:r w:rsidR="00562F45">
        <w:rPr>
          <w:lang w:val="fr-FR"/>
        </w:rPr>
        <w:t>par. </w:t>
      </w:r>
      <w:r>
        <w:rPr>
          <w:lang w:val="fr-FR"/>
        </w:rPr>
        <w:t>51</w:t>
      </w:r>
      <w:r w:rsidR="00634635">
        <w:rPr>
          <w:lang w:val="fr-FR"/>
        </w:rPr>
        <w:t> ;</w:t>
      </w:r>
      <w:r>
        <w:rPr>
          <w:lang w:val="fr-FR"/>
        </w:rPr>
        <w:t xml:space="preserve"> Comité des droits de l</w:t>
      </w:r>
      <w:r w:rsidR="003A234B">
        <w:rPr>
          <w:lang w:val="fr-FR"/>
        </w:rPr>
        <w:t>’</w:t>
      </w:r>
      <w:r>
        <w:rPr>
          <w:lang w:val="fr-FR"/>
        </w:rPr>
        <w:t xml:space="preserve">homme, observation générale </w:t>
      </w:r>
      <w:r w:rsidR="00634635">
        <w:rPr>
          <w:rFonts w:eastAsia="MS Mincho"/>
        </w:rPr>
        <w:t>n</w:t>
      </w:r>
      <w:r w:rsidR="00634635">
        <w:rPr>
          <w:rFonts w:eastAsia="MS Mincho"/>
          <w:vertAlign w:val="superscript"/>
        </w:rPr>
        <w:t>o</w:t>
      </w:r>
      <w:r w:rsidR="00634635">
        <w:t> </w:t>
      </w:r>
      <w:r>
        <w:rPr>
          <w:lang w:val="fr-FR"/>
        </w:rPr>
        <w:t>31 (2004) sur la nature de l</w:t>
      </w:r>
      <w:r w:rsidR="003A234B">
        <w:rPr>
          <w:lang w:val="fr-FR"/>
        </w:rPr>
        <w:t>’</w:t>
      </w:r>
      <w:r>
        <w:rPr>
          <w:lang w:val="fr-FR"/>
        </w:rPr>
        <w:t xml:space="preserve">obligation juridique générale imposée aux États parties au Pacte international relatif aux droits civils et politiques, </w:t>
      </w:r>
      <w:r w:rsidR="00562F45">
        <w:rPr>
          <w:lang w:val="fr-FR"/>
        </w:rPr>
        <w:t>par. </w:t>
      </w:r>
      <w:r>
        <w:rPr>
          <w:lang w:val="fr-FR"/>
        </w:rPr>
        <w:t>10</w:t>
      </w:r>
      <w:r w:rsidR="00634635">
        <w:rPr>
          <w:lang w:val="fr-FR"/>
        </w:rPr>
        <w:t> ;</w:t>
      </w:r>
      <w:r>
        <w:rPr>
          <w:lang w:val="fr-FR"/>
        </w:rPr>
        <w:t xml:space="preserve"> Cour européenne des droits de l</w:t>
      </w:r>
      <w:r w:rsidR="003A234B">
        <w:rPr>
          <w:lang w:val="fr-FR"/>
        </w:rPr>
        <w:t>’</w:t>
      </w:r>
      <w:r>
        <w:rPr>
          <w:lang w:val="fr-FR"/>
        </w:rPr>
        <w:t xml:space="preserve">homme, </w:t>
      </w:r>
      <w:proofErr w:type="spellStart"/>
      <w:r>
        <w:rPr>
          <w:i/>
          <w:iCs/>
          <w:lang w:val="fr-FR"/>
        </w:rPr>
        <w:t>Hirsi</w:t>
      </w:r>
      <w:proofErr w:type="spellEnd"/>
      <w:r>
        <w:rPr>
          <w:i/>
          <w:iCs/>
          <w:lang w:val="fr-FR"/>
        </w:rPr>
        <w:t xml:space="preserve"> </w:t>
      </w:r>
      <w:proofErr w:type="spellStart"/>
      <w:r>
        <w:rPr>
          <w:i/>
          <w:iCs/>
          <w:lang w:val="fr-FR"/>
        </w:rPr>
        <w:t>Jamaa</w:t>
      </w:r>
      <w:proofErr w:type="spellEnd"/>
      <w:r>
        <w:rPr>
          <w:i/>
          <w:iCs/>
          <w:lang w:val="fr-FR"/>
        </w:rPr>
        <w:t xml:space="preserve"> et autres c. Italie</w:t>
      </w:r>
      <w:r>
        <w:rPr>
          <w:lang w:val="fr-FR"/>
        </w:rPr>
        <w:t xml:space="preserve">, </w:t>
      </w:r>
      <w:r w:rsidR="00562F45">
        <w:rPr>
          <w:lang w:val="fr-FR"/>
        </w:rPr>
        <w:t>par. </w:t>
      </w:r>
      <w:r>
        <w:rPr>
          <w:lang w:val="fr-FR"/>
        </w:rPr>
        <w:t>76 à 82.</w:t>
      </w:r>
    </w:p>
  </w:footnote>
  <w:footnote w:id="75">
    <w:p w14:paraId="55D386CE" w14:textId="4627A563" w:rsidR="00DC22DE" w:rsidRPr="00EA7479" w:rsidRDefault="00DC22DE" w:rsidP="00DC22DE">
      <w:pPr>
        <w:pStyle w:val="Notedebasdepage"/>
        <w:rPr>
          <w:rFonts w:cstheme="minorHAnsi"/>
          <w:szCs w:val="18"/>
          <w:lang w:val="fr-FR"/>
        </w:rPr>
      </w:pPr>
      <w:r w:rsidRPr="00EA7479">
        <w:rPr>
          <w:rFonts w:cstheme="minorHAnsi"/>
          <w:szCs w:val="18"/>
        </w:rPr>
        <w:tab/>
      </w:r>
      <w:r w:rsidRPr="00EA7479">
        <w:rPr>
          <w:rStyle w:val="Appelnotedebasdep"/>
        </w:rPr>
        <w:footnoteRef/>
      </w:r>
      <w:r w:rsidRPr="00EA7479">
        <w:rPr>
          <w:rFonts w:cstheme="minorHAnsi"/>
          <w:szCs w:val="18"/>
        </w:rPr>
        <w:tab/>
      </w:r>
      <w:hyperlink r:id="rId76" w:history="1">
        <w:r w:rsidR="005D6463">
          <w:rPr>
            <w:rStyle w:val="Lienhypertexte"/>
            <w:rFonts w:cstheme="minorHAnsi"/>
            <w:szCs w:val="18"/>
          </w:rPr>
          <w:t>A/HRC/37/50</w:t>
        </w:r>
      </w:hyperlink>
      <w:r w:rsidRPr="00EA7479">
        <w:rPr>
          <w:rFonts w:cstheme="minorHAnsi"/>
          <w:szCs w:val="18"/>
        </w:rPr>
        <w:t xml:space="preserve">, </w:t>
      </w:r>
      <w:r w:rsidR="00562F45">
        <w:rPr>
          <w:rFonts w:cstheme="minorHAnsi"/>
          <w:szCs w:val="18"/>
        </w:rPr>
        <w:t>par. </w:t>
      </w:r>
      <w:r w:rsidRPr="00EA7479">
        <w:rPr>
          <w:rFonts w:cstheme="minorHAnsi"/>
          <w:szCs w:val="18"/>
        </w:rPr>
        <w:t>57</w:t>
      </w:r>
      <w:r w:rsidR="00634635">
        <w:rPr>
          <w:rFonts w:cstheme="minorHAnsi"/>
          <w:szCs w:val="18"/>
        </w:rPr>
        <w:t> ;</w:t>
      </w:r>
      <w:r w:rsidRPr="00EA7479">
        <w:rPr>
          <w:rFonts w:cstheme="minorHAnsi"/>
          <w:szCs w:val="18"/>
        </w:rPr>
        <w:t xml:space="preserve"> Cour européenne des droits de l</w:t>
      </w:r>
      <w:r w:rsidR="003A234B">
        <w:rPr>
          <w:rFonts w:cstheme="minorHAnsi"/>
          <w:szCs w:val="18"/>
        </w:rPr>
        <w:t>’</w:t>
      </w:r>
      <w:r w:rsidRPr="00EA7479">
        <w:rPr>
          <w:rFonts w:cstheme="minorHAnsi"/>
          <w:szCs w:val="18"/>
        </w:rPr>
        <w:t xml:space="preserve">homme, </w:t>
      </w:r>
      <w:proofErr w:type="spellStart"/>
      <w:r>
        <w:rPr>
          <w:i/>
          <w:iCs/>
          <w:lang w:val="fr-FR"/>
        </w:rPr>
        <w:t>Hirsi</w:t>
      </w:r>
      <w:proofErr w:type="spellEnd"/>
      <w:r>
        <w:rPr>
          <w:i/>
          <w:iCs/>
          <w:lang w:val="fr-FR"/>
        </w:rPr>
        <w:t xml:space="preserve"> </w:t>
      </w:r>
      <w:proofErr w:type="spellStart"/>
      <w:r>
        <w:rPr>
          <w:i/>
          <w:iCs/>
          <w:lang w:val="fr-FR"/>
        </w:rPr>
        <w:t>Jamaa</w:t>
      </w:r>
      <w:proofErr w:type="spellEnd"/>
      <w:r>
        <w:rPr>
          <w:i/>
          <w:iCs/>
          <w:lang w:val="fr-FR"/>
        </w:rPr>
        <w:t xml:space="preserve"> et autres c. Italie</w:t>
      </w:r>
      <w:r>
        <w:rPr>
          <w:lang w:val="fr-FR"/>
        </w:rPr>
        <w:t xml:space="preserve">, </w:t>
      </w:r>
      <w:r w:rsidR="00562F45">
        <w:rPr>
          <w:lang w:val="fr-FR"/>
        </w:rPr>
        <w:t>par. </w:t>
      </w:r>
      <w:r w:rsidRPr="00EA7479">
        <w:rPr>
          <w:rFonts w:cstheme="minorHAnsi"/>
          <w:szCs w:val="18"/>
          <w:lang w:val="fr-FR"/>
        </w:rPr>
        <w:t>129.</w:t>
      </w:r>
    </w:p>
  </w:footnote>
  <w:footnote w:id="76">
    <w:p w14:paraId="2EE76B79" w14:textId="4224ADF1" w:rsidR="00DC22DE" w:rsidRPr="00EA7479" w:rsidRDefault="00DC22DE" w:rsidP="00DC22DE">
      <w:pPr>
        <w:pStyle w:val="Notedebasdepage"/>
        <w:rPr>
          <w:rFonts w:cstheme="minorHAnsi"/>
          <w:szCs w:val="18"/>
        </w:rPr>
      </w:pPr>
      <w:r w:rsidRPr="00EA7479">
        <w:rPr>
          <w:rFonts w:cstheme="minorHAnsi"/>
          <w:szCs w:val="18"/>
          <w:lang w:val="fr-FR"/>
        </w:rPr>
        <w:tab/>
      </w:r>
      <w:r w:rsidRPr="00EA7479">
        <w:rPr>
          <w:rStyle w:val="Appelnotedebasdep"/>
        </w:rPr>
        <w:footnoteRef/>
      </w:r>
      <w:r w:rsidRPr="00EA7479">
        <w:rPr>
          <w:rFonts w:cstheme="minorHAnsi"/>
          <w:szCs w:val="18"/>
          <w:lang w:val="fr-FR"/>
        </w:rPr>
        <w:tab/>
        <w:t xml:space="preserve">Voir </w:t>
      </w:r>
      <w:r w:rsidRPr="00EA7479">
        <w:rPr>
          <w:rFonts w:cstheme="minorHAnsi"/>
          <w:i/>
          <w:iCs/>
          <w:szCs w:val="18"/>
          <w:lang w:val="fr-FR"/>
        </w:rPr>
        <w:t xml:space="preserve">E.L.A. c. </w:t>
      </w:r>
      <w:r w:rsidRPr="00EA7479">
        <w:rPr>
          <w:rFonts w:cstheme="minorHAnsi"/>
          <w:i/>
          <w:iCs/>
          <w:szCs w:val="18"/>
        </w:rPr>
        <w:t>France</w:t>
      </w:r>
      <w:r w:rsidRPr="00EA7479">
        <w:rPr>
          <w:rFonts w:cstheme="minorHAnsi"/>
          <w:szCs w:val="18"/>
        </w:rPr>
        <w:t xml:space="preserve"> (</w:t>
      </w:r>
      <w:hyperlink r:id="rId77" w:history="1">
        <w:r w:rsidR="005D6463">
          <w:rPr>
            <w:rStyle w:val="Lienhypertexte"/>
            <w:rFonts w:cstheme="minorHAnsi"/>
            <w:szCs w:val="18"/>
          </w:rPr>
          <w:t>CED/C/19/D/3/2019</w:t>
        </w:r>
      </w:hyperlink>
      <w:r w:rsidRPr="00EA7479">
        <w:rPr>
          <w:rFonts w:cstheme="minorHAnsi"/>
          <w:szCs w:val="18"/>
        </w:rPr>
        <w:t>)</w:t>
      </w:r>
      <w:r w:rsidR="00634635">
        <w:rPr>
          <w:rFonts w:cstheme="minorHAnsi"/>
          <w:szCs w:val="18"/>
        </w:rPr>
        <w:t> ;</w:t>
      </w:r>
      <w:r w:rsidRPr="00EA7479">
        <w:rPr>
          <w:rFonts w:cstheme="minorHAnsi"/>
          <w:szCs w:val="18"/>
        </w:rPr>
        <w:t xml:space="preserve"> Cour européenne des droits de l</w:t>
      </w:r>
      <w:r w:rsidR="003A234B">
        <w:rPr>
          <w:rFonts w:cstheme="minorHAnsi"/>
          <w:szCs w:val="18"/>
        </w:rPr>
        <w:t>’</w:t>
      </w:r>
      <w:r>
        <w:rPr>
          <w:rFonts w:cstheme="minorHAnsi"/>
          <w:szCs w:val="18"/>
        </w:rPr>
        <w:t>homme</w:t>
      </w:r>
      <w:r w:rsidRPr="00EA7479">
        <w:rPr>
          <w:rFonts w:cstheme="minorHAnsi"/>
          <w:szCs w:val="18"/>
        </w:rPr>
        <w:t xml:space="preserve">, </w:t>
      </w:r>
      <w:r w:rsidRPr="00EA7479">
        <w:rPr>
          <w:rFonts w:cstheme="minorHAnsi"/>
          <w:i/>
          <w:iCs/>
          <w:szCs w:val="18"/>
        </w:rPr>
        <w:t>K.</w:t>
      </w:r>
      <w:r w:rsidR="00FC7CCC">
        <w:rPr>
          <w:rFonts w:cstheme="minorHAnsi"/>
          <w:i/>
          <w:iCs/>
          <w:szCs w:val="18"/>
        </w:rPr>
        <w:t> </w:t>
      </w:r>
      <w:r w:rsidRPr="00EA7479">
        <w:rPr>
          <w:rFonts w:cstheme="minorHAnsi"/>
          <w:i/>
          <w:iCs/>
          <w:szCs w:val="18"/>
        </w:rPr>
        <w:t xml:space="preserve">I. </w:t>
      </w:r>
      <w:r>
        <w:rPr>
          <w:rFonts w:cstheme="minorHAnsi"/>
          <w:i/>
          <w:iCs/>
          <w:szCs w:val="18"/>
        </w:rPr>
        <w:t>c</w:t>
      </w:r>
      <w:r w:rsidRPr="00EA7479">
        <w:rPr>
          <w:rFonts w:cstheme="minorHAnsi"/>
          <w:i/>
          <w:iCs/>
          <w:szCs w:val="18"/>
        </w:rPr>
        <w:t>.</w:t>
      </w:r>
      <w:r w:rsidR="00FC7CCC">
        <w:rPr>
          <w:rFonts w:cstheme="minorHAnsi"/>
          <w:i/>
          <w:iCs/>
          <w:szCs w:val="18"/>
        </w:rPr>
        <w:t> </w:t>
      </w:r>
      <w:r w:rsidRPr="00EA7479">
        <w:rPr>
          <w:rFonts w:cstheme="minorHAnsi"/>
          <w:i/>
          <w:iCs/>
          <w:szCs w:val="18"/>
        </w:rPr>
        <w:t>France</w:t>
      </w:r>
      <w:r w:rsidRPr="00EA7479">
        <w:rPr>
          <w:rFonts w:cstheme="minorHAnsi"/>
          <w:szCs w:val="18"/>
        </w:rPr>
        <w:t xml:space="preserve">, </w:t>
      </w:r>
      <w:r w:rsidRPr="00F25203">
        <w:rPr>
          <w:rFonts w:cstheme="minorHAnsi"/>
          <w:szCs w:val="18"/>
        </w:rPr>
        <w:t xml:space="preserve">requête </w:t>
      </w:r>
      <w:r w:rsidR="00634635">
        <w:rPr>
          <w:rFonts w:eastAsia="MS Mincho"/>
        </w:rPr>
        <w:t>n</w:t>
      </w:r>
      <w:r w:rsidR="00634635">
        <w:rPr>
          <w:rFonts w:eastAsia="MS Mincho"/>
          <w:vertAlign w:val="superscript"/>
        </w:rPr>
        <w:t>o</w:t>
      </w:r>
      <w:r w:rsidR="00634635">
        <w:t> </w:t>
      </w:r>
      <w:r w:rsidRPr="00EA7479">
        <w:rPr>
          <w:rFonts w:cstheme="minorHAnsi"/>
          <w:szCs w:val="18"/>
        </w:rPr>
        <w:t>5560/19, arrêt, 15 avril 2021</w:t>
      </w:r>
      <w:r w:rsidR="00634635">
        <w:rPr>
          <w:rFonts w:cstheme="minorHAnsi"/>
          <w:szCs w:val="18"/>
        </w:rPr>
        <w:t> ;</w:t>
      </w:r>
      <w:r w:rsidRPr="00EA7479">
        <w:rPr>
          <w:rFonts w:cstheme="minorHAnsi"/>
          <w:szCs w:val="18"/>
        </w:rPr>
        <w:t xml:space="preserve"> </w:t>
      </w:r>
      <w:hyperlink r:id="rId78" w:history="1">
        <w:r w:rsidR="00FC7CCC">
          <w:rPr>
            <w:rStyle w:val="Lienhypertexte"/>
            <w:rFonts w:cstheme="minorHAnsi"/>
            <w:szCs w:val="18"/>
          </w:rPr>
          <w:t>CED/C/NER/CO/1</w:t>
        </w:r>
      </w:hyperlink>
      <w:r w:rsidRPr="00EA7479">
        <w:rPr>
          <w:rFonts w:cstheme="minorHAnsi"/>
          <w:szCs w:val="18"/>
        </w:rPr>
        <w:t xml:space="preserve">, </w:t>
      </w:r>
      <w:r w:rsidR="00562F45">
        <w:rPr>
          <w:rFonts w:cstheme="minorHAnsi"/>
          <w:szCs w:val="18"/>
        </w:rPr>
        <w:t>par. </w:t>
      </w:r>
      <w:r w:rsidRPr="00EA7479">
        <w:rPr>
          <w:rFonts w:cstheme="minorHAnsi"/>
          <w:szCs w:val="18"/>
        </w:rPr>
        <w:t>27 b)</w:t>
      </w:r>
      <w:r w:rsidR="00634635">
        <w:rPr>
          <w:rFonts w:cstheme="minorHAnsi"/>
          <w:szCs w:val="18"/>
        </w:rPr>
        <w:t> ;</w:t>
      </w:r>
      <w:r w:rsidRPr="00EA7479">
        <w:rPr>
          <w:rFonts w:cstheme="minorHAnsi"/>
          <w:szCs w:val="18"/>
        </w:rPr>
        <w:t xml:space="preserve"> </w:t>
      </w:r>
      <w:hyperlink r:id="rId79" w:history="1">
        <w:r w:rsidR="00FC7CCC">
          <w:rPr>
            <w:rStyle w:val="Lienhypertexte"/>
            <w:rFonts w:cstheme="minorHAnsi"/>
            <w:szCs w:val="18"/>
          </w:rPr>
          <w:t>CED/C/CHE/CO/1</w:t>
        </w:r>
      </w:hyperlink>
      <w:r w:rsidRPr="00EA7479">
        <w:rPr>
          <w:rFonts w:cstheme="minorHAnsi"/>
          <w:szCs w:val="18"/>
        </w:rPr>
        <w:t xml:space="preserve">, </w:t>
      </w:r>
      <w:r w:rsidR="00562F45">
        <w:rPr>
          <w:rFonts w:cstheme="minorHAnsi"/>
          <w:szCs w:val="18"/>
        </w:rPr>
        <w:t>par. </w:t>
      </w:r>
      <w:r w:rsidRPr="00EA7479">
        <w:rPr>
          <w:rFonts w:cstheme="minorHAnsi"/>
          <w:szCs w:val="18"/>
        </w:rPr>
        <w:t>23 et 24</w:t>
      </w:r>
      <w:r w:rsidR="00634635">
        <w:rPr>
          <w:rFonts w:cstheme="minorHAnsi"/>
          <w:szCs w:val="18"/>
        </w:rPr>
        <w:t> ;</w:t>
      </w:r>
      <w:r w:rsidRPr="00EA7479">
        <w:rPr>
          <w:rFonts w:cstheme="minorHAnsi"/>
          <w:szCs w:val="18"/>
        </w:rPr>
        <w:t xml:space="preserve"> </w:t>
      </w:r>
      <w:hyperlink r:id="rId80" w:history="1">
        <w:r w:rsidR="00FC7CCC">
          <w:rPr>
            <w:rStyle w:val="Lienhypertexte"/>
            <w:rFonts w:cstheme="minorHAnsi"/>
            <w:szCs w:val="18"/>
          </w:rPr>
          <w:t>CED/C/ITA/CO/1</w:t>
        </w:r>
      </w:hyperlink>
      <w:r w:rsidRPr="00EA7479">
        <w:rPr>
          <w:rFonts w:cstheme="minorHAnsi"/>
          <w:szCs w:val="18"/>
        </w:rPr>
        <w:t xml:space="preserve">, </w:t>
      </w:r>
      <w:r w:rsidR="00562F45">
        <w:rPr>
          <w:rFonts w:cstheme="minorHAnsi"/>
          <w:szCs w:val="18"/>
        </w:rPr>
        <w:t>par. </w:t>
      </w:r>
      <w:r w:rsidRPr="00EA7479">
        <w:rPr>
          <w:rFonts w:cstheme="minorHAnsi"/>
          <w:szCs w:val="18"/>
        </w:rPr>
        <w:t>26 et 27</w:t>
      </w:r>
      <w:r w:rsidR="00634635">
        <w:rPr>
          <w:rFonts w:cstheme="minorHAnsi"/>
          <w:szCs w:val="18"/>
        </w:rPr>
        <w:t> ;</w:t>
      </w:r>
      <w:r w:rsidRPr="00EA7479">
        <w:rPr>
          <w:rFonts w:cstheme="minorHAnsi"/>
          <w:szCs w:val="18"/>
        </w:rPr>
        <w:t xml:space="preserve"> </w:t>
      </w:r>
      <w:hyperlink r:id="rId81" w:history="1">
        <w:r w:rsidR="00FC7CCC">
          <w:rPr>
            <w:rStyle w:val="Lienhypertexte"/>
            <w:rFonts w:cstheme="minorHAnsi"/>
            <w:szCs w:val="18"/>
          </w:rPr>
          <w:t>CED/C/PER/CO/1</w:t>
        </w:r>
      </w:hyperlink>
      <w:r w:rsidRPr="00EA7479">
        <w:rPr>
          <w:rFonts w:cstheme="minorHAnsi"/>
          <w:szCs w:val="18"/>
        </w:rPr>
        <w:t xml:space="preserve">, </w:t>
      </w:r>
      <w:r w:rsidR="00562F45">
        <w:rPr>
          <w:rFonts w:cstheme="minorHAnsi"/>
          <w:szCs w:val="18"/>
        </w:rPr>
        <w:t>par. </w:t>
      </w:r>
      <w:r w:rsidRPr="00EA7479">
        <w:rPr>
          <w:rFonts w:cstheme="minorHAnsi"/>
          <w:szCs w:val="18"/>
        </w:rPr>
        <w:t>22</w:t>
      </w:r>
      <w:r>
        <w:rPr>
          <w:rFonts w:cstheme="minorHAnsi"/>
          <w:szCs w:val="18"/>
        </w:rPr>
        <w:t xml:space="preserve"> et</w:t>
      </w:r>
      <w:r w:rsidR="0031625B">
        <w:rPr>
          <w:rFonts w:cstheme="minorHAnsi"/>
          <w:szCs w:val="18"/>
        </w:rPr>
        <w:t> </w:t>
      </w:r>
      <w:r w:rsidRPr="00EA7479">
        <w:rPr>
          <w:rFonts w:cstheme="minorHAnsi"/>
          <w:szCs w:val="18"/>
        </w:rPr>
        <w:t>23</w:t>
      </w:r>
      <w:r w:rsidR="00634635">
        <w:rPr>
          <w:rFonts w:cstheme="minorHAnsi"/>
          <w:szCs w:val="18"/>
        </w:rPr>
        <w:t> ;</w:t>
      </w:r>
      <w:r w:rsidRPr="00EA7479">
        <w:rPr>
          <w:rFonts w:cstheme="minorHAnsi"/>
          <w:szCs w:val="18"/>
        </w:rPr>
        <w:t xml:space="preserve"> </w:t>
      </w:r>
      <w:hyperlink r:id="rId82" w:history="1">
        <w:r w:rsidR="0031625B">
          <w:rPr>
            <w:rStyle w:val="Lienhypertexte"/>
            <w:rFonts w:cstheme="minorHAnsi"/>
            <w:szCs w:val="18"/>
          </w:rPr>
          <w:t>CED/C/AUT/CO/1</w:t>
        </w:r>
      </w:hyperlink>
      <w:r w:rsidRPr="00EA7479">
        <w:rPr>
          <w:rFonts w:cstheme="minorHAnsi"/>
          <w:szCs w:val="18"/>
        </w:rPr>
        <w:t xml:space="preserve">, </w:t>
      </w:r>
      <w:r w:rsidR="00562F45">
        <w:rPr>
          <w:rFonts w:cstheme="minorHAnsi"/>
          <w:szCs w:val="18"/>
        </w:rPr>
        <w:t>par. </w:t>
      </w:r>
      <w:r w:rsidRPr="00EA7479">
        <w:rPr>
          <w:rFonts w:cstheme="minorHAnsi"/>
          <w:szCs w:val="18"/>
        </w:rPr>
        <w:t>20</w:t>
      </w:r>
      <w:r>
        <w:rPr>
          <w:rFonts w:cstheme="minorHAnsi"/>
          <w:szCs w:val="18"/>
        </w:rPr>
        <w:t xml:space="preserve"> et </w:t>
      </w:r>
      <w:r w:rsidRPr="00EA7479">
        <w:rPr>
          <w:rFonts w:cstheme="minorHAnsi"/>
          <w:szCs w:val="18"/>
        </w:rPr>
        <w:t>21</w:t>
      </w:r>
      <w:r w:rsidR="00634635">
        <w:rPr>
          <w:rFonts w:cstheme="minorHAnsi"/>
          <w:szCs w:val="18"/>
        </w:rPr>
        <w:t> ;</w:t>
      </w:r>
      <w:r w:rsidRPr="00EA7479">
        <w:rPr>
          <w:rFonts w:cstheme="minorHAnsi"/>
          <w:szCs w:val="18"/>
        </w:rPr>
        <w:t xml:space="preserve"> </w:t>
      </w:r>
      <w:hyperlink r:id="rId83" w:history="1">
        <w:r w:rsidR="0031625B">
          <w:rPr>
            <w:rStyle w:val="Lienhypertexte"/>
            <w:rFonts w:cstheme="minorHAnsi"/>
            <w:szCs w:val="18"/>
          </w:rPr>
          <w:t>CED/C/GAB/CO/1</w:t>
        </w:r>
      </w:hyperlink>
      <w:r w:rsidRPr="00EA7479">
        <w:rPr>
          <w:rFonts w:cstheme="minorHAnsi"/>
          <w:szCs w:val="18"/>
        </w:rPr>
        <w:t xml:space="preserve">, </w:t>
      </w:r>
      <w:r w:rsidR="00562F45">
        <w:rPr>
          <w:rFonts w:cstheme="minorHAnsi"/>
          <w:szCs w:val="18"/>
        </w:rPr>
        <w:t>par. </w:t>
      </w:r>
      <w:r w:rsidRPr="00EA7479">
        <w:rPr>
          <w:rFonts w:cstheme="minorHAnsi"/>
          <w:szCs w:val="18"/>
        </w:rPr>
        <w:t>30 et 31</w:t>
      </w:r>
      <w:r w:rsidR="00634635">
        <w:rPr>
          <w:rFonts w:cstheme="minorHAnsi"/>
          <w:szCs w:val="18"/>
        </w:rPr>
        <w:t> ;</w:t>
      </w:r>
      <w:r w:rsidRPr="00EA7479">
        <w:rPr>
          <w:rFonts w:cstheme="minorHAnsi"/>
          <w:szCs w:val="18"/>
        </w:rPr>
        <w:t xml:space="preserve"> </w:t>
      </w:r>
      <w:r>
        <w:rPr>
          <w:rFonts w:cstheme="minorHAnsi"/>
          <w:szCs w:val="18"/>
        </w:rPr>
        <w:t>Cour européenne des droits de l</w:t>
      </w:r>
      <w:r w:rsidR="003A234B">
        <w:rPr>
          <w:rFonts w:cstheme="minorHAnsi"/>
          <w:szCs w:val="18"/>
        </w:rPr>
        <w:t>’</w:t>
      </w:r>
      <w:r>
        <w:rPr>
          <w:rFonts w:cstheme="minorHAnsi"/>
          <w:szCs w:val="18"/>
        </w:rPr>
        <w:t xml:space="preserve">homme, </w:t>
      </w:r>
      <w:r w:rsidRPr="00EA7479">
        <w:rPr>
          <w:rFonts w:cstheme="minorHAnsi"/>
          <w:i/>
          <w:iCs/>
          <w:szCs w:val="18"/>
        </w:rPr>
        <w:t>K.</w:t>
      </w:r>
      <w:r w:rsidR="0031625B">
        <w:rPr>
          <w:rFonts w:cstheme="minorHAnsi"/>
          <w:i/>
          <w:iCs/>
          <w:szCs w:val="18"/>
        </w:rPr>
        <w:t> </w:t>
      </w:r>
      <w:r w:rsidRPr="00EA7479">
        <w:rPr>
          <w:rFonts w:cstheme="minorHAnsi"/>
          <w:i/>
          <w:iCs/>
          <w:szCs w:val="18"/>
        </w:rPr>
        <w:t xml:space="preserve">I. c. </w:t>
      </w:r>
      <w:r>
        <w:rPr>
          <w:rFonts w:cstheme="minorHAnsi"/>
          <w:i/>
          <w:iCs/>
          <w:szCs w:val="18"/>
        </w:rPr>
        <w:t>France</w:t>
      </w:r>
      <w:r>
        <w:rPr>
          <w:rFonts w:cstheme="minorHAnsi"/>
          <w:szCs w:val="18"/>
        </w:rPr>
        <w:t xml:space="preserve">, requête </w:t>
      </w:r>
      <w:r w:rsidR="00634635">
        <w:rPr>
          <w:rFonts w:eastAsia="MS Mincho"/>
        </w:rPr>
        <w:t>n</w:t>
      </w:r>
      <w:r w:rsidR="00634635">
        <w:rPr>
          <w:rFonts w:eastAsia="MS Mincho"/>
          <w:vertAlign w:val="superscript"/>
        </w:rPr>
        <w:t>o</w:t>
      </w:r>
      <w:r w:rsidR="00634635">
        <w:t> </w:t>
      </w:r>
      <w:r>
        <w:rPr>
          <w:rFonts w:cstheme="minorHAnsi"/>
          <w:szCs w:val="18"/>
        </w:rPr>
        <w:t>5560/19, arrêt, 15 avril 2021.</w:t>
      </w:r>
    </w:p>
  </w:footnote>
  <w:footnote w:id="77">
    <w:p w14:paraId="7F12C43D" w14:textId="1DBD5372" w:rsidR="00DC22DE" w:rsidRPr="00EA7479" w:rsidRDefault="00DC22DE" w:rsidP="00DC22DE">
      <w:pPr>
        <w:pStyle w:val="Notedebasdepage"/>
        <w:rPr>
          <w:rFonts w:cstheme="minorHAnsi"/>
          <w:szCs w:val="18"/>
        </w:rPr>
      </w:pPr>
      <w:r w:rsidRPr="00EA7479">
        <w:rPr>
          <w:rFonts w:cstheme="minorHAnsi"/>
          <w:szCs w:val="18"/>
        </w:rPr>
        <w:tab/>
      </w:r>
      <w:r w:rsidRPr="00EA7479">
        <w:rPr>
          <w:rStyle w:val="Appelnotedebasdep"/>
        </w:rPr>
        <w:footnoteRef/>
      </w:r>
      <w:r w:rsidRPr="00EA7479">
        <w:rPr>
          <w:rFonts w:cstheme="minorHAnsi"/>
          <w:szCs w:val="18"/>
        </w:rPr>
        <w:tab/>
      </w:r>
      <w:hyperlink r:id="rId84" w:history="1">
        <w:r w:rsidR="0031625B">
          <w:rPr>
            <w:rStyle w:val="Lienhypertexte"/>
            <w:rFonts w:cstheme="minorHAnsi"/>
            <w:szCs w:val="18"/>
          </w:rPr>
          <w:t>CED/C/GRC/CO/1</w:t>
        </w:r>
      </w:hyperlink>
      <w:r w:rsidRPr="00EA7479">
        <w:rPr>
          <w:rFonts w:cstheme="minorHAnsi"/>
          <w:szCs w:val="18"/>
        </w:rPr>
        <w:t xml:space="preserve">, </w:t>
      </w:r>
      <w:r w:rsidR="00562F45">
        <w:rPr>
          <w:rFonts w:cstheme="minorHAnsi"/>
          <w:szCs w:val="18"/>
        </w:rPr>
        <w:t>par. </w:t>
      </w:r>
      <w:r w:rsidRPr="00EA7479">
        <w:rPr>
          <w:rFonts w:cstheme="minorHAnsi"/>
          <w:szCs w:val="18"/>
        </w:rPr>
        <w:t>29 d)</w:t>
      </w:r>
      <w:r w:rsidR="00634635">
        <w:rPr>
          <w:rFonts w:cstheme="minorHAnsi"/>
          <w:szCs w:val="18"/>
        </w:rPr>
        <w:t> ;</w:t>
      </w:r>
      <w:r w:rsidRPr="00EA7479">
        <w:rPr>
          <w:rFonts w:cstheme="minorHAnsi"/>
          <w:szCs w:val="18"/>
        </w:rPr>
        <w:t xml:space="preserve"> </w:t>
      </w:r>
      <w:hyperlink r:id="rId85" w:history="1">
        <w:r w:rsidR="0031625B">
          <w:rPr>
            <w:rStyle w:val="Lienhypertexte"/>
            <w:rFonts w:cstheme="minorHAnsi"/>
            <w:szCs w:val="18"/>
          </w:rPr>
          <w:t>CED/C/CHE/CO/1</w:t>
        </w:r>
      </w:hyperlink>
      <w:r w:rsidRPr="00EA7479">
        <w:rPr>
          <w:rFonts w:cstheme="minorHAnsi"/>
          <w:szCs w:val="18"/>
        </w:rPr>
        <w:t xml:space="preserve">, </w:t>
      </w:r>
      <w:r w:rsidR="00562F45">
        <w:rPr>
          <w:rFonts w:cstheme="minorHAnsi"/>
          <w:szCs w:val="18"/>
        </w:rPr>
        <w:t>par. </w:t>
      </w:r>
      <w:r w:rsidRPr="00EA7479">
        <w:rPr>
          <w:rFonts w:cstheme="minorHAnsi"/>
          <w:szCs w:val="18"/>
        </w:rPr>
        <w:t>23</w:t>
      </w:r>
      <w:r>
        <w:rPr>
          <w:rFonts w:cstheme="minorHAnsi"/>
          <w:szCs w:val="18"/>
        </w:rPr>
        <w:t xml:space="preserve"> et </w:t>
      </w:r>
      <w:r w:rsidRPr="00EA7479">
        <w:rPr>
          <w:rFonts w:cstheme="minorHAnsi"/>
          <w:szCs w:val="18"/>
        </w:rPr>
        <w:t>24</w:t>
      </w:r>
      <w:r w:rsidR="00634635">
        <w:rPr>
          <w:rFonts w:cstheme="minorHAnsi"/>
          <w:szCs w:val="18"/>
        </w:rPr>
        <w:t> ;</w:t>
      </w:r>
      <w:r w:rsidRPr="00EA7479">
        <w:rPr>
          <w:rFonts w:cstheme="minorHAnsi"/>
          <w:szCs w:val="18"/>
        </w:rPr>
        <w:t xml:space="preserve"> </w:t>
      </w:r>
      <w:r>
        <w:rPr>
          <w:rFonts w:cstheme="minorHAnsi"/>
          <w:szCs w:val="18"/>
        </w:rPr>
        <w:t>Cour européenne des droits de l</w:t>
      </w:r>
      <w:r w:rsidR="003A234B">
        <w:rPr>
          <w:rFonts w:cstheme="minorHAnsi"/>
          <w:szCs w:val="18"/>
        </w:rPr>
        <w:t>’</w:t>
      </w:r>
      <w:r>
        <w:rPr>
          <w:rFonts w:cstheme="minorHAnsi"/>
          <w:szCs w:val="18"/>
        </w:rPr>
        <w:t>homme</w:t>
      </w:r>
      <w:r w:rsidRPr="00EA7479">
        <w:rPr>
          <w:rFonts w:cstheme="minorHAnsi"/>
          <w:i/>
          <w:iCs/>
          <w:szCs w:val="18"/>
        </w:rPr>
        <w:t>, M.</w:t>
      </w:r>
      <w:r w:rsidR="0031625B">
        <w:rPr>
          <w:rFonts w:cstheme="minorHAnsi"/>
          <w:i/>
          <w:iCs/>
          <w:szCs w:val="18"/>
        </w:rPr>
        <w:t> </w:t>
      </w:r>
      <w:r w:rsidRPr="00EA7479">
        <w:rPr>
          <w:rFonts w:cstheme="minorHAnsi"/>
          <w:i/>
          <w:iCs/>
          <w:szCs w:val="18"/>
        </w:rPr>
        <w:t>A et autres c. Bulgarie</w:t>
      </w:r>
      <w:r>
        <w:rPr>
          <w:rFonts w:cstheme="minorHAnsi"/>
          <w:szCs w:val="18"/>
        </w:rPr>
        <w:t xml:space="preserve">, requête </w:t>
      </w:r>
      <w:r w:rsidR="00634635">
        <w:rPr>
          <w:rFonts w:eastAsia="MS Mincho"/>
        </w:rPr>
        <w:t>n</w:t>
      </w:r>
      <w:r w:rsidR="00634635">
        <w:rPr>
          <w:rFonts w:eastAsia="MS Mincho"/>
          <w:vertAlign w:val="superscript"/>
        </w:rPr>
        <w:t>o</w:t>
      </w:r>
      <w:r w:rsidR="00634635">
        <w:t> </w:t>
      </w:r>
      <w:r>
        <w:rPr>
          <w:rFonts w:cstheme="minorHAnsi"/>
          <w:szCs w:val="18"/>
        </w:rPr>
        <w:t xml:space="preserve">5115/18, arrêt, 20 février 2020, </w:t>
      </w:r>
      <w:r w:rsidR="00562F45">
        <w:rPr>
          <w:rFonts w:cstheme="minorHAnsi"/>
          <w:szCs w:val="18"/>
        </w:rPr>
        <w:t>par. </w:t>
      </w:r>
      <w:r>
        <w:rPr>
          <w:rFonts w:cstheme="minorHAnsi"/>
          <w:szCs w:val="18"/>
        </w:rPr>
        <w:t>79 à 84</w:t>
      </w:r>
      <w:r w:rsidRPr="00EA7479">
        <w:rPr>
          <w:rFonts w:cstheme="minorHAnsi"/>
          <w:szCs w:val="18"/>
        </w:rPr>
        <w:t xml:space="preserve">. </w:t>
      </w:r>
      <w:r>
        <w:rPr>
          <w:rFonts w:cstheme="minorHAnsi"/>
          <w:szCs w:val="18"/>
        </w:rPr>
        <w:t xml:space="preserve">Pour des exemples de refoulement en chaîne, voir </w:t>
      </w:r>
      <w:hyperlink r:id="rId86" w:history="1">
        <w:r w:rsidR="00C56ABF">
          <w:rPr>
            <w:rStyle w:val="Lienhypertexte"/>
            <w:rFonts w:cstheme="minorHAnsi"/>
            <w:szCs w:val="18"/>
          </w:rPr>
          <w:t>A/HRC/47/30</w:t>
        </w:r>
      </w:hyperlink>
      <w:r>
        <w:rPr>
          <w:rFonts w:cstheme="minorHAnsi"/>
          <w:szCs w:val="18"/>
        </w:rPr>
        <w:t xml:space="preserve">, </w:t>
      </w:r>
      <w:r w:rsidR="00562F45">
        <w:rPr>
          <w:rFonts w:cstheme="minorHAnsi"/>
          <w:szCs w:val="18"/>
        </w:rPr>
        <w:t>par. </w:t>
      </w:r>
      <w:r>
        <w:rPr>
          <w:rFonts w:cstheme="minorHAnsi"/>
          <w:szCs w:val="18"/>
        </w:rPr>
        <w:t>56 à 66.</w:t>
      </w:r>
    </w:p>
  </w:footnote>
  <w:footnote w:id="78">
    <w:p w14:paraId="0DFF5CB6" w14:textId="39607DD3" w:rsidR="00DC22DE" w:rsidRPr="001C0389" w:rsidRDefault="00DC22DE" w:rsidP="00DC22DE">
      <w:pPr>
        <w:pStyle w:val="Notedebasdepage"/>
        <w:rPr>
          <w:rFonts w:cstheme="minorHAnsi"/>
          <w:szCs w:val="18"/>
          <w:lang w:val="en-US"/>
        </w:rPr>
      </w:pPr>
      <w:r w:rsidRPr="00EA7479">
        <w:rPr>
          <w:rFonts w:cstheme="minorHAnsi"/>
          <w:szCs w:val="18"/>
          <w:lang w:val="fr-FR"/>
        </w:rPr>
        <w:tab/>
      </w:r>
      <w:r w:rsidRPr="00EA7479">
        <w:rPr>
          <w:rStyle w:val="Appelnotedebasdep"/>
        </w:rPr>
        <w:footnoteRef/>
      </w:r>
      <w:r w:rsidRPr="001C0389">
        <w:rPr>
          <w:rFonts w:cstheme="minorHAnsi"/>
          <w:szCs w:val="18"/>
          <w:lang w:val="en-US"/>
        </w:rPr>
        <w:tab/>
      </w:r>
      <w:hyperlink r:id="rId87" w:history="1">
        <w:r w:rsidR="004F0469">
          <w:rPr>
            <w:rStyle w:val="Lienhypertexte"/>
            <w:rFonts w:cstheme="minorHAnsi"/>
            <w:szCs w:val="18"/>
            <w:lang w:val="en-US"/>
          </w:rPr>
          <w:t>CED/C/GRC/CO/1</w:t>
        </w:r>
      </w:hyperlink>
      <w:r w:rsidRPr="001C0389">
        <w:rPr>
          <w:rFonts w:cstheme="minorHAnsi"/>
          <w:szCs w:val="18"/>
          <w:lang w:val="en-US"/>
        </w:rPr>
        <w:t xml:space="preserve">, </w:t>
      </w:r>
      <w:r w:rsidR="00562F45">
        <w:rPr>
          <w:rFonts w:cstheme="minorHAnsi"/>
          <w:szCs w:val="18"/>
          <w:lang w:val="en-US"/>
        </w:rPr>
        <w:t>par. </w:t>
      </w:r>
      <w:r w:rsidRPr="001C0389">
        <w:rPr>
          <w:rFonts w:cstheme="minorHAnsi"/>
          <w:szCs w:val="18"/>
          <w:lang w:val="en-US"/>
        </w:rPr>
        <w:t>29 d)</w:t>
      </w:r>
      <w:r w:rsidRPr="00C82A45">
        <w:rPr>
          <w:rFonts w:cstheme="minorHAnsi"/>
          <w:szCs w:val="18"/>
          <w:lang w:val="en-US"/>
        </w:rPr>
        <w:t>.</w:t>
      </w:r>
    </w:p>
  </w:footnote>
  <w:footnote w:id="79">
    <w:p w14:paraId="18947209" w14:textId="572B7716" w:rsidR="00DC22DE" w:rsidRPr="00EA7479" w:rsidRDefault="00DC22DE" w:rsidP="00DC22DE">
      <w:pPr>
        <w:pStyle w:val="Notedebasdepage"/>
        <w:rPr>
          <w:rFonts w:cstheme="minorHAnsi"/>
          <w:szCs w:val="18"/>
        </w:rPr>
      </w:pPr>
      <w:r w:rsidRPr="001C0389">
        <w:rPr>
          <w:rFonts w:cstheme="minorHAnsi"/>
          <w:szCs w:val="18"/>
          <w:lang w:val="en-US"/>
        </w:rPr>
        <w:tab/>
      </w:r>
      <w:r w:rsidRPr="00EA7479">
        <w:rPr>
          <w:rStyle w:val="Appelnotedebasdep"/>
        </w:rPr>
        <w:footnoteRef/>
      </w:r>
      <w:r w:rsidRPr="00EA7479">
        <w:rPr>
          <w:rFonts w:cstheme="minorHAnsi"/>
          <w:szCs w:val="18"/>
        </w:rPr>
        <w:tab/>
      </w:r>
      <w:r>
        <w:t xml:space="preserve">Comité contre la torture, observation générale </w:t>
      </w:r>
      <w:r w:rsidR="00634635">
        <w:rPr>
          <w:rFonts w:eastAsia="MS Mincho"/>
        </w:rPr>
        <w:t>n</w:t>
      </w:r>
      <w:r w:rsidR="00634635">
        <w:rPr>
          <w:rFonts w:eastAsia="MS Mincho"/>
          <w:vertAlign w:val="superscript"/>
        </w:rPr>
        <w:t>o</w:t>
      </w:r>
      <w:r w:rsidR="00634635">
        <w:t> </w:t>
      </w:r>
      <w:r>
        <w:t>4 (2017) sur l</w:t>
      </w:r>
      <w:r w:rsidR="003A234B">
        <w:t>’</w:t>
      </w:r>
      <w:r>
        <w:t>application de l</w:t>
      </w:r>
      <w:r w:rsidR="003A234B">
        <w:t>’</w:t>
      </w:r>
      <w:r>
        <w:t>article 3 dans le contexte de l</w:t>
      </w:r>
      <w:r w:rsidR="003A234B">
        <w:t>’</w:t>
      </w:r>
      <w:r>
        <w:t xml:space="preserve">article 22, </w:t>
      </w:r>
      <w:r w:rsidR="00562F45">
        <w:t>par. </w:t>
      </w:r>
      <w:r>
        <w:t>19 et 20</w:t>
      </w:r>
      <w:r w:rsidR="00634635">
        <w:rPr>
          <w:rFonts w:cstheme="minorHAnsi"/>
          <w:szCs w:val="18"/>
        </w:rPr>
        <w:t> ;</w:t>
      </w:r>
      <w:r w:rsidRPr="00EA7479">
        <w:rPr>
          <w:rFonts w:cstheme="minorHAnsi"/>
          <w:szCs w:val="18"/>
        </w:rPr>
        <w:t xml:space="preserve"> </w:t>
      </w:r>
      <w:hyperlink r:id="rId88" w:history="1">
        <w:r w:rsidR="004F0469">
          <w:rPr>
            <w:rStyle w:val="Lienhypertexte"/>
            <w:rFonts w:cstheme="minorHAnsi"/>
            <w:szCs w:val="18"/>
          </w:rPr>
          <w:t>CED/C/PAN/CO/1</w:t>
        </w:r>
      </w:hyperlink>
      <w:r w:rsidRPr="00EA7479">
        <w:rPr>
          <w:rFonts w:cstheme="minorHAnsi"/>
          <w:szCs w:val="18"/>
        </w:rPr>
        <w:t xml:space="preserve">, </w:t>
      </w:r>
      <w:r w:rsidR="00562F45">
        <w:rPr>
          <w:rFonts w:cstheme="minorHAnsi"/>
          <w:szCs w:val="18"/>
        </w:rPr>
        <w:t>par. </w:t>
      </w:r>
      <w:r w:rsidRPr="00EA7479">
        <w:rPr>
          <w:rFonts w:cstheme="minorHAnsi"/>
          <w:szCs w:val="18"/>
        </w:rPr>
        <w:t>22</w:t>
      </w:r>
      <w:r>
        <w:rPr>
          <w:rFonts w:cstheme="minorHAnsi"/>
          <w:szCs w:val="18"/>
        </w:rPr>
        <w:t xml:space="preserve"> et </w:t>
      </w:r>
      <w:r w:rsidRPr="00EA7479">
        <w:rPr>
          <w:rFonts w:cstheme="minorHAnsi"/>
          <w:szCs w:val="18"/>
        </w:rPr>
        <w:t>23</w:t>
      </w:r>
      <w:r w:rsidR="00634635">
        <w:rPr>
          <w:rFonts w:cstheme="minorHAnsi"/>
          <w:szCs w:val="18"/>
        </w:rPr>
        <w:t> ;</w:t>
      </w:r>
      <w:r w:rsidRPr="00EA7479">
        <w:rPr>
          <w:rFonts w:cstheme="minorHAnsi"/>
          <w:szCs w:val="18"/>
        </w:rPr>
        <w:t xml:space="preserve"> </w:t>
      </w:r>
      <w:hyperlink r:id="rId89" w:history="1">
        <w:r w:rsidR="004F0469">
          <w:rPr>
            <w:rStyle w:val="Lienhypertexte"/>
            <w:rFonts w:cstheme="minorHAnsi"/>
            <w:szCs w:val="18"/>
          </w:rPr>
          <w:t>CED/C/KAZ/CO/1</w:t>
        </w:r>
      </w:hyperlink>
      <w:r w:rsidRPr="00EA7479">
        <w:rPr>
          <w:rFonts w:cstheme="minorHAnsi"/>
          <w:szCs w:val="18"/>
        </w:rPr>
        <w:t xml:space="preserve">, </w:t>
      </w:r>
      <w:r w:rsidR="00562F45">
        <w:rPr>
          <w:rFonts w:cstheme="minorHAnsi"/>
          <w:szCs w:val="18"/>
        </w:rPr>
        <w:t>par. </w:t>
      </w:r>
      <w:r w:rsidRPr="00EA7479">
        <w:rPr>
          <w:rFonts w:cstheme="minorHAnsi"/>
          <w:szCs w:val="18"/>
        </w:rPr>
        <w:t>17</w:t>
      </w:r>
      <w:r>
        <w:rPr>
          <w:rFonts w:cstheme="minorHAnsi"/>
          <w:szCs w:val="18"/>
        </w:rPr>
        <w:t xml:space="preserve"> et </w:t>
      </w:r>
      <w:r w:rsidRPr="00EA7479">
        <w:rPr>
          <w:rFonts w:cstheme="minorHAnsi"/>
          <w:szCs w:val="18"/>
        </w:rPr>
        <w:t>18.</w:t>
      </w:r>
    </w:p>
  </w:footnote>
  <w:footnote w:id="80">
    <w:p w14:paraId="11E7746D" w14:textId="20989F97" w:rsidR="00DC22DE" w:rsidRPr="00EA7479" w:rsidRDefault="00DC22DE" w:rsidP="00DC22DE">
      <w:pPr>
        <w:pStyle w:val="Notedebasdepage"/>
        <w:rPr>
          <w:rFonts w:cstheme="minorHAnsi"/>
          <w:szCs w:val="18"/>
          <w:lang w:val="fr-FR"/>
        </w:rPr>
      </w:pPr>
      <w:r w:rsidRPr="00EA7479">
        <w:rPr>
          <w:rFonts w:cstheme="minorHAnsi"/>
          <w:szCs w:val="18"/>
        </w:rPr>
        <w:tab/>
      </w:r>
      <w:r w:rsidRPr="00EA7479">
        <w:rPr>
          <w:rStyle w:val="Appelnotedebasdep"/>
        </w:rPr>
        <w:footnoteRef/>
      </w:r>
      <w:r w:rsidRPr="00EA7479">
        <w:rPr>
          <w:rFonts w:cstheme="minorHAnsi"/>
          <w:szCs w:val="18"/>
        </w:rPr>
        <w:tab/>
      </w:r>
      <w:r>
        <w:rPr>
          <w:lang w:val="fr-FR"/>
        </w:rPr>
        <w:t>Comité pour la protection des droits de tous les travailleurs migrants et des membres de leur famille</w:t>
      </w:r>
      <w:r w:rsidRPr="00EA7479" w:rsidDel="009C6962">
        <w:rPr>
          <w:rFonts w:cstheme="minorHAnsi"/>
          <w:szCs w:val="18"/>
        </w:rPr>
        <w:t xml:space="preserve"> </w:t>
      </w:r>
      <w:r w:rsidRPr="00EA7479">
        <w:rPr>
          <w:rFonts w:cstheme="minorHAnsi"/>
          <w:szCs w:val="18"/>
        </w:rPr>
        <w:t xml:space="preserve">, </w:t>
      </w:r>
      <w:r>
        <w:rPr>
          <w:rFonts w:cstheme="minorHAnsi"/>
          <w:szCs w:val="18"/>
        </w:rPr>
        <w:t xml:space="preserve">observation générale </w:t>
      </w:r>
      <w:r w:rsidR="00634635">
        <w:rPr>
          <w:rFonts w:eastAsia="MS Mincho"/>
        </w:rPr>
        <w:t>n</w:t>
      </w:r>
      <w:r w:rsidR="00634635">
        <w:rPr>
          <w:rFonts w:eastAsia="MS Mincho"/>
          <w:vertAlign w:val="superscript"/>
        </w:rPr>
        <w:t>o</w:t>
      </w:r>
      <w:r w:rsidR="00634635">
        <w:t> </w:t>
      </w:r>
      <w:r w:rsidRPr="00EA7479">
        <w:rPr>
          <w:rFonts w:cstheme="minorHAnsi"/>
          <w:szCs w:val="18"/>
        </w:rPr>
        <w:t xml:space="preserve">2 (2013), </w:t>
      </w:r>
      <w:r w:rsidR="00562F45">
        <w:rPr>
          <w:rFonts w:cstheme="minorHAnsi"/>
          <w:szCs w:val="18"/>
        </w:rPr>
        <w:t>par. </w:t>
      </w:r>
      <w:r w:rsidRPr="00EA7479">
        <w:rPr>
          <w:rFonts w:cstheme="minorHAnsi"/>
          <w:szCs w:val="18"/>
          <w:lang w:val="fr-FR"/>
        </w:rPr>
        <w:t>52.</w:t>
      </w:r>
    </w:p>
  </w:footnote>
  <w:footnote w:id="81">
    <w:p w14:paraId="776A3311" w14:textId="214AF337" w:rsidR="00DC22DE" w:rsidRPr="00EA7479" w:rsidRDefault="00DC22DE" w:rsidP="00DC22DE">
      <w:pPr>
        <w:pStyle w:val="Notedebasdepage"/>
        <w:rPr>
          <w:rFonts w:cstheme="minorHAnsi"/>
          <w:szCs w:val="18"/>
        </w:rPr>
      </w:pPr>
      <w:r w:rsidRPr="00EA7479">
        <w:rPr>
          <w:rFonts w:cstheme="minorHAnsi"/>
          <w:szCs w:val="18"/>
          <w:lang w:val="fr-FR"/>
        </w:rPr>
        <w:tab/>
      </w:r>
      <w:r w:rsidRPr="00EA7479">
        <w:rPr>
          <w:rStyle w:val="Appelnotedebasdep"/>
        </w:rPr>
        <w:footnoteRef/>
      </w:r>
      <w:r w:rsidRPr="00EA7479">
        <w:rPr>
          <w:rFonts w:cstheme="minorHAnsi"/>
          <w:szCs w:val="18"/>
        </w:rPr>
        <w:tab/>
      </w:r>
      <w:r>
        <w:rPr>
          <w:lang w:val="fr-FR"/>
        </w:rPr>
        <w:t>Comité pour la protection des droits de tous les travailleurs migrants et des membres de leur famille</w:t>
      </w:r>
      <w:r w:rsidRPr="00EA7479">
        <w:rPr>
          <w:rFonts w:cstheme="minorHAnsi"/>
          <w:szCs w:val="18"/>
        </w:rPr>
        <w:t xml:space="preserve">, </w:t>
      </w:r>
      <w:r>
        <w:rPr>
          <w:rFonts w:cstheme="minorHAnsi"/>
          <w:szCs w:val="18"/>
        </w:rPr>
        <w:t xml:space="preserve">observation générale </w:t>
      </w:r>
      <w:r w:rsidR="00634635">
        <w:rPr>
          <w:rFonts w:eastAsia="MS Mincho"/>
        </w:rPr>
        <w:t>n</w:t>
      </w:r>
      <w:r w:rsidR="00634635">
        <w:rPr>
          <w:rFonts w:eastAsia="MS Mincho"/>
          <w:vertAlign w:val="superscript"/>
        </w:rPr>
        <w:t>o</w:t>
      </w:r>
      <w:r w:rsidR="00634635">
        <w:t> </w:t>
      </w:r>
      <w:r>
        <w:rPr>
          <w:rFonts w:cstheme="minorHAnsi"/>
          <w:szCs w:val="18"/>
        </w:rPr>
        <w:t>5</w:t>
      </w:r>
      <w:r w:rsidRPr="00EA7479">
        <w:rPr>
          <w:rFonts w:cstheme="minorHAnsi"/>
          <w:szCs w:val="18"/>
        </w:rPr>
        <w:t xml:space="preserve"> (2021), </w:t>
      </w:r>
      <w:r w:rsidR="00562F45">
        <w:rPr>
          <w:rFonts w:cstheme="minorHAnsi"/>
          <w:szCs w:val="18"/>
        </w:rPr>
        <w:t>par. </w:t>
      </w:r>
      <w:r w:rsidRPr="00EA7479">
        <w:rPr>
          <w:rFonts w:cstheme="minorHAnsi"/>
          <w:szCs w:val="18"/>
        </w:rPr>
        <w:t>64</w:t>
      </w:r>
      <w:r w:rsidR="00634635">
        <w:rPr>
          <w:rFonts w:cstheme="minorHAnsi"/>
          <w:szCs w:val="18"/>
        </w:rPr>
        <w:t> ;</w:t>
      </w:r>
      <w:r w:rsidRPr="00EA7479">
        <w:rPr>
          <w:rFonts w:cstheme="minorHAnsi"/>
          <w:szCs w:val="18"/>
        </w:rPr>
        <w:t xml:space="preserve"> </w:t>
      </w:r>
      <w:hyperlink r:id="rId90" w:history="1">
        <w:r w:rsidR="004F0469">
          <w:rPr>
            <w:rStyle w:val="Lienhypertexte"/>
            <w:rFonts w:cstheme="minorHAnsi"/>
            <w:szCs w:val="18"/>
          </w:rPr>
          <w:t>CED/C/NER/CO/1</w:t>
        </w:r>
      </w:hyperlink>
      <w:r w:rsidRPr="00EA7479">
        <w:rPr>
          <w:rFonts w:cstheme="minorHAnsi"/>
          <w:szCs w:val="18"/>
        </w:rPr>
        <w:t xml:space="preserve">, </w:t>
      </w:r>
      <w:r w:rsidR="00562F45">
        <w:rPr>
          <w:rFonts w:cstheme="minorHAnsi"/>
          <w:szCs w:val="18"/>
        </w:rPr>
        <w:t>par. </w:t>
      </w:r>
      <w:r w:rsidRPr="00EA7479">
        <w:rPr>
          <w:rFonts w:cstheme="minorHAnsi"/>
          <w:szCs w:val="18"/>
        </w:rPr>
        <w:t>27 c)</w:t>
      </w:r>
      <w:r w:rsidR="00634635">
        <w:rPr>
          <w:rFonts w:cstheme="minorHAnsi"/>
          <w:szCs w:val="18"/>
        </w:rPr>
        <w:t> ;</w:t>
      </w:r>
      <w:r w:rsidRPr="00EA7479">
        <w:rPr>
          <w:rFonts w:cstheme="minorHAnsi"/>
          <w:szCs w:val="18"/>
        </w:rPr>
        <w:t xml:space="preserve"> </w:t>
      </w:r>
      <w:hyperlink r:id="rId91" w:history="1">
        <w:r w:rsidR="004F0469">
          <w:rPr>
            <w:rStyle w:val="Lienhypertexte"/>
            <w:rFonts w:cstheme="minorHAnsi"/>
            <w:szCs w:val="18"/>
          </w:rPr>
          <w:t>CED/C/FRA/CO/1</w:t>
        </w:r>
      </w:hyperlink>
      <w:r w:rsidRPr="00EA7479">
        <w:rPr>
          <w:rFonts w:cstheme="minorHAnsi"/>
          <w:szCs w:val="18"/>
        </w:rPr>
        <w:t xml:space="preserve">, </w:t>
      </w:r>
      <w:r w:rsidR="00562F45">
        <w:rPr>
          <w:rFonts w:cstheme="minorHAnsi"/>
          <w:szCs w:val="18"/>
        </w:rPr>
        <w:t>par. </w:t>
      </w:r>
      <w:r w:rsidRPr="00EA7479">
        <w:rPr>
          <w:rFonts w:cstheme="minorHAnsi"/>
          <w:szCs w:val="18"/>
        </w:rPr>
        <w:t>27</w:t>
      </w:r>
      <w:r w:rsidR="00634635">
        <w:rPr>
          <w:rFonts w:cstheme="minorHAnsi"/>
          <w:szCs w:val="18"/>
        </w:rPr>
        <w:t> ;</w:t>
      </w:r>
      <w:r w:rsidRPr="00EA7479">
        <w:rPr>
          <w:rFonts w:cstheme="minorHAnsi"/>
          <w:szCs w:val="18"/>
        </w:rPr>
        <w:t xml:space="preserve"> </w:t>
      </w:r>
      <w:hyperlink r:id="rId92" w:history="1">
        <w:r w:rsidR="004F0469">
          <w:rPr>
            <w:rStyle w:val="Lienhypertexte"/>
            <w:rFonts w:cstheme="minorHAnsi"/>
            <w:szCs w:val="18"/>
          </w:rPr>
          <w:t>CED/C/MNG/CO/1</w:t>
        </w:r>
      </w:hyperlink>
      <w:r w:rsidRPr="00EA7479">
        <w:rPr>
          <w:rFonts w:cstheme="minorHAnsi"/>
          <w:szCs w:val="18"/>
        </w:rPr>
        <w:t xml:space="preserve">, </w:t>
      </w:r>
      <w:r w:rsidR="00562F45">
        <w:rPr>
          <w:rFonts w:cstheme="minorHAnsi"/>
          <w:szCs w:val="18"/>
        </w:rPr>
        <w:t>par. </w:t>
      </w:r>
      <w:r w:rsidRPr="00EA7479">
        <w:rPr>
          <w:rFonts w:cstheme="minorHAnsi"/>
          <w:szCs w:val="18"/>
        </w:rPr>
        <w:t>30 et 31</w:t>
      </w:r>
      <w:r w:rsidR="00634635">
        <w:rPr>
          <w:rFonts w:cstheme="minorHAnsi"/>
          <w:szCs w:val="18"/>
        </w:rPr>
        <w:t> ;</w:t>
      </w:r>
      <w:r w:rsidRPr="00EA7479">
        <w:rPr>
          <w:rFonts w:cstheme="minorHAnsi"/>
          <w:szCs w:val="18"/>
        </w:rPr>
        <w:t xml:space="preserve"> </w:t>
      </w:r>
      <w:hyperlink r:id="rId93" w:history="1">
        <w:r w:rsidR="00722FA7">
          <w:rPr>
            <w:rStyle w:val="Lienhypertexte"/>
            <w:rFonts w:cstheme="minorHAnsi"/>
            <w:szCs w:val="18"/>
          </w:rPr>
          <w:t>CED/C/SVK/CO/1</w:t>
        </w:r>
      </w:hyperlink>
      <w:r w:rsidRPr="00EA7479">
        <w:rPr>
          <w:rFonts w:cstheme="minorHAnsi"/>
          <w:szCs w:val="18"/>
        </w:rPr>
        <w:t xml:space="preserve">, </w:t>
      </w:r>
      <w:r w:rsidR="00562F45">
        <w:rPr>
          <w:rFonts w:cstheme="minorHAnsi"/>
          <w:szCs w:val="18"/>
        </w:rPr>
        <w:t>par. </w:t>
      </w:r>
      <w:r w:rsidRPr="00EA7479">
        <w:rPr>
          <w:rFonts w:cstheme="minorHAnsi"/>
          <w:szCs w:val="18"/>
        </w:rPr>
        <w:t>14</w:t>
      </w:r>
      <w:r>
        <w:rPr>
          <w:rFonts w:cstheme="minorHAnsi"/>
          <w:szCs w:val="18"/>
        </w:rPr>
        <w:t xml:space="preserve"> et </w:t>
      </w:r>
      <w:r w:rsidRPr="00EA7479">
        <w:rPr>
          <w:rFonts w:cstheme="minorHAnsi"/>
          <w:szCs w:val="18"/>
        </w:rPr>
        <w:t>15</w:t>
      </w:r>
      <w:r w:rsidR="00634635">
        <w:rPr>
          <w:rFonts w:cstheme="minorHAnsi"/>
          <w:szCs w:val="18"/>
        </w:rPr>
        <w:t> ;</w:t>
      </w:r>
      <w:r w:rsidRPr="00EA7479">
        <w:rPr>
          <w:rFonts w:cstheme="minorHAnsi"/>
          <w:szCs w:val="18"/>
        </w:rPr>
        <w:t xml:space="preserve"> </w:t>
      </w:r>
      <w:hyperlink r:id="rId94" w:history="1">
        <w:r w:rsidR="00722FA7">
          <w:rPr>
            <w:rStyle w:val="Lienhypertexte"/>
            <w:rFonts w:cstheme="minorHAnsi"/>
            <w:szCs w:val="18"/>
          </w:rPr>
          <w:t>CED/C/PER/CO/1</w:t>
        </w:r>
      </w:hyperlink>
      <w:r w:rsidRPr="00EA7479">
        <w:rPr>
          <w:rFonts w:cstheme="minorHAnsi"/>
          <w:szCs w:val="18"/>
        </w:rPr>
        <w:t xml:space="preserve">, </w:t>
      </w:r>
      <w:r w:rsidR="00562F45">
        <w:rPr>
          <w:rFonts w:cstheme="minorHAnsi"/>
          <w:szCs w:val="18"/>
        </w:rPr>
        <w:t>par. </w:t>
      </w:r>
      <w:r w:rsidRPr="00EA7479">
        <w:rPr>
          <w:rFonts w:cstheme="minorHAnsi"/>
          <w:szCs w:val="18"/>
        </w:rPr>
        <w:t>22</w:t>
      </w:r>
      <w:r>
        <w:rPr>
          <w:rFonts w:cstheme="minorHAnsi"/>
          <w:szCs w:val="18"/>
        </w:rPr>
        <w:t xml:space="preserve"> et </w:t>
      </w:r>
      <w:r w:rsidRPr="00EA7479">
        <w:rPr>
          <w:rFonts w:cstheme="minorHAnsi"/>
          <w:szCs w:val="18"/>
        </w:rPr>
        <w:t>23</w:t>
      </w:r>
      <w:r w:rsidR="00634635">
        <w:rPr>
          <w:rFonts w:cstheme="minorHAnsi"/>
          <w:szCs w:val="18"/>
        </w:rPr>
        <w:t> ;</w:t>
      </w:r>
      <w:r w:rsidRPr="00EA7479">
        <w:rPr>
          <w:rFonts w:cstheme="minorHAnsi"/>
          <w:szCs w:val="18"/>
        </w:rPr>
        <w:t xml:space="preserve"> </w:t>
      </w:r>
      <w:hyperlink r:id="rId95" w:history="1">
        <w:r w:rsidR="00722FA7">
          <w:rPr>
            <w:rStyle w:val="Lienhypertexte"/>
            <w:rFonts w:cstheme="minorHAnsi"/>
            <w:szCs w:val="18"/>
          </w:rPr>
          <w:t>CED/C/GRC/CO/1</w:t>
        </w:r>
      </w:hyperlink>
      <w:r w:rsidRPr="00EA7479">
        <w:rPr>
          <w:rFonts w:cstheme="minorHAnsi"/>
          <w:szCs w:val="18"/>
        </w:rPr>
        <w:t xml:space="preserve">, </w:t>
      </w:r>
      <w:r w:rsidR="00562F45">
        <w:rPr>
          <w:rFonts w:cstheme="minorHAnsi"/>
          <w:szCs w:val="18"/>
        </w:rPr>
        <w:t>par. </w:t>
      </w:r>
      <w:r w:rsidRPr="00EA7479">
        <w:rPr>
          <w:rFonts w:cstheme="minorHAnsi"/>
          <w:szCs w:val="18"/>
        </w:rPr>
        <w:t xml:space="preserve">29 c). </w:t>
      </w:r>
    </w:p>
  </w:footnote>
  <w:footnote w:id="82">
    <w:p w14:paraId="4035F93A" w14:textId="592DAAEF" w:rsidR="00DC22DE" w:rsidRDefault="00DC22DE" w:rsidP="00DC22DE">
      <w:pPr>
        <w:pStyle w:val="Notedebasdepage"/>
      </w:pPr>
      <w:r>
        <w:tab/>
      </w:r>
      <w:r w:rsidRPr="00EA7479">
        <w:rPr>
          <w:rStyle w:val="Appelnotedebasdep"/>
        </w:rPr>
        <w:footnoteRef/>
      </w:r>
      <w:r>
        <w:t xml:space="preserve"> </w:t>
      </w:r>
      <w:r w:rsidR="00722FA7">
        <w:tab/>
      </w:r>
      <w:r w:rsidRPr="00DA1F87">
        <w:t xml:space="preserve">Voir </w:t>
      </w:r>
      <w:r w:rsidRPr="00DA1F87">
        <w:rPr>
          <w:rStyle w:val="termfield"/>
        </w:rPr>
        <w:t>P</w:t>
      </w:r>
      <w:proofErr w:type="spellStart"/>
      <w:r w:rsidRPr="00DA1F87">
        <w:rPr>
          <w:rStyle w:val="termfield"/>
          <w:lang w:val="fr-FR"/>
        </w:rPr>
        <w:t>rincipes</w:t>
      </w:r>
      <w:proofErr w:type="spellEnd"/>
      <w:r>
        <w:rPr>
          <w:rStyle w:val="termfield"/>
          <w:lang w:val="fr-FR"/>
        </w:rPr>
        <w:t xml:space="preserve"> et directives recommandés sur les droits de l</w:t>
      </w:r>
      <w:r w:rsidR="003A234B">
        <w:rPr>
          <w:rStyle w:val="termfield"/>
          <w:lang w:val="fr-FR"/>
        </w:rPr>
        <w:t>’</w:t>
      </w:r>
      <w:r>
        <w:rPr>
          <w:rStyle w:val="termfield"/>
          <w:lang w:val="fr-FR"/>
        </w:rPr>
        <w:t>homme aux frontières internationales</w:t>
      </w:r>
      <w:r w:rsidR="00634635">
        <w:rPr>
          <w:rStyle w:val="termfield"/>
          <w:lang w:val="fr-FR"/>
        </w:rPr>
        <w:t> ;</w:t>
      </w:r>
      <w:r>
        <w:rPr>
          <w:rStyle w:val="termfield"/>
          <w:lang w:val="fr-FR"/>
        </w:rPr>
        <w:t xml:space="preserve"> </w:t>
      </w:r>
      <w:hyperlink r:id="rId96" w:history="1">
        <w:r w:rsidR="00722FA7">
          <w:rPr>
            <w:rStyle w:val="Lienhypertexte"/>
            <w:szCs w:val="18"/>
          </w:rPr>
          <w:t>A/HRC/47/30</w:t>
        </w:r>
      </w:hyperlink>
      <w:r w:rsidR="00634635">
        <w:rPr>
          <w:szCs w:val="18"/>
        </w:rPr>
        <w:t> ;</w:t>
      </w:r>
      <w:r w:rsidRPr="00FA1F73">
        <w:rPr>
          <w:szCs w:val="18"/>
        </w:rPr>
        <w:t xml:space="preserve"> </w:t>
      </w:r>
      <w:hyperlink r:id="rId97" w:history="1">
        <w:r w:rsidR="00722FA7">
          <w:rPr>
            <w:rStyle w:val="Lienhypertexte"/>
            <w:szCs w:val="18"/>
          </w:rPr>
          <w:t>A/HRC/50/31</w:t>
        </w:r>
      </w:hyperlink>
      <w:r w:rsidR="00634635">
        <w:rPr>
          <w:szCs w:val="18"/>
        </w:rPr>
        <w:t> ;</w:t>
      </w:r>
      <w:r w:rsidRPr="004B354F">
        <w:rPr>
          <w:szCs w:val="18"/>
        </w:rPr>
        <w:t xml:space="preserve"> </w:t>
      </w:r>
      <w:hyperlink r:id="rId98" w:history="1">
        <w:r w:rsidR="00722FA7">
          <w:rPr>
            <w:rStyle w:val="Lienhypertexte"/>
            <w:szCs w:val="18"/>
          </w:rPr>
          <w:t>CRC/C/GRC/CO/4-6</w:t>
        </w:r>
      </w:hyperlink>
      <w:r w:rsidRPr="004B354F">
        <w:rPr>
          <w:szCs w:val="18"/>
        </w:rPr>
        <w:t>.</w:t>
      </w:r>
    </w:p>
  </w:footnote>
  <w:footnote w:id="83">
    <w:p w14:paraId="71A70F31" w14:textId="661067C1" w:rsidR="00DC22DE" w:rsidRPr="00EA7479" w:rsidRDefault="00DC22DE" w:rsidP="00DC22DE">
      <w:pPr>
        <w:pStyle w:val="Notedebasdepage"/>
        <w:rPr>
          <w:rFonts w:cstheme="minorHAnsi"/>
          <w:szCs w:val="18"/>
          <w:lang w:val="fr-FR"/>
        </w:rPr>
      </w:pPr>
      <w:r w:rsidRPr="00EA7479">
        <w:rPr>
          <w:rFonts w:cstheme="minorHAnsi"/>
          <w:szCs w:val="18"/>
        </w:rPr>
        <w:tab/>
      </w:r>
      <w:r w:rsidRPr="00EA7479">
        <w:rPr>
          <w:rStyle w:val="Appelnotedebasdep"/>
        </w:rPr>
        <w:footnoteRef/>
      </w:r>
      <w:r w:rsidRPr="00EA7479">
        <w:rPr>
          <w:rFonts w:cstheme="minorHAnsi"/>
          <w:szCs w:val="18"/>
          <w:lang w:val="fr-FR"/>
        </w:rPr>
        <w:tab/>
      </w:r>
      <w:hyperlink r:id="rId99" w:history="1">
        <w:r w:rsidR="00722FA7">
          <w:rPr>
            <w:rStyle w:val="Lienhypertexte"/>
            <w:rFonts w:cstheme="minorHAnsi"/>
            <w:szCs w:val="18"/>
            <w:lang w:val="fr-FR"/>
          </w:rPr>
          <w:t>A/HRC/37/50</w:t>
        </w:r>
      </w:hyperlink>
      <w:r w:rsidRPr="00EA7479">
        <w:rPr>
          <w:rFonts w:cstheme="minorHAnsi"/>
          <w:szCs w:val="18"/>
          <w:lang w:val="fr-FR"/>
        </w:rPr>
        <w:t xml:space="preserve">, </w:t>
      </w:r>
      <w:r w:rsidR="00562F45">
        <w:rPr>
          <w:rFonts w:cstheme="minorHAnsi"/>
          <w:szCs w:val="18"/>
          <w:lang w:val="fr-FR"/>
        </w:rPr>
        <w:t>par. </w:t>
      </w:r>
      <w:r w:rsidRPr="00EA7479">
        <w:rPr>
          <w:rFonts w:cstheme="minorHAnsi"/>
          <w:szCs w:val="18"/>
          <w:lang w:val="fr-FR"/>
        </w:rPr>
        <w:t>77</w:t>
      </w:r>
      <w:r w:rsidR="00634635">
        <w:rPr>
          <w:rFonts w:cstheme="minorHAnsi"/>
          <w:szCs w:val="18"/>
          <w:lang w:val="fr-FR"/>
        </w:rPr>
        <w:t> ;</w:t>
      </w:r>
      <w:r w:rsidRPr="00EA7479">
        <w:rPr>
          <w:rFonts w:cstheme="minorHAnsi"/>
          <w:szCs w:val="18"/>
          <w:lang w:val="fr-FR"/>
        </w:rPr>
        <w:t xml:space="preserve"> </w:t>
      </w:r>
      <w:hyperlink r:id="rId100" w:history="1">
        <w:r w:rsidR="00722FA7">
          <w:rPr>
            <w:rStyle w:val="Lienhypertexte"/>
            <w:rFonts w:cstheme="minorHAnsi"/>
            <w:szCs w:val="18"/>
            <w:lang w:val="fr-FR"/>
          </w:rPr>
          <w:t>CED/C/GRC/CO/1</w:t>
        </w:r>
      </w:hyperlink>
      <w:r w:rsidRPr="00EA7479">
        <w:rPr>
          <w:rFonts w:cstheme="minorHAnsi"/>
          <w:szCs w:val="18"/>
          <w:lang w:val="fr-FR"/>
        </w:rPr>
        <w:t xml:space="preserve">, </w:t>
      </w:r>
      <w:r w:rsidR="00562F45">
        <w:rPr>
          <w:rFonts w:cstheme="minorHAnsi"/>
          <w:szCs w:val="18"/>
          <w:lang w:val="fr-FR"/>
        </w:rPr>
        <w:t>par. </w:t>
      </w:r>
      <w:r w:rsidRPr="00EA7479">
        <w:rPr>
          <w:rFonts w:cstheme="minorHAnsi"/>
          <w:szCs w:val="18"/>
          <w:lang w:val="fr-FR"/>
        </w:rPr>
        <w:t xml:space="preserve">29 e). </w:t>
      </w:r>
    </w:p>
  </w:footnote>
  <w:footnote w:id="84">
    <w:p w14:paraId="30FEC4EF" w14:textId="28BC6A6E" w:rsidR="00DC22DE" w:rsidRPr="00EA7479" w:rsidRDefault="00DC22DE" w:rsidP="00DC22DE">
      <w:pPr>
        <w:pStyle w:val="Notedebasdepage"/>
        <w:rPr>
          <w:rFonts w:cstheme="minorHAnsi"/>
          <w:szCs w:val="18"/>
          <w:lang w:val="fr-FR"/>
        </w:rPr>
      </w:pPr>
      <w:r w:rsidRPr="00EA7479">
        <w:rPr>
          <w:rFonts w:cstheme="minorHAnsi"/>
          <w:szCs w:val="18"/>
          <w:lang w:val="fr-FR"/>
        </w:rPr>
        <w:tab/>
      </w:r>
      <w:r w:rsidRPr="00EA7479">
        <w:rPr>
          <w:rStyle w:val="Appelnotedebasdep"/>
        </w:rPr>
        <w:footnoteRef/>
      </w:r>
      <w:r w:rsidRPr="00EA7479">
        <w:rPr>
          <w:rFonts w:cstheme="minorHAnsi"/>
          <w:szCs w:val="18"/>
          <w:lang w:val="fr-FR"/>
        </w:rPr>
        <w:tab/>
      </w:r>
      <w:hyperlink r:id="rId101" w:history="1">
        <w:r w:rsidR="00722FA7">
          <w:rPr>
            <w:rStyle w:val="Lienhypertexte"/>
            <w:rFonts w:cstheme="minorHAnsi"/>
            <w:szCs w:val="18"/>
            <w:lang w:val="fr-FR"/>
          </w:rPr>
          <w:t>A/HRC/37/50</w:t>
        </w:r>
      </w:hyperlink>
      <w:r w:rsidRPr="00EA7479">
        <w:rPr>
          <w:rFonts w:cstheme="minorHAnsi"/>
          <w:szCs w:val="18"/>
          <w:lang w:val="fr-FR"/>
        </w:rPr>
        <w:t xml:space="preserve">, </w:t>
      </w:r>
      <w:r w:rsidR="00562F45">
        <w:rPr>
          <w:rFonts w:cstheme="minorHAnsi"/>
          <w:szCs w:val="18"/>
          <w:lang w:val="fr-FR"/>
        </w:rPr>
        <w:t>par. </w:t>
      </w:r>
      <w:r w:rsidRPr="00EA7479">
        <w:rPr>
          <w:rFonts w:cstheme="minorHAnsi"/>
          <w:szCs w:val="18"/>
          <w:lang w:val="fr-FR"/>
        </w:rPr>
        <w:t xml:space="preserve">43. </w:t>
      </w:r>
    </w:p>
  </w:footnote>
  <w:footnote w:id="85">
    <w:p w14:paraId="38D5E1A9" w14:textId="1BE3A0C2" w:rsidR="00DC22DE" w:rsidRPr="00EE58AE" w:rsidRDefault="00FF0278" w:rsidP="00DC22DE">
      <w:pPr>
        <w:pStyle w:val="Notedebasdepage"/>
      </w:pPr>
      <w:r>
        <w:tab/>
      </w:r>
      <w:r w:rsidR="00DC22DE" w:rsidRPr="00EA7479">
        <w:rPr>
          <w:rStyle w:val="Appelnotedebasdep"/>
        </w:rPr>
        <w:footnoteRef/>
      </w:r>
      <w:r>
        <w:tab/>
      </w:r>
      <w:hyperlink r:id="rId102" w:history="1">
        <w:r w:rsidR="00F10905">
          <w:rPr>
            <w:rStyle w:val="Lienhypertexte"/>
            <w:szCs w:val="18"/>
          </w:rPr>
          <w:t>CED/C/CRI/CO/1</w:t>
        </w:r>
      </w:hyperlink>
      <w:r w:rsidR="00DC22DE" w:rsidRPr="00EA7479">
        <w:rPr>
          <w:szCs w:val="18"/>
        </w:rPr>
        <w:t xml:space="preserve">, </w:t>
      </w:r>
      <w:r w:rsidR="00562F45">
        <w:rPr>
          <w:szCs w:val="18"/>
        </w:rPr>
        <w:t>par. </w:t>
      </w:r>
      <w:r w:rsidR="00DC22DE" w:rsidRPr="00EA7479">
        <w:rPr>
          <w:szCs w:val="18"/>
        </w:rPr>
        <w:t>28 et 29.</w:t>
      </w:r>
    </w:p>
  </w:footnote>
  <w:footnote w:id="86">
    <w:p w14:paraId="003EEC43" w14:textId="3126E9E2" w:rsidR="00DC22DE" w:rsidRPr="00EA7479" w:rsidRDefault="00DC22DE" w:rsidP="00DC22DE">
      <w:pPr>
        <w:pStyle w:val="Notedebasdepage"/>
        <w:rPr>
          <w:i/>
          <w:iCs/>
        </w:rPr>
      </w:pPr>
      <w:r w:rsidRPr="00EA7479">
        <w:rPr>
          <w:rFonts w:cstheme="minorHAnsi"/>
          <w:szCs w:val="18"/>
        </w:rPr>
        <w:tab/>
      </w:r>
      <w:r w:rsidRPr="00EA7479">
        <w:rPr>
          <w:rStyle w:val="Appelnotedebasdep"/>
        </w:rPr>
        <w:footnoteRef/>
      </w:r>
      <w:r w:rsidRPr="00EA7479">
        <w:rPr>
          <w:rFonts w:cstheme="minorHAnsi"/>
          <w:szCs w:val="18"/>
          <w:lang w:val="fr-FR"/>
        </w:rPr>
        <w:tab/>
      </w:r>
      <w:hyperlink r:id="rId103" w:history="1">
        <w:r w:rsidR="00F10905">
          <w:rPr>
            <w:rStyle w:val="Lienhypertexte"/>
            <w:rFonts w:cstheme="minorHAnsi"/>
            <w:szCs w:val="18"/>
            <w:lang w:val="fr-FR"/>
          </w:rPr>
          <w:t>A/HRC/47/30</w:t>
        </w:r>
      </w:hyperlink>
      <w:r w:rsidRPr="00EA7479">
        <w:rPr>
          <w:rFonts w:cstheme="minorHAnsi"/>
          <w:szCs w:val="18"/>
          <w:lang w:val="fr-FR"/>
        </w:rPr>
        <w:t xml:space="preserve">, </w:t>
      </w:r>
      <w:r w:rsidR="00562F45">
        <w:rPr>
          <w:rFonts w:cstheme="minorHAnsi"/>
          <w:szCs w:val="18"/>
          <w:lang w:val="fr-FR"/>
        </w:rPr>
        <w:t>par. </w:t>
      </w:r>
      <w:r w:rsidRPr="00EA7479">
        <w:rPr>
          <w:rFonts w:cstheme="minorHAnsi"/>
          <w:szCs w:val="18"/>
          <w:lang w:val="fr-FR"/>
        </w:rPr>
        <w:t xml:space="preserve">34. </w:t>
      </w:r>
      <w:r w:rsidRPr="00EA7479">
        <w:rPr>
          <w:rFonts w:cstheme="minorHAnsi"/>
          <w:szCs w:val="18"/>
        </w:rPr>
        <w:t>Voir aussi Conseil de l</w:t>
      </w:r>
      <w:r w:rsidR="003A234B">
        <w:rPr>
          <w:rFonts w:cstheme="minorHAnsi"/>
          <w:szCs w:val="18"/>
        </w:rPr>
        <w:t>’</w:t>
      </w:r>
      <w:r w:rsidRPr="00EA7479">
        <w:rPr>
          <w:rFonts w:cstheme="minorHAnsi"/>
          <w:szCs w:val="18"/>
        </w:rPr>
        <w:t xml:space="preserve">Europe, </w:t>
      </w:r>
      <w:r w:rsidRPr="00EA7479">
        <w:rPr>
          <w:i/>
          <w:iCs/>
        </w:rPr>
        <w:t>Repoussés au-delà des limites</w:t>
      </w:r>
      <w:r w:rsidRPr="003E4946">
        <w:rPr>
          <w:i/>
          <w:iCs/>
        </w:rPr>
        <w:t xml:space="preserve"> </w:t>
      </w:r>
      <w:r w:rsidRPr="00EA7479">
        <w:rPr>
          <w:i/>
          <w:iCs/>
        </w:rPr>
        <w:t>–</w:t>
      </w:r>
      <w:r w:rsidRPr="003E4946">
        <w:rPr>
          <w:i/>
          <w:iCs/>
        </w:rPr>
        <w:t xml:space="preserve"> </w:t>
      </w:r>
      <w:r w:rsidRPr="00EA7479">
        <w:rPr>
          <w:i/>
          <w:iCs/>
        </w:rPr>
        <w:t>Quatre domaines d</w:t>
      </w:r>
      <w:r w:rsidR="003A234B">
        <w:rPr>
          <w:i/>
          <w:iCs/>
        </w:rPr>
        <w:t>’</w:t>
      </w:r>
      <w:r w:rsidRPr="00EA7479">
        <w:rPr>
          <w:i/>
          <w:iCs/>
        </w:rPr>
        <w:t>action urgente pour faire cesser les violations des droits de l</w:t>
      </w:r>
      <w:r w:rsidR="003A234B">
        <w:rPr>
          <w:i/>
          <w:iCs/>
        </w:rPr>
        <w:t>’</w:t>
      </w:r>
      <w:r w:rsidRPr="00EA7479">
        <w:rPr>
          <w:i/>
          <w:iCs/>
        </w:rPr>
        <w:t>homme aux frontières de l</w:t>
      </w:r>
      <w:r w:rsidR="003A234B">
        <w:rPr>
          <w:i/>
          <w:iCs/>
        </w:rPr>
        <w:t>’</w:t>
      </w:r>
      <w:r w:rsidRPr="00EA7479">
        <w:rPr>
          <w:i/>
          <w:iCs/>
        </w:rPr>
        <w:t>Europe</w:t>
      </w:r>
      <w:r w:rsidRPr="00EA7479">
        <w:t xml:space="preserve">, </w:t>
      </w:r>
      <w:r>
        <w:t>Recommandation de la Commissaire aux droits de l</w:t>
      </w:r>
      <w:r w:rsidR="003A234B">
        <w:t>’</w:t>
      </w:r>
      <w:r>
        <w:t>homme du Conseil de l</w:t>
      </w:r>
      <w:r w:rsidR="003A234B">
        <w:t>’</w:t>
      </w:r>
      <w:r>
        <w:t>Europe</w:t>
      </w:r>
      <w:r w:rsidRPr="00EA7479">
        <w:rPr>
          <w:rFonts w:cstheme="minorHAnsi"/>
          <w:szCs w:val="18"/>
        </w:rPr>
        <w:t xml:space="preserve"> (Strasbourg, 2022), p. 16.</w:t>
      </w:r>
    </w:p>
  </w:footnote>
  <w:footnote w:id="87">
    <w:p w14:paraId="08FA6DFB" w14:textId="1F9175A5" w:rsidR="00DC22DE" w:rsidRPr="00EA7479" w:rsidRDefault="00DC22DE" w:rsidP="00DC22DE">
      <w:pPr>
        <w:pStyle w:val="Notedebasdepage"/>
        <w:rPr>
          <w:rFonts w:cstheme="minorHAnsi"/>
          <w:szCs w:val="18"/>
          <w:lang w:val="fr-FR"/>
        </w:rPr>
      </w:pPr>
      <w:r w:rsidRPr="00EA7479">
        <w:rPr>
          <w:rFonts w:cstheme="minorHAnsi"/>
          <w:szCs w:val="18"/>
        </w:rPr>
        <w:tab/>
      </w:r>
      <w:r w:rsidRPr="00EA7479">
        <w:rPr>
          <w:rStyle w:val="Appelnotedebasdep"/>
        </w:rPr>
        <w:footnoteRef/>
      </w:r>
      <w:r w:rsidRPr="00EA7479">
        <w:rPr>
          <w:rFonts w:cstheme="minorHAnsi"/>
          <w:szCs w:val="18"/>
        </w:rPr>
        <w:tab/>
      </w:r>
      <w:hyperlink r:id="rId104" w:history="1">
        <w:r w:rsidR="003C0F78">
          <w:rPr>
            <w:rStyle w:val="Lienhypertexte"/>
            <w:rFonts w:cstheme="minorHAnsi"/>
            <w:szCs w:val="18"/>
          </w:rPr>
          <w:t>CED/C/GRC/CO/1</w:t>
        </w:r>
      </w:hyperlink>
      <w:r w:rsidRPr="00EA7479">
        <w:rPr>
          <w:rFonts w:cstheme="minorHAnsi"/>
          <w:szCs w:val="18"/>
        </w:rPr>
        <w:t xml:space="preserve">, </w:t>
      </w:r>
      <w:r w:rsidR="00562F45">
        <w:rPr>
          <w:rFonts w:cstheme="minorHAnsi"/>
          <w:szCs w:val="18"/>
        </w:rPr>
        <w:t>par. </w:t>
      </w:r>
      <w:r w:rsidRPr="00EA7479">
        <w:rPr>
          <w:rFonts w:cstheme="minorHAnsi"/>
          <w:szCs w:val="18"/>
        </w:rPr>
        <w:t>28 a)</w:t>
      </w:r>
      <w:r w:rsidR="00634635">
        <w:rPr>
          <w:rFonts w:cstheme="minorHAnsi"/>
          <w:szCs w:val="18"/>
        </w:rPr>
        <w:t> ;</w:t>
      </w:r>
      <w:r w:rsidRPr="00EA7479">
        <w:rPr>
          <w:rFonts w:cstheme="minorHAnsi"/>
          <w:szCs w:val="18"/>
        </w:rPr>
        <w:t xml:space="preserve"> </w:t>
      </w:r>
      <w:hyperlink r:id="rId105" w:history="1">
        <w:r w:rsidR="003C0F78">
          <w:rPr>
            <w:rStyle w:val="Lienhypertexte"/>
            <w:rFonts w:cstheme="minorHAnsi"/>
            <w:szCs w:val="18"/>
          </w:rPr>
          <w:t>CED/C/MEX/VR/1 (</w:t>
        </w:r>
        <w:proofErr w:type="spellStart"/>
        <w:r w:rsidR="003C0F78">
          <w:rPr>
            <w:rStyle w:val="Lienhypertexte"/>
            <w:rFonts w:cstheme="minorHAnsi"/>
            <w:szCs w:val="18"/>
          </w:rPr>
          <w:t>Findings</w:t>
        </w:r>
        <w:proofErr w:type="spellEnd"/>
        <w:r w:rsidR="003C0F78">
          <w:rPr>
            <w:rStyle w:val="Lienhypertexte"/>
            <w:rFonts w:cstheme="minorHAnsi"/>
            <w:szCs w:val="18"/>
          </w:rPr>
          <w:t>)</w:t>
        </w:r>
      </w:hyperlink>
      <w:r w:rsidRPr="00EA7479">
        <w:rPr>
          <w:rFonts w:cstheme="minorHAnsi"/>
          <w:szCs w:val="18"/>
        </w:rPr>
        <w:t xml:space="preserve">, </w:t>
      </w:r>
      <w:r w:rsidR="00562F45">
        <w:rPr>
          <w:rFonts w:cstheme="minorHAnsi"/>
          <w:szCs w:val="18"/>
        </w:rPr>
        <w:t>par. </w:t>
      </w:r>
      <w:r w:rsidRPr="00EA7479">
        <w:rPr>
          <w:rFonts w:cstheme="minorHAnsi"/>
          <w:szCs w:val="18"/>
        </w:rPr>
        <w:t>19 et 20</w:t>
      </w:r>
      <w:r w:rsidR="00634635">
        <w:rPr>
          <w:rFonts w:cstheme="minorHAnsi"/>
          <w:szCs w:val="18"/>
        </w:rPr>
        <w:t> ;</w:t>
      </w:r>
      <w:r w:rsidRPr="00EA7479">
        <w:rPr>
          <w:rFonts w:cstheme="minorHAnsi"/>
          <w:szCs w:val="18"/>
        </w:rPr>
        <w:t xml:space="preserve"> </w:t>
      </w:r>
      <w:r>
        <w:t>Comité européen pour la prévention de la torture et des peines ou traitements inhumains ou dégradants</w:t>
      </w:r>
      <w:r>
        <w:rPr>
          <w:rFonts w:cstheme="minorHAnsi"/>
          <w:szCs w:val="18"/>
        </w:rPr>
        <w:t>,</w:t>
      </w:r>
      <w:r w:rsidRPr="00EA7479">
        <w:rPr>
          <w:rFonts w:cstheme="minorHAnsi"/>
          <w:szCs w:val="18"/>
        </w:rPr>
        <w:t xml:space="preserve"> </w:t>
      </w:r>
      <w:r w:rsidRPr="00EA7479">
        <w:rPr>
          <w:rFonts w:cstheme="minorHAnsi"/>
          <w:i/>
          <w:iCs/>
          <w:szCs w:val="18"/>
        </w:rPr>
        <w:t xml:space="preserve">Report to the </w:t>
      </w:r>
      <w:proofErr w:type="spellStart"/>
      <w:r w:rsidRPr="00EA7479">
        <w:rPr>
          <w:rFonts w:cstheme="minorHAnsi"/>
          <w:i/>
          <w:iCs/>
          <w:szCs w:val="18"/>
        </w:rPr>
        <w:t>Government</w:t>
      </w:r>
      <w:proofErr w:type="spellEnd"/>
      <w:r w:rsidRPr="00EA7479">
        <w:rPr>
          <w:rFonts w:cstheme="minorHAnsi"/>
          <w:i/>
          <w:iCs/>
          <w:szCs w:val="18"/>
        </w:rPr>
        <w:t xml:space="preserve"> of </w:t>
      </w:r>
      <w:proofErr w:type="spellStart"/>
      <w:r w:rsidRPr="00EA7479">
        <w:rPr>
          <w:rFonts w:cstheme="minorHAnsi"/>
          <w:i/>
          <w:iCs/>
          <w:szCs w:val="18"/>
        </w:rPr>
        <w:t>Greece</w:t>
      </w:r>
      <w:proofErr w:type="spellEnd"/>
      <w:r w:rsidRPr="00EA7479">
        <w:rPr>
          <w:rFonts w:cstheme="minorHAnsi"/>
          <w:i/>
          <w:iCs/>
          <w:szCs w:val="18"/>
        </w:rPr>
        <w:t xml:space="preserve"> on the </w:t>
      </w:r>
      <w:proofErr w:type="spellStart"/>
      <w:r w:rsidRPr="00EA7479">
        <w:rPr>
          <w:rFonts w:cstheme="minorHAnsi"/>
          <w:i/>
          <w:iCs/>
          <w:szCs w:val="18"/>
        </w:rPr>
        <w:t>visit</w:t>
      </w:r>
      <w:proofErr w:type="spellEnd"/>
      <w:r w:rsidRPr="00EA7479">
        <w:rPr>
          <w:rFonts w:cstheme="minorHAnsi"/>
          <w:i/>
          <w:iCs/>
          <w:szCs w:val="18"/>
        </w:rPr>
        <w:t xml:space="preserve"> to </w:t>
      </w:r>
      <w:proofErr w:type="spellStart"/>
      <w:r w:rsidRPr="00EA7479">
        <w:rPr>
          <w:rFonts w:cstheme="minorHAnsi"/>
          <w:i/>
          <w:iCs/>
          <w:szCs w:val="18"/>
        </w:rPr>
        <w:t>Greece</w:t>
      </w:r>
      <w:proofErr w:type="spellEnd"/>
      <w:r w:rsidRPr="00EA7479">
        <w:rPr>
          <w:rFonts w:cstheme="minorHAnsi"/>
          <w:i/>
          <w:iCs/>
          <w:szCs w:val="18"/>
        </w:rPr>
        <w:t xml:space="preserve"> </w:t>
      </w:r>
      <w:proofErr w:type="spellStart"/>
      <w:r w:rsidRPr="00EA7479">
        <w:rPr>
          <w:rFonts w:cstheme="minorHAnsi"/>
          <w:i/>
          <w:iCs/>
          <w:szCs w:val="18"/>
        </w:rPr>
        <w:t>from</w:t>
      </w:r>
      <w:proofErr w:type="spellEnd"/>
      <w:r w:rsidRPr="00EA7479">
        <w:rPr>
          <w:rFonts w:cstheme="minorHAnsi"/>
          <w:i/>
          <w:iCs/>
          <w:szCs w:val="18"/>
        </w:rPr>
        <w:t xml:space="preserve"> 13 to 17 March 2020</w:t>
      </w:r>
      <w:r w:rsidRPr="00EA7479">
        <w:rPr>
          <w:rFonts w:cstheme="minorHAnsi"/>
          <w:szCs w:val="18"/>
        </w:rPr>
        <w:t xml:space="preserve">, </w:t>
      </w:r>
      <w:r w:rsidR="00562F45">
        <w:rPr>
          <w:rFonts w:cstheme="minorHAnsi"/>
          <w:szCs w:val="18"/>
        </w:rPr>
        <w:t>par. </w:t>
      </w:r>
      <w:r w:rsidRPr="00EA7479">
        <w:rPr>
          <w:rFonts w:cstheme="minorHAnsi"/>
          <w:szCs w:val="18"/>
        </w:rPr>
        <w:t>56</w:t>
      </w:r>
      <w:r w:rsidRPr="00EA7479">
        <w:rPr>
          <w:rFonts w:cstheme="minorHAnsi"/>
          <w:szCs w:val="18"/>
          <w:lang w:val="fr-FR"/>
        </w:rPr>
        <w:t xml:space="preserve">. </w:t>
      </w:r>
    </w:p>
  </w:footnote>
  <w:footnote w:id="88">
    <w:p w14:paraId="0A59ED09" w14:textId="08D991BC" w:rsidR="00DC22DE" w:rsidRDefault="00FF0278" w:rsidP="00DC22DE">
      <w:pPr>
        <w:pStyle w:val="Notedebasdepage"/>
      </w:pPr>
      <w:r>
        <w:tab/>
      </w:r>
      <w:r w:rsidR="00DC22DE" w:rsidRPr="00EA7479">
        <w:rPr>
          <w:rStyle w:val="Appelnotedebasdep"/>
        </w:rPr>
        <w:footnoteRef/>
      </w:r>
      <w:r>
        <w:tab/>
      </w:r>
      <w:r w:rsidR="00DC22DE">
        <w:rPr>
          <w:lang w:val="fr-FR"/>
        </w:rPr>
        <w:t>Art</w:t>
      </w:r>
      <w:r>
        <w:rPr>
          <w:lang w:val="fr-FR"/>
        </w:rPr>
        <w:t>.</w:t>
      </w:r>
      <w:r w:rsidR="00DC22DE">
        <w:rPr>
          <w:lang w:val="fr-FR"/>
        </w:rPr>
        <w:t xml:space="preserve"> 4 du Protocole </w:t>
      </w:r>
      <w:r w:rsidR="0098295A" w:rsidRPr="0098295A">
        <w:rPr>
          <w:rFonts w:eastAsia="MS Mincho"/>
          <w:lang w:val="fr-FR"/>
        </w:rPr>
        <w:t>n</w:t>
      </w:r>
      <w:r w:rsidR="0098295A" w:rsidRPr="0098295A">
        <w:rPr>
          <w:rFonts w:eastAsia="MS Mincho"/>
          <w:vertAlign w:val="superscript"/>
          <w:lang w:val="fr-FR"/>
        </w:rPr>
        <w:t>o</w:t>
      </w:r>
      <w:r w:rsidR="0098295A">
        <w:rPr>
          <w:lang w:val="fr-FR"/>
        </w:rPr>
        <w:t> </w:t>
      </w:r>
      <w:r w:rsidR="00DC22DE">
        <w:rPr>
          <w:lang w:val="fr-FR"/>
        </w:rPr>
        <w:t>4 à la Convention de sauvegarde des droits de l</w:t>
      </w:r>
      <w:r w:rsidR="003A234B">
        <w:rPr>
          <w:lang w:val="fr-FR"/>
        </w:rPr>
        <w:t>’</w:t>
      </w:r>
      <w:r w:rsidR="00DC22DE">
        <w:rPr>
          <w:lang w:val="fr-FR"/>
        </w:rPr>
        <w:t>homme et des libertés fondamentales (Convention européenne des droits de l</w:t>
      </w:r>
      <w:r w:rsidR="003A234B">
        <w:rPr>
          <w:lang w:val="fr-FR"/>
        </w:rPr>
        <w:t>’</w:t>
      </w:r>
      <w:r w:rsidR="00DC22DE">
        <w:rPr>
          <w:lang w:val="fr-FR"/>
        </w:rPr>
        <w:t>homme), reconnaissant certains droits et libertés autres que ceux figurant déjà dans la Convention et dans le premier Protocole additionnel à la Convention, tel qu</w:t>
      </w:r>
      <w:r w:rsidR="003A234B">
        <w:rPr>
          <w:lang w:val="fr-FR"/>
        </w:rPr>
        <w:t>’</w:t>
      </w:r>
      <w:r w:rsidR="00DC22DE">
        <w:rPr>
          <w:lang w:val="fr-FR"/>
        </w:rPr>
        <w:t xml:space="preserve">amendé par le Protocole </w:t>
      </w:r>
      <w:r w:rsidR="0098295A" w:rsidRPr="0098295A">
        <w:rPr>
          <w:rFonts w:eastAsia="MS Mincho"/>
          <w:lang w:val="fr-FR"/>
        </w:rPr>
        <w:t>n</w:t>
      </w:r>
      <w:r w:rsidR="0098295A" w:rsidRPr="0098295A">
        <w:rPr>
          <w:rFonts w:eastAsia="MS Mincho"/>
          <w:vertAlign w:val="superscript"/>
          <w:lang w:val="fr-FR"/>
        </w:rPr>
        <w:t>o</w:t>
      </w:r>
      <w:r w:rsidR="0098295A">
        <w:rPr>
          <w:lang w:val="fr-FR"/>
        </w:rPr>
        <w:t> </w:t>
      </w:r>
      <w:r w:rsidR="00DC22DE">
        <w:rPr>
          <w:lang w:val="fr-FR"/>
        </w:rPr>
        <w:t>11</w:t>
      </w:r>
      <w:r w:rsidR="00634635">
        <w:rPr>
          <w:lang w:val="fr-FR"/>
        </w:rPr>
        <w:t> ;</w:t>
      </w:r>
      <w:r w:rsidR="00DC22DE">
        <w:rPr>
          <w:lang w:val="fr-FR"/>
        </w:rPr>
        <w:t xml:space="preserve"> art</w:t>
      </w:r>
      <w:r w:rsidR="0098295A">
        <w:rPr>
          <w:lang w:val="fr-FR"/>
        </w:rPr>
        <w:t>. </w:t>
      </w:r>
      <w:r w:rsidR="00DC22DE">
        <w:rPr>
          <w:lang w:val="fr-FR"/>
        </w:rPr>
        <w:t>22 (</w:t>
      </w:r>
      <w:r w:rsidR="00562F45">
        <w:rPr>
          <w:lang w:val="fr-FR"/>
        </w:rPr>
        <w:t>par. </w:t>
      </w:r>
      <w:r w:rsidR="00DC22DE">
        <w:rPr>
          <w:lang w:val="fr-FR"/>
        </w:rPr>
        <w:t>9) de la Convention américaine relative aux droits de l</w:t>
      </w:r>
      <w:r w:rsidR="003A234B">
        <w:rPr>
          <w:lang w:val="fr-FR"/>
        </w:rPr>
        <w:t>’</w:t>
      </w:r>
      <w:r w:rsidR="00DC22DE">
        <w:rPr>
          <w:lang w:val="fr-FR"/>
        </w:rPr>
        <w:t>homme</w:t>
      </w:r>
      <w:r w:rsidR="00634635">
        <w:rPr>
          <w:lang w:val="fr-FR"/>
        </w:rPr>
        <w:t> ;</w:t>
      </w:r>
      <w:r w:rsidR="00DC22DE">
        <w:rPr>
          <w:lang w:val="fr-FR"/>
        </w:rPr>
        <w:t xml:space="preserve"> art</w:t>
      </w:r>
      <w:r w:rsidR="0098295A">
        <w:rPr>
          <w:lang w:val="fr-FR"/>
        </w:rPr>
        <w:t>. </w:t>
      </w:r>
      <w:r w:rsidR="00DC22DE">
        <w:rPr>
          <w:lang w:val="fr-FR"/>
        </w:rPr>
        <w:t>12 (</w:t>
      </w:r>
      <w:r w:rsidR="00562F45">
        <w:rPr>
          <w:lang w:val="fr-FR"/>
        </w:rPr>
        <w:t>par. </w:t>
      </w:r>
      <w:r w:rsidR="00DC22DE">
        <w:rPr>
          <w:lang w:val="fr-FR"/>
        </w:rPr>
        <w:t>5) de la Charte africaine des droits de l</w:t>
      </w:r>
      <w:r w:rsidR="003A234B">
        <w:rPr>
          <w:lang w:val="fr-FR"/>
        </w:rPr>
        <w:t>’</w:t>
      </w:r>
      <w:r w:rsidR="00DC22DE">
        <w:rPr>
          <w:lang w:val="fr-FR"/>
        </w:rPr>
        <w:t>homme et des peuples</w:t>
      </w:r>
      <w:r w:rsidR="00634635">
        <w:rPr>
          <w:lang w:val="fr-FR"/>
        </w:rPr>
        <w:t> ;</w:t>
      </w:r>
      <w:r w:rsidR="00DC22DE">
        <w:rPr>
          <w:lang w:val="fr-FR"/>
        </w:rPr>
        <w:t xml:space="preserve"> art</w:t>
      </w:r>
      <w:r w:rsidR="0098295A">
        <w:rPr>
          <w:lang w:val="fr-FR"/>
        </w:rPr>
        <w:t>. </w:t>
      </w:r>
      <w:r w:rsidR="00DC22DE">
        <w:rPr>
          <w:lang w:val="fr-FR"/>
        </w:rPr>
        <w:t>26 (</w:t>
      </w:r>
      <w:r w:rsidR="00562F45">
        <w:rPr>
          <w:lang w:val="fr-FR"/>
        </w:rPr>
        <w:t>par. </w:t>
      </w:r>
      <w:r w:rsidR="00DC22DE">
        <w:rPr>
          <w:lang w:val="fr-FR"/>
        </w:rPr>
        <w:t>2) de la Charte arabe des droits de l</w:t>
      </w:r>
      <w:r w:rsidR="003A234B">
        <w:rPr>
          <w:lang w:val="fr-FR"/>
        </w:rPr>
        <w:t>’</w:t>
      </w:r>
      <w:r w:rsidR="00DC22DE">
        <w:rPr>
          <w:lang w:val="fr-FR"/>
        </w:rPr>
        <w:t>homme.</w:t>
      </w:r>
    </w:p>
  </w:footnote>
  <w:footnote w:id="89">
    <w:p w14:paraId="36E732A0" w14:textId="4FA5E51F" w:rsidR="00DC22DE" w:rsidRPr="00EA7479" w:rsidRDefault="00DC22DE" w:rsidP="00DC22DE">
      <w:pPr>
        <w:pStyle w:val="Notedebasdepage"/>
        <w:rPr>
          <w:rFonts w:cstheme="minorHAnsi"/>
          <w:szCs w:val="18"/>
          <w:lang w:val="fr-FR"/>
        </w:rPr>
      </w:pPr>
      <w:r w:rsidRPr="00EA7479">
        <w:rPr>
          <w:rFonts w:cstheme="minorHAnsi"/>
          <w:szCs w:val="18"/>
          <w:lang w:val="fr-FR"/>
        </w:rPr>
        <w:tab/>
      </w:r>
      <w:r w:rsidRPr="00EA7479">
        <w:rPr>
          <w:rStyle w:val="Appelnotedebasdep"/>
        </w:rPr>
        <w:footnoteRef/>
      </w:r>
      <w:r w:rsidRPr="00EA7479">
        <w:rPr>
          <w:rFonts w:cstheme="minorHAnsi"/>
          <w:szCs w:val="18"/>
        </w:rPr>
        <w:tab/>
        <w:t>Cour européenne des droits de l</w:t>
      </w:r>
      <w:r w:rsidR="003A234B">
        <w:rPr>
          <w:rFonts w:cstheme="minorHAnsi"/>
          <w:szCs w:val="18"/>
        </w:rPr>
        <w:t>’</w:t>
      </w:r>
      <w:r w:rsidRPr="00EA7479">
        <w:rPr>
          <w:rFonts w:cstheme="minorHAnsi"/>
          <w:szCs w:val="18"/>
        </w:rPr>
        <w:t xml:space="preserve">homme: </w:t>
      </w:r>
      <w:proofErr w:type="spellStart"/>
      <w:r w:rsidRPr="00EA7479">
        <w:rPr>
          <w:rFonts w:cstheme="minorHAnsi"/>
          <w:i/>
          <w:iCs/>
          <w:szCs w:val="18"/>
        </w:rPr>
        <w:t>Hirsi</w:t>
      </w:r>
      <w:proofErr w:type="spellEnd"/>
      <w:r w:rsidRPr="00EA7479">
        <w:rPr>
          <w:rFonts w:cstheme="minorHAnsi"/>
          <w:i/>
          <w:iCs/>
          <w:szCs w:val="18"/>
        </w:rPr>
        <w:t xml:space="preserve"> </w:t>
      </w:r>
      <w:proofErr w:type="spellStart"/>
      <w:r w:rsidRPr="00EA7479">
        <w:rPr>
          <w:rFonts w:cstheme="minorHAnsi"/>
          <w:i/>
          <w:iCs/>
          <w:szCs w:val="18"/>
        </w:rPr>
        <w:t>Jamaa</w:t>
      </w:r>
      <w:proofErr w:type="spellEnd"/>
      <w:r w:rsidRPr="00EA7479">
        <w:rPr>
          <w:rFonts w:cstheme="minorHAnsi"/>
          <w:i/>
          <w:iCs/>
          <w:szCs w:val="18"/>
        </w:rPr>
        <w:t xml:space="preserve"> et autres </w:t>
      </w:r>
      <w:r>
        <w:rPr>
          <w:rFonts w:cstheme="minorHAnsi"/>
          <w:i/>
          <w:iCs/>
          <w:szCs w:val="18"/>
        </w:rPr>
        <w:t>c</w:t>
      </w:r>
      <w:r w:rsidRPr="00EA7479">
        <w:rPr>
          <w:rFonts w:cstheme="minorHAnsi"/>
          <w:i/>
          <w:iCs/>
          <w:szCs w:val="18"/>
        </w:rPr>
        <w:t>.</w:t>
      </w:r>
      <w:r w:rsidRPr="00EA7479">
        <w:rPr>
          <w:rFonts w:cstheme="minorHAnsi"/>
          <w:szCs w:val="18"/>
        </w:rPr>
        <w:t xml:space="preserve"> </w:t>
      </w:r>
      <w:r w:rsidRPr="00EA7479">
        <w:rPr>
          <w:rFonts w:cstheme="minorHAnsi"/>
          <w:i/>
          <w:iCs/>
          <w:szCs w:val="18"/>
        </w:rPr>
        <w:t>Ital</w:t>
      </w:r>
      <w:r>
        <w:rPr>
          <w:rFonts w:cstheme="minorHAnsi"/>
          <w:i/>
          <w:iCs/>
          <w:szCs w:val="18"/>
        </w:rPr>
        <w:t>ie</w:t>
      </w:r>
      <w:r w:rsidRPr="00EA7479">
        <w:rPr>
          <w:rFonts w:cstheme="minorHAnsi"/>
          <w:szCs w:val="18"/>
        </w:rPr>
        <w:t xml:space="preserve">, </w:t>
      </w:r>
      <w:r w:rsidR="00562F45">
        <w:rPr>
          <w:rFonts w:cstheme="minorHAnsi"/>
          <w:szCs w:val="18"/>
        </w:rPr>
        <w:t>par. </w:t>
      </w:r>
      <w:r w:rsidRPr="00EA7479">
        <w:rPr>
          <w:rFonts w:cstheme="minorHAnsi"/>
          <w:szCs w:val="18"/>
        </w:rPr>
        <w:t>185 et 186</w:t>
      </w:r>
      <w:r w:rsidR="00634635">
        <w:rPr>
          <w:rFonts w:cstheme="minorHAnsi"/>
          <w:szCs w:val="18"/>
        </w:rPr>
        <w:t> ;</w:t>
      </w:r>
      <w:r w:rsidRPr="00EA7479">
        <w:rPr>
          <w:rFonts w:cstheme="minorHAnsi"/>
          <w:szCs w:val="18"/>
        </w:rPr>
        <w:t xml:space="preserve"> </w:t>
      </w:r>
      <w:r w:rsidRPr="00EA7479">
        <w:rPr>
          <w:rFonts w:cstheme="minorHAnsi"/>
          <w:i/>
          <w:iCs/>
          <w:szCs w:val="18"/>
        </w:rPr>
        <w:t>N.</w:t>
      </w:r>
      <w:r w:rsidR="00F066D7">
        <w:rPr>
          <w:rFonts w:cstheme="minorHAnsi"/>
          <w:i/>
          <w:iCs/>
          <w:szCs w:val="18"/>
        </w:rPr>
        <w:t> </w:t>
      </w:r>
      <w:r w:rsidRPr="00EA7479">
        <w:rPr>
          <w:rFonts w:cstheme="minorHAnsi"/>
          <w:i/>
          <w:iCs/>
          <w:szCs w:val="18"/>
        </w:rPr>
        <w:t>D. et N.</w:t>
      </w:r>
      <w:r w:rsidR="00F066D7">
        <w:rPr>
          <w:rFonts w:cstheme="minorHAnsi"/>
          <w:i/>
          <w:iCs/>
          <w:szCs w:val="18"/>
        </w:rPr>
        <w:t> </w:t>
      </w:r>
      <w:r w:rsidRPr="00EA7479">
        <w:rPr>
          <w:rFonts w:cstheme="minorHAnsi"/>
          <w:i/>
          <w:iCs/>
          <w:szCs w:val="18"/>
        </w:rPr>
        <w:t xml:space="preserve">T. c. </w:t>
      </w:r>
      <w:r>
        <w:rPr>
          <w:rFonts w:cstheme="minorHAnsi"/>
          <w:i/>
          <w:iCs/>
          <w:szCs w:val="18"/>
        </w:rPr>
        <w:t>Espagne</w:t>
      </w:r>
      <w:r w:rsidRPr="00EA7479">
        <w:rPr>
          <w:rFonts w:cstheme="minorHAnsi"/>
          <w:szCs w:val="18"/>
        </w:rPr>
        <w:t xml:space="preserve">, </w:t>
      </w:r>
      <w:r>
        <w:t>requêtes</w:t>
      </w:r>
      <w:r w:rsidRPr="00EA7479">
        <w:t xml:space="preserve"> </w:t>
      </w:r>
      <w:r w:rsidR="00F066D7">
        <w:rPr>
          <w:rFonts w:eastAsia="MS Mincho"/>
        </w:rPr>
        <w:t>n</w:t>
      </w:r>
      <w:r w:rsidR="00F066D7">
        <w:rPr>
          <w:rFonts w:eastAsia="MS Mincho"/>
          <w:vertAlign w:val="superscript"/>
        </w:rPr>
        <w:t>os</w:t>
      </w:r>
      <w:r w:rsidR="00F066D7">
        <w:t> </w:t>
      </w:r>
      <w:r w:rsidR="00C56ABF" w:rsidRPr="00F066D7">
        <w:t>8675/15</w:t>
      </w:r>
      <w:r w:rsidRPr="00EA7479">
        <w:t xml:space="preserve"> et </w:t>
      </w:r>
      <w:r w:rsidR="00C56ABF" w:rsidRPr="00F066D7">
        <w:t>8697/15</w:t>
      </w:r>
      <w:r w:rsidRPr="00EA7479">
        <w:t>, arrêt</w:t>
      </w:r>
      <w:r w:rsidRPr="00EA7479">
        <w:rPr>
          <w:rFonts w:cstheme="minorHAnsi"/>
          <w:szCs w:val="18"/>
        </w:rPr>
        <w:t>, 13 févri</w:t>
      </w:r>
      <w:r>
        <w:rPr>
          <w:rFonts w:cstheme="minorHAnsi"/>
          <w:szCs w:val="18"/>
        </w:rPr>
        <w:t>er</w:t>
      </w:r>
      <w:r w:rsidRPr="00EA7479">
        <w:rPr>
          <w:rFonts w:cstheme="minorHAnsi"/>
          <w:szCs w:val="18"/>
        </w:rPr>
        <w:t xml:space="preserve"> 2020</w:t>
      </w:r>
      <w:r w:rsidR="00634635">
        <w:rPr>
          <w:rFonts w:cstheme="minorHAnsi"/>
          <w:szCs w:val="18"/>
        </w:rPr>
        <w:t> ;</w:t>
      </w:r>
      <w:r w:rsidRPr="00EA7479">
        <w:rPr>
          <w:rFonts w:cstheme="minorHAnsi"/>
          <w:szCs w:val="18"/>
        </w:rPr>
        <w:t xml:space="preserve"> </w:t>
      </w:r>
      <w:r w:rsidRPr="00EA7479">
        <w:rPr>
          <w:rFonts w:cstheme="minorHAnsi"/>
          <w:i/>
          <w:iCs/>
          <w:szCs w:val="18"/>
        </w:rPr>
        <w:t xml:space="preserve">Shahzad </w:t>
      </w:r>
      <w:r>
        <w:rPr>
          <w:rFonts w:cstheme="minorHAnsi"/>
          <w:i/>
          <w:iCs/>
          <w:szCs w:val="18"/>
        </w:rPr>
        <w:t>c</w:t>
      </w:r>
      <w:r w:rsidRPr="00EA7479">
        <w:rPr>
          <w:rFonts w:cstheme="minorHAnsi"/>
          <w:i/>
          <w:iCs/>
          <w:szCs w:val="18"/>
        </w:rPr>
        <w:t xml:space="preserve">. </w:t>
      </w:r>
      <w:r w:rsidRPr="00EA7479">
        <w:rPr>
          <w:rFonts w:cstheme="minorHAnsi"/>
          <w:i/>
          <w:iCs/>
          <w:szCs w:val="18"/>
          <w:lang w:val="fr-FR"/>
        </w:rPr>
        <w:t>Hongrie</w:t>
      </w:r>
      <w:r w:rsidRPr="00EA7479">
        <w:rPr>
          <w:rFonts w:cstheme="minorHAnsi"/>
          <w:szCs w:val="18"/>
          <w:lang w:val="fr-FR"/>
        </w:rPr>
        <w:t xml:space="preserve">, requête </w:t>
      </w:r>
      <w:r w:rsidR="00634635">
        <w:rPr>
          <w:rFonts w:eastAsia="MS Mincho"/>
        </w:rPr>
        <w:t>n</w:t>
      </w:r>
      <w:r w:rsidR="00634635">
        <w:rPr>
          <w:rFonts w:eastAsia="MS Mincho"/>
          <w:vertAlign w:val="superscript"/>
        </w:rPr>
        <w:t>o</w:t>
      </w:r>
      <w:r w:rsidR="00634635">
        <w:t> </w:t>
      </w:r>
      <w:r w:rsidRPr="00EA7479">
        <w:rPr>
          <w:rFonts w:cstheme="minorHAnsi"/>
          <w:szCs w:val="18"/>
          <w:lang w:val="fr-FR"/>
        </w:rPr>
        <w:t>12625/17, arrêt, 8 juillet 2021.</w:t>
      </w:r>
    </w:p>
  </w:footnote>
  <w:footnote w:id="90">
    <w:p w14:paraId="5E8DEFD4" w14:textId="7E5FE86E" w:rsidR="00DC22DE" w:rsidRPr="00EA7479" w:rsidRDefault="00DC22DE" w:rsidP="00DC22DE">
      <w:pPr>
        <w:pStyle w:val="Notedebasdepage"/>
        <w:rPr>
          <w:lang w:val="fr-FR"/>
        </w:rPr>
      </w:pPr>
      <w:r w:rsidRPr="00EA7479">
        <w:rPr>
          <w:lang w:val="fr-FR"/>
        </w:rPr>
        <w:tab/>
      </w:r>
      <w:r w:rsidRPr="00EA7479">
        <w:rPr>
          <w:rStyle w:val="Appelnotedebasdep"/>
        </w:rPr>
        <w:footnoteRef/>
      </w:r>
      <w:r w:rsidRPr="00EA7479">
        <w:tab/>
      </w:r>
      <w:hyperlink r:id="rId106" w:history="1">
        <w:r w:rsidR="00F066D7">
          <w:rPr>
            <w:rStyle w:val="Lienhypertexte"/>
          </w:rPr>
          <w:t>A/HRC/37/50</w:t>
        </w:r>
      </w:hyperlink>
      <w:r w:rsidRPr="00EA7479">
        <w:t xml:space="preserve">, </w:t>
      </w:r>
      <w:r w:rsidR="00562F45">
        <w:t>par. </w:t>
      </w:r>
      <w:r w:rsidRPr="00EA7479">
        <w:t>52 et 53</w:t>
      </w:r>
      <w:r w:rsidR="00634635">
        <w:t> ;</w:t>
      </w:r>
      <w:r w:rsidRPr="00EA7479">
        <w:t xml:space="preserve"> </w:t>
      </w:r>
      <w:r w:rsidRPr="00EA7479">
        <w:rPr>
          <w:rFonts w:cstheme="minorHAnsi"/>
          <w:szCs w:val="18"/>
        </w:rPr>
        <w:t>Cour européenne des droits de l</w:t>
      </w:r>
      <w:r w:rsidR="003A234B">
        <w:rPr>
          <w:rFonts w:cstheme="minorHAnsi"/>
          <w:szCs w:val="18"/>
        </w:rPr>
        <w:t>’</w:t>
      </w:r>
      <w:r w:rsidRPr="00EA7479">
        <w:rPr>
          <w:rFonts w:cstheme="minorHAnsi"/>
          <w:szCs w:val="18"/>
        </w:rPr>
        <w:t>homme</w:t>
      </w:r>
      <w:r w:rsidRPr="00EA7479">
        <w:t xml:space="preserve">, </w:t>
      </w:r>
      <w:proofErr w:type="spellStart"/>
      <w:r w:rsidRPr="00EA7479">
        <w:rPr>
          <w:i/>
          <w:iCs/>
        </w:rPr>
        <w:t>Hirsi</w:t>
      </w:r>
      <w:proofErr w:type="spellEnd"/>
      <w:r w:rsidRPr="00EA7479">
        <w:rPr>
          <w:i/>
          <w:iCs/>
        </w:rPr>
        <w:t xml:space="preserve"> </w:t>
      </w:r>
      <w:proofErr w:type="spellStart"/>
      <w:r w:rsidRPr="00EA7479">
        <w:rPr>
          <w:i/>
          <w:iCs/>
        </w:rPr>
        <w:t>Jamaa</w:t>
      </w:r>
      <w:proofErr w:type="spellEnd"/>
      <w:r w:rsidRPr="00EA7479">
        <w:rPr>
          <w:i/>
          <w:iCs/>
        </w:rPr>
        <w:t xml:space="preserve"> </w:t>
      </w:r>
      <w:r>
        <w:rPr>
          <w:i/>
          <w:iCs/>
        </w:rPr>
        <w:t>et autres</w:t>
      </w:r>
      <w:r w:rsidRPr="00EA7479">
        <w:rPr>
          <w:i/>
          <w:iCs/>
        </w:rPr>
        <w:t xml:space="preserve"> </w:t>
      </w:r>
      <w:r>
        <w:rPr>
          <w:i/>
          <w:iCs/>
        </w:rPr>
        <w:t>d</w:t>
      </w:r>
      <w:r w:rsidRPr="00EA7479">
        <w:rPr>
          <w:i/>
          <w:iCs/>
        </w:rPr>
        <w:t>. Ital</w:t>
      </w:r>
      <w:r>
        <w:rPr>
          <w:i/>
          <w:iCs/>
        </w:rPr>
        <w:t>ie</w:t>
      </w:r>
      <w:r>
        <w:t>.</w:t>
      </w:r>
    </w:p>
  </w:footnote>
  <w:footnote w:id="91">
    <w:p w14:paraId="06368ACF" w14:textId="5E98AE49" w:rsidR="00DC22DE" w:rsidRPr="00EA7479" w:rsidRDefault="00DC22DE" w:rsidP="00DC22DE">
      <w:pPr>
        <w:pStyle w:val="Notedebasdepage"/>
        <w:rPr>
          <w:lang w:val="fr-FR"/>
        </w:rPr>
      </w:pPr>
      <w:r w:rsidRPr="00EA7479">
        <w:rPr>
          <w:lang w:val="fr-FR"/>
        </w:rPr>
        <w:tab/>
      </w:r>
      <w:r w:rsidRPr="00EA7479">
        <w:rPr>
          <w:rStyle w:val="Appelnotedebasdep"/>
        </w:rPr>
        <w:footnoteRef/>
      </w:r>
      <w:r w:rsidRPr="00EA7479">
        <w:tab/>
        <w:t>Co</w:t>
      </w:r>
      <w:r>
        <w:t>mmission</w:t>
      </w:r>
      <w:r w:rsidRPr="00EA7479">
        <w:t xml:space="preserve"> interaméricaine des droits de l</w:t>
      </w:r>
      <w:r w:rsidR="003A234B">
        <w:t>’</w:t>
      </w:r>
      <w:r w:rsidRPr="00EA7479">
        <w:t xml:space="preserve">homme, </w:t>
      </w:r>
      <w:r w:rsidRPr="00EA7479">
        <w:rPr>
          <w:i/>
          <w:iCs/>
        </w:rPr>
        <w:t>Centre haïtien des droits de l</w:t>
      </w:r>
      <w:r w:rsidR="003A234B">
        <w:rPr>
          <w:i/>
          <w:iCs/>
        </w:rPr>
        <w:t>’</w:t>
      </w:r>
      <w:r w:rsidRPr="00EA7479">
        <w:rPr>
          <w:i/>
          <w:iCs/>
        </w:rPr>
        <w:t>homme  c. États</w:t>
      </w:r>
      <w:r w:rsidR="005D7232">
        <w:rPr>
          <w:i/>
          <w:iCs/>
        </w:rPr>
        <w:noBreakHyphen/>
      </w:r>
      <w:r w:rsidRPr="00EA7479">
        <w:rPr>
          <w:i/>
          <w:iCs/>
        </w:rPr>
        <w:t>Unis d</w:t>
      </w:r>
      <w:r w:rsidR="003A234B">
        <w:rPr>
          <w:i/>
          <w:iCs/>
        </w:rPr>
        <w:t>’</w:t>
      </w:r>
      <w:r w:rsidRPr="00EA7479">
        <w:rPr>
          <w:i/>
          <w:iCs/>
        </w:rPr>
        <w:t>Amérique</w:t>
      </w:r>
      <w:r w:rsidRPr="00EA7479">
        <w:t xml:space="preserve">, affaire </w:t>
      </w:r>
      <w:r w:rsidR="00634635">
        <w:rPr>
          <w:rFonts w:eastAsia="MS Mincho"/>
        </w:rPr>
        <w:t>n</w:t>
      </w:r>
      <w:r w:rsidR="00634635">
        <w:rPr>
          <w:rFonts w:eastAsia="MS Mincho"/>
          <w:vertAlign w:val="superscript"/>
        </w:rPr>
        <w:t>o</w:t>
      </w:r>
      <w:r w:rsidR="00634635">
        <w:t> </w:t>
      </w:r>
      <w:r w:rsidRPr="00EA7479">
        <w:t>10.675, d</w:t>
      </w:r>
      <w:r w:rsidR="00A34E1B">
        <w:t>é</w:t>
      </w:r>
      <w:r w:rsidRPr="00EA7479">
        <w:t>cision sur le fond</w:t>
      </w:r>
      <w:r>
        <w:t>,</w:t>
      </w:r>
      <w:r w:rsidRPr="00EA7479">
        <w:t xml:space="preserve"> 13 </w:t>
      </w:r>
      <w:r>
        <w:t>mars</w:t>
      </w:r>
      <w:r w:rsidRPr="00EA7479">
        <w:t xml:space="preserve"> 1997, </w:t>
      </w:r>
      <w:r w:rsidR="00562F45">
        <w:t>par. </w:t>
      </w:r>
      <w:r w:rsidRPr="00EA7479">
        <w:t xml:space="preserve">169. </w:t>
      </w:r>
    </w:p>
  </w:footnote>
  <w:footnote w:id="92">
    <w:p w14:paraId="7577E529" w14:textId="4B9B94E3" w:rsidR="00DC22DE" w:rsidRPr="00EA7479" w:rsidRDefault="00DC22DE" w:rsidP="00DC22DE">
      <w:pPr>
        <w:pStyle w:val="Notedebasdepage"/>
        <w:rPr>
          <w:lang w:val="fr-FR"/>
        </w:rPr>
      </w:pPr>
      <w:r w:rsidRPr="00EA7479">
        <w:rPr>
          <w:lang w:val="fr-FR"/>
        </w:rPr>
        <w:tab/>
      </w:r>
      <w:r w:rsidRPr="00EA7479">
        <w:rPr>
          <w:rStyle w:val="Appelnotedebasdep"/>
        </w:rPr>
        <w:footnoteRef/>
      </w:r>
      <w:r w:rsidRPr="00EA7479">
        <w:tab/>
      </w:r>
      <w:r w:rsidRPr="00EA7479">
        <w:rPr>
          <w:rFonts w:cstheme="minorHAnsi"/>
          <w:szCs w:val="18"/>
        </w:rPr>
        <w:t>Cour européenne des droits de l</w:t>
      </w:r>
      <w:r w:rsidR="003A234B">
        <w:rPr>
          <w:rFonts w:cstheme="minorHAnsi"/>
          <w:szCs w:val="18"/>
        </w:rPr>
        <w:t>’</w:t>
      </w:r>
      <w:r w:rsidRPr="00EA7479">
        <w:rPr>
          <w:rFonts w:cstheme="minorHAnsi"/>
          <w:szCs w:val="18"/>
        </w:rPr>
        <w:t>homme</w:t>
      </w:r>
      <w:r w:rsidRPr="00EA7479">
        <w:t xml:space="preserve">, </w:t>
      </w:r>
      <w:r w:rsidRPr="00EA7479">
        <w:rPr>
          <w:i/>
          <w:iCs/>
        </w:rPr>
        <w:t>Safi et autres c. Grèce</w:t>
      </w:r>
      <w:r w:rsidRPr="00EA7479">
        <w:t xml:space="preserve">, </w:t>
      </w:r>
      <w:r>
        <w:t xml:space="preserve">requête </w:t>
      </w:r>
      <w:r w:rsidR="00634635">
        <w:rPr>
          <w:rFonts w:eastAsia="MS Mincho"/>
        </w:rPr>
        <w:t>n</w:t>
      </w:r>
      <w:r w:rsidR="00634635">
        <w:rPr>
          <w:rFonts w:eastAsia="MS Mincho"/>
          <w:vertAlign w:val="superscript"/>
        </w:rPr>
        <w:t>o</w:t>
      </w:r>
      <w:r w:rsidR="00634635">
        <w:t> </w:t>
      </w:r>
      <w:r w:rsidRPr="00EA7479">
        <w:t xml:space="preserve">5418/15, </w:t>
      </w:r>
      <w:r>
        <w:t>arrêt</w:t>
      </w:r>
      <w:r w:rsidRPr="00EA7479">
        <w:t>, 7</w:t>
      </w:r>
      <w:r w:rsidR="00A34E1B">
        <w:t> </w:t>
      </w:r>
      <w:r>
        <w:t>juillet</w:t>
      </w:r>
      <w:r w:rsidRPr="00EA7479">
        <w:t xml:space="preserve"> 2022. </w:t>
      </w:r>
    </w:p>
  </w:footnote>
  <w:footnote w:id="93">
    <w:p w14:paraId="139F5E6B" w14:textId="7EF9CE12" w:rsidR="00DC22DE" w:rsidRPr="00EA7479" w:rsidRDefault="00DC22DE" w:rsidP="00DC22DE">
      <w:pPr>
        <w:pStyle w:val="Notedebasdepage"/>
        <w:rPr>
          <w:rFonts w:cstheme="minorHAnsi"/>
          <w:szCs w:val="18"/>
        </w:rPr>
      </w:pPr>
      <w:r w:rsidRPr="00EA7479">
        <w:rPr>
          <w:rFonts w:cstheme="minorHAnsi"/>
          <w:szCs w:val="18"/>
          <w:lang w:val="fr-FR"/>
        </w:rPr>
        <w:tab/>
      </w:r>
      <w:r w:rsidRPr="00EA7479">
        <w:rPr>
          <w:rStyle w:val="Appelnotedebasdep"/>
        </w:rPr>
        <w:footnoteRef/>
      </w:r>
      <w:r w:rsidRPr="00EA7479">
        <w:rPr>
          <w:rFonts w:cstheme="minorHAnsi"/>
          <w:szCs w:val="18"/>
          <w:lang w:val="fr-FR"/>
        </w:rPr>
        <w:tab/>
      </w:r>
      <w:hyperlink r:id="rId107" w:history="1">
        <w:r w:rsidR="00A34E1B">
          <w:rPr>
            <w:rStyle w:val="Lienhypertexte"/>
            <w:rFonts w:cstheme="minorHAnsi"/>
            <w:szCs w:val="18"/>
            <w:lang w:val="fr-FR"/>
          </w:rPr>
          <w:t>A/HRC/47/30</w:t>
        </w:r>
      </w:hyperlink>
      <w:r w:rsidRPr="00EA7479">
        <w:rPr>
          <w:rFonts w:cstheme="minorHAnsi"/>
          <w:szCs w:val="18"/>
          <w:lang w:val="fr-FR"/>
        </w:rPr>
        <w:t xml:space="preserve">, </w:t>
      </w:r>
      <w:r w:rsidR="00562F45">
        <w:rPr>
          <w:rFonts w:cstheme="minorHAnsi"/>
          <w:szCs w:val="18"/>
          <w:lang w:val="fr-FR"/>
        </w:rPr>
        <w:t>par. </w:t>
      </w:r>
      <w:r w:rsidRPr="00EA7479">
        <w:rPr>
          <w:rFonts w:cstheme="minorHAnsi"/>
          <w:szCs w:val="18"/>
          <w:lang w:val="fr-FR"/>
        </w:rPr>
        <w:t xml:space="preserve">72 à 75. </w:t>
      </w:r>
      <w:r w:rsidRPr="00EA7479">
        <w:rPr>
          <w:rFonts w:cstheme="minorHAnsi"/>
          <w:szCs w:val="18"/>
        </w:rPr>
        <w:t>Voir aussi</w:t>
      </w:r>
      <w:r w:rsidRPr="00EA7479">
        <w:t xml:space="preserve"> HCDH, </w:t>
      </w:r>
      <w:r>
        <w:rPr>
          <w:rFonts w:cstheme="minorHAnsi"/>
          <w:szCs w:val="18"/>
          <w:lang w:val="fr-FR"/>
        </w:rPr>
        <w:t>"</w:t>
      </w:r>
      <w:proofErr w:type="spellStart"/>
      <w:r w:rsidRPr="006775B8">
        <w:rPr>
          <w:rFonts w:cstheme="minorHAnsi"/>
          <w:i/>
          <w:iCs/>
          <w:szCs w:val="18"/>
          <w:lang w:val="fr-FR"/>
        </w:rPr>
        <w:t>Lethal</w:t>
      </w:r>
      <w:proofErr w:type="spellEnd"/>
      <w:r w:rsidRPr="006775B8">
        <w:rPr>
          <w:rFonts w:cstheme="minorHAnsi"/>
          <w:i/>
          <w:iCs/>
          <w:szCs w:val="18"/>
          <w:lang w:val="fr-FR"/>
        </w:rPr>
        <w:t xml:space="preserve"> </w:t>
      </w:r>
      <w:proofErr w:type="spellStart"/>
      <w:r w:rsidRPr="006775B8">
        <w:rPr>
          <w:rFonts w:cstheme="minorHAnsi"/>
          <w:i/>
          <w:iCs/>
          <w:szCs w:val="18"/>
          <w:lang w:val="fr-FR"/>
        </w:rPr>
        <w:t>disregard</w:t>
      </w:r>
      <w:proofErr w:type="spellEnd"/>
      <w:r>
        <w:rPr>
          <w:rFonts w:cstheme="minorHAnsi"/>
          <w:i/>
          <w:iCs/>
          <w:szCs w:val="18"/>
          <w:lang w:val="fr-FR"/>
        </w:rPr>
        <w:t>"</w:t>
      </w:r>
      <w:r w:rsidRPr="006775B8">
        <w:rPr>
          <w:rFonts w:cstheme="minorHAnsi"/>
          <w:i/>
          <w:iCs/>
          <w:szCs w:val="18"/>
          <w:lang w:val="fr-FR"/>
        </w:rPr>
        <w:t xml:space="preserve">: </w:t>
      </w:r>
      <w:proofErr w:type="spellStart"/>
      <w:r w:rsidRPr="006775B8">
        <w:rPr>
          <w:rFonts w:cstheme="minorHAnsi"/>
          <w:i/>
          <w:iCs/>
          <w:szCs w:val="18"/>
          <w:lang w:val="fr-FR"/>
        </w:rPr>
        <w:t>search</w:t>
      </w:r>
      <w:proofErr w:type="spellEnd"/>
      <w:r w:rsidRPr="006775B8">
        <w:rPr>
          <w:rFonts w:cstheme="minorHAnsi"/>
          <w:i/>
          <w:iCs/>
          <w:szCs w:val="18"/>
          <w:lang w:val="fr-FR"/>
        </w:rPr>
        <w:t xml:space="preserve"> and </w:t>
      </w:r>
      <w:proofErr w:type="spellStart"/>
      <w:r w:rsidRPr="006775B8">
        <w:rPr>
          <w:rFonts w:cstheme="minorHAnsi"/>
          <w:i/>
          <w:iCs/>
          <w:szCs w:val="18"/>
          <w:lang w:val="fr-FR"/>
        </w:rPr>
        <w:t>rescue</w:t>
      </w:r>
      <w:proofErr w:type="spellEnd"/>
      <w:r w:rsidRPr="006775B8">
        <w:rPr>
          <w:rFonts w:cstheme="minorHAnsi"/>
          <w:i/>
          <w:iCs/>
          <w:szCs w:val="18"/>
          <w:lang w:val="fr-FR"/>
        </w:rPr>
        <w:t xml:space="preserve"> and the protection of migrants in the central </w:t>
      </w:r>
      <w:proofErr w:type="spellStart"/>
      <w:r w:rsidRPr="006775B8">
        <w:rPr>
          <w:rFonts w:cstheme="minorHAnsi"/>
          <w:i/>
          <w:iCs/>
          <w:szCs w:val="18"/>
          <w:lang w:val="fr-FR"/>
        </w:rPr>
        <w:t>Mediterranean</w:t>
      </w:r>
      <w:proofErr w:type="spellEnd"/>
      <w:r w:rsidRPr="006775B8">
        <w:rPr>
          <w:rFonts w:cstheme="minorHAnsi"/>
          <w:i/>
          <w:iCs/>
          <w:szCs w:val="18"/>
          <w:lang w:val="fr-FR"/>
        </w:rPr>
        <w:t xml:space="preserve"> </w:t>
      </w:r>
      <w:proofErr w:type="spellStart"/>
      <w:r w:rsidRPr="006775B8">
        <w:rPr>
          <w:rFonts w:cstheme="minorHAnsi"/>
          <w:i/>
          <w:iCs/>
          <w:szCs w:val="18"/>
          <w:lang w:val="fr-FR"/>
        </w:rPr>
        <w:t>Sea</w:t>
      </w:r>
      <w:proofErr w:type="spellEnd"/>
      <w:r w:rsidR="00634635">
        <w:t> ;</w:t>
      </w:r>
      <w:r w:rsidRPr="00EA7479">
        <w:t xml:space="preserve"> </w:t>
      </w:r>
      <w:r w:rsidRPr="00EA7479">
        <w:rPr>
          <w:rFonts w:cstheme="minorHAnsi"/>
          <w:szCs w:val="18"/>
        </w:rPr>
        <w:t>Comité des droits</w:t>
      </w:r>
      <w:r>
        <w:rPr>
          <w:rFonts w:cstheme="minorHAnsi"/>
          <w:szCs w:val="18"/>
        </w:rPr>
        <w:t xml:space="preserve"> de l</w:t>
      </w:r>
      <w:r w:rsidR="003A234B">
        <w:rPr>
          <w:rFonts w:cstheme="minorHAnsi"/>
          <w:szCs w:val="18"/>
        </w:rPr>
        <w:t>’</w:t>
      </w:r>
      <w:r>
        <w:rPr>
          <w:rFonts w:cstheme="minorHAnsi"/>
          <w:szCs w:val="18"/>
        </w:rPr>
        <w:t>homme</w:t>
      </w:r>
      <w:r w:rsidRPr="00EA7479">
        <w:rPr>
          <w:rFonts w:cstheme="minorHAnsi"/>
          <w:szCs w:val="18"/>
        </w:rPr>
        <w:t xml:space="preserve">, </w:t>
      </w:r>
      <w:r w:rsidRPr="00EA7479">
        <w:rPr>
          <w:i/>
          <w:iCs/>
        </w:rPr>
        <w:t>A. S</w:t>
      </w:r>
      <w:r>
        <w:t xml:space="preserve"> </w:t>
      </w:r>
      <w:r w:rsidRPr="00EA7479">
        <w:rPr>
          <w:i/>
          <w:iCs/>
        </w:rPr>
        <w:t>et consorts</w:t>
      </w:r>
      <w:r w:rsidRPr="00344644" w:rsidDel="00344644">
        <w:rPr>
          <w:rFonts w:cstheme="minorHAnsi"/>
          <w:i/>
          <w:iCs/>
          <w:szCs w:val="18"/>
        </w:rPr>
        <w:t xml:space="preserve"> </w:t>
      </w:r>
      <w:r>
        <w:rPr>
          <w:rFonts w:cstheme="minorHAnsi"/>
          <w:i/>
          <w:iCs/>
          <w:szCs w:val="18"/>
        </w:rPr>
        <w:t xml:space="preserve">c. Italie </w:t>
      </w:r>
      <w:r w:rsidRPr="00EA7479">
        <w:rPr>
          <w:rFonts w:cstheme="minorHAnsi"/>
          <w:szCs w:val="18"/>
        </w:rPr>
        <w:t>(</w:t>
      </w:r>
      <w:hyperlink r:id="rId108" w:history="1">
        <w:r w:rsidR="00A34E1B">
          <w:rPr>
            <w:rStyle w:val="Lienhypertexte"/>
            <w:rFonts w:cstheme="minorHAnsi"/>
            <w:szCs w:val="18"/>
          </w:rPr>
          <w:t>CCPR/C/130/D/3042/2017</w:t>
        </w:r>
      </w:hyperlink>
      <w:r w:rsidRPr="00EA7479">
        <w:rPr>
          <w:rFonts w:cstheme="minorHAnsi"/>
          <w:szCs w:val="18"/>
        </w:rPr>
        <w:t>).</w:t>
      </w:r>
    </w:p>
  </w:footnote>
  <w:footnote w:id="94">
    <w:p w14:paraId="63F5E08C" w14:textId="339F8B5F" w:rsidR="00DC22DE" w:rsidRPr="001C0389" w:rsidRDefault="00DC22DE" w:rsidP="00DC22DE">
      <w:pPr>
        <w:pStyle w:val="Notedebasdepage"/>
        <w:rPr>
          <w:rFonts w:cstheme="minorHAnsi"/>
          <w:szCs w:val="18"/>
          <w:lang w:val="en-US"/>
        </w:rPr>
      </w:pPr>
      <w:r w:rsidRPr="00EA7479">
        <w:rPr>
          <w:rFonts w:cstheme="minorHAnsi"/>
          <w:szCs w:val="18"/>
        </w:rPr>
        <w:tab/>
      </w:r>
      <w:r w:rsidRPr="00EA7479">
        <w:rPr>
          <w:rStyle w:val="Appelnotedebasdep"/>
        </w:rPr>
        <w:footnoteRef/>
      </w:r>
      <w:r w:rsidRPr="001C0389">
        <w:rPr>
          <w:rFonts w:cstheme="minorHAnsi"/>
          <w:szCs w:val="18"/>
          <w:lang w:val="en-US"/>
        </w:rPr>
        <w:tab/>
      </w:r>
      <w:hyperlink r:id="rId109" w:history="1">
        <w:r w:rsidR="00A34E1B">
          <w:rPr>
            <w:rStyle w:val="Lienhypertexte"/>
            <w:rFonts w:cstheme="minorHAnsi"/>
            <w:szCs w:val="18"/>
            <w:lang w:val="en-US"/>
          </w:rPr>
          <w:t>CED/C/GRC/CO/1</w:t>
        </w:r>
      </w:hyperlink>
      <w:r w:rsidRPr="001C0389">
        <w:rPr>
          <w:rFonts w:cstheme="minorHAnsi"/>
          <w:szCs w:val="18"/>
          <w:lang w:val="en-US"/>
        </w:rPr>
        <w:t xml:space="preserve">, </w:t>
      </w:r>
      <w:r w:rsidR="00562F45">
        <w:rPr>
          <w:rFonts w:cstheme="minorHAnsi"/>
          <w:szCs w:val="18"/>
          <w:lang w:val="en-US"/>
        </w:rPr>
        <w:t>par. </w:t>
      </w:r>
      <w:r w:rsidRPr="001C0389">
        <w:rPr>
          <w:rFonts w:cstheme="minorHAnsi"/>
          <w:szCs w:val="18"/>
          <w:lang w:val="en-US"/>
        </w:rPr>
        <w:t>29 a)</w:t>
      </w:r>
      <w:r w:rsidRPr="00C82A45">
        <w:rPr>
          <w:rFonts w:cstheme="minorHAnsi"/>
          <w:szCs w:val="18"/>
          <w:lang w:val="en-US"/>
        </w:rPr>
        <w:t>.</w:t>
      </w:r>
      <w:r w:rsidRPr="001C0389">
        <w:rPr>
          <w:rFonts w:cstheme="minorHAnsi"/>
          <w:szCs w:val="18"/>
          <w:lang w:val="en-US"/>
        </w:rPr>
        <w:t xml:space="preserve"> </w:t>
      </w:r>
    </w:p>
  </w:footnote>
  <w:footnote w:id="95">
    <w:p w14:paraId="6AB4451B" w14:textId="1452756C" w:rsidR="00DC22DE" w:rsidRPr="00EA7479" w:rsidRDefault="00DC22DE" w:rsidP="00DC22DE">
      <w:pPr>
        <w:pStyle w:val="Notedebasdepage"/>
        <w:rPr>
          <w:szCs w:val="18"/>
        </w:rPr>
      </w:pPr>
      <w:r w:rsidRPr="001C0389">
        <w:rPr>
          <w:szCs w:val="18"/>
          <w:lang w:val="en-US"/>
        </w:rPr>
        <w:tab/>
      </w:r>
      <w:r w:rsidRPr="00EA7479">
        <w:rPr>
          <w:rStyle w:val="Appelnotedebasdep"/>
        </w:rPr>
        <w:footnoteRef/>
      </w:r>
      <w:r w:rsidRPr="00EA7479">
        <w:rPr>
          <w:szCs w:val="18"/>
        </w:rPr>
        <w:tab/>
      </w:r>
      <w:hyperlink r:id="rId110" w:history="1">
        <w:r w:rsidR="00A34E1B">
          <w:rPr>
            <w:rStyle w:val="Lienhypertexte"/>
            <w:rFonts w:cstheme="minorHAnsi"/>
            <w:szCs w:val="18"/>
          </w:rPr>
          <w:t>CED/C/MEX/VR/1 (</w:t>
        </w:r>
        <w:proofErr w:type="spellStart"/>
        <w:r w:rsidR="00A34E1B">
          <w:rPr>
            <w:rStyle w:val="Lienhypertexte"/>
            <w:rFonts w:cstheme="minorHAnsi"/>
            <w:szCs w:val="18"/>
          </w:rPr>
          <w:t>Recommendations</w:t>
        </w:r>
        <w:proofErr w:type="spellEnd"/>
        <w:r w:rsidR="00A34E1B">
          <w:rPr>
            <w:rStyle w:val="Lienhypertexte"/>
            <w:rFonts w:cstheme="minorHAnsi"/>
            <w:szCs w:val="18"/>
          </w:rPr>
          <w:t>)</w:t>
        </w:r>
      </w:hyperlink>
      <w:r w:rsidRPr="00EA7479">
        <w:rPr>
          <w:rFonts w:cstheme="minorHAnsi"/>
          <w:szCs w:val="18"/>
        </w:rPr>
        <w:t xml:space="preserve">, </w:t>
      </w:r>
      <w:r w:rsidR="00562F45">
        <w:rPr>
          <w:rFonts w:cstheme="minorHAnsi"/>
          <w:szCs w:val="18"/>
        </w:rPr>
        <w:t>par. </w:t>
      </w:r>
      <w:r w:rsidRPr="00EA7479">
        <w:rPr>
          <w:rFonts w:cstheme="minorHAnsi"/>
          <w:szCs w:val="18"/>
        </w:rPr>
        <w:t>36.</w:t>
      </w:r>
    </w:p>
  </w:footnote>
  <w:footnote w:id="96">
    <w:p w14:paraId="20CC0C61" w14:textId="2EFB4D07" w:rsidR="00DC22DE" w:rsidRPr="00EA7479" w:rsidRDefault="00DC22DE" w:rsidP="00DC22DE">
      <w:pPr>
        <w:pStyle w:val="Notedebasdepage"/>
      </w:pPr>
      <w:r w:rsidRPr="00EA7479">
        <w:tab/>
      </w:r>
      <w:r w:rsidRPr="00EA7479">
        <w:rPr>
          <w:rStyle w:val="Appelnotedebasdep"/>
        </w:rPr>
        <w:footnoteRef/>
      </w:r>
      <w:r w:rsidRPr="00EA7479">
        <w:tab/>
      </w:r>
      <w:r>
        <w:t>Principes directeurs concernant la recherche de personnes disparues</w:t>
      </w:r>
      <w:r w:rsidRPr="00EA7479">
        <w:t xml:space="preserve">, principes 6 </w:t>
      </w:r>
      <w:r>
        <w:t xml:space="preserve">et </w:t>
      </w:r>
      <w:r w:rsidRPr="00EA7479">
        <w:t>9</w:t>
      </w:r>
      <w:r w:rsidR="00634635">
        <w:t> ;</w:t>
      </w:r>
      <w:r w:rsidRPr="00EA7479">
        <w:t xml:space="preserve"> </w:t>
      </w:r>
      <w:hyperlink r:id="rId111" w:history="1">
        <w:r w:rsidR="00A34E1B">
          <w:rPr>
            <w:rStyle w:val="Lienhypertexte"/>
          </w:rPr>
          <w:t>A/HRC/36/39/Add.2</w:t>
        </w:r>
      </w:hyperlink>
      <w:r w:rsidRPr="00EA7479">
        <w:t>, par</w:t>
      </w:r>
      <w:r w:rsidR="00A34E1B">
        <w:t>.</w:t>
      </w:r>
      <w:r w:rsidRPr="00EA7479">
        <w:t xml:space="preserve"> 67 et 70</w:t>
      </w:r>
      <w:r w:rsidR="00634635">
        <w:t> ;</w:t>
      </w:r>
      <w:r w:rsidRPr="00EA7479">
        <w:t xml:space="preserve"> Comité des droits de l</w:t>
      </w:r>
      <w:r w:rsidR="003A234B">
        <w:t>’</w:t>
      </w:r>
      <w:r w:rsidRPr="00EA7479">
        <w:t xml:space="preserve">homme, observation Générale </w:t>
      </w:r>
      <w:r w:rsidR="00634635">
        <w:rPr>
          <w:rFonts w:eastAsia="MS Mincho"/>
        </w:rPr>
        <w:t>n</w:t>
      </w:r>
      <w:r w:rsidR="00634635">
        <w:rPr>
          <w:rFonts w:eastAsia="MS Mincho"/>
          <w:vertAlign w:val="superscript"/>
        </w:rPr>
        <w:t>o</w:t>
      </w:r>
      <w:r w:rsidR="00634635">
        <w:t> </w:t>
      </w:r>
      <w:r>
        <w:t xml:space="preserve">36 (2018), </w:t>
      </w:r>
      <w:r w:rsidR="00562F45">
        <w:t>par. </w:t>
      </w:r>
      <w:r>
        <w:t>58</w:t>
      </w:r>
      <w:r w:rsidR="00634635">
        <w:t> ;</w:t>
      </w:r>
      <w:r>
        <w:t xml:space="preserve"> </w:t>
      </w:r>
      <w:hyperlink r:id="rId112" w:history="1">
        <w:r w:rsidR="00971ED8">
          <w:rPr>
            <w:rStyle w:val="Lienhypertexte"/>
          </w:rPr>
          <w:t>CED/C/ITA/CO/1</w:t>
        </w:r>
      </w:hyperlink>
      <w:r w:rsidRPr="00EA7479">
        <w:t xml:space="preserve">, </w:t>
      </w:r>
      <w:r w:rsidR="00562F45">
        <w:t>par. </w:t>
      </w:r>
      <w:r w:rsidRPr="00EA7479">
        <w:t>23.</w:t>
      </w:r>
    </w:p>
  </w:footnote>
  <w:footnote w:id="97">
    <w:p w14:paraId="4F03AA79" w14:textId="28796233" w:rsidR="00DC22DE" w:rsidRPr="00EA7479" w:rsidRDefault="00DC22DE" w:rsidP="00DC22DE">
      <w:pPr>
        <w:pStyle w:val="Notedebasdepage"/>
        <w:rPr>
          <w:rFonts w:cstheme="minorHAnsi"/>
          <w:szCs w:val="18"/>
        </w:rPr>
      </w:pPr>
      <w:r w:rsidRPr="00EA7479">
        <w:rPr>
          <w:rFonts w:cstheme="minorHAnsi"/>
          <w:szCs w:val="18"/>
        </w:rPr>
        <w:tab/>
      </w:r>
      <w:r w:rsidRPr="00EA7479">
        <w:rPr>
          <w:rStyle w:val="Appelnotedebasdep"/>
        </w:rPr>
        <w:footnoteRef/>
      </w:r>
      <w:r w:rsidRPr="00EA7479">
        <w:rPr>
          <w:rFonts w:cstheme="minorHAnsi"/>
          <w:szCs w:val="18"/>
        </w:rPr>
        <w:tab/>
        <w:t>Cour interaméricaine des droits de l</w:t>
      </w:r>
      <w:r w:rsidR="003A234B">
        <w:rPr>
          <w:rFonts w:cstheme="minorHAnsi"/>
          <w:szCs w:val="18"/>
        </w:rPr>
        <w:t>’</w:t>
      </w:r>
      <w:r w:rsidRPr="00EA7479">
        <w:rPr>
          <w:rFonts w:cstheme="minorHAnsi"/>
          <w:szCs w:val="18"/>
        </w:rPr>
        <w:t xml:space="preserve">homme, </w:t>
      </w:r>
      <w:r w:rsidRPr="00EA7479">
        <w:rPr>
          <w:rFonts w:cstheme="minorHAnsi"/>
          <w:i/>
          <w:iCs/>
          <w:szCs w:val="18"/>
        </w:rPr>
        <w:t>Gómez Palomi</w:t>
      </w:r>
      <w:r w:rsidR="00634635" w:rsidRPr="00971ED8">
        <w:rPr>
          <w:rFonts w:eastAsia="MS Mincho"/>
          <w:i/>
          <w:iCs/>
        </w:rPr>
        <w:t>no</w:t>
      </w:r>
      <w:r w:rsidR="00634635">
        <w:t> </w:t>
      </w:r>
      <w:r w:rsidR="00971ED8">
        <w:rPr>
          <w:rFonts w:cstheme="minorHAnsi"/>
          <w:i/>
          <w:iCs/>
          <w:szCs w:val="18"/>
        </w:rPr>
        <w:t>v</w:t>
      </w:r>
      <w:r w:rsidRPr="00EA7479">
        <w:rPr>
          <w:rFonts w:cstheme="minorHAnsi"/>
          <w:i/>
          <w:iCs/>
          <w:szCs w:val="18"/>
        </w:rPr>
        <w:t xml:space="preserve">. </w:t>
      </w:r>
      <w:proofErr w:type="spellStart"/>
      <w:r w:rsidRPr="00EA7479">
        <w:rPr>
          <w:rFonts w:cstheme="minorHAnsi"/>
          <w:i/>
          <w:iCs/>
          <w:szCs w:val="18"/>
        </w:rPr>
        <w:t>Per</w:t>
      </w:r>
      <w:r>
        <w:rPr>
          <w:rFonts w:cstheme="minorHAnsi"/>
          <w:i/>
          <w:iCs/>
          <w:szCs w:val="18"/>
        </w:rPr>
        <w:t>ú</w:t>
      </w:r>
      <w:proofErr w:type="spellEnd"/>
      <w:r>
        <w:rPr>
          <w:rFonts w:cstheme="minorHAnsi"/>
          <w:szCs w:val="18"/>
        </w:rPr>
        <w:t>, arrêt (fond, réparations et dépens)</w:t>
      </w:r>
      <w:r w:rsidRPr="00EA7479">
        <w:rPr>
          <w:rFonts w:cstheme="minorHAnsi"/>
          <w:szCs w:val="18"/>
        </w:rPr>
        <w:t xml:space="preserve">, 22 </w:t>
      </w:r>
      <w:r>
        <w:rPr>
          <w:rFonts w:cstheme="minorHAnsi"/>
          <w:szCs w:val="18"/>
        </w:rPr>
        <w:t>novembre</w:t>
      </w:r>
      <w:r w:rsidRPr="00EA7479">
        <w:rPr>
          <w:rFonts w:cstheme="minorHAnsi"/>
          <w:szCs w:val="18"/>
        </w:rPr>
        <w:t xml:space="preserve"> 2005, </w:t>
      </w:r>
      <w:r w:rsidR="00562F45">
        <w:rPr>
          <w:rFonts w:cstheme="minorHAnsi"/>
          <w:szCs w:val="18"/>
        </w:rPr>
        <w:t>par. </w:t>
      </w:r>
      <w:r w:rsidRPr="00EA7479">
        <w:rPr>
          <w:rFonts w:cstheme="minorHAnsi"/>
          <w:szCs w:val="18"/>
        </w:rPr>
        <w:t>106.</w:t>
      </w:r>
    </w:p>
  </w:footnote>
  <w:footnote w:id="98">
    <w:p w14:paraId="5AAFB780" w14:textId="3A310D93" w:rsidR="00DC22DE" w:rsidRPr="00EA7479" w:rsidRDefault="00DC22DE" w:rsidP="00DC22DE">
      <w:pPr>
        <w:pStyle w:val="Notedebasdepage"/>
        <w:rPr>
          <w:rFonts w:cstheme="minorHAnsi"/>
          <w:szCs w:val="18"/>
        </w:rPr>
      </w:pPr>
      <w:r w:rsidRPr="00EA7479">
        <w:rPr>
          <w:rFonts w:cstheme="minorHAnsi"/>
          <w:szCs w:val="18"/>
        </w:rPr>
        <w:tab/>
      </w:r>
      <w:r w:rsidRPr="00EA7479">
        <w:rPr>
          <w:rStyle w:val="Appelnotedebasdep"/>
        </w:rPr>
        <w:footnoteRef/>
      </w:r>
      <w:r w:rsidRPr="00EA7479">
        <w:rPr>
          <w:rFonts w:cstheme="minorHAnsi"/>
          <w:szCs w:val="18"/>
        </w:rPr>
        <w:tab/>
      </w:r>
      <w:hyperlink r:id="rId113" w:history="1">
        <w:r w:rsidR="00971ED8">
          <w:rPr>
            <w:rStyle w:val="Lienhypertexte"/>
            <w:rFonts w:cstheme="minorHAnsi"/>
            <w:szCs w:val="18"/>
          </w:rPr>
          <w:t>CED/C/MEX/VR/1 (</w:t>
        </w:r>
        <w:proofErr w:type="spellStart"/>
        <w:r w:rsidR="00971ED8">
          <w:rPr>
            <w:rStyle w:val="Lienhypertexte"/>
            <w:rFonts w:cstheme="minorHAnsi"/>
            <w:szCs w:val="18"/>
          </w:rPr>
          <w:t>Recommendations</w:t>
        </w:r>
        <w:proofErr w:type="spellEnd"/>
        <w:r w:rsidR="00971ED8">
          <w:rPr>
            <w:rStyle w:val="Lienhypertexte"/>
            <w:rFonts w:cstheme="minorHAnsi"/>
            <w:szCs w:val="18"/>
          </w:rPr>
          <w:t>)</w:t>
        </w:r>
      </w:hyperlink>
      <w:r w:rsidRPr="00EA7479">
        <w:rPr>
          <w:rFonts w:cstheme="minorHAnsi"/>
          <w:szCs w:val="18"/>
        </w:rPr>
        <w:t xml:space="preserve">, </w:t>
      </w:r>
      <w:r w:rsidR="00562F45">
        <w:rPr>
          <w:rFonts w:cstheme="minorHAnsi"/>
          <w:szCs w:val="18"/>
        </w:rPr>
        <w:t>par. </w:t>
      </w:r>
      <w:r w:rsidRPr="00EA7479">
        <w:rPr>
          <w:rFonts w:cstheme="minorHAnsi"/>
          <w:szCs w:val="18"/>
        </w:rPr>
        <w:t>52.</w:t>
      </w:r>
    </w:p>
  </w:footnote>
  <w:footnote w:id="99">
    <w:p w14:paraId="221F97A6" w14:textId="206123B6" w:rsidR="00DC22DE" w:rsidRPr="00EA7479" w:rsidRDefault="00DC22DE" w:rsidP="00DC22DE">
      <w:pPr>
        <w:pStyle w:val="Notedebasdepage"/>
      </w:pPr>
      <w:r w:rsidRPr="00EA7479">
        <w:tab/>
      </w:r>
      <w:r w:rsidRPr="00EA7479">
        <w:rPr>
          <w:rStyle w:val="Appelnotedebasdep"/>
        </w:rPr>
        <w:footnoteRef/>
      </w:r>
      <w:r w:rsidRPr="00EA7479">
        <w:tab/>
      </w:r>
      <w:r>
        <w:t>Principes directeurs concernant la recherche de personnes disparues</w:t>
      </w:r>
      <w:r w:rsidRPr="00396D7B">
        <w:t xml:space="preserve">, principes </w:t>
      </w:r>
      <w:r>
        <w:t>5 et</w:t>
      </w:r>
      <w:r w:rsidRPr="00396D7B">
        <w:t xml:space="preserve"> 9</w:t>
      </w:r>
      <w:r w:rsidR="00634635">
        <w:t> ;</w:t>
      </w:r>
      <w:r w:rsidRPr="00396D7B">
        <w:t xml:space="preserve"> </w:t>
      </w:r>
      <w:hyperlink r:id="rId114" w:history="1">
        <w:r w:rsidR="00521BC9">
          <w:rPr>
            <w:rStyle w:val="Lienhypertexte"/>
            <w:rFonts w:eastAsiaTheme="minorEastAsia"/>
          </w:rPr>
          <w:t>A/HRC/36/39/Add.2</w:t>
        </w:r>
      </w:hyperlink>
      <w:r w:rsidRPr="00EA7479">
        <w:rPr>
          <w:rFonts w:eastAsiaTheme="minorEastAsia"/>
        </w:rPr>
        <w:t xml:space="preserve">, </w:t>
      </w:r>
      <w:r w:rsidR="00562F45">
        <w:rPr>
          <w:rFonts w:eastAsiaTheme="minorEastAsia"/>
        </w:rPr>
        <w:t>par. </w:t>
      </w:r>
      <w:r w:rsidRPr="00EA7479">
        <w:rPr>
          <w:rFonts w:eastAsiaTheme="minorEastAsia"/>
        </w:rPr>
        <w:t xml:space="preserve">51, 54, 67 </w:t>
      </w:r>
      <w:r>
        <w:rPr>
          <w:rFonts w:eastAsiaTheme="minorEastAsia"/>
        </w:rPr>
        <w:t xml:space="preserve">à </w:t>
      </w:r>
      <w:r w:rsidRPr="00EA7479">
        <w:rPr>
          <w:rFonts w:eastAsiaTheme="minorEastAsia"/>
        </w:rPr>
        <w:t xml:space="preserve">69 </w:t>
      </w:r>
      <w:r>
        <w:rPr>
          <w:rFonts w:eastAsiaTheme="minorEastAsia"/>
        </w:rPr>
        <w:t>et</w:t>
      </w:r>
      <w:r w:rsidRPr="00EA7479">
        <w:rPr>
          <w:rFonts w:eastAsiaTheme="minorEastAsia"/>
        </w:rPr>
        <w:t xml:space="preserve"> 77</w:t>
      </w:r>
      <w:r>
        <w:rPr>
          <w:rFonts w:eastAsiaTheme="minorEastAsia"/>
        </w:rPr>
        <w:t xml:space="preserve"> à </w:t>
      </w:r>
      <w:r w:rsidRPr="00EA7479">
        <w:rPr>
          <w:rFonts w:eastAsiaTheme="minorEastAsia"/>
        </w:rPr>
        <w:t>78</w:t>
      </w:r>
      <w:r w:rsidR="00634635">
        <w:rPr>
          <w:rFonts w:eastAsiaTheme="minorEastAsia"/>
        </w:rPr>
        <w:t> ;</w:t>
      </w:r>
      <w:r w:rsidRPr="00EA7479">
        <w:rPr>
          <w:rFonts w:eastAsiaTheme="minorEastAsia"/>
        </w:rPr>
        <w:t xml:space="preserve"> </w:t>
      </w:r>
      <w:r>
        <w:t>Comité des droits de l</w:t>
      </w:r>
      <w:r w:rsidR="003A234B">
        <w:t>’</w:t>
      </w:r>
      <w:r>
        <w:t>homme,</w:t>
      </w:r>
      <w:r w:rsidRPr="00EA7479">
        <w:t xml:space="preserve"> </w:t>
      </w:r>
      <w:r>
        <w:t xml:space="preserve">observation générale </w:t>
      </w:r>
      <w:r w:rsidR="00634635">
        <w:rPr>
          <w:rFonts w:eastAsia="MS Mincho"/>
        </w:rPr>
        <w:t>n</w:t>
      </w:r>
      <w:r w:rsidR="00634635">
        <w:rPr>
          <w:rFonts w:eastAsia="MS Mincho"/>
          <w:vertAlign w:val="superscript"/>
        </w:rPr>
        <w:t>o</w:t>
      </w:r>
      <w:r w:rsidR="00634635">
        <w:t> </w:t>
      </w:r>
      <w:r w:rsidRPr="00EA7479">
        <w:t xml:space="preserve">36 (2018), </w:t>
      </w:r>
      <w:r w:rsidR="00562F45">
        <w:t>par. </w:t>
      </w:r>
      <w:r w:rsidRPr="00EA7479">
        <w:t>58.</w:t>
      </w:r>
    </w:p>
  </w:footnote>
  <w:footnote w:id="100">
    <w:p w14:paraId="31096F3B" w14:textId="4ED97BCD" w:rsidR="00DC22DE" w:rsidRPr="00EA7479" w:rsidRDefault="00DC22DE" w:rsidP="00DC22DE">
      <w:pPr>
        <w:pStyle w:val="Notedebasdepage"/>
      </w:pPr>
      <w:r w:rsidRPr="00EA7479">
        <w:tab/>
      </w:r>
      <w:r w:rsidRPr="00EA7479">
        <w:rPr>
          <w:rStyle w:val="Appelnotedebasdep"/>
        </w:rPr>
        <w:footnoteRef/>
      </w:r>
      <w:r w:rsidRPr="00EA7479">
        <w:tab/>
        <w:t xml:space="preserve">Par exemple, </w:t>
      </w:r>
      <w:r w:rsidRPr="00EA7479">
        <w:rPr>
          <w:rFonts w:cstheme="minorHAnsi"/>
          <w:szCs w:val="18"/>
        </w:rPr>
        <w:t xml:space="preserve">le </w:t>
      </w:r>
      <w:r>
        <w:t>Protocole du Minnesota relatif aux enquêtes sur les décès résultant potentiellement d</w:t>
      </w:r>
      <w:r w:rsidR="003A234B">
        <w:t>’</w:t>
      </w:r>
      <w:r>
        <w:t>actes illégaux</w:t>
      </w:r>
      <w:r w:rsidRPr="00EA7479">
        <w:rPr>
          <w:rFonts w:cstheme="minorHAnsi"/>
          <w:szCs w:val="18"/>
        </w:rPr>
        <w:t>.</w:t>
      </w:r>
    </w:p>
  </w:footnote>
  <w:footnote w:id="101">
    <w:p w14:paraId="51FCFF8D" w14:textId="290AD9C3" w:rsidR="00DC22DE" w:rsidRDefault="00521BC9" w:rsidP="00DC22DE">
      <w:pPr>
        <w:pStyle w:val="Notedebasdepage"/>
      </w:pPr>
      <w:r>
        <w:tab/>
      </w:r>
      <w:r w:rsidR="00DC22DE" w:rsidRPr="00EA7479">
        <w:rPr>
          <w:rStyle w:val="Appelnotedebasdep"/>
        </w:rPr>
        <w:footnoteRef/>
      </w:r>
      <w:r w:rsidR="00DC22DE">
        <w:t xml:space="preserve"> </w:t>
      </w:r>
      <w:r>
        <w:tab/>
      </w:r>
      <w:hyperlink r:id="rId115" w:history="1">
        <w:r w:rsidR="00C56ABF">
          <w:rPr>
            <w:rStyle w:val="Lienhypertexte"/>
          </w:rPr>
          <w:t>A/HRC/45/13/Add.3</w:t>
        </w:r>
      </w:hyperlink>
      <w:r w:rsidR="00DC22DE">
        <w:t xml:space="preserve">, </w:t>
      </w:r>
      <w:r w:rsidR="00562F45">
        <w:t>par. </w:t>
      </w:r>
      <w:r w:rsidR="00DC22DE">
        <w:t>87 à 89.</w:t>
      </w:r>
    </w:p>
  </w:footnote>
  <w:footnote w:id="102">
    <w:p w14:paraId="71E4AB3F" w14:textId="6A45AE1D" w:rsidR="00DC22DE" w:rsidRPr="001C0389" w:rsidRDefault="00DC22DE" w:rsidP="00DC22DE">
      <w:pPr>
        <w:pStyle w:val="Notedebasdepage"/>
        <w:rPr>
          <w:rFonts w:cstheme="minorHAnsi"/>
          <w:szCs w:val="18"/>
          <w:lang w:val="en-US"/>
        </w:rPr>
      </w:pPr>
      <w:r w:rsidRPr="00EA7479">
        <w:rPr>
          <w:rFonts w:cstheme="minorHAnsi"/>
          <w:szCs w:val="18"/>
        </w:rPr>
        <w:tab/>
      </w:r>
      <w:r w:rsidRPr="00EA7479">
        <w:rPr>
          <w:rStyle w:val="Appelnotedebasdep"/>
        </w:rPr>
        <w:footnoteRef/>
      </w:r>
      <w:r w:rsidRPr="001C0389">
        <w:rPr>
          <w:rFonts w:cstheme="minorHAnsi"/>
          <w:szCs w:val="18"/>
          <w:lang w:val="en-US"/>
        </w:rPr>
        <w:tab/>
      </w:r>
      <w:hyperlink r:id="rId116" w:history="1">
        <w:r w:rsidR="00521BC9">
          <w:rPr>
            <w:rStyle w:val="Lienhypertexte"/>
            <w:rFonts w:cstheme="minorHAnsi"/>
            <w:szCs w:val="18"/>
            <w:lang w:val="en-US"/>
          </w:rPr>
          <w:t>CED/C/GRC/CO/1</w:t>
        </w:r>
      </w:hyperlink>
      <w:r w:rsidRPr="001C0389">
        <w:rPr>
          <w:rFonts w:cstheme="minorHAnsi"/>
          <w:szCs w:val="18"/>
          <w:lang w:val="en-US"/>
        </w:rPr>
        <w:t xml:space="preserve">, </w:t>
      </w:r>
      <w:r w:rsidR="00562F45">
        <w:rPr>
          <w:rFonts w:cstheme="minorHAnsi"/>
          <w:szCs w:val="18"/>
          <w:lang w:val="en-US"/>
        </w:rPr>
        <w:t>par. </w:t>
      </w:r>
      <w:r w:rsidRPr="001C0389">
        <w:rPr>
          <w:rFonts w:cstheme="minorHAnsi"/>
          <w:szCs w:val="18"/>
          <w:lang w:val="en-US"/>
        </w:rPr>
        <w:t>27 c)</w:t>
      </w:r>
      <w:r w:rsidRPr="00C82A45">
        <w:rPr>
          <w:rFonts w:cstheme="minorHAnsi"/>
          <w:szCs w:val="18"/>
          <w:lang w:val="en-US"/>
        </w:rPr>
        <w:t>.</w:t>
      </w:r>
    </w:p>
  </w:footnote>
  <w:footnote w:id="103">
    <w:p w14:paraId="6C8A86B8" w14:textId="77777777" w:rsidR="00DC22DE" w:rsidRPr="00EA7479" w:rsidRDefault="00DC22DE" w:rsidP="00DC22DE">
      <w:pPr>
        <w:pStyle w:val="Notedebasdepage"/>
        <w:rPr>
          <w:rFonts w:cstheme="minorHAnsi"/>
          <w:szCs w:val="18"/>
        </w:rPr>
      </w:pPr>
      <w:r w:rsidRPr="001C0389">
        <w:rPr>
          <w:rFonts w:cstheme="minorHAnsi"/>
          <w:szCs w:val="18"/>
          <w:lang w:val="en-US"/>
        </w:rPr>
        <w:tab/>
      </w:r>
      <w:r w:rsidRPr="00EA7479">
        <w:rPr>
          <w:rStyle w:val="Appelnotedebasdep"/>
        </w:rPr>
        <w:footnoteRef/>
      </w:r>
      <w:r w:rsidRPr="00EA7479">
        <w:rPr>
          <w:rFonts w:cstheme="minorHAnsi"/>
          <w:szCs w:val="18"/>
        </w:rPr>
        <w:tab/>
        <w:t xml:space="preserve">Voir, par exemple, </w:t>
      </w:r>
      <w:r>
        <w:rPr>
          <w:rFonts w:cstheme="minorHAnsi"/>
          <w:szCs w:val="18"/>
        </w:rPr>
        <w:t>CICR</w:t>
      </w:r>
      <w:r w:rsidRPr="00EA7479">
        <w:rPr>
          <w:rFonts w:cstheme="minorHAnsi"/>
          <w:szCs w:val="18"/>
        </w:rPr>
        <w:t xml:space="preserve">, </w:t>
      </w:r>
      <w:r>
        <w:rPr>
          <w:i/>
          <w:iCs/>
        </w:rPr>
        <w:t>Ensemble de données de base à collecter pour la recherche des migrants portés disparus</w:t>
      </w:r>
      <w:r w:rsidRPr="00EA7479">
        <w:rPr>
          <w:rFonts w:cstheme="minorHAnsi"/>
          <w:szCs w:val="18"/>
        </w:rPr>
        <w:t xml:space="preserve">. </w:t>
      </w:r>
    </w:p>
  </w:footnote>
  <w:footnote w:id="104">
    <w:p w14:paraId="195F4458" w14:textId="77E44FFE" w:rsidR="00DC22DE" w:rsidRPr="001C0389" w:rsidRDefault="00DC22DE" w:rsidP="00DC22DE">
      <w:pPr>
        <w:pStyle w:val="Notedebasdepage"/>
        <w:rPr>
          <w:rFonts w:cstheme="minorHAnsi"/>
          <w:szCs w:val="18"/>
          <w:lang w:val="en-US"/>
        </w:rPr>
      </w:pPr>
      <w:r w:rsidRPr="00EA7479">
        <w:rPr>
          <w:rFonts w:cstheme="minorHAnsi"/>
          <w:szCs w:val="18"/>
        </w:rPr>
        <w:tab/>
      </w:r>
      <w:r w:rsidRPr="00EA7479">
        <w:rPr>
          <w:rStyle w:val="Appelnotedebasdep"/>
        </w:rPr>
        <w:footnoteRef/>
      </w:r>
      <w:r w:rsidRPr="001C0389">
        <w:rPr>
          <w:rFonts w:cstheme="minorHAnsi"/>
          <w:szCs w:val="18"/>
          <w:lang w:val="en-US"/>
        </w:rPr>
        <w:tab/>
      </w:r>
      <w:hyperlink r:id="rId117" w:history="1">
        <w:r w:rsidR="00521BC9">
          <w:rPr>
            <w:rStyle w:val="Lienhypertexte"/>
            <w:rFonts w:cstheme="minorHAnsi"/>
            <w:szCs w:val="18"/>
            <w:lang w:val="en-US"/>
          </w:rPr>
          <w:t>CED/C/GRC/CO/1</w:t>
        </w:r>
      </w:hyperlink>
      <w:r w:rsidRPr="001C0389">
        <w:rPr>
          <w:rFonts w:cstheme="minorHAnsi"/>
          <w:szCs w:val="18"/>
          <w:lang w:val="en-US"/>
        </w:rPr>
        <w:t xml:space="preserve">, </w:t>
      </w:r>
      <w:r w:rsidR="00562F45">
        <w:rPr>
          <w:rFonts w:cstheme="minorHAnsi"/>
          <w:szCs w:val="18"/>
          <w:lang w:val="en-US"/>
        </w:rPr>
        <w:t>par. </w:t>
      </w:r>
      <w:r w:rsidRPr="001C0389">
        <w:rPr>
          <w:rFonts w:cstheme="minorHAnsi"/>
          <w:szCs w:val="18"/>
          <w:lang w:val="en-US"/>
        </w:rPr>
        <w:t>27 e)</w:t>
      </w:r>
      <w:r w:rsidR="00634635">
        <w:rPr>
          <w:rFonts w:cstheme="minorHAnsi"/>
          <w:szCs w:val="18"/>
          <w:lang w:val="en-US"/>
        </w:rPr>
        <w:t> ;</w:t>
      </w:r>
      <w:r w:rsidRPr="001C0389">
        <w:rPr>
          <w:rFonts w:cstheme="minorHAnsi"/>
          <w:szCs w:val="18"/>
          <w:lang w:val="en-US"/>
        </w:rPr>
        <w:t xml:space="preserve"> </w:t>
      </w:r>
      <w:hyperlink r:id="rId118" w:history="1">
        <w:r w:rsidR="00521BC9">
          <w:rPr>
            <w:rStyle w:val="Lienhypertexte"/>
            <w:rFonts w:cstheme="minorHAnsi"/>
            <w:szCs w:val="18"/>
            <w:lang w:val="en-US"/>
          </w:rPr>
          <w:t>CED/C/HND/CO/1</w:t>
        </w:r>
      </w:hyperlink>
      <w:r w:rsidRPr="001C0389">
        <w:rPr>
          <w:rFonts w:cstheme="minorHAnsi"/>
          <w:szCs w:val="18"/>
          <w:lang w:val="en-US"/>
        </w:rPr>
        <w:t xml:space="preserve">, </w:t>
      </w:r>
      <w:r w:rsidR="00562F45">
        <w:rPr>
          <w:rFonts w:cstheme="minorHAnsi"/>
          <w:szCs w:val="18"/>
          <w:lang w:val="en-US"/>
        </w:rPr>
        <w:t>par. </w:t>
      </w:r>
      <w:r w:rsidRPr="001C0389">
        <w:rPr>
          <w:rFonts w:cstheme="minorHAnsi"/>
          <w:szCs w:val="18"/>
          <w:lang w:val="en-US"/>
        </w:rPr>
        <w:t>25 c)</w:t>
      </w:r>
      <w:r w:rsidRPr="00C82A45">
        <w:rPr>
          <w:rFonts w:cstheme="minorHAnsi"/>
          <w:szCs w:val="18"/>
          <w:lang w:val="en-US"/>
        </w:rPr>
        <w:t>.</w:t>
      </w:r>
    </w:p>
  </w:footnote>
  <w:footnote w:id="105">
    <w:p w14:paraId="76CDB56A" w14:textId="2F8287BA" w:rsidR="00DC22DE" w:rsidRPr="00EA7479" w:rsidRDefault="00DC22DE" w:rsidP="00DC22DE">
      <w:pPr>
        <w:pStyle w:val="Notedebasdepage"/>
        <w:rPr>
          <w:lang w:val="fr-FR"/>
        </w:rPr>
      </w:pPr>
      <w:r w:rsidRPr="001C0389">
        <w:rPr>
          <w:rFonts w:cstheme="minorHAnsi"/>
          <w:szCs w:val="18"/>
          <w:lang w:val="en-US"/>
        </w:rPr>
        <w:tab/>
      </w:r>
      <w:r w:rsidRPr="00EA7479">
        <w:rPr>
          <w:rStyle w:val="Appelnotedebasdep"/>
        </w:rPr>
        <w:footnoteRef/>
      </w:r>
      <w:r w:rsidRPr="00EA7479">
        <w:rPr>
          <w:rFonts w:cstheme="minorHAnsi"/>
          <w:szCs w:val="18"/>
          <w:lang w:val="fr-FR"/>
        </w:rPr>
        <w:tab/>
        <w:t xml:space="preserve">Voir Border Violence Monitoring Network, </w:t>
      </w:r>
      <w:r w:rsidRPr="00EA7479">
        <w:rPr>
          <w:rFonts w:cstheme="minorHAnsi"/>
          <w:i/>
          <w:iCs/>
          <w:szCs w:val="18"/>
          <w:lang w:val="fr-FR"/>
        </w:rPr>
        <w:t xml:space="preserve">EU </w:t>
      </w:r>
      <w:proofErr w:type="spellStart"/>
      <w:r w:rsidRPr="00EA7479">
        <w:rPr>
          <w:rFonts w:cstheme="minorHAnsi"/>
          <w:i/>
          <w:iCs/>
          <w:szCs w:val="18"/>
          <w:lang w:val="fr-FR"/>
        </w:rPr>
        <w:t>Member</w:t>
      </w:r>
      <w:proofErr w:type="spellEnd"/>
      <w:r w:rsidRPr="00EA7479">
        <w:rPr>
          <w:rFonts w:cstheme="minorHAnsi"/>
          <w:i/>
          <w:iCs/>
          <w:szCs w:val="18"/>
          <w:lang w:val="fr-FR"/>
        </w:rPr>
        <w:t xml:space="preserve"> States</w:t>
      </w:r>
      <w:r w:rsidR="003A234B">
        <w:rPr>
          <w:rFonts w:cstheme="minorHAnsi"/>
          <w:i/>
          <w:iCs/>
          <w:szCs w:val="18"/>
          <w:lang w:val="fr-FR"/>
        </w:rPr>
        <w:t>’</w:t>
      </w:r>
      <w:r w:rsidRPr="00EA7479">
        <w:rPr>
          <w:rFonts w:cstheme="minorHAnsi"/>
          <w:i/>
          <w:iCs/>
          <w:szCs w:val="18"/>
          <w:lang w:val="fr-FR"/>
        </w:rPr>
        <w:t xml:space="preserve"> use of new technologies</w:t>
      </w:r>
      <w:r w:rsidRPr="00EA7479">
        <w:rPr>
          <w:lang w:val="fr-FR"/>
        </w:rPr>
        <w:t xml:space="preserve">, </w:t>
      </w:r>
      <w:r w:rsidR="00562F45">
        <w:rPr>
          <w:lang w:val="fr-FR"/>
        </w:rPr>
        <w:t>par. </w:t>
      </w:r>
      <w:r w:rsidRPr="00EA7479">
        <w:rPr>
          <w:lang w:val="fr-FR"/>
        </w:rPr>
        <w:t>16 à 28.</w:t>
      </w:r>
    </w:p>
  </w:footnote>
  <w:footnote w:id="106">
    <w:p w14:paraId="4CB58E5B" w14:textId="0CD4E09D" w:rsidR="00DC22DE" w:rsidRPr="00EA7479" w:rsidRDefault="00DC22DE" w:rsidP="00DC22DE">
      <w:pPr>
        <w:pStyle w:val="Notedebasdepage"/>
        <w:rPr>
          <w:rFonts w:cstheme="minorHAnsi"/>
          <w:szCs w:val="18"/>
        </w:rPr>
      </w:pPr>
      <w:r w:rsidRPr="00EA7479">
        <w:rPr>
          <w:rFonts w:cstheme="minorHAnsi"/>
          <w:szCs w:val="18"/>
          <w:lang w:val="fr-FR"/>
        </w:rPr>
        <w:tab/>
      </w:r>
      <w:r w:rsidRPr="00EA7479">
        <w:rPr>
          <w:rStyle w:val="Appelnotedebasdep"/>
        </w:rPr>
        <w:footnoteRef/>
      </w:r>
      <w:r w:rsidRPr="00EA7479">
        <w:rPr>
          <w:rFonts w:cstheme="minorHAnsi"/>
          <w:szCs w:val="18"/>
        </w:rPr>
        <w:tab/>
      </w:r>
      <w:hyperlink r:id="rId119" w:history="1">
        <w:r w:rsidR="00F9056C">
          <w:rPr>
            <w:rStyle w:val="Lienhypertexte"/>
            <w:rFonts w:eastAsiaTheme="minorEastAsia" w:cstheme="minorHAnsi"/>
            <w:szCs w:val="18"/>
          </w:rPr>
          <w:t>A/HRC/36/39/Add.2</w:t>
        </w:r>
      </w:hyperlink>
      <w:r w:rsidRPr="00EA7479">
        <w:rPr>
          <w:rFonts w:eastAsiaTheme="minorEastAsia" w:cstheme="minorHAnsi"/>
          <w:szCs w:val="18"/>
        </w:rPr>
        <w:t xml:space="preserve">, </w:t>
      </w:r>
      <w:r w:rsidR="00562F45">
        <w:rPr>
          <w:rFonts w:eastAsiaTheme="minorEastAsia" w:cstheme="minorHAnsi"/>
          <w:szCs w:val="18"/>
        </w:rPr>
        <w:t>par. </w:t>
      </w:r>
      <w:r w:rsidRPr="00EA7479">
        <w:rPr>
          <w:rFonts w:eastAsiaTheme="minorEastAsia" w:cstheme="minorHAnsi"/>
          <w:szCs w:val="18"/>
        </w:rPr>
        <w:t>69</w:t>
      </w:r>
      <w:r w:rsidR="00634635">
        <w:rPr>
          <w:rFonts w:eastAsiaTheme="minorEastAsia" w:cstheme="minorHAnsi"/>
          <w:szCs w:val="18"/>
        </w:rPr>
        <w:t> ;</w:t>
      </w:r>
      <w:r w:rsidRPr="00EA7479">
        <w:rPr>
          <w:rFonts w:eastAsiaTheme="minorEastAsia" w:cstheme="minorHAnsi"/>
          <w:szCs w:val="18"/>
        </w:rPr>
        <w:t xml:space="preserve"> Melanie </w:t>
      </w:r>
      <w:proofErr w:type="spellStart"/>
      <w:r w:rsidRPr="00EA7479">
        <w:rPr>
          <w:rFonts w:eastAsiaTheme="minorEastAsia" w:cstheme="minorHAnsi"/>
          <w:szCs w:val="18"/>
        </w:rPr>
        <w:t>Klinkner</w:t>
      </w:r>
      <w:proofErr w:type="spellEnd"/>
      <w:r w:rsidRPr="00EA7479">
        <w:rPr>
          <w:rFonts w:eastAsiaTheme="minorEastAsia" w:cstheme="minorHAnsi"/>
          <w:szCs w:val="18"/>
        </w:rPr>
        <w:t xml:space="preserve"> </w:t>
      </w:r>
      <w:r>
        <w:rPr>
          <w:rFonts w:eastAsiaTheme="minorEastAsia" w:cstheme="minorHAnsi"/>
          <w:szCs w:val="18"/>
        </w:rPr>
        <w:t>et</w:t>
      </w:r>
      <w:r w:rsidRPr="00EA7479">
        <w:rPr>
          <w:rFonts w:eastAsiaTheme="minorEastAsia" w:cstheme="minorHAnsi"/>
          <w:szCs w:val="18"/>
        </w:rPr>
        <w:t xml:space="preserve"> Ellie Smith, </w:t>
      </w:r>
      <w:r w:rsidRPr="00EA7479">
        <w:rPr>
          <w:rFonts w:eastAsiaTheme="minorEastAsia" w:cstheme="minorHAnsi"/>
          <w:i/>
          <w:iCs/>
          <w:szCs w:val="18"/>
        </w:rPr>
        <w:t>Le Protocole de Bournemouth sur la protection et l</w:t>
      </w:r>
      <w:r w:rsidR="003A234B">
        <w:rPr>
          <w:rFonts w:eastAsiaTheme="minorEastAsia" w:cstheme="minorHAnsi"/>
          <w:i/>
          <w:iCs/>
          <w:szCs w:val="18"/>
        </w:rPr>
        <w:t>’</w:t>
      </w:r>
      <w:r w:rsidRPr="00EA7479">
        <w:rPr>
          <w:rFonts w:eastAsiaTheme="minorEastAsia" w:cstheme="minorHAnsi"/>
          <w:i/>
          <w:iCs/>
          <w:szCs w:val="18"/>
        </w:rPr>
        <w:t>investigation des charnier</w:t>
      </w:r>
      <w:r w:rsidR="00F9056C">
        <w:rPr>
          <w:rFonts w:eastAsiaTheme="minorEastAsia" w:cstheme="minorHAnsi"/>
          <w:i/>
          <w:iCs/>
          <w:szCs w:val="18"/>
        </w:rPr>
        <w:t>s</w:t>
      </w:r>
      <w:r w:rsidRPr="00EA7479">
        <w:rPr>
          <w:rFonts w:eastAsiaTheme="minorEastAsia" w:cstheme="minorHAnsi"/>
          <w:szCs w:val="18"/>
        </w:rPr>
        <w:t xml:space="preserve"> (Bournemouth, Université de Bournemouth, 2020)</w:t>
      </w:r>
      <w:r w:rsidR="00634635">
        <w:rPr>
          <w:rFonts w:eastAsiaTheme="minorEastAsia" w:cstheme="minorHAnsi"/>
          <w:szCs w:val="18"/>
        </w:rPr>
        <w:t> ;</w:t>
      </w:r>
      <w:r w:rsidRPr="00EA7479">
        <w:rPr>
          <w:rFonts w:eastAsiaTheme="minorEastAsia" w:cstheme="minorHAnsi"/>
          <w:szCs w:val="18"/>
        </w:rPr>
        <w:t xml:space="preserve"> </w:t>
      </w:r>
      <w:r>
        <w:t>Commission internationale pour les personnes disparues</w:t>
      </w:r>
      <w:r w:rsidRPr="00EA7479">
        <w:rPr>
          <w:rFonts w:eastAsiaTheme="minorEastAsia" w:cstheme="minorHAnsi"/>
          <w:szCs w:val="18"/>
        </w:rPr>
        <w:t xml:space="preserve">, </w:t>
      </w:r>
      <w:proofErr w:type="spellStart"/>
      <w:r w:rsidRPr="00EA7479">
        <w:rPr>
          <w:rFonts w:eastAsiaTheme="minorEastAsia" w:cstheme="minorHAnsi"/>
          <w:i/>
          <w:iCs/>
          <w:szCs w:val="18"/>
        </w:rPr>
        <w:t>Investigatory</w:t>
      </w:r>
      <w:proofErr w:type="spellEnd"/>
      <w:r w:rsidRPr="00EA7479">
        <w:rPr>
          <w:rFonts w:eastAsiaTheme="minorEastAsia" w:cstheme="minorHAnsi"/>
          <w:i/>
          <w:iCs/>
          <w:szCs w:val="18"/>
        </w:rPr>
        <w:t xml:space="preserve"> standards</w:t>
      </w:r>
      <w:r w:rsidRPr="00EA7479">
        <w:t xml:space="preserve">. </w:t>
      </w:r>
    </w:p>
  </w:footnote>
  <w:footnote w:id="107">
    <w:p w14:paraId="6C2313CB" w14:textId="1DB5FAA9" w:rsidR="00DC22DE" w:rsidRPr="00EA7479" w:rsidRDefault="00DC22DE" w:rsidP="00DC22DE">
      <w:pPr>
        <w:pStyle w:val="Notedebasdepage"/>
        <w:rPr>
          <w:rFonts w:cstheme="minorHAnsi"/>
          <w:szCs w:val="18"/>
          <w:lang w:val="fr-FR"/>
        </w:rPr>
      </w:pPr>
      <w:r w:rsidRPr="00EA7479">
        <w:rPr>
          <w:rFonts w:cstheme="minorHAnsi"/>
          <w:szCs w:val="18"/>
        </w:rPr>
        <w:tab/>
      </w:r>
      <w:r w:rsidRPr="00EA7479">
        <w:rPr>
          <w:rStyle w:val="Appelnotedebasdep"/>
        </w:rPr>
        <w:footnoteRef/>
      </w:r>
      <w:r w:rsidRPr="001C0389">
        <w:rPr>
          <w:rFonts w:cstheme="minorHAnsi"/>
          <w:szCs w:val="18"/>
          <w:lang w:val="en-US"/>
        </w:rPr>
        <w:tab/>
      </w:r>
      <w:hyperlink r:id="rId120" w:history="1">
        <w:r w:rsidR="00F9056C">
          <w:rPr>
            <w:rStyle w:val="Lienhypertexte"/>
            <w:rFonts w:cstheme="minorHAnsi"/>
            <w:szCs w:val="18"/>
            <w:lang w:val="en-US"/>
          </w:rPr>
          <w:t>CED/C/GRC/CO/1</w:t>
        </w:r>
      </w:hyperlink>
      <w:r w:rsidRPr="001C0389">
        <w:rPr>
          <w:rFonts w:cstheme="minorHAnsi"/>
          <w:szCs w:val="18"/>
          <w:lang w:val="en-US"/>
        </w:rPr>
        <w:t xml:space="preserve">, </w:t>
      </w:r>
      <w:r w:rsidR="00562F45">
        <w:rPr>
          <w:rFonts w:cstheme="minorHAnsi"/>
          <w:szCs w:val="18"/>
          <w:lang w:val="en-US"/>
        </w:rPr>
        <w:t>par. </w:t>
      </w:r>
      <w:r w:rsidRPr="001C0389">
        <w:rPr>
          <w:rFonts w:cstheme="minorHAnsi"/>
          <w:szCs w:val="18"/>
          <w:lang w:val="en-US"/>
        </w:rPr>
        <w:t>27 d)</w:t>
      </w:r>
      <w:r w:rsidRPr="00C82A45">
        <w:rPr>
          <w:rFonts w:cstheme="minorHAnsi"/>
          <w:szCs w:val="18"/>
          <w:lang w:val="en-US"/>
        </w:rPr>
        <w:t>.</w:t>
      </w:r>
      <w:r w:rsidRPr="001C0389">
        <w:rPr>
          <w:rFonts w:cstheme="minorHAnsi"/>
          <w:szCs w:val="18"/>
          <w:lang w:val="en-US"/>
        </w:rPr>
        <w:t xml:space="preserve"> </w:t>
      </w:r>
      <w:r w:rsidRPr="00EA7479">
        <w:rPr>
          <w:rFonts w:eastAsiaTheme="minorEastAsia" w:cstheme="minorHAnsi"/>
          <w:szCs w:val="18"/>
          <w:lang w:val="fr-FR"/>
        </w:rPr>
        <w:t xml:space="preserve">Voir aussi </w:t>
      </w:r>
      <w:r w:rsidRPr="00EA7479">
        <w:rPr>
          <w:lang w:val="fr-FR"/>
        </w:rPr>
        <w:t>Commission internationale pour les personnes disparues</w:t>
      </w:r>
      <w:r w:rsidRPr="00EA7479">
        <w:rPr>
          <w:rFonts w:eastAsiaTheme="minorEastAsia" w:cstheme="minorHAnsi"/>
          <w:szCs w:val="18"/>
          <w:lang w:val="fr-FR"/>
        </w:rPr>
        <w:t>,</w:t>
      </w:r>
      <w:r w:rsidRPr="00EA7479">
        <w:rPr>
          <w:rFonts w:cstheme="minorHAnsi"/>
          <w:szCs w:val="18"/>
          <w:lang w:val="fr-FR"/>
        </w:rPr>
        <w:t xml:space="preserve"> </w:t>
      </w:r>
      <w:r w:rsidRPr="00EA7479">
        <w:rPr>
          <w:rFonts w:cstheme="minorHAnsi"/>
          <w:i/>
          <w:iCs/>
          <w:szCs w:val="18"/>
          <w:lang w:val="fr-FR"/>
        </w:rPr>
        <w:t xml:space="preserve">The </w:t>
      </w:r>
      <w:proofErr w:type="spellStart"/>
      <w:r w:rsidRPr="00EA7479">
        <w:rPr>
          <w:rFonts w:cstheme="minorHAnsi"/>
          <w:i/>
          <w:iCs/>
          <w:szCs w:val="18"/>
          <w:lang w:val="fr-FR"/>
        </w:rPr>
        <w:t>Missing</w:t>
      </w:r>
      <w:proofErr w:type="spellEnd"/>
      <w:r w:rsidRPr="00EA7479">
        <w:rPr>
          <w:rFonts w:cstheme="minorHAnsi"/>
          <w:i/>
          <w:iCs/>
          <w:szCs w:val="18"/>
          <w:lang w:val="fr-FR"/>
        </w:rPr>
        <w:t>: An Agenda for the Future – Conference Report</w:t>
      </w:r>
      <w:r w:rsidRPr="00EA7479">
        <w:rPr>
          <w:rFonts w:cstheme="minorHAnsi"/>
          <w:szCs w:val="18"/>
          <w:lang w:val="fr-FR"/>
        </w:rPr>
        <w:t xml:space="preserve"> (La Haye, 2014). </w:t>
      </w:r>
    </w:p>
  </w:footnote>
  <w:footnote w:id="108">
    <w:p w14:paraId="18BB51AD" w14:textId="304A43EA" w:rsidR="00DC22DE" w:rsidRPr="00EA7479" w:rsidRDefault="00DC22DE" w:rsidP="00DC22DE">
      <w:pPr>
        <w:pStyle w:val="Notedebasdepage"/>
        <w:rPr>
          <w:rFonts w:cstheme="minorHAnsi"/>
          <w:szCs w:val="18"/>
        </w:rPr>
      </w:pPr>
      <w:r w:rsidRPr="00EA7479">
        <w:rPr>
          <w:rFonts w:cstheme="minorHAnsi"/>
          <w:szCs w:val="18"/>
          <w:lang w:val="fr-FR"/>
        </w:rPr>
        <w:tab/>
      </w:r>
      <w:r w:rsidRPr="00EA7479">
        <w:rPr>
          <w:rStyle w:val="Appelnotedebasdep"/>
        </w:rPr>
        <w:footnoteRef/>
      </w:r>
      <w:r w:rsidRPr="00EA7479">
        <w:rPr>
          <w:rFonts w:cstheme="minorHAnsi"/>
          <w:szCs w:val="18"/>
        </w:rPr>
        <w:tab/>
        <w:t xml:space="preserve">Voir aussi la </w:t>
      </w:r>
      <w:r>
        <w:rPr>
          <w:rStyle w:val="termfield"/>
          <w:lang w:val="fr-FR"/>
        </w:rPr>
        <w:t>Déclaration sur la protection de toutes les personnes contre les disparitions forcées</w:t>
      </w:r>
      <w:r>
        <w:rPr>
          <w:rFonts w:cstheme="minorHAnsi"/>
          <w:szCs w:val="18"/>
        </w:rPr>
        <w:t xml:space="preserve">, </w:t>
      </w:r>
      <w:r w:rsidRPr="00EA7479">
        <w:rPr>
          <w:rFonts w:cstheme="minorHAnsi"/>
          <w:szCs w:val="18"/>
        </w:rPr>
        <w:t>art.</w:t>
      </w:r>
      <w:r w:rsidR="00A8410A">
        <w:rPr>
          <w:rFonts w:cstheme="minorHAnsi"/>
          <w:szCs w:val="18"/>
        </w:rPr>
        <w:t> </w:t>
      </w:r>
      <w:r w:rsidRPr="00EA7479">
        <w:rPr>
          <w:rFonts w:cstheme="minorHAnsi"/>
          <w:szCs w:val="18"/>
        </w:rPr>
        <w:t>19</w:t>
      </w:r>
      <w:r w:rsidR="00634635">
        <w:rPr>
          <w:rFonts w:cstheme="minorHAnsi"/>
          <w:szCs w:val="18"/>
        </w:rPr>
        <w:t> ;</w:t>
      </w:r>
      <w:r w:rsidRPr="00EA7479">
        <w:rPr>
          <w:rFonts w:cstheme="minorHAnsi"/>
          <w:szCs w:val="18"/>
        </w:rPr>
        <w:t xml:space="preserve"> </w:t>
      </w:r>
      <w:hyperlink r:id="rId121" w:history="1">
        <w:r w:rsidR="00A8410A">
          <w:rPr>
            <w:rStyle w:val="Lienhypertexte"/>
            <w:rFonts w:cstheme="minorHAnsi"/>
            <w:szCs w:val="18"/>
          </w:rPr>
          <w:t>E/CN.4/1998/43</w:t>
        </w:r>
      </w:hyperlink>
      <w:r w:rsidRPr="00EA7479">
        <w:rPr>
          <w:rFonts w:cstheme="minorHAnsi"/>
          <w:szCs w:val="18"/>
        </w:rPr>
        <w:t xml:space="preserve">, </w:t>
      </w:r>
      <w:r w:rsidR="00562F45">
        <w:rPr>
          <w:rFonts w:cstheme="minorHAnsi"/>
          <w:szCs w:val="18"/>
        </w:rPr>
        <w:t>par. </w:t>
      </w:r>
      <w:r w:rsidRPr="00EA7479">
        <w:rPr>
          <w:rFonts w:cstheme="minorHAnsi"/>
          <w:szCs w:val="18"/>
        </w:rPr>
        <w:t xml:space="preserve">68 </w:t>
      </w:r>
      <w:r>
        <w:rPr>
          <w:rFonts w:cstheme="minorHAnsi"/>
          <w:szCs w:val="18"/>
        </w:rPr>
        <w:t xml:space="preserve">à </w:t>
      </w:r>
      <w:r w:rsidRPr="00EA7479">
        <w:rPr>
          <w:rFonts w:cstheme="minorHAnsi"/>
          <w:szCs w:val="18"/>
        </w:rPr>
        <w:t>75</w:t>
      </w:r>
      <w:r w:rsidR="00634635">
        <w:rPr>
          <w:rFonts w:cstheme="minorHAnsi"/>
          <w:szCs w:val="18"/>
        </w:rPr>
        <w:t> ;</w:t>
      </w:r>
      <w:r w:rsidRPr="00EA7479">
        <w:rPr>
          <w:rFonts w:cstheme="minorHAnsi"/>
          <w:szCs w:val="18"/>
        </w:rPr>
        <w:t xml:space="preserve"> </w:t>
      </w:r>
      <w:hyperlink r:id="rId122" w:history="1">
        <w:r w:rsidR="00A8410A">
          <w:rPr>
            <w:rStyle w:val="Lienhypertexte"/>
            <w:rFonts w:cstheme="minorHAnsi"/>
            <w:szCs w:val="18"/>
          </w:rPr>
          <w:t>CED/C/JPN/CO/1</w:t>
        </w:r>
      </w:hyperlink>
      <w:r w:rsidRPr="00EA7479">
        <w:rPr>
          <w:rFonts w:cstheme="minorHAnsi"/>
          <w:szCs w:val="18"/>
        </w:rPr>
        <w:t xml:space="preserve">, </w:t>
      </w:r>
      <w:r w:rsidR="00562F45">
        <w:rPr>
          <w:rFonts w:cstheme="minorHAnsi"/>
          <w:szCs w:val="18"/>
        </w:rPr>
        <w:t>par. </w:t>
      </w:r>
      <w:r w:rsidRPr="00EA7479">
        <w:rPr>
          <w:rFonts w:cstheme="minorHAnsi"/>
          <w:szCs w:val="18"/>
        </w:rPr>
        <w:t>25</w:t>
      </w:r>
      <w:r>
        <w:rPr>
          <w:rFonts w:cstheme="minorHAnsi"/>
          <w:szCs w:val="18"/>
        </w:rPr>
        <w:t xml:space="preserve">, </w:t>
      </w:r>
      <w:r w:rsidRPr="00EA7479">
        <w:rPr>
          <w:rFonts w:cstheme="minorHAnsi"/>
          <w:szCs w:val="18"/>
        </w:rPr>
        <w:t xml:space="preserve">26 </w:t>
      </w:r>
      <w:r>
        <w:rPr>
          <w:rFonts w:cstheme="minorHAnsi"/>
          <w:szCs w:val="18"/>
        </w:rPr>
        <w:t>et</w:t>
      </w:r>
      <w:r w:rsidRPr="00EA7479">
        <w:rPr>
          <w:rFonts w:cstheme="minorHAnsi"/>
          <w:szCs w:val="18"/>
        </w:rPr>
        <w:t xml:space="preserve"> 40</w:t>
      </w:r>
      <w:r w:rsidR="00634635">
        <w:rPr>
          <w:rFonts w:cstheme="minorHAnsi"/>
          <w:szCs w:val="18"/>
        </w:rPr>
        <w:t> ;</w:t>
      </w:r>
      <w:r w:rsidRPr="00EA7479">
        <w:rPr>
          <w:rFonts w:cstheme="minorHAnsi"/>
          <w:szCs w:val="18"/>
        </w:rPr>
        <w:t xml:space="preserve"> </w:t>
      </w:r>
      <w:hyperlink r:id="rId123" w:history="1">
        <w:r w:rsidR="00A8410A">
          <w:rPr>
            <w:rStyle w:val="Lienhypertexte"/>
            <w:rFonts w:cstheme="minorHAnsi"/>
            <w:szCs w:val="18"/>
          </w:rPr>
          <w:t>CCPR/C/MEX/CO/5</w:t>
        </w:r>
      </w:hyperlink>
      <w:r w:rsidRPr="00EA7479">
        <w:rPr>
          <w:rFonts w:cstheme="minorHAnsi"/>
          <w:szCs w:val="18"/>
        </w:rPr>
        <w:t xml:space="preserve">, </w:t>
      </w:r>
      <w:r w:rsidR="00562F45">
        <w:rPr>
          <w:rFonts w:cstheme="minorHAnsi"/>
          <w:szCs w:val="18"/>
        </w:rPr>
        <w:t>par. </w:t>
      </w:r>
      <w:r w:rsidRPr="00EA7479">
        <w:rPr>
          <w:rFonts w:cstheme="minorHAnsi"/>
          <w:szCs w:val="18"/>
        </w:rPr>
        <w:t>12</w:t>
      </w:r>
      <w:r w:rsidR="00634635">
        <w:rPr>
          <w:rFonts w:cstheme="minorHAnsi"/>
          <w:szCs w:val="18"/>
        </w:rPr>
        <w:t> ;</w:t>
      </w:r>
      <w:r w:rsidRPr="00EA7479">
        <w:rPr>
          <w:rFonts w:cstheme="minorHAnsi"/>
          <w:szCs w:val="18"/>
        </w:rPr>
        <w:t xml:space="preserve"> </w:t>
      </w:r>
      <w:hyperlink r:id="rId124" w:history="1">
        <w:r w:rsidR="00A8410A">
          <w:rPr>
            <w:rStyle w:val="Lienhypertexte"/>
            <w:rFonts w:cstheme="minorHAnsi"/>
            <w:szCs w:val="18"/>
          </w:rPr>
          <w:t>CCPR/C/MEX/CO/6</w:t>
        </w:r>
      </w:hyperlink>
      <w:r w:rsidRPr="00EA7479">
        <w:rPr>
          <w:rFonts w:cstheme="minorHAnsi"/>
          <w:szCs w:val="18"/>
        </w:rPr>
        <w:t xml:space="preserve">, </w:t>
      </w:r>
      <w:r w:rsidR="00562F45">
        <w:rPr>
          <w:rFonts w:cstheme="minorHAnsi"/>
          <w:szCs w:val="18"/>
        </w:rPr>
        <w:t>par. </w:t>
      </w:r>
      <w:r w:rsidRPr="00EA7479">
        <w:rPr>
          <w:rFonts w:cstheme="minorHAnsi"/>
          <w:szCs w:val="18"/>
        </w:rPr>
        <w:t>29 et 33.</w:t>
      </w:r>
    </w:p>
  </w:footnote>
  <w:footnote w:id="109">
    <w:p w14:paraId="6539284C" w14:textId="50D10533" w:rsidR="00DC22DE" w:rsidRPr="00EA7479" w:rsidRDefault="00DC22DE" w:rsidP="00DC22DE">
      <w:pPr>
        <w:pStyle w:val="Notedebasdepage"/>
        <w:rPr>
          <w:rFonts w:cstheme="minorHAnsi"/>
          <w:szCs w:val="18"/>
        </w:rPr>
      </w:pPr>
      <w:r w:rsidRPr="00EA7479">
        <w:rPr>
          <w:rFonts w:cstheme="minorHAnsi"/>
          <w:szCs w:val="18"/>
        </w:rPr>
        <w:tab/>
      </w:r>
      <w:r w:rsidRPr="00EA7479">
        <w:rPr>
          <w:rStyle w:val="Appelnotedebasdep"/>
        </w:rPr>
        <w:footnoteRef/>
      </w:r>
      <w:r w:rsidRPr="00EA7479">
        <w:rPr>
          <w:rFonts w:cstheme="minorHAnsi"/>
          <w:szCs w:val="18"/>
        </w:rPr>
        <w:tab/>
      </w:r>
      <w:hyperlink r:id="rId125" w:history="1">
        <w:r w:rsidR="00A8410A">
          <w:rPr>
            <w:rStyle w:val="Lienhypertexte"/>
            <w:rFonts w:cstheme="minorHAnsi"/>
            <w:szCs w:val="18"/>
          </w:rPr>
          <w:t>CED/C/MEX/VR/1 (</w:t>
        </w:r>
        <w:proofErr w:type="spellStart"/>
        <w:r w:rsidR="00A8410A">
          <w:rPr>
            <w:rStyle w:val="Lienhypertexte"/>
            <w:rFonts w:cstheme="minorHAnsi"/>
            <w:szCs w:val="18"/>
          </w:rPr>
          <w:t>Recommendations</w:t>
        </w:r>
        <w:proofErr w:type="spellEnd"/>
        <w:r w:rsidR="00A8410A">
          <w:rPr>
            <w:rStyle w:val="Lienhypertexte"/>
            <w:rFonts w:cstheme="minorHAnsi"/>
            <w:szCs w:val="18"/>
          </w:rPr>
          <w:t>)</w:t>
        </w:r>
      </w:hyperlink>
      <w:r w:rsidRPr="00EA7479">
        <w:rPr>
          <w:rFonts w:cstheme="minorHAnsi"/>
          <w:szCs w:val="18"/>
        </w:rPr>
        <w:t xml:space="preserve">, </w:t>
      </w:r>
      <w:r w:rsidR="00562F45">
        <w:rPr>
          <w:rFonts w:cstheme="minorHAnsi"/>
          <w:szCs w:val="18"/>
        </w:rPr>
        <w:t>par. </w:t>
      </w:r>
      <w:r w:rsidRPr="00EA7479">
        <w:rPr>
          <w:rFonts w:cstheme="minorHAnsi"/>
          <w:szCs w:val="18"/>
        </w:rPr>
        <w:t>47.</w:t>
      </w:r>
    </w:p>
  </w:footnote>
  <w:footnote w:id="110">
    <w:p w14:paraId="5CCBCC44" w14:textId="2FDF3FB8" w:rsidR="00DC22DE" w:rsidRPr="00EA7479" w:rsidRDefault="00DC22DE" w:rsidP="00DC22DE">
      <w:pPr>
        <w:pStyle w:val="Notedebasdepage"/>
        <w:rPr>
          <w:rFonts w:cstheme="minorHAnsi"/>
          <w:szCs w:val="18"/>
        </w:rPr>
      </w:pPr>
      <w:r w:rsidRPr="00EA7479">
        <w:rPr>
          <w:rFonts w:cstheme="minorHAnsi"/>
          <w:szCs w:val="18"/>
        </w:rPr>
        <w:tab/>
      </w:r>
      <w:r w:rsidRPr="00EA7479">
        <w:rPr>
          <w:rStyle w:val="Appelnotedebasdep"/>
        </w:rPr>
        <w:footnoteRef/>
      </w:r>
      <w:r w:rsidRPr="00EA7479">
        <w:rPr>
          <w:rFonts w:cstheme="minorHAnsi"/>
          <w:szCs w:val="18"/>
          <w:lang w:val="en-CA"/>
        </w:rPr>
        <w:tab/>
      </w:r>
      <w:hyperlink r:id="rId126" w:history="1">
        <w:r w:rsidR="00A8410A">
          <w:rPr>
            <w:rStyle w:val="Lienhypertexte"/>
            <w:rFonts w:cstheme="minorHAnsi"/>
            <w:szCs w:val="18"/>
            <w:lang w:val="en-CA"/>
          </w:rPr>
          <w:t>CED/C/HND/CO/1</w:t>
        </w:r>
      </w:hyperlink>
      <w:r w:rsidRPr="00EA7479">
        <w:rPr>
          <w:rFonts w:cstheme="minorHAnsi"/>
          <w:szCs w:val="18"/>
          <w:lang w:val="en-CA"/>
        </w:rPr>
        <w:t xml:space="preserve">, </w:t>
      </w:r>
      <w:r w:rsidR="00562F45">
        <w:rPr>
          <w:rFonts w:cstheme="minorHAnsi"/>
          <w:szCs w:val="18"/>
          <w:lang w:val="en-CA"/>
        </w:rPr>
        <w:t>par. </w:t>
      </w:r>
      <w:r w:rsidRPr="00EA7479">
        <w:rPr>
          <w:rFonts w:cstheme="minorHAnsi"/>
          <w:szCs w:val="18"/>
          <w:lang w:val="en-CA"/>
        </w:rPr>
        <w:t>29</w:t>
      </w:r>
      <w:r w:rsidR="00634635">
        <w:rPr>
          <w:rFonts w:cstheme="minorHAnsi"/>
          <w:szCs w:val="18"/>
          <w:lang w:val="en-CA"/>
        </w:rPr>
        <w:t> ;</w:t>
      </w:r>
      <w:r w:rsidRPr="00EA7479">
        <w:rPr>
          <w:rFonts w:cstheme="minorHAnsi"/>
          <w:szCs w:val="18"/>
          <w:lang w:val="en-CA"/>
        </w:rPr>
        <w:t xml:space="preserve"> </w:t>
      </w:r>
      <w:hyperlink r:id="rId127" w:history="1">
        <w:r w:rsidR="00A8410A">
          <w:rPr>
            <w:rStyle w:val="Lienhypertexte"/>
            <w:rFonts w:cstheme="minorHAnsi"/>
            <w:szCs w:val="18"/>
            <w:lang w:val="en-CA"/>
          </w:rPr>
          <w:t>CED/C/PAN/CO/1</w:t>
        </w:r>
      </w:hyperlink>
      <w:r w:rsidRPr="00EA7479">
        <w:rPr>
          <w:rFonts w:cstheme="minorHAnsi"/>
          <w:szCs w:val="18"/>
          <w:lang w:val="en-CA"/>
        </w:rPr>
        <w:t xml:space="preserve">, </w:t>
      </w:r>
      <w:r w:rsidR="00562F45">
        <w:rPr>
          <w:rFonts w:cstheme="minorHAnsi"/>
          <w:szCs w:val="18"/>
          <w:lang w:val="en-CA"/>
        </w:rPr>
        <w:t>par. </w:t>
      </w:r>
      <w:r w:rsidRPr="00EA7479">
        <w:rPr>
          <w:rFonts w:cstheme="minorHAnsi"/>
          <w:szCs w:val="18"/>
          <w:lang w:val="en-CA"/>
        </w:rPr>
        <w:t>13</w:t>
      </w:r>
      <w:r w:rsidR="00634635">
        <w:rPr>
          <w:rFonts w:cstheme="minorHAnsi"/>
          <w:szCs w:val="18"/>
          <w:lang w:val="en-CA"/>
        </w:rPr>
        <w:t> ;</w:t>
      </w:r>
      <w:r w:rsidRPr="00EA7479">
        <w:rPr>
          <w:rFonts w:cstheme="minorHAnsi"/>
          <w:szCs w:val="18"/>
          <w:lang w:val="en-CA"/>
        </w:rPr>
        <w:t xml:space="preserve"> </w:t>
      </w:r>
      <w:hyperlink r:id="rId128" w:history="1">
        <w:r w:rsidR="00A8410A">
          <w:rPr>
            <w:rStyle w:val="Lienhypertexte"/>
            <w:rFonts w:cstheme="minorHAnsi"/>
            <w:szCs w:val="18"/>
            <w:lang w:val="en-CA"/>
          </w:rPr>
          <w:t>CED/C/15/3</w:t>
        </w:r>
      </w:hyperlink>
      <w:r w:rsidRPr="00EA7479">
        <w:rPr>
          <w:rFonts w:cstheme="minorHAnsi"/>
          <w:szCs w:val="18"/>
          <w:lang w:val="en-CA"/>
        </w:rPr>
        <w:t xml:space="preserve">, </w:t>
      </w:r>
      <w:r w:rsidR="00562F45">
        <w:rPr>
          <w:rFonts w:cstheme="minorHAnsi"/>
          <w:szCs w:val="18"/>
          <w:lang w:val="en-CA"/>
        </w:rPr>
        <w:t>par. </w:t>
      </w:r>
      <w:r w:rsidRPr="00EA7479">
        <w:rPr>
          <w:rFonts w:cstheme="minorHAnsi"/>
          <w:szCs w:val="18"/>
          <w:lang w:val="en-CA"/>
        </w:rPr>
        <w:t xml:space="preserve">12. </w:t>
      </w:r>
      <w:r w:rsidRPr="00EA7479">
        <w:rPr>
          <w:rFonts w:cstheme="minorHAnsi"/>
          <w:szCs w:val="18"/>
        </w:rPr>
        <w:t xml:space="preserve">Voir aussi </w:t>
      </w:r>
      <w:hyperlink r:id="rId129" w:history="1">
        <w:r w:rsidR="00AA4999">
          <w:rPr>
            <w:rStyle w:val="Lienhypertexte"/>
            <w:rFonts w:cstheme="minorHAnsi"/>
            <w:szCs w:val="18"/>
          </w:rPr>
          <w:t>A/HRC/54/22/</w:t>
        </w:r>
        <w:r w:rsidR="00AA4999">
          <w:rPr>
            <w:rStyle w:val="Lienhypertexte"/>
            <w:rFonts w:cstheme="minorHAnsi"/>
            <w:szCs w:val="18"/>
          </w:rPr>
          <w:t>A</w:t>
        </w:r>
        <w:r w:rsidR="00AA4999">
          <w:rPr>
            <w:rStyle w:val="Lienhypertexte"/>
            <w:rFonts w:cstheme="minorHAnsi"/>
            <w:szCs w:val="18"/>
          </w:rPr>
          <w:t>dd.5</w:t>
        </w:r>
      </w:hyperlink>
      <w:r w:rsidRPr="00EA7479">
        <w:t xml:space="preserve">. </w:t>
      </w:r>
    </w:p>
  </w:footnote>
  <w:footnote w:id="111">
    <w:p w14:paraId="116832AF" w14:textId="35A90712" w:rsidR="00DC22DE" w:rsidRPr="00EA7479" w:rsidRDefault="00DC22DE" w:rsidP="00DC22DE">
      <w:pPr>
        <w:pStyle w:val="Notedebasdepage"/>
        <w:rPr>
          <w:rFonts w:cstheme="minorHAnsi"/>
          <w:szCs w:val="18"/>
        </w:rPr>
      </w:pPr>
      <w:r w:rsidRPr="00EA7479">
        <w:rPr>
          <w:rFonts w:cstheme="minorHAnsi"/>
          <w:szCs w:val="18"/>
        </w:rPr>
        <w:tab/>
      </w:r>
      <w:r w:rsidRPr="00EA7479">
        <w:rPr>
          <w:rStyle w:val="Appelnotedebasdep"/>
        </w:rPr>
        <w:footnoteRef/>
      </w:r>
      <w:r w:rsidRPr="00C56ABF">
        <w:rPr>
          <w:rFonts w:cstheme="minorHAnsi"/>
          <w:szCs w:val="18"/>
        </w:rPr>
        <w:tab/>
      </w:r>
      <w:hyperlink r:id="rId130" w:history="1">
        <w:r w:rsidR="00432A4B">
          <w:rPr>
            <w:rStyle w:val="Lienhypertexte"/>
            <w:rFonts w:cstheme="minorHAnsi"/>
            <w:szCs w:val="18"/>
          </w:rPr>
          <w:t>CED/C/GAB/CO/1</w:t>
        </w:r>
      </w:hyperlink>
      <w:r w:rsidRPr="00C56ABF">
        <w:rPr>
          <w:rFonts w:cstheme="minorHAnsi"/>
          <w:szCs w:val="18"/>
        </w:rPr>
        <w:t xml:space="preserve">, </w:t>
      </w:r>
      <w:r w:rsidR="00562F45" w:rsidRPr="00C56ABF">
        <w:rPr>
          <w:rFonts w:cstheme="minorHAnsi"/>
          <w:szCs w:val="18"/>
        </w:rPr>
        <w:t>par. </w:t>
      </w:r>
      <w:r w:rsidRPr="00C56ABF">
        <w:rPr>
          <w:rFonts w:cstheme="minorHAnsi"/>
          <w:szCs w:val="18"/>
        </w:rPr>
        <w:t xml:space="preserve">19. </w:t>
      </w:r>
      <w:r w:rsidRPr="00EA7479">
        <w:rPr>
          <w:rFonts w:cstheme="minorHAnsi"/>
          <w:szCs w:val="18"/>
        </w:rPr>
        <w:t xml:space="preserve">Voir aussi </w:t>
      </w:r>
      <w:r>
        <w:rPr>
          <w:rFonts w:cstheme="minorHAnsi"/>
          <w:szCs w:val="18"/>
        </w:rPr>
        <w:t xml:space="preserve">le </w:t>
      </w:r>
      <w:r>
        <w:t>Protocole additionnel à la Convention des Nations Unies contre la criminalité transnationale organisée visant à prévenir, réprimer et punir la traite des personnes, en particulier des femmes et des enfants</w:t>
      </w:r>
      <w:r w:rsidR="00634635">
        <w:t> ;</w:t>
      </w:r>
      <w:r>
        <w:rPr>
          <w:rFonts w:cstheme="minorHAnsi"/>
          <w:szCs w:val="18"/>
        </w:rPr>
        <w:t xml:space="preserve"> </w:t>
      </w:r>
      <w:r>
        <w:rPr>
          <w:rStyle w:val="termfield"/>
          <w:lang w:val="fr-FR"/>
        </w:rPr>
        <w:t>Comité pour l</w:t>
      </w:r>
      <w:r w:rsidR="003A234B">
        <w:rPr>
          <w:rStyle w:val="termfield"/>
          <w:lang w:val="fr-FR"/>
        </w:rPr>
        <w:t>’</w:t>
      </w:r>
      <w:r>
        <w:rPr>
          <w:rStyle w:val="termfield"/>
          <w:lang w:val="fr-FR"/>
        </w:rPr>
        <w:t>élimination de la discrimination à l</w:t>
      </w:r>
      <w:r w:rsidR="003A234B">
        <w:rPr>
          <w:rStyle w:val="termfield"/>
          <w:lang w:val="fr-FR"/>
        </w:rPr>
        <w:t>’</w:t>
      </w:r>
      <w:r>
        <w:rPr>
          <w:rStyle w:val="termfield"/>
          <w:lang w:val="fr-FR"/>
        </w:rPr>
        <w:t>égard des femmes</w:t>
      </w:r>
      <w:r>
        <w:rPr>
          <w:rFonts w:cstheme="minorHAnsi"/>
          <w:szCs w:val="18"/>
        </w:rPr>
        <w:t xml:space="preserve">, observation générale </w:t>
      </w:r>
      <w:r w:rsidR="00634635">
        <w:rPr>
          <w:rFonts w:eastAsia="MS Mincho"/>
        </w:rPr>
        <w:t>n</w:t>
      </w:r>
      <w:r w:rsidR="00634635">
        <w:rPr>
          <w:rFonts w:eastAsia="MS Mincho"/>
          <w:vertAlign w:val="superscript"/>
        </w:rPr>
        <w:t>o</w:t>
      </w:r>
      <w:r w:rsidR="00634635">
        <w:t> </w:t>
      </w:r>
      <w:r w:rsidRPr="00EA7479">
        <w:rPr>
          <w:rFonts w:cstheme="minorHAnsi"/>
          <w:szCs w:val="18"/>
        </w:rPr>
        <w:t xml:space="preserve">38 (2020). </w:t>
      </w:r>
    </w:p>
  </w:footnote>
  <w:footnote w:id="112">
    <w:p w14:paraId="656D1F37" w14:textId="359F2324" w:rsidR="00DC22DE" w:rsidRPr="00EA7479" w:rsidRDefault="00DC22DE" w:rsidP="00DC22DE">
      <w:pPr>
        <w:pStyle w:val="Notedebasdepage"/>
        <w:rPr>
          <w:rFonts w:cstheme="minorHAnsi"/>
          <w:szCs w:val="18"/>
          <w:lang w:val="es-ES"/>
        </w:rPr>
      </w:pPr>
      <w:r w:rsidRPr="00EA7479">
        <w:rPr>
          <w:rFonts w:cstheme="minorHAnsi"/>
          <w:szCs w:val="18"/>
        </w:rPr>
        <w:tab/>
      </w:r>
      <w:r w:rsidRPr="00EA7479">
        <w:rPr>
          <w:rStyle w:val="Appelnotedebasdep"/>
        </w:rPr>
        <w:footnoteRef/>
      </w:r>
      <w:r w:rsidRPr="00EA7479">
        <w:rPr>
          <w:rFonts w:cstheme="minorHAnsi"/>
          <w:szCs w:val="18"/>
          <w:lang w:val="es-ES"/>
        </w:rPr>
        <w:tab/>
      </w:r>
      <w:proofErr w:type="spellStart"/>
      <w:r w:rsidRPr="00EA7479">
        <w:rPr>
          <w:rFonts w:cstheme="minorHAnsi"/>
          <w:szCs w:val="18"/>
          <w:lang w:val="es-ES"/>
        </w:rPr>
        <w:t>Voir</w:t>
      </w:r>
      <w:proofErr w:type="spellEnd"/>
      <w:r w:rsidRPr="00EA7479">
        <w:rPr>
          <w:rFonts w:cstheme="minorHAnsi"/>
          <w:szCs w:val="18"/>
          <w:lang w:val="es-ES"/>
        </w:rPr>
        <w:t xml:space="preserve"> </w:t>
      </w:r>
      <w:hyperlink r:id="rId131" w:history="1">
        <w:r w:rsidR="00AD5C89">
          <w:rPr>
            <w:rStyle w:val="Lienhypertexte"/>
            <w:rFonts w:cstheme="minorHAnsi"/>
            <w:szCs w:val="18"/>
            <w:lang w:val="es-ES"/>
          </w:rPr>
          <w:t>CED/C/9</w:t>
        </w:r>
      </w:hyperlink>
      <w:r w:rsidRPr="00EA7479">
        <w:rPr>
          <w:rFonts w:cstheme="minorHAnsi"/>
          <w:szCs w:val="18"/>
          <w:lang w:val="es-ES"/>
        </w:rPr>
        <w:t>.</w:t>
      </w:r>
    </w:p>
  </w:footnote>
  <w:footnote w:id="113">
    <w:p w14:paraId="2653714D" w14:textId="77777777" w:rsidR="00DC22DE" w:rsidRDefault="00DC22DE" w:rsidP="00DC22DE">
      <w:pPr>
        <w:pStyle w:val="Notedebasdepage"/>
        <w:rPr>
          <w:rFonts w:cstheme="minorHAnsi"/>
          <w:szCs w:val="18"/>
          <w:lang w:val="es-ES"/>
        </w:rPr>
      </w:pPr>
      <w:r w:rsidRPr="00EA7479">
        <w:rPr>
          <w:rFonts w:cstheme="minorHAnsi"/>
          <w:szCs w:val="18"/>
          <w:lang w:val="es-ES"/>
        </w:rPr>
        <w:tab/>
      </w:r>
      <w:r w:rsidRPr="00EA7479">
        <w:rPr>
          <w:rStyle w:val="Appelnotedebasdep"/>
        </w:rPr>
        <w:footnoteRef/>
      </w:r>
      <w:r w:rsidRPr="00EA7479">
        <w:rPr>
          <w:rFonts w:cstheme="minorHAnsi"/>
          <w:szCs w:val="18"/>
          <w:lang w:val="es-ES"/>
        </w:rPr>
        <w:tab/>
      </w:r>
      <w:r>
        <w:rPr>
          <w:rFonts w:cstheme="minorHAnsi"/>
          <w:szCs w:val="18"/>
          <w:lang w:val="es-ES"/>
        </w:rPr>
        <w:t xml:space="preserve">Equipo de Estudios Comunitarios y Acción Psicosocial, </w:t>
      </w:r>
      <w:r>
        <w:rPr>
          <w:rFonts w:cstheme="minorHAnsi"/>
          <w:i/>
          <w:iCs/>
          <w:szCs w:val="18"/>
          <w:lang w:val="es-ES"/>
        </w:rPr>
        <w:t>Normas Mínimas desde la Perspectiva Psicosocial para los Procesos de Búsqueda de Personas Migrantes Desaparecidas: Mesa de Discusión en Centroamérica y México 2016–2019</w:t>
      </w:r>
      <w:r>
        <w:rPr>
          <w:rFonts w:cstheme="minorHAnsi"/>
          <w:szCs w:val="18"/>
          <w:lang w:val="es-ES"/>
        </w:rPr>
        <w:t xml:space="preserve"> (Guatemala, 2019), p</w:t>
      </w:r>
      <w:r w:rsidRPr="00C82A45">
        <w:rPr>
          <w:rFonts w:cstheme="minorHAnsi"/>
          <w:szCs w:val="18"/>
          <w:lang w:val="es-ES"/>
        </w:rPr>
        <w:t>.</w:t>
      </w:r>
      <w:r>
        <w:rPr>
          <w:rFonts w:cstheme="minorHAnsi"/>
          <w:szCs w:val="18"/>
          <w:lang w:val="es-ES"/>
        </w:rPr>
        <w:t xml:space="preserve"> 20</w:t>
      </w:r>
      <w:r w:rsidRPr="00C82A45">
        <w:rPr>
          <w:rFonts w:cstheme="minorHAnsi"/>
          <w:szCs w:val="18"/>
          <w:lang w:val="es-ES"/>
        </w:rPr>
        <w:t>.</w:t>
      </w:r>
      <w:r>
        <w:rPr>
          <w:rFonts w:cstheme="minorHAnsi"/>
          <w:szCs w:val="18"/>
          <w:lang w:val="es-ES"/>
        </w:rPr>
        <w:t xml:space="preserve"> </w:t>
      </w:r>
    </w:p>
  </w:footnote>
  <w:footnote w:id="114">
    <w:p w14:paraId="6A2E5529" w14:textId="0B48A03D" w:rsidR="00DC22DE" w:rsidRPr="00EA7479" w:rsidRDefault="00DC22DE" w:rsidP="00DC22DE">
      <w:pPr>
        <w:pStyle w:val="Notedebasdepage"/>
        <w:rPr>
          <w:rFonts w:cstheme="minorHAnsi"/>
          <w:szCs w:val="18"/>
          <w:lang w:val="fr-FR"/>
        </w:rPr>
      </w:pPr>
      <w:r>
        <w:rPr>
          <w:rFonts w:cstheme="minorHAnsi"/>
          <w:szCs w:val="18"/>
          <w:lang w:val="es-ES"/>
        </w:rPr>
        <w:tab/>
      </w:r>
      <w:r w:rsidRPr="00EA7479">
        <w:rPr>
          <w:rStyle w:val="Appelnotedebasdep"/>
        </w:rPr>
        <w:footnoteRef/>
      </w:r>
      <w:r w:rsidRPr="00EA7479">
        <w:rPr>
          <w:rFonts w:cstheme="minorHAnsi"/>
          <w:szCs w:val="18"/>
          <w:lang w:val="fr-FR"/>
        </w:rPr>
        <w:tab/>
      </w:r>
      <w:hyperlink r:id="rId132" w:history="1">
        <w:r w:rsidR="00AD5C89">
          <w:rPr>
            <w:rStyle w:val="Lienhypertexte"/>
            <w:rFonts w:cstheme="minorHAnsi"/>
            <w:szCs w:val="18"/>
            <w:lang w:val="fr-FR"/>
          </w:rPr>
          <w:t>A/73/178/Rev.1</w:t>
        </w:r>
      </w:hyperlink>
      <w:r w:rsidRPr="00EA7479">
        <w:rPr>
          <w:rFonts w:cstheme="minorHAnsi"/>
          <w:szCs w:val="18"/>
          <w:lang w:val="fr-FR"/>
        </w:rPr>
        <w:t xml:space="preserve">, </w:t>
      </w:r>
      <w:r w:rsidR="00562F45">
        <w:rPr>
          <w:rFonts w:cstheme="minorHAnsi"/>
          <w:szCs w:val="18"/>
          <w:lang w:val="fr-FR"/>
        </w:rPr>
        <w:t>par. </w:t>
      </w:r>
      <w:r w:rsidRPr="00EA7479">
        <w:rPr>
          <w:rFonts w:cstheme="minorHAnsi"/>
          <w:szCs w:val="18"/>
          <w:lang w:val="fr-FR"/>
        </w:rPr>
        <w:t>51</w:t>
      </w:r>
      <w:r w:rsidR="00634635">
        <w:rPr>
          <w:rFonts w:cstheme="minorHAnsi"/>
          <w:szCs w:val="18"/>
          <w:lang w:val="fr-FR"/>
        </w:rPr>
        <w:t> ;</w:t>
      </w:r>
      <w:r w:rsidRPr="00EA7479">
        <w:rPr>
          <w:rFonts w:cstheme="minorHAnsi"/>
          <w:szCs w:val="18"/>
          <w:lang w:val="fr-FR"/>
        </w:rPr>
        <w:t xml:space="preserve"> </w:t>
      </w:r>
      <w:hyperlink r:id="rId133" w:history="1">
        <w:r w:rsidR="00AD5C89">
          <w:rPr>
            <w:rStyle w:val="Lienhypertexte"/>
            <w:rFonts w:cstheme="minorHAnsi"/>
            <w:szCs w:val="18"/>
            <w:lang w:val="fr-FR"/>
          </w:rPr>
          <w:t>CED/C/MEX/CO/1</w:t>
        </w:r>
      </w:hyperlink>
      <w:r w:rsidRPr="00EA7479">
        <w:rPr>
          <w:rFonts w:cstheme="minorHAnsi"/>
          <w:szCs w:val="18"/>
          <w:lang w:val="fr-FR"/>
        </w:rPr>
        <w:t xml:space="preserve">, </w:t>
      </w:r>
      <w:r w:rsidR="00562F45">
        <w:rPr>
          <w:rFonts w:cstheme="minorHAnsi"/>
          <w:szCs w:val="18"/>
          <w:lang w:val="fr-FR"/>
        </w:rPr>
        <w:t>par. </w:t>
      </w:r>
      <w:r w:rsidRPr="00EA7479">
        <w:rPr>
          <w:rFonts w:cstheme="minorHAnsi"/>
          <w:szCs w:val="18"/>
          <w:lang w:val="fr-FR"/>
        </w:rPr>
        <w:t>23 et 24</w:t>
      </w:r>
      <w:r w:rsidR="00634635">
        <w:rPr>
          <w:rFonts w:cstheme="minorHAnsi"/>
          <w:szCs w:val="18"/>
          <w:lang w:val="fr-FR"/>
        </w:rPr>
        <w:t> ;</w:t>
      </w:r>
      <w:r w:rsidRPr="00EA7479">
        <w:rPr>
          <w:rFonts w:cstheme="minorHAnsi"/>
          <w:szCs w:val="18"/>
          <w:lang w:val="fr-FR"/>
        </w:rPr>
        <w:t xml:space="preserve"> </w:t>
      </w:r>
      <w:hyperlink r:id="rId134" w:history="1">
        <w:r w:rsidR="00AD5C89">
          <w:rPr>
            <w:rStyle w:val="Lienhypertexte"/>
            <w:rFonts w:cstheme="minorHAnsi"/>
            <w:szCs w:val="18"/>
            <w:lang w:val="fr-FR"/>
          </w:rPr>
          <w:t>CED/C/HND/CO/1</w:t>
        </w:r>
      </w:hyperlink>
      <w:r w:rsidRPr="00EA7479">
        <w:rPr>
          <w:rFonts w:cstheme="minorHAnsi"/>
          <w:szCs w:val="18"/>
          <w:lang w:val="fr-FR"/>
        </w:rPr>
        <w:t xml:space="preserve">, </w:t>
      </w:r>
      <w:r w:rsidR="00562F45">
        <w:rPr>
          <w:rFonts w:cstheme="minorHAnsi"/>
          <w:szCs w:val="18"/>
          <w:lang w:val="fr-FR"/>
        </w:rPr>
        <w:t>par. </w:t>
      </w:r>
      <w:r w:rsidRPr="00EA7479">
        <w:rPr>
          <w:rFonts w:cstheme="minorHAnsi"/>
          <w:szCs w:val="18"/>
          <w:lang w:val="fr-FR"/>
        </w:rPr>
        <w:t>28 et 29.</w:t>
      </w:r>
    </w:p>
  </w:footnote>
  <w:footnote w:id="115">
    <w:p w14:paraId="0E85FCF5" w14:textId="5B49B8C9" w:rsidR="00DC22DE" w:rsidRPr="00EA7479" w:rsidRDefault="00DC22DE" w:rsidP="00DC22DE">
      <w:pPr>
        <w:pStyle w:val="Notedebasdepage"/>
        <w:rPr>
          <w:rFonts w:cstheme="minorHAnsi"/>
          <w:szCs w:val="18"/>
        </w:rPr>
      </w:pPr>
      <w:r w:rsidRPr="00EA7479">
        <w:rPr>
          <w:rFonts w:cstheme="minorHAnsi"/>
          <w:szCs w:val="18"/>
          <w:lang w:val="fr-FR"/>
        </w:rPr>
        <w:tab/>
      </w:r>
      <w:r w:rsidRPr="00EA7479">
        <w:rPr>
          <w:rStyle w:val="Appelnotedebasdep"/>
        </w:rPr>
        <w:footnoteRef/>
      </w:r>
      <w:r w:rsidRPr="00EA7479">
        <w:rPr>
          <w:rFonts w:cstheme="minorHAnsi"/>
          <w:szCs w:val="18"/>
        </w:rPr>
        <w:tab/>
        <w:t xml:space="preserve">Voir art. 14 et 15 de la Convention. Voir aussi </w:t>
      </w:r>
      <w:hyperlink r:id="rId135" w:history="1">
        <w:r w:rsidR="00FB79A5">
          <w:rPr>
            <w:rStyle w:val="Lienhypertexte"/>
            <w:rFonts w:cstheme="minorHAnsi"/>
            <w:szCs w:val="18"/>
          </w:rPr>
          <w:t>CED/C/19/2</w:t>
        </w:r>
      </w:hyperlink>
      <w:r w:rsidRPr="00EA7479">
        <w:rPr>
          <w:rFonts w:cstheme="minorHAnsi"/>
          <w:szCs w:val="18"/>
        </w:rPr>
        <w:t xml:space="preserve">, </w:t>
      </w:r>
      <w:r w:rsidR="00562F45">
        <w:rPr>
          <w:rFonts w:cstheme="minorHAnsi"/>
          <w:szCs w:val="18"/>
        </w:rPr>
        <w:t>par. </w:t>
      </w:r>
      <w:r w:rsidRPr="00EA7479">
        <w:rPr>
          <w:rFonts w:cstheme="minorHAnsi"/>
          <w:szCs w:val="18"/>
        </w:rPr>
        <w:t>14</w:t>
      </w:r>
      <w:r w:rsidR="00634635">
        <w:rPr>
          <w:rFonts w:cstheme="minorHAnsi"/>
          <w:szCs w:val="18"/>
        </w:rPr>
        <w:t> ;</w:t>
      </w:r>
      <w:r w:rsidRPr="00EA7479">
        <w:rPr>
          <w:rFonts w:eastAsia="Calibri" w:cstheme="minorHAnsi"/>
          <w:szCs w:val="18"/>
        </w:rPr>
        <w:t xml:space="preserve"> </w:t>
      </w:r>
      <w:hyperlink r:id="rId136" w:history="1">
        <w:r w:rsidR="00FB79A5">
          <w:rPr>
            <w:rStyle w:val="Lienhypertexte"/>
            <w:rFonts w:cstheme="minorHAnsi"/>
            <w:szCs w:val="18"/>
          </w:rPr>
          <w:t>CED/C/AUT/CO/1</w:t>
        </w:r>
      </w:hyperlink>
      <w:r w:rsidRPr="00EA7479">
        <w:rPr>
          <w:rFonts w:cstheme="minorHAnsi"/>
          <w:szCs w:val="18"/>
        </w:rPr>
        <w:t xml:space="preserve">, </w:t>
      </w:r>
      <w:r w:rsidR="00562F45">
        <w:rPr>
          <w:rFonts w:cstheme="minorHAnsi"/>
          <w:szCs w:val="18"/>
        </w:rPr>
        <w:t>par. </w:t>
      </w:r>
      <w:r w:rsidRPr="00EA7479">
        <w:rPr>
          <w:rFonts w:cstheme="minorHAnsi"/>
          <w:szCs w:val="18"/>
        </w:rPr>
        <w:t>17</w:t>
      </w:r>
      <w:r w:rsidR="00634635">
        <w:rPr>
          <w:rFonts w:cstheme="minorHAnsi"/>
          <w:szCs w:val="18"/>
        </w:rPr>
        <w:t> ;</w:t>
      </w:r>
      <w:r w:rsidRPr="00EA7479">
        <w:rPr>
          <w:rFonts w:cstheme="minorHAnsi"/>
          <w:szCs w:val="18"/>
        </w:rPr>
        <w:t xml:space="preserve"> </w:t>
      </w:r>
      <w:hyperlink r:id="rId137" w:history="1">
        <w:r w:rsidR="00FB79A5">
          <w:rPr>
            <w:rStyle w:val="Lienhypertexte"/>
            <w:rFonts w:cstheme="minorHAnsi"/>
            <w:szCs w:val="18"/>
          </w:rPr>
          <w:t>CED/C/JPN/CO/1</w:t>
        </w:r>
      </w:hyperlink>
      <w:r w:rsidRPr="00EA7479">
        <w:rPr>
          <w:rFonts w:cstheme="minorHAnsi"/>
          <w:szCs w:val="18"/>
        </w:rPr>
        <w:t xml:space="preserve">, </w:t>
      </w:r>
      <w:r w:rsidR="00562F45">
        <w:rPr>
          <w:rFonts w:cstheme="minorHAnsi"/>
          <w:szCs w:val="18"/>
        </w:rPr>
        <w:t>par. </w:t>
      </w:r>
      <w:r w:rsidRPr="00EA7479">
        <w:rPr>
          <w:rFonts w:cstheme="minorHAnsi"/>
          <w:szCs w:val="18"/>
        </w:rPr>
        <w:t>27 et 28.</w:t>
      </w:r>
    </w:p>
  </w:footnote>
  <w:footnote w:id="116">
    <w:p w14:paraId="45460E88" w14:textId="37DDC79A" w:rsidR="00DC22DE" w:rsidRDefault="00D645EA" w:rsidP="00DC22DE">
      <w:pPr>
        <w:pStyle w:val="Notedebasdepage"/>
      </w:pPr>
      <w:r>
        <w:tab/>
      </w:r>
      <w:r w:rsidR="00DC22DE" w:rsidRPr="00EA7479">
        <w:rPr>
          <w:rStyle w:val="Appelnotedebasdep"/>
        </w:rPr>
        <w:footnoteRef/>
      </w:r>
      <w:r>
        <w:tab/>
      </w:r>
      <w:r w:rsidR="00DC22DE">
        <w:t>Principes directeurs concernant la recherche de personnes disparues, principe 2 (</w:t>
      </w:r>
      <w:r w:rsidR="00562F45">
        <w:t>par. </w:t>
      </w:r>
      <w:r w:rsidR="00DC22DE">
        <w:t>4).</w:t>
      </w:r>
    </w:p>
  </w:footnote>
  <w:footnote w:id="117">
    <w:p w14:paraId="73CBA959" w14:textId="3A49C93D" w:rsidR="00DC22DE" w:rsidRPr="00830EA7" w:rsidRDefault="00DC22DE" w:rsidP="003C45B2">
      <w:pPr>
        <w:pStyle w:val="Notedebasdepage"/>
        <w:rPr>
          <w:lang w:val="es-ES"/>
        </w:rPr>
      </w:pPr>
      <w:r w:rsidRPr="00EA7479">
        <w:rPr>
          <w:rFonts w:asciiTheme="minorHAnsi" w:hAnsiTheme="minorHAnsi" w:cstheme="minorHAnsi"/>
          <w:szCs w:val="18"/>
        </w:rPr>
        <w:tab/>
      </w:r>
      <w:r w:rsidRPr="00EA7479">
        <w:rPr>
          <w:rStyle w:val="Appelnotedebasdep"/>
        </w:rPr>
        <w:footnoteRef/>
      </w:r>
      <w:r w:rsidRPr="001C0389">
        <w:rPr>
          <w:rFonts w:asciiTheme="minorHAnsi" w:hAnsiTheme="minorHAnsi" w:cstheme="minorHAnsi"/>
          <w:szCs w:val="18"/>
          <w:lang w:val="en-US"/>
        </w:rPr>
        <w:tab/>
      </w:r>
      <w:proofErr w:type="spellStart"/>
      <w:r>
        <w:rPr>
          <w:lang w:val="en-US"/>
        </w:rPr>
        <w:t>Conférence</w:t>
      </w:r>
      <w:proofErr w:type="spellEnd"/>
      <w:r>
        <w:rPr>
          <w:lang w:val="en-US"/>
        </w:rPr>
        <w:t xml:space="preserve"> </w:t>
      </w:r>
      <w:proofErr w:type="spellStart"/>
      <w:r>
        <w:rPr>
          <w:lang w:val="en-US"/>
        </w:rPr>
        <w:t>régionale</w:t>
      </w:r>
      <w:proofErr w:type="spellEnd"/>
      <w:r>
        <w:rPr>
          <w:lang w:val="en-US"/>
        </w:rPr>
        <w:t xml:space="preserve"> sur les migrations</w:t>
      </w:r>
      <w:r w:rsidRPr="001C0389">
        <w:rPr>
          <w:lang w:val="en-US"/>
        </w:rPr>
        <w:t xml:space="preserve">, </w:t>
      </w:r>
      <w:r w:rsidRPr="00EA7479">
        <w:rPr>
          <w:i/>
          <w:iCs/>
          <w:lang w:val="en-US"/>
        </w:rPr>
        <w:t>Recommendations on regional coordination and information exchange mechanisms in the search for missing persons in the context of migration</w:t>
      </w:r>
      <w:r w:rsidR="00FB79A5">
        <w:rPr>
          <w:i/>
          <w:iCs/>
          <w:lang w:val="en-US"/>
        </w:rPr>
        <w:t xml:space="preserve"> </w:t>
      </w:r>
      <w:r w:rsidR="00FB79A5" w:rsidRPr="00FB79A5">
        <w:rPr>
          <w:lang w:val="en-US"/>
        </w:rPr>
        <w:t>(2022)</w:t>
      </w:r>
      <w:r w:rsidRPr="001C0389">
        <w:rPr>
          <w:lang w:val="en-US"/>
        </w:rPr>
        <w:t>, p</w:t>
      </w:r>
      <w:r w:rsidRPr="00C82A45">
        <w:rPr>
          <w:lang w:val="en-US"/>
        </w:rPr>
        <w:t>.</w:t>
      </w:r>
      <w:r w:rsidR="00FB79A5">
        <w:rPr>
          <w:lang w:val="en-US"/>
        </w:rPr>
        <w:t> </w:t>
      </w:r>
      <w:r w:rsidRPr="001C0389">
        <w:rPr>
          <w:lang w:val="en-US"/>
        </w:rPr>
        <w:t>18</w:t>
      </w:r>
      <w:r w:rsidR="00FB79A5">
        <w:rPr>
          <w:lang w:val="en-US"/>
        </w:rPr>
        <w:t> </w:t>
      </w:r>
      <w:r w:rsidRPr="001C0389">
        <w:rPr>
          <w:lang w:val="en-US"/>
        </w:rPr>
        <w:t>:</w:t>
      </w:r>
      <w:r w:rsidRPr="001C0389">
        <w:rPr>
          <w:rFonts w:cstheme="minorHAnsi"/>
          <w:szCs w:val="18"/>
          <w:lang w:val="en-US"/>
        </w:rPr>
        <w:t xml:space="preserve"> </w:t>
      </w:r>
      <w:r w:rsidRPr="001C0389">
        <w:rPr>
          <w:lang w:val="en-US"/>
        </w:rPr>
        <w:t>“Consular missions, together with relevant authorities from the country where the person disappeared, are responsible for conducting a search for the person reported as missing</w:t>
      </w:r>
      <w:r w:rsidRPr="00C82A45">
        <w:rPr>
          <w:lang w:val="en-US"/>
        </w:rPr>
        <w:t>.</w:t>
      </w:r>
      <w:r w:rsidRPr="001C0389">
        <w:rPr>
          <w:lang w:val="en-US"/>
        </w:rPr>
        <w:t xml:space="preserve"> To this end, they should establish a network for immediate communication with prosecution authorities, detention centers, shelters, other consular missions, hospitals, communities of migrants abroad, etc</w:t>
      </w:r>
      <w:r w:rsidRPr="00C82A45">
        <w:rPr>
          <w:lang w:val="en-US"/>
        </w:rPr>
        <w:t>.</w:t>
      </w:r>
      <w:r w:rsidRPr="001C0389">
        <w:rPr>
          <w:lang w:val="en-US"/>
        </w:rPr>
        <w:t xml:space="preserve"> in order to activate the search</w:t>
      </w:r>
      <w:r w:rsidRPr="00C82A45">
        <w:rPr>
          <w:lang w:val="en-US"/>
        </w:rPr>
        <w:t>.</w:t>
      </w:r>
      <w:r w:rsidRPr="001C0389">
        <w:rPr>
          <w:lang w:val="en-US"/>
        </w:rPr>
        <w:t xml:space="preserve"> In addition, it is important to continue with the proactive practice of maintaining contact with the instances described above to be able to identify cases that have not been reported at their consular offices</w:t>
      </w:r>
      <w:r w:rsidRPr="00C82A45">
        <w:rPr>
          <w:lang w:val="en-US"/>
        </w:rPr>
        <w:t>.</w:t>
      </w:r>
      <w:r w:rsidRPr="001C0389">
        <w:rPr>
          <w:lang w:val="en-US"/>
        </w:rPr>
        <w:t>”</w:t>
      </w:r>
      <w:r w:rsidRPr="00EA7479">
        <w:rPr>
          <w:lang w:val="en-CA"/>
        </w:rPr>
        <w:t xml:space="preserve"> </w:t>
      </w:r>
      <w:r w:rsidRPr="00EA7479">
        <w:rPr>
          <w:lang w:val="fr-FR"/>
        </w:rPr>
        <w:t>(</w:t>
      </w:r>
      <w:r w:rsidR="00AE5D7B">
        <w:t>L</w:t>
      </w:r>
      <w:r>
        <w:t>es missions consulaires, en collaboration avec les autorités compétentes du pays où la personne a disparu, ont pour responsabilité de mener des recherches pour retrouver la personne portée disparue. À cette fin, elles devraient établir un réseau permettant de communiquer immédiatement avec les autorités chargées des poursuites, les centres de détention, les lieux d</w:t>
      </w:r>
      <w:r w:rsidR="003A234B">
        <w:t>’</w:t>
      </w:r>
      <w:r>
        <w:t>accueil, les autres missions consulaires, les hôpitaux et les communautés de migrants à l</w:t>
      </w:r>
      <w:r w:rsidR="003A234B">
        <w:t>’</w:t>
      </w:r>
      <w:r>
        <w:t>étranger, notamment, afin de déclencher les recherches.</w:t>
      </w:r>
      <w:r w:rsidRPr="00323946">
        <w:t xml:space="preserve"> </w:t>
      </w:r>
      <w:r>
        <w:t>En outre, il importe qu</w:t>
      </w:r>
      <w:r w:rsidR="003A234B">
        <w:t>’</w:t>
      </w:r>
      <w:r>
        <w:t>elles continuent de suivre la pratique proactive consistant à maintenir le contact avec les entités mentionnées ci-dessus afin de pouvoir repérer les cas qui n</w:t>
      </w:r>
      <w:r w:rsidR="003A234B">
        <w:t>’</w:t>
      </w:r>
      <w:r>
        <w:t xml:space="preserve">ont pas été signalés à leurs bureaux consulaires). </w:t>
      </w:r>
      <w:r w:rsidRPr="00830EA7">
        <w:rPr>
          <w:lang w:val="es-ES"/>
        </w:rPr>
        <w:t xml:space="preserve">Disponible à </w:t>
      </w:r>
      <w:proofErr w:type="spellStart"/>
      <w:r w:rsidRPr="00830EA7">
        <w:rPr>
          <w:lang w:val="es-ES"/>
        </w:rPr>
        <w:t>l</w:t>
      </w:r>
      <w:r w:rsidR="003A234B" w:rsidRPr="00830EA7">
        <w:rPr>
          <w:lang w:val="es-ES"/>
        </w:rPr>
        <w:t>’</w:t>
      </w:r>
      <w:r w:rsidRPr="00830EA7">
        <w:rPr>
          <w:lang w:val="es-ES"/>
        </w:rPr>
        <w:t>adresse</w:t>
      </w:r>
      <w:proofErr w:type="spellEnd"/>
      <w:r w:rsidRPr="00830EA7">
        <w:rPr>
          <w:lang w:val="es-ES"/>
        </w:rPr>
        <w:t xml:space="preserve"> </w:t>
      </w:r>
      <w:proofErr w:type="spellStart"/>
      <w:r w:rsidRPr="00830EA7">
        <w:rPr>
          <w:lang w:val="es-ES"/>
        </w:rPr>
        <w:t>suivante</w:t>
      </w:r>
      <w:proofErr w:type="spellEnd"/>
      <w:r w:rsidRPr="00830EA7">
        <w:rPr>
          <w:lang w:val="es-ES"/>
        </w:rPr>
        <w:t xml:space="preserve"> : </w:t>
      </w:r>
      <w:hyperlink r:id="rId138" w:history="1">
        <w:r w:rsidR="00830EA7" w:rsidRPr="001534B9">
          <w:rPr>
            <w:rStyle w:val="Lienhypertexte"/>
            <w:lang w:val="es-ES"/>
          </w:rPr>
          <w:t>https://temas.crmsv.org/sites/default/files/Documentos%20Files/chld8_recomendaciones _busqueda_de_personas_desaparecidas_e</w:t>
        </w:r>
        <w:r w:rsidR="00830EA7" w:rsidRPr="001534B9">
          <w:rPr>
            <w:rStyle w:val="Lienhypertexte"/>
            <w:lang w:val="es-ES"/>
          </w:rPr>
          <w:t>n</w:t>
        </w:r>
        <w:r w:rsidR="00830EA7" w:rsidRPr="001534B9">
          <w:rPr>
            <w:rStyle w:val="Lienhypertexte"/>
            <w:lang w:val="es-ES"/>
          </w:rPr>
          <w:t>_el_cont</w:t>
        </w:r>
        <w:r w:rsidR="00830EA7" w:rsidRPr="001534B9">
          <w:rPr>
            <w:rStyle w:val="Lienhypertexte"/>
            <w:lang w:val="es-ES"/>
          </w:rPr>
          <w:t>e</w:t>
        </w:r>
        <w:r w:rsidR="00830EA7" w:rsidRPr="001534B9">
          <w:rPr>
            <w:rStyle w:val="Lienhypertexte"/>
            <w:lang w:val="es-ES"/>
          </w:rPr>
          <w:t>xto_migratorio_eng_0.pdf</w:t>
        </w:r>
      </w:hyperlink>
      <w:r w:rsidRPr="00830EA7">
        <w:rPr>
          <w:rFonts w:cstheme="minorHAnsi"/>
          <w:szCs w:val="18"/>
          <w:lang w:val="es-ES"/>
        </w:rPr>
        <w:t>.</w:t>
      </w:r>
    </w:p>
  </w:footnote>
  <w:footnote w:id="118">
    <w:p w14:paraId="672CB517" w14:textId="75DB51D1" w:rsidR="00DC22DE" w:rsidRPr="00EA7479" w:rsidRDefault="00DC22DE" w:rsidP="00DC22DE">
      <w:pPr>
        <w:pStyle w:val="Notedebasdepage"/>
        <w:rPr>
          <w:rFonts w:cstheme="minorHAnsi"/>
          <w:szCs w:val="18"/>
        </w:rPr>
      </w:pPr>
      <w:r w:rsidRPr="00830EA7">
        <w:rPr>
          <w:rFonts w:cstheme="minorHAnsi"/>
          <w:szCs w:val="18"/>
          <w:lang w:val="es-ES"/>
        </w:rPr>
        <w:tab/>
      </w:r>
      <w:r w:rsidRPr="00EA7479">
        <w:rPr>
          <w:rStyle w:val="Appelnotedebasdep"/>
        </w:rPr>
        <w:footnoteRef/>
      </w:r>
      <w:r w:rsidRPr="00EA7479">
        <w:rPr>
          <w:rFonts w:cstheme="minorHAnsi"/>
          <w:szCs w:val="18"/>
        </w:rPr>
        <w:tab/>
      </w:r>
      <w:bookmarkStart w:id="31" w:name="_GoBack"/>
      <w:bookmarkEnd w:id="31"/>
      <w:r w:rsidR="00830EA7">
        <w:rPr>
          <w:rFonts w:cstheme="minorHAnsi"/>
          <w:szCs w:val="18"/>
          <w:lang w:val="fr-FR"/>
        </w:rPr>
        <w:fldChar w:fldCharType="begin"/>
      </w:r>
      <w:r w:rsidR="00830EA7">
        <w:rPr>
          <w:rFonts w:cstheme="minorHAnsi"/>
          <w:szCs w:val="18"/>
          <w:lang w:val="fr-FR"/>
        </w:rPr>
        <w:instrText>HYPERLINK "https://documents-dds-ny.un.org/doc/UNDOC/GEN/G22/343/17/pdf/G2234317.pdf?OpenElement"</w:instrText>
      </w:r>
      <w:r w:rsidR="00830EA7">
        <w:rPr>
          <w:rFonts w:cstheme="minorHAnsi"/>
          <w:szCs w:val="18"/>
          <w:lang w:val="fr-FR"/>
        </w:rPr>
      </w:r>
      <w:r w:rsidR="00830EA7">
        <w:rPr>
          <w:rFonts w:cstheme="minorHAnsi"/>
          <w:szCs w:val="18"/>
          <w:lang w:val="fr-FR"/>
        </w:rPr>
        <w:fldChar w:fldCharType="separate"/>
      </w:r>
      <w:r w:rsidR="00830EA7">
        <w:rPr>
          <w:rStyle w:val="Lienhypertexte"/>
          <w:rFonts w:cstheme="minorHAnsi"/>
          <w:szCs w:val="18"/>
          <w:lang w:val="fr-FR"/>
        </w:rPr>
        <w:t>CED/C/MEX/VR/1 (</w:t>
      </w:r>
      <w:proofErr w:type="spellStart"/>
      <w:r w:rsidR="00830EA7">
        <w:rPr>
          <w:rStyle w:val="Lienhypertexte"/>
          <w:rFonts w:cstheme="minorHAnsi"/>
          <w:szCs w:val="18"/>
          <w:lang w:val="fr-FR"/>
        </w:rPr>
        <w:t>R</w:t>
      </w:r>
      <w:r w:rsidR="00830EA7">
        <w:rPr>
          <w:rStyle w:val="Lienhypertexte"/>
          <w:rFonts w:cstheme="minorHAnsi"/>
          <w:szCs w:val="18"/>
          <w:lang w:val="fr-FR"/>
        </w:rPr>
        <w:t>e</w:t>
      </w:r>
      <w:r w:rsidR="00830EA7">
        <w:rPr>
          <w:rStyle w:val="Lienhypertexte"/>
          <w:rFonts w:cstheme="minorHAnsi"/>
          <w:szCs w:val="18"/>
          <w:lang w:val="fr-FR"/>
        </w:rPr>
        <w:t>com</w:t>
      </w:r>
      <w:r w:rsidR="00830EA7">
        <w:rPr>
          <w:rStyle w:val="Lienhypertexte"/>
          <w:rFonts w:cstheme="minorHAnsi"/>
          <w:szCs w:val="18"/>
          <w:lang w:val="fr-FR"/>
        </w:rPr>
        <w:t>m</w:t>
      </w:r>
      <w:r w:rsidR="00830EA7">
        <w:rPr>
          <w:rStyle w:val="Lienhypertexte"/>
          <w:rFonts w:cstheme="minorHAnsi"/>
          <w:szCs w:val="18"/>
          <w:lang w:val="fr-FR"/>
        </w:rPr>
        <w:t>endations</w:t>
      </w:r>
      <w:proofErr w:type="spellEnd"/>
      <w:r w:rsidR="00830EA7">
        <w:rPr>
          <w:rStyle w:val="Lienhypertexte"/>
          <w:rFonts w:cstheme="minorHAnsi"/>
          <w:szCs w:val="18"/>
          <w:lang w:val="fr-FR"/>
        </w:rPr>
        <w:t>)</w:t>
      </w:r>
      <w:r w:rsidR="00830EA7">
        <w:rPr>
          <w:rFonts w:cstheme="minorHAnsi"/>
          <w:szCs w:val="18"/>
          <w:lang w:val="fr-FR"/>
        </w:rPr>
        <w:fldChar w:fldCharType="end"/>
      </w:r>
      <w:r w:rsidRPr="00EA7479">
        <w:rPr>
          <w:rFonts w:cstheme="minorHAnsi"/>
          <w:szCs w:val="18"/>
        </w:rPr>
        <w:t xml:space="preserve">, </w:t>
      </w:r>
      <w:r w:rsidR="00562F45">
        <w:rPr>
          <w:rFonts w:cstheme="minorHAnsi"/>
          <w:szCs w:val="18"/>
        </w:rPr>
        <w:t>par. </w:t>
      </w:r>
      <w:r w:rsidRPr="00EA7479">
        <w:rPr>
          <w:rFonts w:cstheme="minorHAnsi"/>
          <w:szCs w:val="18"/>
        </w:rPr>
        <w:t>52.</w:t>
      </w:r>
    </w:p>
  </w:footnote>
  <w:footnote w:id="119">
    <w:p w14:paraId="392C13A4" w14:textId="7D5ACCA7" w:rsidR="00DC22DE" w:rsidRPr="00EA7479" w:rsidRDefault="00DC22DE" w:rsidP="00DC22DE">
      <w:pPr>
        <w:pStyle w:val="Notedebasdepage"/>
        <w:rPr>
          <w:rFonts w:cstheme="minorHAnsi"/>
          <w:szCs w:val="18"/>
        </w:rPr>
      </w:pPr>
      <w:r w:rsidRPr="00EA7479">
        <w:rPr>
          <w:rFonts w:cstheme="minorHAnsi"/>
          <w:szCs w:val="18"/>
        </w:rPr>
        <w:tab/>
      </w:r>
      <w:r w:rsidRPr="00EA7479">
        <w:rPr>
          <w:rStyle w:val="Appelnotedebasdep"/>
        </w:rPr>
        <w:footnoteRef/>
      </w:r>
      <w:r w:rsidRPr="00EA7479">
        <w:rPr>
          <w:rFonts w:cstheme="minorHAnsi"/>
          <w:szCs w:val="18"/>
        </w:rPr>
        <w:tab/>
      </w:r>
      <w:r>
        <w:t>Principes directeurs concernant la recherche de personnes disparues</w:t>
      </w:r>
      <w:r w:rsidRPr="00EA7479">
        <w:rPr>
          <w:rFonts w:cstheme="minorHAnsi"/>
          <w:szCs w:val="18"/>
        </w:rPr>
        <w:t>, principes 9 (</w:t>
      </w:r>
      <w:r w:rsidR="00562F45">
        <w:rPr>
          <w:rFonts w:cstheme="minorHAnsi"/>
          <w:szCs w:val="18"/>
        </w:rPr>
        <w:t>par. </w:t>
      </w:r>
      <w:r w:rsidRPr="00EA7479">
        <w:rPr>
          <w:rFonts w:cstheme="minorHAnsi"/>
          <w:szCs w:val="18"/>
        </w:rPr>
        <w:t>3</w:t>
      </w:r>
      <w:r>
        <w:rPr>
          <w:rFonts w:cstheme="minorHAnsi"/>
          <w:szCs w:val="18"/>
        </w:rPr>
        <w:t xml:space="preserve"> et </w:t>
      </w:r>
      <w:r w:rsidRPr="00EA7479">
        <w:rPr>
          <w:rFonts w:cstheme="minorHAnsi"/>
          <w:szCs w:val="18"/>
        </w:rPr>
        <w:t xml:space="preserve">4), 11 </w:t>
      </w:r>
      <w:r>
        <w:rPr>
          <w:rFonts w:cstheme="minorHAnsi"/>
          <w:szCs w:val="18"/>
        </w:rPr>
        <w:t>et</w:t>
      </w:r>
      <w:r w:rsidRPr="00EA7479">
        <w:rPr>
          <w:rFonts w:cstheme="minorHAnsi"/>
          <w:szCs w:val="18"/>
        </w:rPr>
        <w:t xml:space="preserve"> 12</w:t>
      </w:r>
      <w:r w:rsidR="00634635">
        <w:rPr>
          <w:rFonts w:cstheme="minorHAnsi"/>
          <w:szCs w:val="18"/>
        </w:rPr>
        <w:t> ;</w:t>
      </w:r>
      <w:r w:rsidRPr="00EA7479">
        <w:rPr>
          <w:rFonts w:cstheme="minorHAnsi"/>
          <w:szCs w:val="18"/>
        </w:rPr>
        <w:t xml:space="preserve"> </w:t>
      </w:r>
      <w:hyperlink r:id="rId139" w:history="1">
        <w:r w:rsidR="00830EA7">
          <w:rPr>
            <w:rStyle w:val="Lienhypertexte"/>
            <w:rFonts w:cstheme="minorHAnsi"/>
            <w:szCs w:val="18"/>
          </w:rPr>
          <w:t>CED/C/MNE/CO/1</w:t>
        </w:r>
      </w:hyperlink>
      <w:r w:rsidRPr="00EA7479">
        <w:rPr>
          <w:rFonts w:cstheme="minorHAnsi"/>
          <w:szCs w:val="18"/>
        </w:rPr>
        <w:t xml:space="preserve">, </w:t>
      </w:r>
      <w:r w:rsidR="00562F45">
        <w:rPr>
          <w:rFonts w:cstheme="minorHAnsi"/>
          <w:szCs w:val="18"/>
        </w:rPr>
        <w:t>par. </w:t>
      </w:r>
      <w:r w:rsidRPr="00EA7479">
        <w:rPr>
          <w:rFonts w:cstheme="minorHAnsi"/>
          <w:szCs w:val="18"/>
        </w:rPr>
        <w:t>12 à 15</w:t>
      </w:r>
      <w:r w:rsidR="00634635">
        <w:rPr>
          <w:rFonts w:cstheme="minorHAnsi"/>
          <w:szCs w:val="18"/>
        </w:rPr>
        <w:t> ;</w:t>
      </w:r>
      <w:r w:rsidRPr="00EA7479">
        <w:rPr>
          <w:rFonts w:cstheme="minorHAnsi"/>
          <w:szCs w:val="18"/>
        </w:rPr>
        <w:t xml:space="preserve"> </w:t>
      </w:r>
      <w:hyperlink r:id="rId140" w:history="1">
        <w:r w:rsidR="00830EA7">
          <w:rPr>
            <w:rStyle w:val="Lienhypertexte"/>
            <w:rFonts w:cstheme="minorHAnsi"/>
            <w:szCs w:val="18"/>
          </w:rPr>
          <w:t>CED/C/ITA/CO/1</w:t>
        </w:r>
      </w:hyperlink>
      <w:r w:rsidRPr="00EA7479">
        <w:rPr>
          <w:rFonts w:cstheme="minorHAnsi"/>
          <w:szCs w:val="18"/>
        </w:rPr>
        <w:t xml:space="preserve">, </w:t>
      </w:r>
      <w:r w:rsidR="00562F45">
        <w:rPr>
          <w:rFonts w:cstheme="minorHAnsi"/>
          <w:szCs w:val="18"/>
        </w:rPr>
        <w:t>par. </w:t>
      </w:r>
      <w:r w:rsidRPr="00EA7479">
        <w:rPr>
          <w:rFonts w:cstheme="minorHAnsi"/>
          <w:szCs w:val="18"/>
        </w:rPr>
        <w:t>24</w:t>
      </w:r>
      <w:r>
        <w:rPr>
          <w:rFonts w:cstheme="minorHAnsi"/>
          <w:szCs w:val="18"/>
        </w:rPr>
        <w:t xml:space="preserve"> et </w:t>
      </w:r>
      <w:r w:rsidRPr="00EA7479">
        <w:rPr>
          <w:rFonts w:cstheme="minorHAnsi"/>
          <w:szCs w:val="18"/>
        </w:rPr>
        <w:t>25.</w:t>
      </w:r>
    </w:p>
  </w:footnote>
  <w:footnote w:id="120">
    <w:p w14:paraId="6AFA3DB6" w14:textId="3EA042E4" w:rsidR="00DC22DE" w:rsidRPr="00EA7479" w:rsidRDefault="00DC22DE" w:rsidP="00DC22DE">
      <w:pPr>
        <w:pStyle w:val="Notedebasdepage"/>
        <w:rPr>
          <w:rFonts w:cstheme="minorHAnsi"/>
          <w:szCs w:val="18"/>
        </w:rPr>
      </w:pPr>
      <w:r w:rsidRPr="00EA7479">
        <w:rPr>
          <w:rFonts w:cstheme="minorHAnsi"/>
          <w:szCs w:val="18"/>
        </w:rPr>
        <w:tab/>
      </w:r>
      <w:r w:rsidRPr="00EA7479">
        <w:rPr>
          <w:rStyle w:val="Appelnotedebasdep"/>
        </w:rPr>
        <w:footnoteRef/>
      </w:r>
      <w:r w:rsidRPr="00EA7479">
        <w:rPr>
          <w:rFonts w:cstheme="minorHAnsi"/>
          <w:szCs w:val="18"/>
        </w:rPr>
        <w:tab/>
      </w:r>
      <w:r>
        <w:t>Pacte mondial pour des migrations sûres, ordonnées et régulières, objectif 8.</w:t>
      </w:r>
      <w:r w:rsidRPr="00EA7479" w:rsidDel="00F84EF1">
        <w:rPr>
          <w:rFonts w:cstheme="minorHAnsi"/>
          <w:szCs w:val="18"/>
        </w:rPr>
        <w:t xml:space="preserve"> </w:t>
      </w:r>
      <w:r w:rsidRPr="00EA7479">
        <w:rPr>
          <w:rFonts w:cstheme="minorHAnsi"/>
          <w:szCs w:val="18"/>
          <w:lang w:val="fr-FR"/>
        </w:rPr>
        <w:t xml:space="preserve">d). </w:t>
      </w:r>
      <w:r w:rsidRPr="00EA7479">
        <w:rPr>
          <w:rFonts w:cstheme="minorHAnsi"/>
          <w:szCs w:val="18"/>
        </w:rPr>
        <w:t xml:space="preserve">Voir aussi, par exemple, CICR, </w:t>
      </w:r>
      <w:r w:rsidRPr="00396D7B">
        <w:rPr>
          <w:i/>
          <w:iCs/>
          <w:szCs w:val="18"/>
        </w:rPr>
        <w:t>Lignes directrices relatives aux mécanismes de coordination et d</w:t>
      </w:r>
      <w:r w:rsidR="003A234B">
        <w:rPr>
          <w:i/>
          <w:iCs/>
          <w:szCs w:val="18"/>
        </w:rPr>
        <w:t>’</w:t>
      </w:r>
      <w:r w:rsidRPr="00396D7B">
        <w:rPr>
          <w:i/>
          <w:iCs/>
          <w:szCs w:val="18"/>
        </w:rPr>
        <w:t>échange d</w:t>
      </w:r>
      <w:r w:rsidR="003A234B">
        <w:rPr>
          <w:i/>
          <w:iCs/>
          <w:szCs w:val="18"/>
        </w:rPr>
        <w:t>’</w:t>
      </w:r>
      <w:r w:rsidRPr="00396D7B">
        <w:rPr>
          <w:i/>
          <w:iCs/>
          <w:szCs w:val="18"/>
        </w:rPr>
        <w:t>informations concernant la recherche de migrants disparus</w:t>
      </w:r>
      <w:r w:rsidRPr="00EA7479">
        <w:t xml:space="preserve">. </w:t>
      </w:r>
    </w:p>
  </w:footnote>
  <w:footnote w:id="121">
    <w:p w14:paraId="1D1E65BB" w14:textId="58DCB4C8" w:rsidR="00DC22DE" w:rsidRPr="00EA7479" w:rsidRDefault="00DC22DE" w:rsidP="00DC22DE">
      <w:pPr>
        <w:pStyle w:val="Notedebasdepage"/>
        <w:rPr>
          <w:rFonts w:cstheme="minorHAnsi"/>
          <w:szCs w:val="18"/>
        </w:rPr>
      </w:pPr>
      <w:r w:rsidRPr="00EA7479">
        <w:rPr>
          <w:rFonts w:cstheme="minorHAnsi"/>
          <w:szCs w:val="18"/>
        </w:rPr>
        <w:tab/>
      </w:r>
      <w:r w:rsidRPr="00EA7479">
        <w:rPr>
          <w:rStyle w:val="Appelnotedebasdep"/>
        </w:rPr>
        <w:footnoteRef/>
      </w:r>
      <w:r w:rsidRPr="00EA7479">
        <w:rPr>
          <w:rFonts w:cstheme="minorHAnsi"/>
          <w:szCs w:val="18"/>
        </w:rPr>
        <w:tab/>
        <w:t xml:space="preserve">CICR, </w:t>
      </w:r>
      <w:r w:rsidRPr="00396D7B">
        <w:rPr>
          <w:i/>
          <w:iCs/>
          <w:szCs w:val="18"/>
        </w:rPr>
        <w:t>Lignes directrices relatives aux mécanismes de coordination et d</w:t>
      </w:r>
      <w:r w:rsidR="003A234B">
        <w:rPr>
          <w:i/>
          <w:iCs/>
          <w:szCs w:val="18"/>
        </w:rPr>
        <w:t>’</w:t>
      </w:r>
      <w:r w:rsidRPr="00396D7B">
        <w:rPr>
          <w:i/>
          <w:iCs/>
          <w:szCs w:val="18"/>
        </w:rPr>
        <w:t>échange d</w:t>
      </w:r>
      <w:r w:rsidR="003A234B">
        <w:rPr>
          <w:i/>
          <w:iCs/>
          <w:szCs w:val="18"/>
        </w:rPr>
        <w:t>’</w:t>
      </w:r>
      <w:r w:rsidRPr="00396D7B">
        <w:rPr>
          <w:i/>
          <w:iCs/>
          <w:szCs w:val="18"/>
        </w:rPr>
        <w:t>informations concernant la recherche de migrants disparus</w:t>
      </w:r>
      <w:r w:rsidR="00634635">
        <w:rPr>
          <w:rFonts w:cstheme="minorHAnsi"/>
          <w:szCs w:val="18"/>
        </w:rPr>
        <w:t> ;</w:t>
      </w:r>
      <w:r w:rsidRPr="00EA7479">
        <w:rPr>
          <w:rFonts w:cstheme="minorHAnsi"/>
          <w:szCs w:val="18"/>
        </w:rPr>
        <w:t xml:space="preserve"> </w:t>
      </w:r>
      <w:r w:rsidRPr="00EA7479">
        <w:t>Conférence régionale sur les migrations</w:t>
      </w:r>
      <w:r w:rsidRPr="00EA7479">
        <w:rPr>
          <w:rFonts w:cstheme="minorHAnsi"/>
          <w:szCs w:val="18"/>
        </w:rPr>
        <w:t xml:space="preserve">, </w:t>
      </w:r>
      <w:proofErr w:type="spellStart"/>
      <w:r w:rsidRPr="00EA7479">
        <w:rPr>
          <w:rFonts w:cstheme="minorHAnsi"/>
          <w:i/>
          <w:iCs/>
          <w:szCs w:val="18"/>
        </w:rPr>
        <w:t>Recommendations</w:t>
      </w:r>
      <w:proofErr w:type="spellEnd"/>
      <w:r w:rsidRPr="00EA7479">
        <w:rPr>
          <w:rFonts w:cstheme="minorHAnsi"/>
          <w:i/>
          <w:iCs/>
          <w:szCs w:val="18"/>
        </w:rPr>
        <w:t xml:space="preserve"> on </w:t>
      </w:r>
      <w:proofErr w:type="spellStart"/>
      <w:r w:rsidRPr="00EA7479">
        <w:rPr>
          <w:rFonts w:cstheme="minorHAnsi"/>
          <w:i/>
          <w:iCs/>
          <w:szCs w:val="18"/>
        </w:rPr>
        <w:t>regional</w:t>
      </w:r>
      <w:proofErr w:type="spellEnd"/>
      <w:r w:rsidRPr="00EA7479">
        <w:rPr>
          <w:rFonts w:cstheme="minorHAnsi"/>
          <w:i/>
          <w:iCs/>
          <w:szCs w:val="18"/>
        </w:rPr>
        <w:t xml:space="preserve"> coordination and information exchange </w:t>
      </w:r>
      <w:proofErr w:type="spellStart"/>
      <w:r w:rsidRPr="00EA7479">
        <w:rPr>
          <w:rFonts w:cstheme="minorHAnsi"/>
          <w:i/>
          <w:iCs/>
          <w:szCs w:val="18"/>
        </w:rPr>
        <w:t>mechanisms</w:t>
      </w:r>
      <w:proofErr w:type="spellEnd"/>
      <w:r w:rsidRPr="00EA7479">
        <w:rPr>
          <w:rFonts w:cstheme="minorHAnsi"/>
          <w:i/>
          <w:iCs/>
          <w:szCs w:val="18"/>
        </w:rPr>
        <w:t xml:space="preserve"> in the </w:t>
      </w:r>
      <w:proofErr w:type="spellStart"/>
      <w:r w:rsidRPr="00EA7479">
        <w:rPr>
          <w:rFonts w:cstheme="minorHAnsi"/>
          <w:i/>
          <w:iCs/>
          <w:szCs w:val="18"/>
        </w:rPr>
        <w:t>search</w:t>
      </w:r>
      <w:proofErr w:type="spellEnd"/>
      <w:r w:rsidRPr="00EA7479">
        <w:rPr>
          <w:rFonts w:cstheme="minorHAnsi"/>
          <w:i/>
          <w:iCs/>
          <w:szCs w:val="18"/>
        </w:rPr>
        <w:t xml:space="preserve"> for </w:t>
      </w:r>
      <w:proofErr w:type="spellStart"/>
      <w:r w:rsidRPr="00EA7479">
        <w:rPr>
          <w:rFonts w:cstheme="minorHAnsi"/>
          <w:i/>
          <w:iCs/>
          <w:szCs w:val="18"/>
        </w:rPr>
        <w:t>missing</w:t>
      </w:r>
      <w:proofErr w:type="spellEnd"/>
      <w:r w:rsidRPr="00EA7479">
        <w:rPr>
          <w:rFonts w:cstheme="minorHAnsi"/>
          <w:i/>
          <w:iCs/>
          <w:szCs w:val="18"/>
        </w:rPr>
        <w:t xml:space="preserve"> </w:t>
      </w:r>
      <w:proofErr w:type="spellStart"/>
      <w:r w:rsidRPr="00EA7479">
        <w:rPr>
          <w:rFonts w:cstheme="minorHAnsi"/>
          <w:i/>
          <w:iCs/>
          <w:szCs w:val="18"/>
        </w:rPr>
        <w:t>persons</w:t>
      </w:r>
      <w:proofErr w:type="spellEnd"/>
      <w:r w:rsidRPr="00EA7479">
        <w:rPr>
          <w:rFonts w:cstheme="minorHAnsi"/>
          <w:i/>
          <w:iCs/>
          <w:szCs w:val="18"/>
        </w:rPr>
        <w:t xml:space="preserve"> in the </w:t>
      </w:r>
      <w:proofErr w:type="spellStart"/>
      <w:r w:rsidRPr="00EA7479">
        <w:rPr>
          <w:rFonts w:cstheme="minorHAnsi"/>
          <w:i/>
          <w:iCs/>
          <w:szCs w:val="18"/>
        </w:rPr>
        <w:t>context</w:t>
      </w:r>
      <w:proofErr w:type="spellEnd"/>
      <w:r w:rsidRPr="00EA7479">
        <w:rPr>
          <w:rFonts w:cstheme="minorHAnsi"/>
          <w:i/>
          <w:iCs/>
          <w:szCs w:val="18"/>
        </w:rPr>
        <w:t xml:space="preserve"> of migration</w:t>
      </w:r>
      <w:r w:rsidRPr="00EA7479">
        <w:t xml:space="preserve">. </w:t>
      </w:r>
      <w:r>
        <w:t>Ces dernières recommandations visent à aider les États membres de la Conférence régionale sur les migrations à optimiser les mécanismes existants d</w:t>
      </w:r>
      <w:r w:rsidR="003A234B">
        <w:t>’</w:t>
      </w:r>
      <w:r>
        <w:t>échange d</w:t>
      </w:r>
      <w:r w:rsidR="003A234B">
        <w:t>’</w:t>
      </w:r>
      <w:r>
        <w:t>informations afin de faciliter la recherche des migrants disparus</w:t>
      </w:r>
      <w:r w:rsidRPr="00EA7479">
        <w:rPr>
          <w:rFonts w:cstheme="minorHAnsi"/>
          <w:szCs w:val="18"/>
        </w:rPr>
        <w:t xml:space="preserve">. </w:t>
      </w:r>
      <w:r>
        <w:t>Elles comprennent un ensemble de critères pour l</w:t>
      </w:r>
      <w:r w:rsidR="003A234B">
        <w:t>’</w:t>
      </w:r>
      <w:r>
        <w:t>échange d</w:t>
      </w:r>
      <w:r w:rsidR="003A234B">
        <w:t>’</w:t>
      </w:r>
      <w:r>
        <w:t>informations et la normalisation des processus, notamment des critères pour la collecte de données auprès des proches des personnes disparues, la consignation d</w:t>
      </w:r>
      <w:r w:rsidR="003A234B">
        <w:t>’</w:t>
      </w:r>
      <w:r>
        <w:t>informations médico-légales concernant des personnes décédées non identifiées, les bases de données nationales et la protection des données (p. 8 à 10)</w:t>
      </w:r>
      <w:r w:rsidRPr="00EA7479">
        <w:rPr>
          <w:rFonts w:cstheme="minorHAnsi"/>
          <w:szCs w:val="18"/>
        </w:rPr>
        <w:t xml:space="preserve">. </w:t>
      </w:r>
      <w:r>
        <w:t>Certaines recommandations portent spécifiquement sur les mécanismes d</w:t>
      </w:r>
      <w:r w:rsidR="003A234B">
        <w:t>’</w:t>
      </w:r>
      <w:r>
        <w:t>échange d</w:t>
      </w:r>
      <w:r w:rsidR="003A234B">
        <w:t>’</w:t>
      </w:r>
      <w:r>
        <w:t>informations existant dans la région (Mexique, États</w:t>
      </w:r>
      <w:r w:rsidR="00690E4F">
        <w:noBreakHyphen/>
      </w:r>
      <w:r>
        <w:t>Unis d</w:t>
      </w:r>
      <w:r w:rsidR="003A234B">
        <w:t>’</w:t>
      </w:r>
      <w:r>
        <w:t>Amérique et Amérique centrale, p. 11 à 17)</w:t>
      </w:r>
      <w:r w:rsidRPr="00124132">
        <w:t xml:space="preserve"> </w:t>
      </w:r>
      <w:r>
        <w:t>et sur le rôle des autorités consulaires et des ministères des affaires étrangères dans la recherche des migrants disparus.</w:t>
      </w:r>
      <w:r w:rsidRPr="00124132" w:rsidDel="00124132">
        <w:rPr>
          <w:rFonts w:cstheme="minorHAnsi"/>
          <w:szCs w:val="18"/>
        </w:rPr>
        <w:t xml:space="preserve"> </w:t>
      </w:r>
    </w:p>
  </w:footnote>
  <w:footnote w:id="122">
    <w:p w14:paraId="32317F17" w14:textId="0D5CF6D9" w:rsidR="00DC22DE" w:rsidRPr="00EA7479" w:rsidRDefault="00DC22DE" w:rsidP="00DC22DE">
      <w:pPr>
        <w:pStyle w:val="Notedebasdepage"/>
        <w:rPr>
          <w:rFonts w:cstheme="minorHAnsi"/>
          <w:szCs w:val="18"/>
        </w:rPr>
      </w:pPr>
      <w:r w:rsidRPr="00EA7479">
        <w:rPr>
          <w:rFonts w:cstheme="minorHAnsi"/>
          <w:szCs w:val="18"/>
        </w:rPr>
        <w:tab/>
      </w:r>
      <w:r w:rsidRPr="00EA7479">
        <w:rPr>
          <w:rStyle w:val="Appelnotedebasdep"/>
        </w:rPr>
        <w:footnoteRef/>
      </w:r>
      <w:r w:rsidRPr="00EA7479">
        <w:rPr>
          <w:rFonts w:cstheme="minorHAnsi"/>
          <w:szCs w:val="18"/>
        </w:rPr>
        <w:tab/>
      </w:r>
      <w:r>
        <w:rPr>
          <w:rStyle w:val="termfield"/>
          <w:lang w:val="fr-FR"/>
        </w:rPr>
        <w:t>Groupe de travail sur les disparitions forcées ou involontaires</w:t>
      </w:r>
      <w:r w:rsidRPr="00EA7479">
        <w:t>,</w:t>
      </w:r>
      <w:r w:rsidRPr="00EA7479">
        <w:rPr>
          <w:rFonts w:cstheme="minorHAnsi"/>
          <w:szCs w:val="18"/>
        </w:rPr>
        <w:t xml:space="preserve"> </w:t>
      </w:r>
      <w:r>
        <w:t xml:space="preserve">observation générale sur le droit à la vérité dans le contexte des disparitions forcées (2010), </w:t>
      </w:r>
      <w:r w:rsidR="00562F45">
        <w:t>par. </w:t>
      </w:r>
      <w:r>
        <w:t>9</w:t>
      </w:r>
      <w:r w:rsidR="00634635">
        <w:t> ;</w:t>
      </w:r>
      <w:r>
        <w:t xml:space="preserve"> </w:t>
      </w:r>
      <w:r>
        <w:rPr>
          <w:rStyle w:val="termfield"/>
          <w:lang w:val="fr-FR"/>
        </w:rPr>
        <w:t>Ensemble de principes actualisé pour la protection et la promotion des droits de l</w:t>
      </w:r>
      <w:r w:rsidR="003A234B">
        <w:rPr>
          <w:rStyle w:val="termfield"/>
          <w:lang w:val="fr-FR"/>
        </w:rPr>
        <w:t>’</w:t>
      </w:r>
      <w:r>
        <w:rPr>
          <w:rStyle w:val="termfield"/>
          <w:lang w:val="fr-FR"/>
        </w:rPr>
        <w:t>homme par la lutte contre l</w:t>
      </w:r>
      <w:r w:rsidR="003A234B">
        <w:rPr>
          <w:rStyle w:val="termfield"/>
          <w:lang w:val="fr-FR"/>
        </w:rPr>
        <w:t>’</w:t>
      </w:r>
      <w:r>
        <w:rPr>
          <w:rStyle w:val="termfield"/>
          <w:lang w:val="fr-FR"/>
        </w:rPr>
        <w:t>impunité</w:t>
      </w:r>
      <w:r w:rsidRPr="00EA7479">
        <w:rPr>
          <w:rFonts w:cstheme="minorHAnsi"/>
          <w:szCs w:val="18"/>
        </w:rPr>
        <w:t>, princip</w:t>
      </w:r>
      <w:r>
        <w:rPr>
          <w:rFonts w:cstheme="minorHAnsi"/>
          <w:szCs w:val="18"/>
        </w:rPr>
        <w:t>es</w:t>
      </w:r>
      <w:r w:rsidRPr="00EA7479">
        <w:rPr>
          <w:rFonts w:cstheme="minorHAnsi"/>
          <w:szCs w:val="18"/>
        </w:rPr>
        <w:t xml:space="preserve"> 16 </w:t>
      </w:r>
      <w:r>
        <w:rPr>
          <w:rFonts w:cstheme="minorHAnsi"/>
          <w:szCs w:val="18"/>
        </w:rPr>
        <w:t>et</w:t>
      </w:r>
      <w:r w:rsidRPr="00EA7479">
        <w:rPr>
          <w:rFonts w:cstheme="minorHAnsi"/>
          <w:szCs w:val="18"/>
        </w:rPr>
        <w:t xml:space="preserve"> 17</w:t>
      </w:r>
      <w:r w:rsidR="00634635">
        <w:rPr>
          <w:rFonts w:cstheme="minorHAnsi"/>
          <w:szCs w:val="18"/>
        </w:rPr>
        <w:t> ;</w:t>
      </w:r>
      <w:r w:rsidRPr="00EA7479">
        <w:rPr>
          <w:rFonts w:cstheme="minorHAnsi"/>
          <w:szCs w:val="18"/>
        </w:rPr>
        <w:t xml:space="preserve"> </w:t>
      </w:r>
      <w:r>
        <w:t>Principes directeurs concernant la recherche de personnes disparues, principes 11 et 12</w:t>
      </w:r>
      <w:r w:rsidR="00634635">
        <w:t> ;</w:t>
      </w:r>
      <w:r>
        <w:t xml:space="preserve"> </w:t>
      </w:r>
      <w:hyperlink r:id="rId141" w:history="1">
        <w:r w:rsidR="00690E4F">
          <w:rPr>
            <w:rStyle w:val="Lienhypertexte"/>
            <w:rFonts w:cstheme="minorHAnsi"/>
            <w:szCs w:val="18"/>
          </w:rPr>
          <w:t>CED/C/GAB/CO/1</w:t>
        </w:r>
      </w:hyperlink>
      <w:r w:rsidRPr="00EA7479">
        <w:rPr>
          <w:rFonts w:cstheme="minorHAnsi"/>
          <w:szCs w:val="18"/>
        </w:rPr>
        <w:t xml:space="preserve">, </w:t>
      </w:r>
      <w:r w:rsidR="00562F45">
        <w:rPr>
          <w:rFonts w:cstheme="minorHAnsi"/>
          <w:szCs w:val="18"/>
        </w:rPr>
        <w:t>par. </w:t>
      </w:r>
      <w:r w:rsidRPr="00EA7479">
        <w:rPr>
          <w:rFonts w:cstheme="minorHAnsi"/>
          <w:szCs w:val="18"/>
        </w:rPr>
        <w:t>19</w:t>
      </w:r>
      <w:r>
        <w:rPr>
          <w:rFonts w:cstheme="minorHAnsi"/>
          <w:szCs w:val="18"/>
        </w:rPr>
        <w:t xml:space="preserve"> et </w:t>
      </w:r>
      <w:r w:rsidRPr="00EA7479">
        <w:rPr>
          <w:rFonts w:cstheme="minorHAnsi"/>
          <w:szCs w:val="18"/>
        </w:rPr>
        <w:t>20.</w:t>
      </w:r>
    </w:p>
  </w:footnote>
  <w:footnote w:id="123">
    <w:p w14:paraId="2FE56C20" w14:textId="7DC5CB16" w:rsidR="00DC22DE" w:rsidRPr="00EA7479" w:rsidRDefault="00DC22DE" w:rsidP="00DC22DE">
      <w:pPr>
        <w:pStyle w:val="Notedebasdepage"/>
        <w:rPr>
          <w:rFonts w:cstheme="minorHAnsi"/>
          <w:szCs w:val="18"/>
        </w:rPr>
      </w:pPr>
      <w:r w:rsidRPr="00EA7479">
        <w:rPr>
          <w:rFonts w:cstheme="minorHAnsi"/>
          <w:szCs w:val="18"/>
        </w:rPr>
        <w:tab/>
      </w:r>
      <w:r w:rsidRPr="00EA7479">
        <w:rPr>
          <w:rStyle w:val="Appelnotedebasdep"/>
        </w:rPr>
        <w:footnoteRef/>
      </w:r>
      <w:r w:rsidRPr="00EA7479">
        <w:rPr>
          <w:rFonts w:cstheme="minorHAnsi"/>
          <w:szCs w:val="18"/>
        </w:rPr>
        <w:tab/>
      </w:r>
      <w:r>
        <w:rPr>
          <w:rFonts w:cstheme="minorHAnsi"/>
          <w:szCs w:val="18"/>
        </w:rPr>
        <w:t>Par exemple</w:t>
      </w:r>
      <w:r w:rsidRPr="00EA7479">
        <w:rPr>
          <w:rFonts w:cstheme="minorHAnsi"/>
          <w:szCs w:val="18"/>
        </w:rPr>
        <w:t xml:space="preserve">, le </w:t>
      </w:r>
      <w:proofErr w:type="spellStart"/>
      <w:r w:rsidRPr="00EA7479">
        <w:rPr>
          <w:rFonts w:cstheme="minorHAnsi"/>
          <w:i/>
          <w:iCs/>
          <w:szCs w:val="18"/>
        </w:rPr>
        <w:t>Mecanismo</w:t>
      </w:r>
      <w:proofErr w:type="spellEnd"/>
      <w:r w:rsidRPr="00EA7479">
        <w:rPr>
          <w:rFonts w:cstheme="minorHAnsi"/>
          <w:i/>
          <w:iCs/>
          <w:szCs w:val="18"/>
        </w:rPr>
        <w:t xml:space="preserve"> de </w:t>
      </w:r>
      <w:proofErr w:type="spellStart"/>
      <w:r w:rsidRPr="00EA7479">
        <w:rPr>
          <w:rFonts w:cstheme="minorHAnsi"/>
          <w:i/>
          <w:iCs/>
          <w:szCs w:val="18"/>
        </w:rPr>
        <w:t>Apoyo</w:t>
      </w:r>
      <w:proofErr w:type="spellEnd"/>
      <w:r w:rsidRPr="00EA7479">
        <w:rPr>
          <w:rFonts w:cstheme="minorHAnsi"/>
          <w:i/>
          <w:iCs/>
          <w:szCs w:val="18"/>
        </w:rPr>
        <w:t xml:space="preserve"> </w:t>
      </w:r>
      <w:proofErr w:type="spellStart"/>
      <w:r w:rsidRPr="00EA7479">
        <w:rPr>
          <w:rFonts w:cstheme="minorHAnsi"/>
          <w:i/>
          <w:iCs/>
          <w:szCs w:val="18"/>
        </w:rPr>
        <w:t>Exterior</w:t>
      </w:r>
      <w:proofErr w:type="spellEnd"/>
      <w:r w:rsidRPr="00EA7479">
        <w:rPr>
          <w:rFonts w:cstheme="minorHAnsi"/>
          <w:szCs w:val="18"/>
        </w:rPr>
        <w:t xml:space="preserve">, </w:t>
      </w:r>
      <w:r>
        <w:t>mécanisme d</w:t>
      </w:r>
      <w:r w:rsidR="003A234B">
        <w:t>’</w:t>
      </w:r>
      <w:r>
        <w:t>appui mexicain à l</w:t>
      </w:r>
      <w:r w:rsidR="003A234B">
        <w:t>’</w:t>
      </w:r>
      <w:r>
        <w:t xml:space="preserve">étranger aux activités de recherche et </w:t>
      </w:r>
      <w:r w:rsidRPr="0022208F">
        <w:t>d</w:t>
      </w:r>
      <w:r w:rsidR="003A234B">
        <w:t>’</w:t>
      </w:r>
      <w:r w:rsidRPr="0022208F">
        <w:t>enquête menées par</w:t>
      </w:r>
      <w:r>
        <w:t xml:space="preserve"> le Mexique avec les États d</w:t>
      </w:r>
      <w:r w:rsidR="003A234B">
        <w:t>’</w:t>
      </w:r>
      <w:r>
        <w:t>Amérique centrale.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329F" w14:textId="3B2A7DF3" w:rsidR="00D47515" w:rsidRPr="00D47515" w:rsidRDefault="00D47515">
    <w:pPr>
      <w:pStyle w:val="En-tte"/>
    </w:pPr>
    <w:fldSimple w:instr=" TITLE  \* MERGEFORMAT ">
      <w:r>
        <w:t>CED/C/GC/1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8AAC" w14:textId="2BAF2B6A" w:rsidR="00D47515" w:rsidRPr="00D47515" w:rsidRDefault="00D47515" w:rsidP="00D47515">
    <w:pPr>
      <w:pStyle w:val="En-tte"/>
      <w:jc w:val="right"/>
    </w:pPr>
    <w:fldSimple w:instr=" TITLE  \* MERGEFORMAT ">
      <w:r>
        <w:t>CED/C/GC/1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cs="Times New Roman"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9B927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D954887"/>
    <w:multiLevelType w:val="hybridMultilevel"/>
    <w:tmpl w:val="CFAA671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EA0B2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38C33E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CF4EB2"/>
    <w:multiLevelType w:val="hybridMultilevel"/>
    <w:tmpl w:val="4DCACBE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3E272AD0"/>
    <w:multiLevelType w:val="hybridMultilevel"/>
    <w:tmpl w:val="CCAA4B98"/>
    <w:lvl w:ilvl="0" w:tplc="9D9E29AA">
      <w:start w:val="56"/>
      <w:numFmt w:val="bullet"/>
      <w:lvlText w:val=""/>
      <w:lvlJc w:val="left"/>
      <w:pPr>
        <w:ind w:left="1588" w:hanging="1020"/>
      </w:pPr>
      <w:rPr>
        <w:rFonts w:ascii="Symbol" w:eastAsiaTheme="minorHAnsi" w:hAnsi="Symbol"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9" w15:restartNumberingAfterBreak="0">
    <w:nsid w:val="420D34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AD07B2"/>
    <w:multiLevelType w:val="hybridMultilevel"/>
    <w:tmpl w:val="7DAEDE7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821196778">
    <w:abstractNumId w:val="20"/>
  </w:num>
  <w:num w:numId="2" w16cid:durableId="1203320598">
    <w:abstractNumId w:val="17"/>
  </w:num>
  <w:num w:numId="3" w16cid:durableId="1994067869">
    <w:abstractNumId w:val="12"/>
  </w:num>
  <w:num w:numId="4" w16cid:durableId="514465145">
    <w:abstractNumId w:val="8"/>
  </w:num>
  <w:num w:numId="5" w16cid:durableId="1226532720">
    <w:abstractNumId w:val="3"/>
  </w:num>
  <w:num w:numId="6" w16cid:durableId="650868563">
    <w:abstractNumId w:val="2"/>
  </w:num>
  <w:num w:numId="7" w16cid:durableId="1450009815">
    <w:abstractNumId w:val="1"/>
  </w:num>
  <w:num w:numId="8" w16cid:durableId="1566211938">
    <w:abstractNumId w:val="0"/>
  </w:num>
  <w:num w:numId="9" w16cid:durableId="896206937">
    <w:abstractNumId w:val="9"/>
  </w:num>
  <w:num w:numId="10" w16cid:durableId="1522428751">
    <w:abstractNumId w:val="7"/>
  </w:num>
  <w:num w:numId="11" w16cid:durableId="1487354115">
    <w:abstractNumId w:val="6"/>
  </w:num>
  <w:num w:numId="12" w16cid:durableId="183593969">
    <w:abstractNumId w:val="5"/>
  </w:num>
  <w:num w:numId="13" w16cid:durableId="1661150550">
    <w:abstractNumId w:val="4"/>
  </w:num>
  <w:num w:numId="14" w16cid:durableId="1592350064">
    <w:abstractNumId w:val="20"/>
  </w:num>
  <w:num w:numId="15" w16cid:durableId="374089936">
    <w:abstractNumId w:val="17"/>
  </w:num>
  <w:num w:numId="16" w16cid:durableId="588318063">
    <w:abstractNumId w:val="12"/>
  </w:num>
  <w:num w:numId="17" w16cid:durableId="1227186384">
    <w:abstractNumId w:val="14"/>
  </w:num>
  <w:num w:numId="18" w16cid:durableId="1607157342">
    <w:abstractNumId w:val="13"/>
  </w:num>
  <w:num w:numId="19" w16cid:durableId="1339579667">
    <w:abstractNumId w:val="10"/>
  </w:num>
  <w:num w:numId="20" w16cid:durableId="17408647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37979696">
    <w:abstractNumId w:val="15"/>
  </w:num>
  <w:num w:numId="22" w16cid:durableId="590821081">
    <w:abstractNumId w:val="11"/>
  </w:num>
  <w:num w:numId="23" w16cid:durableId="1688412286">
    <w:abstractNumId w:val="19"/>
  </w:num>
  <w:num w:numId="24" w16cid:durableId="1251740547">
    <w:abstractNumId w:val="16"/>
  </w:num>
  <w:num w:numId="25" w16cid:durableId="182107345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580"/>
    <w:rsid w:val="000001CB"/>
    <w:rsid w:val="00017F94"/>
    <w:rsid w:val="00022D2E"/>
    <w:rsid w:val="00023842"/>
    <w:rsid w:val="000334F9"/>
    <w:rsid w:val="0007796D"/>
    <w:rsid w:val="000B7790"/>
    <w:rsid w:val="00111F2F"/>
    <w:rsid w:val="00125820"/>
    <w:rsid w:val="00133EDE"/>
    <w:rsid w:val="00133F64"/>
    <w:rsid w:val="0014365E"/>
    <w:rsid w:val="00146C59"/>
    <w:rsid w:val="00176178"/>
    <w:rsid w:val="00186575"/>
    <w:rsid w:val="00192C9C"/>
    <w:rsid w:val="00194100"/>
    <w:rsid w:val="00196F11"/>
    <w:rsid w:val="001B66EF"/>
    <w:rsid w:val="001E4568"/>
    <w:rsid w:val="001F525A"/>
    <w:rsid w:val="00223272"/>
    <w:rsid w:val="0023119A"/>
    <w:rsid w:val="00233278"/>
    <w:rsid w:val="0024779E"/>
    <w:rsid w:val="00300A67"/>
    <w:rsid w:val="0031625B"/>
    <w:rsid w:val="00322909"/>
    <w:rsid w:val="0032424F"/>
    <w:rsid w:val="00334430"/>
    <w:rsid w:val="003637CC"/>
    <w:rsid w:val="00382F93"/>
    <w:rsid w:val="00392B1D"/>
    <w:rsid w:val="003A234B"/>
    <w:rsid w:val="003B4E1B"/>
    <w:rsid w:val="003B75BD"/>
    <w:rsid w:val="003C0F78"/>
    <w:rsid w:val="003C45B2"/>
    <w:rsid w:val="00432A4B"/>
    <w:rsid w:val="00446FE5"/>
    <w:rsid w:val="00452396"/>
    <w:rsid w:val="00476F42"/>
    <w:rsid w:val="00495C79"/>
    <w:rsid w:val="004C4D99"/>
    <w:rsid w:val="004D2263"/>
    <w:rsid w:val="004F0469"/>
    <w:rsid w:val="004F1A51"/>
    <w:rsid w:val="004F2BC7"/>
    <w:rsid w:val="005210C1"/>
    <w:rsid w:val="00521BC9"/>
    <w:rsid w:val="005505B7"/>
    <w:rsid w:val="00562F45"/>
    <w:rsid w:val="00573BE5"/>
    <w:rsid w:val="00586ED3"/>
    <w:rsid w:val="00596AA9"/>
    <w:rsid w:val="005D6463"/>
    <w:rsid w:val="005D7232"/>
    <w:rsid w:val="005E4A0A"/>
    <w:rsid w:val="00634635"/>
    <w:rsid w:val="00674E82"/>
    <w:rsid w:val="006804AC"/>
    <w:rsid w:val="00685AA2"/>
    <w:rsid w:val="00690E4F"/>
    <w:rsid w:val="006B7920"/>
    <w:rsid w:val="0071601D"/>
    <w:rsid w:val="00722FA7"/>
    <w:rsid w:val="00765B8A"/>
    <w:rsid w:val="0077586E"/>
    <w:rsid w:val="007A62E6"/>
    <w:rsid w:val="007E042C"/>
    <w:rsid w:val="0080682C"/>
    <w:rsid w:val="0080684C"/>
    <w:rsid w:val="00830EA7"/>
    <w:rsid w:val="00854E62"/>
    <w:rsid w:val="00871C75"/>
    <w:rsid w:val="008776DC"/>
    <w:rsid w:val="008D743A"/>
    <w:rsid w:val="008E0903"/>
    <w:rsid w:val="008E2316"/>
    <w:rsid w:val="009020DF"/>
    <w:rsid w:val="009507F3"/>
    <w:rsid w:val="009705C8"/>
    <w:rsid w:val="00971ED8"/>
    <w:rsid w:val="0098295A"/>
    <w:rsid w:val="009C3580"/>
    <w:rsid w:val="009F0BFC"/>
    <w:rsid w:val="00A24809"/>
    <w:rsid w:val="00A30353"/>
    <w:rsid w:val="00A34E1B"/>
    <w:rsid w:val="00A66C5A"/>
    <w:rsid w:val="00A8410A"/>
    <w:rsid w:val="00AA1861"/>
    <w:rsid w:val="00AA4999"/>
    <w:rsid w:val="00AC3823"/>
    <w:rsid w:val="00AD521A"/>
    <w:rsid w:val="00AD5C89"/>
    <w:rsid w:val="00AE323C"/>
    <w:rsid w:val="00AE5D7B"/>
    <w:rsid w:val="00AF2850"/>
    <w:rsid w:val="00B00181"/>
    <w:rsid w:val="00B22BBD"/>
    <w:rsid w:val="00B26E3B"/>
    <w:rsid w:val="00B765F7"/>
    <w:rsid w:val="00B9212A"/>
    <w:rsid w:val="00BA0CA9"/>
    <w:rsid w:val="00BF224A"/>
    <w:rsid w:val="00C02897"/>
    <w:rsid w:val="00C04DBB"/>
    <w:rsid w:val="00C4076C"/>
    <w:rsid w:val="00C55FDA"/>
    <w:rsid w:val="00C56ABF"/>
    <w:rsid w:val="00C91862"/>
    <w:rsid w:val="00CC4B2E"/>
    <w:rsid w:val="00CE1F54"/>
    <w:rsid w:val="00CE2527"/>
    <w:rsid w:val="00CF2BDE"/>
    <w:rsid w:val="00D02991"/>
    <w:rsid w:val="00D06B78"/>
    <w:rsid w:val="00D14FBD"/>
    <w:rsid w:val="00D24034"/>
    <w:rsid w:val="00D3439C"/>
    <w:rsid w:val="00D4427C"/>
    <w:rsid w:val="00D47515"/>
    <w:rsid w:val="00D479FD"/>
    <w:rsid w:val="00D624FB"/>
    <w:rsid w:val="00D645EA"/>
    <w:rsid w:val="00DB1831"/>
    <w:rsid w:val="00DC22DE"/>
    <w:rsid w:val="00DD3BFD"/>
    <w:rsid w:val="00DF6678"/>
    <w:rsid w:val="00DF78DC"/>
    <w:rsid w:val="00E6257A"/>
    <w:rsid w:val="00EF187F"/>
    <w:rsid w:val="00F066D7"/>
    <w:rsid w:val="00F10905"/>
    <w:rsid w:val="00F660DF"/>
    <w:rsid w:val="00F9056C"/>
    <w:rsid w:val="00F95C08"/>
    <w:rsid w:val="00FB79A5"/>
    <w:rsid w:val="00FC7CCC"/>
    <w:rsid w:val="00FD2180"/>
    <w:rsid w:val="00FF027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493CA"/>
  <w15:docId w15:val="{C9786979-E503-440C-A0FB-216A91A9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D2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022D2E"/>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022D2E"/>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022D2E"/>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022D2E"/>
    <w:pPr>
      <w:spacing w:line="240" w:lineRule="auto"/>
    </w:pPr>
    <w:rPr>
      <w:sz w:val="16"/>
    </w:rPr>
  </w:style>
  <w:style w:type="character" w:customStyle="1" w:styleId="PieddepageCar">
    <w:name w:val="Pied de page Car"/>
    <w:aliases w:val="3_G Car"/>
    <w:basedOn w:val="Policepardfaut"/>
    <w:link w:val="Pieddepage"/>
    <w:rsid w:val="00022D2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022D2E"/>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022D2E"/>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022D2E"/>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022D2E"/>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022D2E"/>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022D2E"/>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022D2E"/>
    <w:pPr>
      <w:tabs>
        <w:tab w:val="left" w:pos="1701"/>
        <w:tab w:val="left" w:pos="2268"/>
        <w:tab w:val="left" w:pos="2835"/>
      </w:tabs>
      <w:spacing w:after="120"/>
      <w:ind w:left="1134" w:right="1134"/>
      <w:jc w:val="both"/>
    </w:pPr>
  </w:style>
  <w:style w:type="paragraph" w:customStyle="1" w:styleId="SLG">
    <w:name w:val="__S_L_G"/>
    <w:basedOn w:val="Normal"/>
    <w:next w:val="Normal"/>
    <w:rsid w:val="00022D2E"/>
    <w:pPr>
      <w:keepNext/>
      <w:keepLines/>
      <w:spacing w:before="240" w:after="240" w:line="580" w:lineRule="exact"/>
      <w:ind w:left="1134" w:right="1134"/>
    </w:pPr>
    <w:rPr>
      <w:b/>
      <w:sz w:val="56"/>
    </w:rPr>
  </w:style>
  <w:style w:type="paragraph" w:customStyle="1" w:styleId="SMG">
    <w:name w:val="__S_M_G"/>
    <w:basedOn w:val="Normal"/>
    <w:next w:val="Normal"/>
    <w:rsid w:val="00022D2E"/>
    <w:pPr>
      <w:keepNext/>
      <w:keepLines/>
      <w:spacing w:before="240" w:after="240" w:line="420" w:lineRule="exact"/>
      <w:ind w:left="1134" w:right="1134"/>
    </w:pPr>
    <w:rPr>
      <w:b/>
      <w:sz w:val="40"/>
    </w:rPr>
  </w:style>
  <w:style w:type="paragraph" w:customStyle="1" w:styleId="SSG">
    <w:name w:val="__S_S_G"/>
    <w:basedOn w:val="Normal"/>
    <w:next w:val="Normal"/>
    <w:rsid w:val="00022D2E"/>
    <w:pPr>
      <w:keepNext/>
      <w:keepLines/>
      <w:spacing w:before="240" w:after="240" w:line="300" w:lineRule="exact"/>
      <w:ind w:left="1134" w:right="1134"/>
    </w:pPr>
    <w:rPr>
      <w:b/>
      <w:sz w:val="28"/>
    </w:rPr>
  </w:style>
  <w:style w:type="paragraph" w:customStyle="1" w:styleId="XLargeG">
    <w:name w:val="__XLarge_G"/>
    <w:basedOn w:val="Normal"/>
    <w:next w:val="Normal"/>
    <w:rsid w:val="00022D2E"/>
    <w:pPr>
      <w:keepNext/>
      <w:keepLines/>
      <w:spacing w:before="240" w:after="240" w:line="420" w:lineRule="exact"/>
      <w:ind w:left="1134" w:right="1134"/>
    </w:pPr>
    <w:rPr>
      <w:b/>
      <w:sz w:val="40"/>
    </w:rPr>
  </w:style>
  <w:style w:type="paragraph" w:customStyle="1" w:styleId="Bullet1G">
    <w:name w:val="_Bullet 1_G"/>
    <w:basedOn w:val="Normal"/>
    <w:qFormat/>
    <w:rsid w:val="00022D2E"/>
    <w:pPr>
      <w:numPr>
        <w:numId w:val="14"/>
      </w:numPr>
      <w:spacing w:after="120"/>
      <w:ind w:right="1134"/>
      <w:jc w:val="both"/>
    </w:pPr>
  </w:style>
  <w:style w:type="paragraph" w:customStyle="1" w:styleId="Bullet2G">
    <w:name w:val="_Bullet 2_G"/>
    <w:basedOn w:val="Normal"/>
    <w:qFormat/>
    <w:rsid w:val="00022D2E"/>
    <w:pPr>
      <w:numPr>
        <w:numId w:val="15"/>
      </w:numPr>
      <w:spacing w:after="120"/>
      <w:ind w:right="1134"/>
      <w:jc w:val="both"/>
    </w:pPr>
  </w:style>
  <w:style w:type="paragraph" w:customStyle="1" w:styleId="ParNoG">
    <w:name w:val="_ParNo_G"/>
    <w:basedOn w:val="Normal"/>
    <w:qFormat/>
    <w:rsid w:val="00022D2E"/>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22D2E"/>
    <w:rPr>
      <w:rFonts w:ascii="Times New Roman" w:hAnsi="Times New Roman"/>
      <w:sz w:val="18"/>
      <w:vertAlign w:val="superscript"/>
      <w:lang w:val="fr-CH"/>
    </w:rPr>
  </w:style>
  <w:style w:type="character" w:styleId="Appeldenotedefin">
    <w:name w:val="endnote reference"/>
    <w:aliases w:val="1_G"/>
    <w:basedOn w:val="Appelnotedebasdep"/>
    <w:qFormat/>
    <w:rsid w:val="00022D2E"/>
    <w:rPr>
      <w:rFonts w:ascii="Times New Roman" w:hAnsi="Times New Roman"/>
      <w:sz w:val="18"/>
      <w:vertAlign w:val="superscript"/>
      <w:lang w:val="fr-CH"/>
    </w:rPr>
  </w:style>
  <w:style w:type="table" w:styleId="Grilledutableau">
    <w:name w:val="Table Grid"/>
    <w:basedOn w:val="TableauNormal"/>
    <w:rsid w:val="00022D2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22D2E"/>
    <w:rPr>
      <w:color w:val="0000FF"/>
      <w:u w:val="none"/>
    </w:rPr>
  </w:style>
  <w:style w:type="character" w:styleId="Lienhypertextesuivivisit">
    <w:name w:val="FollowedHyperlink"/>
    <w:basedOn w:val="Policepardfaut"/>
    <w:unhideWhenUsed/>
    <w:rsid w:val="00022D2E"/>
    <w:rPr>
      <w:color w:val="0000FF"/>
      <w:u w:val="none"/>
    </w:rPr>
  </w:style>
  <w:style w:type="paragraph" w:styleId="Notedebasdepage">
    <w:name w:val="footnote text"/>
    <w:aliases w:val="5_G"/>
    <w:basedOn w:val="Normal"/>
    <w:link w:val="NotedebasdepageCar"/>
    <w:qFormat/>
    <w:rsid w:val="00022D2E"/>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022D2E"/>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022D2E"/>
  </w:style>
  <w:style w:type="character" w:customStyle="1" w:styleId="NotedefinCar">
    <w:name w:val="Note de fin Car"/>
    <w:aliases w:val="2_G Car"/>
    <w:basedOn w:val="Policepardfaut"/>
    <w:link w:val="Notedefin"/>
    <w:rsid w:val="00022D2E"/>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022D2E"/>
    <w:rPr>
      <w:rFonts w:ascii="Times New Roman" w:hAnsi="Times New Roman"/>
      <w:b/>
      <w:sz w:val="18"/>
      <w:lang w:val="fr-CH"/>
    </w:rPr>
  </w:style>
  <w:style w:type="character" w:customStyle="1" w:styleId="Titre1Car">
    <w:name w:val="Titre 1 Car"/>
    <w:aliases w:val="Table_G Car"/>
    <w:basedOn w:val="Policepardfaut"/>
    <w:link w:val="Titre1"/>
    <w:rsid w:val="00022D2E"/>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92B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B1D"/>
    <w:rPr>
      <w:rFonts w:ascii="Tahoma" w:hAnsi="Tahoma" w:cs="Tahoma"/>
      <w:sz w:val="16"/>
      <w:szCs w:val="16"/>
      <w:lang w:eastAsia="en-US"/>
    </w:rPr>
  </w:style>
  <w:style w:type="character" w:customStyle="1" w:styleId="SingleTxtGChar">
    <w:name w:val="_ Single Txt_G Char"/>
    <w:link w:val="SingleTxtG"/>
    <w:locked/>
    <w:rsid w:val="0077586E"/>
    <w:rPr>
      <w:rFonts w:ascii="Times New Roman" w:eastAsiaTheme="minorHAnsi" w:hAnsi="Times New Roman" w:cs="Times New Roman"/>
      <w:sz w:val="20"/>
      <w:szCs w:val="20"/>
      <w:lang w:eastAsia="en-US"/>
    </w:rPr>
  </w:style>
  <w:style w:type="character" w:customStyle="1" w:styleId="HChGChar">
    <w:name w:val="_ H _Ch_G Char"/>
    <w:link w:val="HChG"/>
    <w:rsid w:val="0077586E"/>
    <w:rPr>
      <w:rFonts w:ascii="Times New Roman" w:eastAsiaTheme="minorHAnsi" w:hAnsi="Times New Roman" w:cs="Times New Roman"/>
      <w:b/>
      <w:sz w:val="28"/>
      <w:szCs w:val="20"/>
      <w:lang w:eastAsia="en-US"/>
    </w:rPr>
  </w:style>
  <w:style w:type="character" w:customStyle="1" w:styleId="H1GChar">
    <w:name w:val="_ H_1_G Char"/>
    <w:link w:val="H1G"/>
    <w:locked/>
    <w:rsid w:val="0077586E"/>
    <w:rPr>
      <w:rFonts w:ascii="Times New Roman" w:eastAsiaTheme="minorHAnsi" w:hAnsi="Times New Roman" w:cs="Times New Roman"/>
      <w:b/>
      <w:sz w:val="24"/>
      <w:szCs w:val="20"/>
      <w:lang w:eastAsia="en-US"/>
    </w:rPr>
  </w:style>
  <w:style w:type="character" w:customStyle="1" w:styleId="H23GChar">
    <w:name w:val="_ H_2/3_G Char"/>
    <w:link w:val="H23G"/>
    <w:locked/>
    <w:rsid w:val="0077586E"/>
    <w:rPr>
      <w:rFonts w:ascii="Times New Roman" w:eastAsiaTheme="minorHAnsi" w:hAnsi="Times New Roman" w:cs="Times New Roman"/>
      <w:b/>
      <w:sz w:val="20"/>
      <w:szCs w:val="20"/>
      <w:lang w:eastAsia="en-US"/>
    </w:rPr>
  </w:style>
  <w:style w:type="character" w:customStyle="1" w:styleId="termfield">
    <w:name w:val="termfield"/>
    <w:basedOn w:val="Policepardfaut"/>
    <w:rsid w:val="00DC22DE"/>
  </w:style>
  <w:style w:type="character" w:styleId="Mentionnonrsolue">
    <w:name w:val="Unresolved Mention"/>
    <w:basedOn w:val="Policepardfaut"/>
    <w:uiPriority w:val="99"/>
    <w:semiHidden/>
    <w:unhideWhenUsed/>
    <w:rsid w:val="003C45B2"/>
    <w:rPr>
      <w:color w:val="605E5C"/>
      <w:shd w:val="clear" w:color="auto" w:fill="E1DFDD"/>
    </w:rPr>
  </w:style>
  <w:style w:type="character" w:customStyle="1" w:styleId="ui-provider">
    <w:name w:val="ui-provider"/>
    <w:basedOn w:val="Policepardfaut"/>
    <w:rsid w:val="00806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70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docs.org/fr/A/RES/74/148"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6" Type="http://schemas.openxmlformats.org/officeDocument/2006/relationships/hyperlink" Target="http://undocs.org/fr/CED/C/10/D/1/2013" TargetMode="External"/><Relationship Id="rId117" Type="http://schemas.openxmlformats.org/officeDocument/2006/relationships/hyperlink" Target="http://undocs.org/fr/CED/C/GRC/CO/1" TargetMode="External"/><Relationship Id="rId21" Type="http://schemas.openxmlformats.org/officeDocument/2006/relationships/hyperlink" Target="http://undocs.org/en/A/75/183" TargetMode="External"/><Relationship Id="rId42" Type="http://schemas.openxmlformats.org/officeDocument/2006/relationships/hyperlink" Target="http://undocs.org/fr/A/HRC/36/39/Add.2" TargetMode="External"/><Relationship Id="rId47" Type="http://schemas.openxmlformats.org/officeDocument/2006/relationships/hyperlink" Target="http://undocs.org/fr/CED/C/HND/CO/1" TargetMode="External"/><Relationship Id="rId63" Type="http://schemas.openxmlformats.org/officeDocument/2006/relationships/hyperlink" Target="http://undocs.org/fr/CED/C/ITA/CO/1" TargetMode="External"/><Relationship Id="rId68" Type="http://schemas.openxmlformats.org/officeDocument/2006/relationships/hyperlink" Target="http://undocs.org/fr/A/AC.96/951" TargetMode="External"/><Relationship Id="rId84" Type="http://schemas.openxmlformats.org/officeDocument/2006/relationships/hyperlink" Target="http://undocs.org/fr/CED/C/GRC/CO/1" TargetMode="External"/><Relationship Id="rId89" Type="http://schemas.openxmlformats.org/officeDocument/2006/relationships/hyperlink" Target="http://undocs.org/fr/CED/C/KAZ/CO/1" TargetMode="External"/><Relationship Id="rId112" Type="http://schemas.openxmlformats.org/officeDocument/2006/relationships/hyperlink" Target="http://undocs.org/fr/CED/C/ITA/CO/1" TargetMode="External"/><Relationship Id="rId133" Type="http://schemas.openxmlformats.org/officeDocument/2006/relationships/hyperlink" Target="http://undocs.org/fr/CED/C/MEX/CO/1" TargetMode="External"/><Relationship Id="rId138" Type="http://schemas.openxmlformats.org/officeDocument/2006/relationships/hyperlink" Target="https://temas.crmsv.org/sites/default/files/Documentos%20Files/chld8_recomendaciones%20_busqueda_de_personas_desaparecidas_en_el_contexto_migratorio_eng_0.pdf" TargetMode="External"/><Relationship Id="rId16" Type="http://schemas.openxmlformats.org/officeDocument/2006/relationships/hyperlink" Target="https://documents-dds-ny.un.org/doc/UNDOC/GEN/G22/343/17/pdf/G2234317.pdf?OpenElement" TargetMode="External"/><Relationship Id="rId107" Type="http://schemas.openxmlformats.org/officeDocument/2006/relationships/hyperlink" Target="http://undocs.org/fr/A/HRC/47/30" TargetMode="External"/><Relationship Id="rId11" Type="http://schemas.openxmlformats.org/officeDocument/2006/relationships/hyperlink" Target="http://undocs.org/en/A/72/335" TargetMode="External"/><Relationship Id="rId32" Type="http://schemas.openxmlformats.org/officeDocument/2006/relationships/hyperlink" Target="http://undocs.org/fr/CED/C/ITA/CO/1" TargetMode="External"/><Relationship Id="rId37" Type="http://schemas.openxmlformats.org/officeDocument/2006/relationships/hyperlink" Target="http://undocs.org/fr/CED/C/NLD/CO/1" TargetMode="External"/><Relationship Id="rId53" Type="http://schemas.openxmlformats.org/officeDocument/2006/relationships/hyperlink" Target="https://undocs.org/fr/CED/C/MEX/VR/1%20(Findings)" TargetMode="External"/><Relationship Id="rId58" Type="http://schemas.openxmlformats.org/officeDocument/2006/relationships/hyperlink" Target="http://undocs.org/fr/A/HRC/36/39/Add.2" TargetMode="External"/><Relationship Id="rId74" Type="http://schemas.openxmlformats.org/officeDocument/2006/relationships/hyperlink" Target="http://undocs.org/fr/CED/C/GAB/CO/1" TargetMode="External"/><Relationship Id="rId79" Type="http://schemas.openxmlformats.org/officeDocument/2006/relationships/hyperlink" Target="http://undocs.org/fr/CED/C/CHE/CO/1" TargetMode="External"/><Relationship Id="rId102" Type="http://schemas.openxmlformats.org/officeDocument/2006/relationships/hyperlink" Target="http://undocs.org/fr/CED/C/CRI/CO/1" TargetMode="External"/><Relationship Id="rId123" Type="http://schemas.openxmlformats.org/officeDocument/2006/relationships/hyperlink" Target="http://undocs.org/fr/CCPR/C/MEX/CO/5" TargetMode="External"/><Relationship Id="rId128" Type="http://schemas.openxmlformats.org/officeDocument/2006/relationships/hyperlink" Target="http://undocs.org/fr/CED/C/15/3" TargetMode="External"/><Relationship Id="rId5" Type="http://schemas.openxmlformats.org/officeDocument/2006/relationships/hyperlink" Target="http://undocs.org/en/CED/C/GRC/CO/1" TargetMode="External"/><Relationship Id="rId90" Type="http://schemas.openxmlformats.org/officeDocument/2006/relationships/hyperlink" Target="http://undocs.org/fr/CED/C/NER/CO/1" TargetMode="External"/><Relationship Id="rId95" Type="http://schemas.openxmlformats.org/officeDocument/2006/relationships/hyperlink" Target="http://undocs.org/fr/CED/C/GRC/CO/1" TargetMode="External"/><Relationship Id="rId22" Type="http://schemas.openxmlformats.org/officeDocument/2006/relationships/hyperlink" Target="http://undocs.org/fr/CED/C/10" TargetMode="External"/><Relationship Id="rId27" Type="http://schemas.openxmlformats.org/officeDocument/2006/relationships/hyperlink" Target="http://undocs.org/fr/CED/C/GRC/CO/1" TargetMode="External"/><Relationship Id="rId43" Type="http://schemas.openxmlformats.org/officeDocument/2006/relationships/hyperlink" Target="http://undocs.org/fr/CED/C/COL/OAI/1" TargetMode="External"/><Relationship Id="rId48" Type="http://schemas.openxmlformats.org/officeDocument/2006/relationships/hyperlink" Target="http://undocs.org/fr/CED/C/19/2" TargetMode="External"/><Relationship Id="rId64" Type="http://schemas.openxmlformats.org/officeDocument/2006/relationships/hyperlink" Target="http://undocs.org/fr/CED/C/NLD/CO/1" TargetMode="External"/><Relationship Id="rId69" Type="http://schemas.openxmlformats.org/officeDocument/2006/relationships/hyperlink" Target="http://undocs.org/fr/CED/C/NER/CO/1" TargetMode="External"/><Relationship Id="rId113" Type="http://schemas.openxmlformats.org/officeDocument/2006/relationships/hyperlink" Target="https://undocs.org/fr/CED/C/MEX/VR/1%20(Recommendations)" TargetMode="External"/><Relationship Id="rId118" Type="http://schemas.openxmlformats.org/officeDocument/2006/relationships/hyperlink" Target="http://undocs.org/fr/CED/C/HND/CO/1" TargetMode="External"/><Relationship Id="rId134" Type="http://schemas.openxmlformats.org/officeDocument/2006/relationships/hyperlink" Target="http://undocs.org/fr/CED/C/HND/CO/1" TargetMode="External"/><Relationship Id="rId139" Type="http://schemas.openxmlformats.org/officeDocument/2006/relationships/hyperlink" Target="http://undocs.org/fr/CED/C/MNE/CO/1" TargetMode="External"/><Relationship Id="rId8" Type="http://schemas.openxmlformats.org/officeDocument/2006/relationships/hyperlink" Target="http://undocs.org/en/A/72/335" TargetMode="External"/><Relationship Id="rId51" Type="http://schemas.openxmlformats.org/officeDocument/2006/relationships/hyperlink" Target="http://undocs.org/fr/A/HRC/36/39/Add.2" TargetMode="External"/><Relationship Id="rId72" Type="http://schemas.openxmlformats.org/officeDocument/2006/relationships/hyperlink" Target="http://undocs.org/fr/CED/C/PER/CO/1" TargetMode="External"/><Relationship Id="rId80" Type="http://schemas.openxmlformats.org/officeDocument/2006/relationships/hyperlink" Target="http://undocs.org/fr/CED/C/ITA/CO/1" TargetMode="External"/><Relationship Id="rId85" Type="http://schemas.openxmlformats.org/officeDocument/2006/relationships/hyperlink" Target="http://undocs.org/fr/CED/C/CHE/CO/1" TargetMode="External"/><Relationship Id="rId93" Type="http://schemas.openxmlformats.org/officeDocument/2006/relationships/hyperlink" Target="http://undocs.org/fr/CED/C/SVK/CO/1" TargetMode="External"/><Relationship Id="rId98" Type="http://schemas.openxmlformats.org/officeDocument/2006/relationships/hyperlink" Target="http://undocs.org/fr/CRC/C/GRC/CO/4-6" TargetMode="External"/><Relationship Id="rId121" Type="http://schemas.openxmlformats.org/officeDocument/2006/relationships/hyperlink" Target="http://undocs.org/fr/E/CN.4/1998/43" TargetMode="External"/><Relationship Id="rId3" Type="http://schemas.openxmlformats.org/officeDocument/2006/relationships/hyperlink" Target="http://undocs.org/fr/CED/C/7" TargetMode="External"/><Relationship Id="rId12" Type="http://schemas.openxmlformats.org/officeDocument/2006/relationships/hyperlink" Target="http://undocs.org/en/A/HRC/36/39/Add.2" TargetMode="External"/><Relationship Id="rId17" Type="http://schemas.openxmlformats.org/officeDocument/2006/relationships/hyperlink" Target="http://undocs.org/fr/CED/C/9" TargetMode="External"/><Relationship Id="rId25" Type="http://schemas.openxmlformats.org/officeDocument/2006/relationships/hyperlink" Target="http://undocs.org/fr/E/CN.4/2003/71" TargetMode="External"/><Relationship Id="rId33" Type="http://schemas.openxmlformats.org/officeDocument/2006/relationships/hyperlink" Target="http://undocs.org/fr/CED/C/JPN/CO/1" TargetMode="External"/><Relationship Id="rId38" Type="http://schemas.openxmlformats.org/officeDocument/2006/relationships/hyperlink" Target="http://undocs.org/fr/CED/C/ITA/CO/1" TargetMode="External"/><Relationship Id="rId46" Type="http://schemas.openxmlformats.org/officeDocument/2006/relationships/hyperlink" Target="http://undocs.org/fr/CED/C/NER/CO/1" TargetMode="External"/><Relationship Id="rId59" Type="http://schemas.openxmlformats.org/officeDocument/2006/relationships/hyperlink" Target="http://undocs.org/fr/A/HRC/40/59" TargetMode="External"/><Relationship Id="rId67" Type="http://schemas.openxmlformats.org/officeDocument/2006/relationships/hyperlink" Target="http://undocs.org/fr/A/71/314" TargetMode="External"/><Relationship Id="rId103" Type="http://schemas.openxmlformats.org/officeDocument/2006/relationships/hyperlink" Target="http://undocs.org/fr/A/HRC/47/30" TargetMode="External"/><Relationship Id="rId108" Type="http://schemas.openxmlformats.org/officeDocument/2006/relationships/hyperlink" Target="http://undocs.org/fr/CCPR/C/130/D/3042/2017" TargetMode="External"/><Relationship Id="rId116" Type="http://schemas.openxmlformats.org/officeDocument/2006/relationships/hyperlink" Target="http://undocs.org/fr/CED/C/GRC/CO/1" TargetMode="External"/><Relationship Id="rId124" Type="http://schemas.openxmlformats.org/officeDocument/2006/relationships/hyperlink" Target="http://undocs.org/fr/CCPR/C/MEX/CO/6" TargetMode="External"/><Relationship Id="rId129" Type="http://schemas.openxmlformats.org/officeDocument/2006/relationships/hyperlink" Target="http://undocs.org/en/A/HRC/54/22/Add.5" TargetMode="External"/><Relationship Id="rId137" Type="http://schemas.openxmlformats.org/officeDocument/2006/relationships/hyperlink" Target="http://undocs.org/fr/CED/C/JPN/CO/1" TargetMode="External"/><Relationship Id="rId20" Type="http://schemas.openxmlformats.org/officeDocument/2006/relationships/hyperlink" Target="http://undocs.org/fr/A/HRC/36/39/Add.2" TargetMode="External"/><Relationship Id="rId41" Type="http://schemas.openxmlformats.org/officeDocument/2006/relationships/hyperlink" Target="http://undocs.org/fr/CED/C/GRC/CO/1" TargetMode="External"/><Relationship Id="rId54" Type="http://schemas.openxmlformats.org/officeDocument/2006/relationships/hyperlink" Target="http://undocs.org/fr/CED/C/GRC/CO/1" TargetMode="External"/><Relationship Id="rId62" Type="http://schemas.openxmlformats.org/officeDocument/2006/relationships/hyperlink" Target="http://undocs.org/fr/CED/C/GRC/CO/1" TargetMode="External"/><Relationship Id="rId70" Type="http://schemas.openxmlformats.org/officeDocument/2006/relationships/hyperlink" Target="http://undocs.org/fr/CED/C/MNG/CO/1" TargetMode="External"/><Relationship Id="rId75" Type="http://schemas.openxmlformats.org/officeDocument/2006/relationships/hyperlink" Target="http://undocs.org/fr/A/HRC/50/31" TargetMode="External"/><Relationship Id="rId83" Type="http://schemas.openxmlformats.org/officeDocument/2006/relationships/hyperlink" Target="http://undocs.org/fr/CED/C/GAB/CO/1" TargetMode="External"/><Relationship Id="rId88" Type="http://schemas.openxmlformats.org/officeDocument/2006/relationships/hyperlink" Target="http://undocs.org/fr/CED/C/PAN/CO/1" TargetMode="External"/><Relationship Id="rId91" Type="http://schemas.openxmlformats.org/officeDocument/2006/relationships/hyperlink" Target="http://undocs.org/fr/CED/C/FRA/CO/1" TargetMode="External"/><Relationship Id="rId96" Type="http://schemas.openxmlformats.org/officeDocument/2006/relationships/hyperlink" Target="http://undocs.org/fr/A/HRC/47/30" TargetMode="External"/><Relationship Id="rId111" Type="http://schemas.openxmlformats.org/officeDocument/2006/relationships/hyperlink" Target="http://undocs.org/fr/A/HRC/36/39/Add.2" TargetMode="External"/><Relationship Id="rId132" Type="http://schemas.openxmlformats.org/officeDocument/2006/relationships/hyperlink" Target="http://undocs.org/fr/A/73/178/Rev.1" TargetMode="External"/><Relationship Id="rId140" Type="http://schemas.openxmlformats.org/officeDocument/2006/relationships/hyperlink" Target="http://undocs.org/fr/CED/C/ITA/CO/1" TargetMode="External"/><Relationship Id="rId1" Type="http://schemas.openxmlformats.org/officeDocument/2006/relationships/hyperlink" Target="http://undocs.org/en/A/76/642" TargetMode="External"/><Relationship Id="rId6" Type="http://schemas.openxmlformats.org/officeDocument/2006/relationships/hyperlink" Target="https://documents-dds-ny.un.org/doc/UNDOC/GEN/G22/343/00/pdf/G2234300.pdf?OpenElement" TargetMode="External"/><Relationship Id="rId15" Type="http://schemas.openxmlformats.org/officeDocument/2006/relationships/hyperlink" Target="http://undocs.org/en/CED/C/BRA/CO/1" TargetMode="External"/><Relationship Id="rId23" Type="http://schemas.openxmlformats.org/officeDocument/2006/relationships/hyperlink" Target="http://undocs.org/fr/A/HRC/13/42" TargetMode="External"/><Relationship Id="rId28" Type="http://schemas.openxmlformats.org/officeDocument/2006/relationships/hyperlink" Target="http://undocs.org/fr/CED/C/FRA/CO/1" TargetMode="External"/><Relationship Id="rId36" Type="http://schemas.openxmlformats.org/officeDocument/2006/relationships/hyperlink" Target="http://undocs.org/fr/CED/C/NLD/CO/1" TargetMode="External"/><Relationship Id="rId49" Type="http://schemas.openxmlformats.org/officeDocument/2006/relationships/hyperlink" Target="http://undocs.org/fr/CED/C/MEX/CO/1" TargetMode="External"/><Relationship Id="rId57" Type="http://schemas.openxmlformats.org/officeDocument/2006/relationships/hyperlink" Target="https://undocs.org/fr/CED/C/MEX/VR/1%20(Recommendations)" TargetMode="External"/><Relationship Id="rId106" Type="http://schemas.openxmlformats.org/officeDocument/2006/relationships/hyperlink" Target="http://undocs.org/fr/A/HRC/37/50" TargetMode="External"/><Relationship Id="rId114" Type="http://schemas.openxmlformats.org/officeDocument/2006/relationships/hyperlink" Target="http://undocs.org/fr/A/HRC/36/39/Add.2" TargetMode="External"/><Relationship Id="rId119" Type="http://schemas.openxmlformats.org/officeDocument/2006/relationships/hyperlink" Target="http://undocs.org/fr/A/HRC/36/39/Add.2" TargetMode="External"/><Relationship Id="rId127" Type="http://schemas.openxmlformats.org/officeDocument/2006/relationships/hyperlink" Target="http://undocs.org/fr/CED/C/PAN/CO/1" TargetMode="External"/><Relationship Id="rId10" Type="http://schemas.openxmlformats.org/officeDocument/2006/relationships/hyperlink" Target="http://undocs.org/fr/A/HRC/36/39/Add.2" TargetMode="External"/><Relationship Id="rId31" Type="http://schemas.openxmlformats.org/officeDocument/2006/relationships/hyperlink" Target="https://undocs.org/fr/CED/C/MEX/VR/1%20(Recommendations)" TargetMode="External"/><Relationship Id="rId44" Type="http://schemas.openxmlformats.org/officeDocument/2006/relationships/hyperlink" Target="http://undocs.org/fr/CED/C/IRQ/OAI/1" TargetMode="External"/><Relationship Id="rId52" Type="http://schemas.openxmlformats.org/officeDocument/2006/relationships/hyperlink" Target="http://undocs.org/fr/CED/C/GRC/CO/1" TargetMode="External"/><Relationship Id="rId60" Type="http://schemas.openxmlformats.org/officeDocument/2006/relationships/hyperlink" Target="http://undocs.org/fr/CED/C/GAB/CO/1" TargetMode="External"/><Relationship Id="rId65" Type="http://schemas.openxmlformats.org/officeDocument/2006/relationships/hyperlink" Target="http://undocs.org/fr/CED/C/HND/CO/1" TargetMode="External"/><Relationship Id="rId73" Type="http://schemas.openxmlformats.org/officeDocument/2006/relationships/hyperlink" Target="http://undocs.org/fr/CED/C/AUT/CO/1" TargetMode="External"/><Relationship Id="rId78" Type="http://schemas.openxmlformats.org/officeDocument/2006/relationships/hyperlink" Target="http://undocs.org/fr/CED/C/NER/CO/1" TargetMode="External"/><Relationship Id="rId81" Type="http://schemas.openxmlformats.org/officeDocument/2006/relationships/hyperlink" Target="http://undocs.org/fr/CED/C/PER/CO/1" TargetMode="External"/><Relationship Id="rId86" Type="http://schemas.openxmlformats.org/officeDocument/2006/relationships/hyperlink" Target="http://undocs.org/fr/A/HRC/47/30" TargetMode="External"/><Relationship Id="rId94" Type="http://schemas.openxmlformats.org/officeDocument/2006/relationships/hyperlink" Target="http://undocs.org/fr/CED/C/PER/CO/1" TargetMode="External"/><Relationship Id="rId99" Type="http://schemas.openxmlformats.org/officeDocument/2006/relationships/hyperlink" Target="http://undocs.org/fr/A/HRC/37/50" TargetMode="External"/><Relationship Id="rId101" Type="http://schemas.openxmlformats.org/officeDocument/2006/relationships/hyperlink" Target="http://undocs.org/fr/A/HRC/37/50" TargetMode="External"/><Relationship Id="rId122" Type="http://schemas.openxmlformats.org/officeDocument/2006/relationships/hyperlink" Target="http://undocs.org/fr/CED/C/JPN/CO/1" TargetMode="External"/><Relationship Id="rId130" Type="http://schemas.openxmlformats.org/officeDocument/2006/relationships/hyperlink" Target="http://undocs.org/fr/CED/C/GAB/CO/1" TargetMode="External"/><Relationship Id="rId135" Type="http://schemas.openxmlformats.org/officeDocument/2006/relationships/hyperlink" Target="http://undocs.org/fr/CED/C/19/2" TargetMode="External"/><Relationship Id="rId4" Type="http://schemas.openxmlformats.org/officeDocument/2006/relationships/hyperlink" Target="http://undocs.org/en/A/HRC/50/31" TargetMode="External"/><Relationship Id="rId9" Type="http://schemas.openxmlformats.org/officeDocument/2006/relationships/hyperlink" Target="http://undocs.org/en/A/76/642" TargetMode="External"/><Relationship Id="rId13" Type="http://schemas.openxmlformats.org/officeDocument/2006/relationships/hyperlink" Target="http://undocs.org/en/A/HRC/36/39/Add.2" TargetMode="External"/><Relationship Id="rId18" Type="http://schemas.openxmlformats.org/officeDocument/2006/relationships/hyperlink" Target="http://undocs.org/fr/CED/C/10" TargetMode="External"/><Relationship Id="rId39" Type="http://schemas.openxmlformats.org/officeDocument/2006/relationships/hyperlink" Target="http://undocs.org/fr/A/HRC/36/39/Add.2" TargetMode="External"/><Relationship Id="rId109" Type="http://schemas.openxmlformats.org/officeDocument/2006/relationships/hyperlink" Target="http://undocs.org/fr/CED/C/GRC/CO/1" TargetMode="External"/><Relationship Id="rId34" Type="http://schemas.openxmlformats.org/officeDocument/2006/relationships/hyperlink" Target="http://undocs.org/fr/A/HRC/36/39/Add.2" TargetMode="External"/><Relationship Id="rId50" Type="http://schemas.openxmlformats.org/officeDocument/2006/relationships/hyperlink" Target="http://undocs.org/fr/A/77/196" TargetMode="External"/><Relationship Id="rId55" Type="http://schemas.openxmlformats.org/officeDocument/2006/relationships/hyperlink" Target="http://undocs.org/fr/CED/C/MEX/CO/1" TargetMode="External"/><Relationship Id="rId76" Type="http://schemas.openxmlformats.org/officeDocument/2006/relationships/hyperlink" Target="http://undocs.org/fr/A/HRC/37/50" TargetMode="External"/><Relationship Id="rId97" Type="http://schemas.openxmlformats.org/officeDocument/2006/relationships/hyperlink" Target="http://undocs.org/fr/A/HRC/50/31" TargetMode="External"/><Relationship Id="rId104" Type="http://schemas.openxmlformats.org/officeDocument/2006/relationships/hyperlink" Target="http://undocs.org/fr/CED/C/GRC/CO/1" TargetMode="External"/><Relationship Id="rId120" Type="http://schemas.openxmlformats.org/officeDocument/2006/relationships/hyperlink" Target="http://undocs.org/fr/CED/C/GRC/CO/1" TargetMode="External"/><Relationship Id="rId125" Type="http://schemas.openxmlformats.org/officeDocument/2006/relationships/hyperlink" Target="https://undocs.org/fr/CED/C/MEX/VR/1%20(Recommendations)" TargetMode="External"/><Relationship Id="rId141" Type="http://schemas.openxmlformats.org/officeDocument/2006/relationships/hyperlink" Target="http://undocs.org/fr/CED/C/GAB/CO/1" TargetMode="External"/><Relationship Id="rId7" Type="http://schemas.openxmlformats.org/officeDocument/2006/relationships/hyperlink" Target="https://documents-dds-ny.un.org/doc/UNDOC/GEN/G22/343/17/pdf/G2234317.pdf?OpenElement" TargetMode="External"/><Relationship Id="rId71" Type="http://schemas.openxmlformats.org/officeDocument/2006/relationships/hyperlink" Target="http://undocs.org/fr/CED/C/SVK/CO/1" TargetMode="External"/><Relationship Id="rId92" Type="http://schemas.openxmlformats.org/officeDocument/2006/relationships/hyperlink" Target="http://undocs.org/fr/CED/C/MNG/CO/1" TargetMode="External"/><Relationship Id="rId2" Type="http://schemas.openxmlformats.org/officeDocument/2006/relationships/hyperlink" Target="https://www.migrationdataportal.org/fr/themes/population-de-migrants-internationaux" TargetMode="External"/><Relationship Id="rId29" Type="http://schemas.openxmlformats.org/officeDocument/2006/relationships/hyperlink" Target="http://undocs.org/fr/A/HRC/37/50" TargetMode="External"/><Relationship Id="rId24" Type="http://schemas.openxmlformats.org/officeDocument/2006/relationships/hyperlink" Target="http://undocs.org/fr/A/HRC/36/39/Add.2" TargetMode="External"/><Relationship Id="rId40" Type="http://schemas.openxmlformats.org/officeDocument/2006/relationships/hyperlink" Target="http://undocs.org/fr/A/HRC/37/50" TargetMode="External"/><Relationship Id="rId45" Type="http://schemas.openxmlformats.org/officeDocument/2006/relationships/hyperlink" Target="http://undocs.org/fr/CED/C/BRA/CO/1" TargetMode="External"/><Relationship Id="rId66" Type="http://schemas.openxmlformats.org/officeDocument/2006/relationships/hyperlink" Target="http://undocs.org/fr/CED/C/GRC/CO/1" TargetMode="External"/><Relationship Id="rId87" Type="http://schemas.openxmlformats.org/officeDocument/2006/relationships/hyperlink" Target="http://undocs.org/fr/CED/C/GRC/CO/1" TargetMode="External"/><Relationship Id="rId110" Type="http://schemas.openxmlformats.org/officeDocument/2006/relationships/hyperlink" Target="https://undocs.org/fr/CED/C/MEX/VR/1%20(Recommendations)" TargetMode="External"/><Relationship Id="rId115" Type="http://schemas.openxmlformats.org/officeDocument/2006/relationships/hyperlink" Target="http://undocs.org/fr/A/HRC/45/13/Add.3" TargetMode="External"/><Relationship Id="rId131" Type="http://schemas.openxmlformats.org/officeDocument/2006/relationships/hyperlink" Target="http://undocs.org/fr/CED/C/9" TargetMode="External"/><Relationship Id="rId136" Type="http://schemas.openxmlformats.org/officeDocument/2006/relationships/hyperlink" Target="http://undocs.org/fr/CED/C/AUT/CO/1" TargetMode="External"/><Relationship Id="rId61" Type="http://schemas.openxmlformats.org/officeDocument/2006/relationships/hyperlink" Target="http://undocs.org/fr/CED/C/MEX/CO/1" TargetMode="External"/><Relationship Id="rId82" Type="http://schemas.openxmlformats.org/officeDocument/2006/relationships/hyperlink" Target="http://undocs.org/fr/CED/C/AUT/CO/1" TargetMode="External"/><Relationship Id="rId19" Type="http://schemas.openxmlformats.org/officeDocument/2006/relationships/hyperlink" Target="https://documents-dds-ny.un.org/doc/UNDOC/GEN/G22/343/00/pdf/G2234300.pdf?OpenElement" TargetMode="External"/><Relationship Id="rId14" Type="http://schemas.openxmlformats.org/officeDocument/2006/relationships/hyperlink" Target="http://undocs.org/en/A/HRC/36/39/Add.2" TargetMode="External"/><Relationship Id="rId30" Type="http://schemas.openxmlformats.org/officeDocument/2006/relationships/hyperlink" Target="http://undocs.org/fr/CED/C/GRC/CO/1" TargetMode="External"/><Relationship Id="rId35" Type="http://schemas.openxmlformats.org/officeDocument/2006/relationships/hyperlink" Target="http://undocs.org/fr/E/CN.4/1997/34" TargetMode="External"/><Relationship Id="rId56" Type="http://schemas.openxmlformats.org/officeDocument/2006/relationships/hyperlink" Target="https://undocs.org/fr/CED/C/MEX/VR/1%20(Recommendations)" TargetMode="External"/><Relationship Id="rId77" Type="http://schemas.openxmlformats.org/officeDocument/2006/relationships/hyperlink" Target="http://undocs.org/fr/CED/C/19/D/3/2019" TargetMode="External"/><Relationship Id="rId100" Type="http://schemas.openxmlformats.org/officeDocument/2006/relationships/hyperlink" Target="http://undocs.org/fr/CED/C/GRC/CO/1" TargetMode="External"/><Relationship Id="rId105" Type="http://schemas.openxmlformats.org/officeDocument/2006/relationships/hyperlink" Target="https://undocs.org/fr/CED/C/MEX/VR/1%20(Findings)" TargetMode="External"/><Relationship Id="rId126" Type="http://schemas.openxmlformats.org/officeDocument/2006/relationships/hyperlink" Target="http://undocs.org/fr/CED/C/HND/CO/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A08CF-EC1E-4B11-BF59-32895FD5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10</TotalTime>
  <Pages>19</Pages>
  <Words>8731</Words>
  <Characters>48110</Characters>
  <Application>Microsoft Office Word</Application>
  <DocSecurity>0</DocSecurity>
  <Lines>668</Lines>
  <Paragraphs>100</Paragraphs>
  <ScaleCrop>false</ScaleCrop>
  <HeadingPairs>
    <vt:vector size="2" baseType="variant">
      <vt:variant>
        <vt:lpstr>Titre</vt:lpstr>
      </vt:variant>
      <vt:variant>
        <vt:i4>1</vt:i4>
      </vt:variant>
    </vt:vector>
  </HeadingPairs>
  <TitlesOfParts>
    <vt:vector size="1" baseType="lpstr">
      <vt:lpstr>CED/C/GC/1</vt:lpstr>
    </vt:vector>
  </TitlesOfParts>
  <Company>DCM</Company>
  <LinksUpToDate>false</LinksUpToDate>
  <CharactersWithSpaces>56741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CED/C/GC/1</dc:title>
  <dc:subject/>
  <dc:creator>Nathalie VITTOZ</dc:creator>
  <cp:keywords/>
  <cp:lastModifiedBy>Nathalie Vittoz</cp:lastModifiedBy>
  <cp:revision>2</cp:revision>
  <cp:lastPrinted>2014-05-14T10:59:00Z</cp:lastPrinted>
  <dcterms:created xsi:type="dcterms:W3CDTF">2023-11-15T15:59:00Z</dcterms:created>
  <dcterms:modified xsi:type="dcterms:W3CDTF">2023-11-15T15:59:00Z</dcterms:modified>
</cp:coreProperties>
</file>