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60574C9E" w14:textId="77777777" w:rsidTr="00FB115A">
        <w:trPr>
          <w:cantSplit/>
          <w:trHeight w:hRule="exact" w:val="851"/>
        </w:trPr>
        <w:tc>
          <w:tcPr>
            <w:tcW w:w="1276" w:type="dxa"/>
            <w:tcBorders>
              <w:bottom w:val="single" w:sz="4" w:space="0" w:color="auto"/>
            </w:tcBorders>
            <w:vAlign w:val="bottom"/>
          </w:tcPr>
          <w:p w14:paraId="3610B5FB" w14:textId="77777777" w:rsidR="00A126AC" w:rsidRDefault="00A126AC" w:rsidP="00FB115A">
            <w:pPr>
              <w:spacing w:after="80"/>
            </w:pPr>
          </w:p>
        </w:tc>
        <w:tc>
          <w:tcPr>
            <w:tcW w:w="2268" w:type="dxa"/>
            <w:tcBorders>
              <w:bottom w:val="single" w:sz="4" w:space="0" w:color="auto"/>
            </w:tcBorders>
            <w:vAlign w:val="bottom"/>
          </w:tcPr>
          <w:p w14:paraId="3A221D46"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C9DE05" w14:textId="77777777" w:rsidR="00A126AC" w:rsidRPr="006E4EE9" w:rsidRDefault="00DB3692" w:rsidP="00DB3692">
            <w:pPr>
              <w:suppressAutoHyphens w:val="0"/>
              <w:spacing w:after="20"/>
              <w:jc w:val="right"/>
            </w:pPr>
            <w:r w:rsidRPr="00DB3692">
              <w:rPr>
                <w:sz w:val="40"/>
              </w:rPr>
              <w:t>CED</w:t>
            </w:r>
            <w:r>
              <w:t>/C/GC/1</w:t>
            </w:r>
          </w:p>
        </w:tc>
      </w:tr>
      <w:tr w:rsidR="00A126AC" w14:paraId="23551A09" w14:textId="77777777" w:rsidTr="00FB115A">
        <w:trPr>
          <w:cantSplit/>
          <w:trHeight w:hRule="exact" w:val="2835"/>
        </w:trPr>
        <w:tc>
          <w:tcPr>
            <w:tcW w:w="1276" w:type="dxa"/>
            <w:tcBorders>
              <w:top w:val="single" w:sz="4" w:space="0" w:color="auto"/>
              <w:bottom w:val="single" w:sz="12" w:space="0" w:color="auto"/>
            </w:tcBorders>
          </w:tcPr>
          <w:p w14:paraId="10232B55" w14:textId="77777777" w:rsidR="00A126AC" w:rsidRDefault="00A126AC" w:rsidP="00FB115A">
            <w:pPr>
              <w:spacing w:before="120"/>
              <w:jc w:val="center"/>
            </w:pPr>
            <w:r>
              <w:rPr>
                <w:noProof/>
                <w:lang w:val="fr-CH" w:eastAsia="fr-CH"/>
              </w:rPr>
              <w:drawing>
                <wp:inline distT="0" distB="0" distL="0" distR="0" wp14:anchorId="4AA881BF" wp14:editId="3D8659A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421EDE"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012C18D8" w14:textId="77777777" w:rsidR="00DB3692" w:rsidRPr="00D27F19" w:rsidRDefault="00DB3692" w:rsidP="00DB3692">
            <w:pPr>
              <w:suppressAutoHyphens w:val="0"/>
              <w:spacing w:before="240" w:line="240" w:lineRule="exact"/>
            </w:pPr>
            <w:r w:rsidRPr="00D27F19">
              <w:t xml:space="preserve">Distr.: </w:t>
            </w:r>
            <w:r>
              <w:t>General</w:t>
            </w:r>
          </w:p>
          <w:p w14:paraId="13C1C7ED" w14:textId="56BF5A03" w:rsidR="00DB3692" w:rsidRPr="00D27F19" w:rsidRDefault="00EE6507" w:rsidP="00DB3692">
            <w:pPr>
              <w:suppressAutoHyphens w:val="0"/>
            </w:pPr>
            <w:r>
              <w:t>26</w:t>
            </w:r>
            <w:r w:rsidR="00DB3692">
              <w:t xml:space="preserve"> October</w:t>
            </w:r>
            <w:r w:rsidR="00DB3692" w:rsidRPr="00D27F19">
              <w:t xml:space="preserve"> 2023</w:t>
            </w:r>
          </w:p>
          <w:p w14:paraId="0C1F7E15" w14:textId="77777777" w:rsidR="00DB3692" w:rsidRPr="00D27F19" w:rsidRDefault="00DB3692" w:rsidP="00DB3692">
            <w:pPr>
              <w:suppressAutoHyphens w:val="0"/>
            </w:pPr>
          </w:p>
          <w:p w14:paraId="175E9A60" w14:textId="003DB48F" w:rsidR="00DB3692" w:rsidRDefault="00DB3692" w:rsidP="00DB3692">
            <w:pPr>
              <w:suppressAutoHyphens w:val="0"/>
            </w:pPr>
            <w:r w:rsidRPr="00D27F19">
              <w:t>Original: English</w:t>
            </w:r>
          </w:p>
        </w:tc>
      </w:tr>
    </w:tbl>
    <w:p w14:paraId="406E3198" w14:textId="77777777" w:rsidR="00DB3692" w:rsidRPr="00D27F19" w:rsidRDefault="00DB3692" w:rsidP="00DB3692">
      <w:pPr>
        <w:spacing w:before="120"/>
        <w:rPr>
          <w:b/>
          <w:bCs/>
        </w:rPr>
      </w:pPr>
      <w:r w:rsidRPr="00D27F19">
        <w:rPr>
          <w:b/>
          <w:sz w:val="24"/>
          <w:szCs w:val="24"/>
        </w:rPr>
        <w:t>Committee on Enforced Disappearances</w:t>
      </w:r>
    </w:p>
    <w:p w14:paraId="5E71637E" w14:textId="77777777" w:rsidR="00DB3692" w:rsidRPr="00D27F19" w:rsidRDefault="00DB3692" w:rsidP="00DB3692">
      <w:pPr>
        <w:pStyle w:val="HChG"/>
        <w:rPr>
          <w:b w:val="0"/>
          <w:sz w:val="20"/>
        </w:rPr>
      </w:pPr>
      <w:r w:rsidRPr="00D27F19">
        <w:tab/>
      </w:r>
      <w:r w:rsidRPr="00D27F19">
        <w:tab/>
        <w:t xml:space="preserve">General comment No. 1 </w:t>
      </w:r>
      <w:r>
        <w:t xml:space="preserve">(2023) </w:t>
      </w:r>
      <w:r w:rsidRPr="00D27F19">
        <w:t>on enforced disappearance in the context of migration</w:t>
      </w:r>
      <w:r w:rsidRPr="00A260F4">
        <w:rPr>
          <w:rStyle w:val="FootnoteReference"/>
          <w:b w:val="0"/>
          <w:bCs/>
          <w:sz w:val="20"/>
          <w:vertAlign w:val="baseline"/>
        </w:rPr>
        <w:footnoteReference w:customMarkFollows="1" w:id="1"/>
        <w:t>*</w:t>
      </w:r>
    </w:p>
    <w:p w14:paraId="3F02B95B" w14:textId="77777777" w:rsidR="00DB3692" w:rsidRPr="00D27F19" w:rsidRDefault="00DB3692" w:rsidP="00DB3692">
      <w:pPr>
        <w:pStyle w:val="HChG"/>
      </w:pPr>
      <w:bookmarkStart w:id="0" w:name="_Toc127804273"/>
      <w:bookmarkStart w:id="1" w:name="_Toc129893183"/>
      <w:bookmarkStart w:id="2" w:name="_Toc130394609"/>
      <w:r w:rsidRPr="00D27F19">
        <w:tab/>
        <w:t>I.</w:t>
      </w:r>
      <w:r w:rsidRPr="00D27F19">
        <w:tab/>
        <w:t>Introduction</w:t>
      </w:r>
      <w:bookmarkEnd w:id="0"/>
      <w:bookmarkEnd w:id="1"/>
      <w:bookmarkEnd w:id="2"/>
    </w:p>
    <w:p w14:paraId="668DB711" w14:textId="77777777" w:rsidR="00DB3692" w:rsidRPr="00D27F19" w:rsidRDefault="00DB3692" w:rsidP="00DB3692">
      <w:pPr>
        <w:pStyle w:val="SingleTxtG"/>
      </w:pPr>
      <w:r w:rsidRPr="00D27F19">
        <w:t>1.</w:t>
      </w:r>
      <w:r w:rsidRPr="00D27F19">
        <w:tab/>
        <w:t>For the purpose</w:t>
      </w:r>
      <w:r>
        <w:t>s</w:t>
      </w:r>
      <w:r w:rsidRPr="00D27F19">
        <w:t xml:space="preserve"> of </w:t>
      </w:r>
      <w:r>
        <w:t>the present</w:t>
      </w:r>
      <w:r w:rsidRPr="00D27F19">
        <w:t xml:space="preserve"> </w:t>
      </w:r>
      <w:r>
        <w:t>g</w:t>
      </w:r>
      <w:r w:rsidRPr="00D27F19">
        <w:t xml:space="preserve">eneral </w:t>
      </w:r>
      <w:r>
        <w:t>c</w:t>
      </w:r>
      <w:r w:rsidRPr="00D27F19">
        <w:t>omment, the term “migrant</w:t>
      </w:r>
      <w:r>
        <w:t>s</w:t>
      </w:r>
      <w:r w:rsidRPr="00D27F19">
        <w:t xml:space="preserve">” </w:t>
      </w:r>
      <w:r>
        <w:t>is used to refer to</w:t>
      </w:r>
      <w:r w:rsidRPr="00D27F19">
        <w:t xml:space="preserve"> </w:t>
      </w:r>
      <w:r w:rsidRPr="00D27F19">
        <w:rPr>
          <w:shd w:val="clear" w:color="auto" w:fill="FFFFFF"/>
        </w:rPr>
        <w:t>person</w:t>
      </w:r>
      <w:r>
        <w:rPr>
          <w:shd w:val="clear" w:color="auto" w:fill="FFFFFF"/>
        </w:rPr>
        <w:t>s</w:t>
      </w:r>
      <w:r w:rsidRPr="00D27F19">
        <w:rPr>
          <w:shd w:val="clear" w:color="auto" w:fill="FFFFFF"/>
        </w:rPr>
        <w:t xml:space="preserve"> who move away from </w:t>
      </w:r>
      <w:r>
        <w:rPr>
          <w:shd w:val="clear" w:color="auto" w:fill="FFFFFF"/>
        </w:rPr>
        <w:t>their</w:t>
      </w:r>
      <w:r w:rsidRPr="00D27F19">
        <w:rPr>
          <w:shd w:val="clear" w:color="auto" w:fill="FFFFFF"/>
        </w:rPr>
        <w:t xml:space="preserve"> place of usual residence, whether within a country or across an international border, temporarily or permanently, and for a variety of reasons</w:t>
      </w:r>
      <w:r>
        <w:rPr>
          <w:shd w:val="clear" w:color="auto" w:fill="FFFFFF"/>
        </w:rPr>
        <w:t>,</w:t>
      </w:r>
      <w:r w:rsidRPr="009662BA">
        <w:rPr>
          <w:rStyle w:val="FootnoteReference"/>
        </w:rPr>
        <w:footnoteReference w:id="2"/>
      </w:r>
      <w:r w:rsidRPr="00D27F19">
        <w:rPr>
          <w:shd w:val="clear" w:color="auto" w:fill="FFFFFF"/>
        </w:rPr>
        <w:t xml:space="preserve"> </w:t>
      </w:r>
      <w:r>
        <w:t>s</w:t>
      </w:r>
      <w:r w:rsidRPr="00D27F19">
        <w:t xml:space="preserve">uch </w:t>
      </w:r>
      <w:r>
        <w:t xml:space="preserve">as family reunification or moving away from </w:t>
      </w:r>
      <w:r w:rsidRPr="00D27F19">
        <w:t xml:space="preserve">international or </w:t>
      </w:r>
      <w:r>
        <w:t>non-international armed</w:t>
      </w:r>
      <w:r w:rsidRPr="00D27F19">
        <w:t xml:space="preserve"> conflicts, persecution,</w:t>
      </w:r>
      <w:r>
        <w:t xml:space="preserve"> discrimination, </w:t>
      </w:r>
      <w:r w:rsidRPr="00D27F19">
        <w:t xml:space="preserve">natural disasters, </w:t>
      </w:r>
      <w:r>
        <w:t xml:space="preserve">environmental degradation, </w:t>
      </w:r>
      <w:r w:rsidRPr="00D27F19">
        <w:t>the effects of climate change, difficult economic situations or high crime rates. Numbers of migrants worldwide remain high.</w:t>
      </w:r>
      <w:r w:rsidRPr="009662BA">
        <w:rPr>
          <w:rStyle w:val="FootnoteReference"/>
        </w:rPr>
        <w:footnoteReference w:id="3"/>
      </w:r>
      <w:r w:rsidRPr="00D27F19">
        <w:t xml:space="preserve"> </w:t>
      </w:r>
    </w:p>
    <w:p w14:paraId="65B4ED4D" w14:textId="77777777" w:rsidR="00DB3692" w:rsidRPr="00D27F19" w:rsidRDefault="00DB3692" w:rsidP="00DB3692">
      <w:pPr>
        <w:pStyle w:val="SingleTxtG"/>
      </w:pPr>
      <w:r w:rsidRPr="00D27F19">
        <w:t>2.</w:t>
      </w:r>
      <w:r w:rsidRPr="00D27F19">
        <w:tab/>
      </w:r>
      <w:r>
        <w:t>M</w:t>
      </w:r>
      <w:r w:rsidRPr="00D27F19">
        <w:t>igrants are in situation</w:t>
      </w:r>
      <w:r>
        <w:t>s</w:t>
      </w:r>
      <w:r w:rsidRPr="00D27F19">
        <w:t xml:space="preserve"> of particular vulnerability, which may arise from </w:t>
      </w:r>
      <w:r>
        <w:t xml:space="preserve">their personal characteristics or socioeconomic status, the </w:t>
      </w:r>
      <w:r w:rsidRPr="00D27F19">
        <w:t xml:space="preserve">circumstances in which they travel </w:t>
      </w:r>
      <w:r>
        <w:t>–</w:t>
      </w:r>
      <w:r w:rsidRPr="00D27F19">
        <w:t xml:space="preserve"> </w:t>
      </w:r>
      <w:r>
        <w:t>including</w:t>
      </w:r>
      <w:r w:rsidRPr="00D27F19">
        <w:t xml:space="preserve"> their undocumented status and language barriers</w:t>
      </w:r>
      <w:r>
        <w:t xml:space="preserve"> –</w:t>
      </w:r>
      <w:r w:rsidRPr="00D27F19">
        <w:t xml:space="preserve"> or the </w:t>
      </w:r>
      <w:r>
        <w:t xml:space="preserve">treatment or </w:t>
      </w:r>
      <w:r w:rsidRPr="00D27F19">
        <w:t xml:space="preserve">conditions </w:t>
      </w:r>
      <w:r>
        <w:t xml:space="preserve">that </w:t>
      </w:r>
      <w:r w:rsidRPr="00D27F19">
        <w:t>they face in countries of origin, transit and destination</w:t>
      </w:r>
      <w:r>
        <w:t>, including border areas</w:t>
      </w:r>
      <w:r w:rsidRPr="00D27F19">
        <w:t>.</w:t>
      </w:r>
      <w:r w:rsidRPr="009662BA">
        <w:rPr>
          <w:rStyle w:val="FootnoteReference"/>
        </w:rPr>
        <w:footnoteReference w:id="4"/>
      </w:r>
      <w:r w:rsidRPr="00D27F19">
        <w:t xml:space="preserve"> </w:t>
      </w:r>
      <w:r>
        <w:t>T</w:t>
      </w:r>
      <w:r w:rsidRPr="00D27F19">
        <w:t xml:space="preserve">he universal human rights and fundamental freedoms of migrants </w:t>
      </w:r>
      <w:r>
        <w:t>must be</w:t>
      </w:r>
      <w:r w:rsidRPr="00D27F19">
        <w:t xml:space="preserve"> respected, protected and fulfilled at all times.</w:t>
      </w:r>
      <w:r w:rsidRPr="009662BA">
        <w:rPr>
          <w:rStyle w:val="FootnoteReference"/>
        </w:rPr>
        <w:footnoteReference w:id="5"/>
      </w:r>
      <w:r w:rsidRPr="00D27F19">
        <w:t xml:space="preserve"> Although States have a sovereign prerogative to manage their borders and regulate </w:t>
      </w:r>
      <w:r>
        <w:t>access to their territories</w:t>
      </w:r>
      <w:r w:rsidRPr="00D27F19">
        <w:t>, they must do so in full compliance with their obligations under international law,</w:t>
      </w:r>
      <w:r w:rsidRPr="009662BA">
        <w:rPr>
          <w:rStyle w:val="FootnoteReference"/>
        </w:rPr>
        <w:footnoteReference w:id="6"/>
      </w:r>
      <w:r w:rsidRPr="00D27F19">
        <w:t xml:space="preserve"> in particular human rights law, international humanitarian law, international refugee law and the law of the sea.</w:t>
      </w:r>
      <w:r w:rsidRPr="00D27F19" w:rsidDel="3F50572A">
        <w:t xml:space="preserve"> </w:t>
      </w:r>
    </w:p>
    <w:p w14:paraId="690092EA" w14:textId="77777777" w:rsidR="00DB3692" w:rsidRPr="00D27F19" w:rsidRDefault="00DB3692" w:rsidP="00DB3692">
      <w:pPr>
        <w:pStyle w:val="SingleTxtG"/>
      </w:pPr>
      <w:r w:rsidRPr="00D27F19">
        <w:t>3.</w:t>
      </w:r>
      <w:r w:rsidRPr="00D27F19">
        <w:tab/>
      </w:r>
      <w:r>
        <w:t>A</w:t>
      </w:r>
      <w:r w:rsidRPr="00D27F19">
        <w:t>lready in a situation of vulnerability</w:t>
      </w:r>
      <w:r>
        <w:t xml:space="preserve"> and</w:t>
      </w:r>
      <w:r w:rsidRPr="00D27F19">
        <w:t xml:space="preserve"> faced with restrictive immigration policies and dehumanizing border governance tactics</w:t>
      </w:r>
      <w:r>
        <w:t>,</w:t>
      </w:r>
      <w:r w:rsidRPr="009662BA">
        <w:rPr>
          <w:rStyle w:val="FootnoteReference"/>
        </w:rPr>
        <w:footnoteReference w:id="7"/>
      </w:r>
      <w:r w:rsidRPr="00D27F19">
        <w:t xml:space="preserve"> thousands of migrants die, disappear or go missing each year, </w:t>
      </w:r>
      <w:r>
        <w:t>leading</w:t>
      </w:r>
      <w:r w:rsidRPr="00D27F19">
        <w:t xml:space="preserve"> to humanitarian cris</w:t>
      </w:r>
      <w:r>
        <w:t>e</w:t>
      </w:r>
      <w:r w:rsidRPr="00D27F19">
        <w:t xml:space="preserve">s in </w:t>
      </w:r>
      <w:r>
        <w:t>many</w:t>
      </w:r>
      <w:r w:rsidRPr="00D27F19">
        <w:t xml:space="preserve"> regions of the world.</w:t>
      </w:r>
      <w:r w:rsidRPr="009662BA">
        <w:rPr>
          <w:rStyle w:val="FootnoteReference"/>
        </w:rPr>
        <w:footnoteReference w:id="8"/>
      </w:r>
      <w:r w:rsidRPr="00D27F19">
        <w:t xml:space="preserve"> The issue is </w:t>
      </w:r>
      <w:r>
        <w:t>a</w:t>
      </w:r>
      <w:r w:rsidRPr="00D27F19">
        <w:t xml:space="preserve"> high priority at the international level</w:t>
      </w:r>
      <w:r>
        <w:t>.</w:t>
      </w:r>
      <w:r w:rsidRPr="00D27F19">
        <w:t xml:space="preserve"> </w:t>
      </w:r>
      <w:r>
        <w:t>In</w:t>
      </w:r>
      <w:r w:rsidRPr="00D27F19">
        <w:t xml:space="preserve"> </w:t>
      </w:r>
      <w:r>
        <w:t>its</w:t>
      </w:r>
      <w:r w:rsidRPr="00D27F19">
        <w:t xml:space="preserve"> </w:t>
      </w:r>
      <w:r>
        <w:t>r</w:t>
      </w:r>
      <w:r w:rsidRPr="00D27F19">
        <w:t>esolution</w:t>
      </w:r>
      <w:r>
        <w:t xml:space="preserve"> 74/148</w:t>
      </w:r>
      <w:r w:rsidRPr="00D27F19">
        <w:t xml:space="preserve"> on the protection of migrants</w:t>
      </w:r>
      <w:r>
        <w:t>,</w:t>
      </w:r>
      <w:r w:rsidRPr="00D27F19">
        <w:t xml:space="preserve"> </w:t>
      </w:r>
      <w:r>
        <w:t>the General Assembly</w:t>
      </w:r>
      <w:r w:rsidRPr="00D27F19">
        <w:t xml:space="preserve"> called for international cooperation </w:t>
      </w:r>
      <w:r>
        <w:t>to save lives, prevent the deaths of and injuries to migrants and identify</w:t>
      </w:r>
      <w:r w:rsidRPr="00D27F19">
        <w:t xml:space="preserve"> migrants who ha</w:t>
      </w:r>
      <w:r>
        <w:t>ve</w:t>
      </w:r>
      <w:r w:rsidRPr="00D27F19">
        <w:t xml:space="preserve"> died or gone missing</w:t>
      </w:r>
      <w:r>
        <w:t>.</w:t>
      </w:r>
      <w:r w:rsidRPr="00D27F19">
        <w:t xml:space="preserve"> </w:t>
      </w:r>
      <w:r>
        <w:t>The objectives of the</w:t>
      </w:r>
      <w:r w:rsidRPr="00D27F19">
        <w:t xml:space="preserve"> </w:t>
      </w:r>
      <w:r w:rsidRPr="0066546F">
        <w:t>Global Compact for Safe, Orderly and Regular Migration</w:t>
      </w:r>
      <w:r w:rsidRPr="00136252">
        <w:t xml:space="preserve">, </w:t>
      </w:r>
      <w:r>
        <w:t>adopted in 2018,</w:t>
      </w:r>
      <w:r w:rsidRPr="00D27F19">
        <w:t xml:space="preserve"> </w:t>
      </w:r>
      <w:r w:rsidRPr="00D27F19">
        <w:lastRenderedPageBreak/>
        <w:t>include addressing and reducing vulnerabilities in migration, saving lives and establishing coordinated efforts on missing migrants, and countering trafficking</w:t>
      </w:r>
      <w:r>
        <w:t xml:space="preserve"> in persons in the context of international migration (o</w:t>
      </w:r>
      <w:r w:rsidRPr="0066546F">
        <w:t>bjectives 7</w:t>
      </w:r>
      <w:r>
        <w:t xml:space="preserve">, 8 and </w:t>
      </w:r>
      <w:r w:rsidRPr="006B3403">
        <w:t>10</w:t>
      </w:r>
      <w:r>
        <w:t>)</w:t>
      </w:r>
      <w:r w:rsidRPr="00D27F19">
        <w:t>.</w:t>
      </w:r>
    </w:p>
    <w:p w14:paraId="56110315" w14:textId="77777777" w:rsidR="00DB3692" w:rsidRPr="00D27F19" w:rsidRDefault="00DB3692" w:rsidP="00DB3692">
      <w:pPr>
        <w:pStyle w:val="SingleTxtG"/>
      </w:pPr>
      <w:r w:rsidRPr="00D27F19">
        <w:t>4.</w:t>
      </w:r>
      <w:r w:rsidRPr="00D27F19">
        <w:tab/>
      </w:r>
      <w:r>
        <w:t>M</w:t>
      </w:r>
      <w:r w:rsidRPr="00D27F19">
        <w:t>issing person</w:t>
      </w:r>
      <w:r>
        <w:t>s</w:t>
      </w:r>
      <w:r w:rsidRPr="00D27F19">
        <w:t xml:space="preserve">, as </w:t>
      </w:r>
      <w:r>
        <w:t>understood</w:t>
      </w:r>
      <w:r w:rsidRPr="00D27F19">
        <w:t xml:space="preserve"> </w:t>
      </w:r>
      <w:r w:rsidRPr="009F7A2E">
        <w:t xml:space="preserve">by the International Committee of the Red Cross (ICRC) </w:t>
      </w:r>
      <w:r w:rsidRPr="00A6464C">
        <w:t xml:space="preserve">for the purposes of its operations, </w:t>
      </w:r>
      <w:r>
        <w:t>are</w:t>
      </w:r>
      <w:r w:rsidRPr="00A6464C">
        <w:t xml:space="preserve"> person</w:t>
      </w:r>
      <w:r>
        <w:t>s</w:t>
      </w:r>
      <w:r w:rsidRPr="00A6464C">
        <w:t xml:space="preserve"> </w:t>
      </w:r>
      <w:r w:rsidRPr="009F7A2E">
        <w:t>whose whereabouts are unknown to their relatives and/or who</w:t>
      </w:r>
      <w:r w:rsidRPr="00D27F19">
        <w:t>, on the basis of reliable information, ha</w:t>
      </w:r>
      <w:r>
        <w:t>ve</w:t>
      </w:r>
      <w:r w:rsidRPr="00D27F19">
        <w:t xml:space="preserve"> been reported missing in accordance with national legislation in connection with an international or non-international armed conflict, a situation of internal violence or disturbances, natural catastrophes or any other situation that may require the intervention of a competent State authority</w:t>
      </w:r>
      <w:r>
        <w:t>.</w:t>
      </w:r>
      <w:r>
        <w:rPr>
          <w:rStyle w:val="FootnoteReference"/>
        </w:rPr>
        <w:footnoteReference w:id="9"/>
      </w:r>
      <w:r w:rsidRPr="00A6464C">
        <w:t xml:space="preserve"> </w:t>
      </w:r>
      <w:r>
        <w:t>T</w:t>
      </w:r>
      <w:r w:rsidRPr="009F7A2E">
        <w:t>he International Organization for Migration (IOM)</w:t>
      </w:r>
      <w:r>
        <w:t>, as part of its Missing Migrants Project,</w:t>
      </w:r>
      <w:r w:rsidRPr="00D27F19">
        <w:t xml:space="preserve"> </w:t>
      </w:r>
      <w:r>
        <w:t xml:space="preserve">collects data on </w:t>
      </w:r>
      <w:r w:rsidRPr="00D27F19">
        <w:t xml:space="preserve">migrants </w:t>
      </w:r>
      <w:r>
        <w:t xml:space="preserve">who have died at the external borders of States or in the process of </w:t>
      </w:r>
      <w:r w:rsidRPr="00D478EE">
        <w:t>migrat</w:t>
      </w:r>
      <w:r>
        <w:t>ing</w:t>
      </w:r>
      <w:r w:rsidRPr="00D478EE">
        <w:t xml:space="preserve"> towards an international destination, including </w:t>
      </w:r>
      <w:r>
        <w:t>as a result of</w:t>
      </w:r>
      <w:r w:rsidRPr="0066546F">
        <w:t xml:space="preserve"> transport accidents, shipwrecks or violent attacks or owing to medical complications during their journeys.</w:t>
      </w:r>
      <w:r w:rsidRPr="009662BA">
        <w:rPr>
          <w:rStyle w:val="FootnoteReference"/>
        </w:rPr>
        <w:footnoteReference w:id="10"/>
      </w:r>
      <w:r w:rsidRPr="00D27F19">
        <w:t xml:space="preserve"> Some missing migrants could be victims of disappearance</w:t>
      </w:r>
      <w:r>
        <w:t>, including enforced disappearance</w:t>
      </w:r>
      <w:r w:rsidRPr="00D27F19">
        <w:t xml:space="preserve">. The principal distinctive element between a migrant going missing and </w:t>
      </w:r>
      <w:r>
        <w:t xml:space="preserve">a migrant </w:t>
      </w:r>
      <w:r w:rsidRPr="00D27F19">
        <w:t>be</w:t>
      </w:r>
      <w:r>
        <w:t>com</w:t>
      </w:r>
      <w:r w:rsidRPr="00D27F19">
        <w:t xml:space="preserve">ing a victim of </w:t>
      </w:r>
      <w:r w:rsidRPr="00A535EE">
        <w:t>disappearance</w:t>
      </w:r>
      <w:r w:rsidRPr="00D27F19">
        <w:t xml:space="preserve"> </w:t>
      </w:r>
      <w:r w:rsidRPr="00A1443E">
        <w:t xml:space="preserve">is the </w:t>
      </w:r>
      <w:r w:rsidRPr="0066546F">
        <w:t xml:space="preserve">commission of a crime </w:t>
      </w:r>
      <w:r w:rsidRPr="00A1443E">
        <w:t>against</w:t>
      </w:r>
      <w:r w:rsidRPr="00D27F19">
        <w:t xml:space="preserve"> a migrant, as provided in articles 2, 3 and 5 of the Convention. </w:t>
      </w:r>
    </w:p>
    <w:p w14:paraId="65B021EE" w14:textId="77777777" w:rsidR="00DB3692" w:rsidRPr="00D27F19" w:rsidRDefault="00DB3692" w:rsidP="00DB3692">
      <w:pPr>
        <w:pStyle w:val="SingleTxtG"/>
      </w:pPr>
      <w:r w:rsidRPr="00D27F19">
        <w:t>5.</w:t>
      </w:r>
      <w:r w:rsidRPr="00D27F19">
        <w:tab/>
        <w:t xml:space="preserve">The Committee notes with </w:t>
      </w:r>
      <w:r>
        <w:t>great</w:t>
      </w:r>
      <w:r w:rsidRPr="00D27F19">
        <w:t xml:space="preserve"> concern that deaths and </w:t>
      </w:r>
      <w:r>
        <w:t xml:space="preserve">cases of </w:t>
      </w:r>
      <w:r w:rsidRPr="00D27F19">
        <w:t>disappearance</w:t>
      </w:r>
      <w:r>
        <w:t xml:space="preserve"> are widely reported</w:t>
      </w:r>
      <w:r w:rsidRPr="00D27F19">
        <w:t xml:space="preserve"> along various migration routes.</w:t>
      </w:r>
      <w:r w:rsidRPr="009662BA">
        <w:rPr>
          <w:rStyle w:val="FootnoteReference"/>
        </w:rPr>
        <w:footnoteReference w:id="11"/>
      </w:r>
      <w:r w:rsidRPr="00D27F19">
        <w:t xml:space="preserve"> The issue was first addressed by the Working Group on Enforced or Involuntary Disappearances in </w:t>
      </w:r>
      <w:r w:rsidRPr="005345C3">
        <w:t>2017</w:t>
      </w:r>
      <w:r>
        <w:t>, in its</w:t>
      </w:r>
      <w:r w:rsidRPr="005345C3">
        <w:t xml:space="preserve"> </w:t>
      </w:r>
      <w:r w:rsidRPr="0066546F">
        <w:t>report on enforced disappearance in the context of migration</w:t>
      </w:r>
      <w:r w:rsidRPr="005345C3">
        <w:t>,</w:t>
      </w:r>
      <w:r w:rsidRPr="009662BA">
        <w:rPr>
          <w:rStyle w:val="FootnoteReference"/>
        </w:rPr>
        <w:footnoteReference w:id="12"/>
      </w:r>
      <w:r w:rsidRPr="005345C3">
        <w:t xml:space="preserve"> and has</w:t>
      </w:r>
      <w:r w:rsidRPr="00D27F19">
        <w:t xml:space="preserve"> not improved since. However, accurate data on the number of victims of disappearance among missing migrants are not available</w:t>
      </w:r>
      <w:r>
        <w:t xml:space="preserve"> or are inaccurate,</w:t>
      </w:r>
      <w:r w:rsidRPr="009662BA">
        <w:rPr>
          <w:rStyle w:val="FootnoteReference"/>
        </w:rPr>
        <w:footnoteReference w:id="13"/>
      </w:r>
      <w:r w:rsidRPr="00D27F19">
        <w:t xml:space="preserve"> </w:t>
      </w:r>
      <w:r>
        <w:t>owing</w:t>
      </w:r>
      <w:r w:rsidRPr="00D27F19">
        <w:t xml:space="preserve"> to a lack of systematic data collection and shared databases, insufficient cooperation</w:t>
      </w:r>
      <w:r>
        <w:t xml:space="preserve"> among States</w:t>
      </w:r>
      <w:r w:rsidRPr="00D27F19">
        <w:t xml:space="preserve"> and lack of political will, barriers </w:t>
      </w:r>
      <w:r>
        <w:t>(</w:t>
      </w:r>
      <w:r w:rsidRPr="005345C3">
        <w:t xml:space="preserve">linked, </w:t>
      </w:r>
      <w:r w:rsidRPr="0066546F">
        <w:t>inter alia</w:t>
      </w:r>
      <w:r w:rsidRPr="005345C3">
        <w:t>, to</w:t>
      </w:r>
      <w:r w:rsidRPr="00D27F19">
        <w:t xml:space="preserve"> the situation of vulnerability of migrants and their relatives</w:t>
      </w:r>
      <w:r>
        <w:t xml:space="preserve">) </w:t>
      </w:r>
      <w:r w:rsidRPr="00D27F19">
        <w:t xml:space="preserve">to reporting </w:t>
      </w:r>
      <w:r>
        <w:t>cases of</w:t>
      </w:r>
      <w:r w:rsidRPr="00D27F19">
        <w:t xml:space="preserve"> disappearance</w:t>
      </w:r>
      <w:r>
        <w:t xml:space="preserve"> falling under articles 2 and 3 of the Convention</w:t>
      </w:r>
      <w:r w:rsidRPr="00D27F19">
        <w:t xml:space="preserve">, </w:t>
      </w:r>
      <w:r>
        <w:t>and the</w:t>
      </w:r>
      <w:r w:rsidRPr="00D27F19">
        <w:t xml:space="preserve"> failure </w:t>
      </w:r>
      <w:r>
        <w:t>of</w:t>
      </w:r>
      <w:r w:rsidRPr="00D27F19">
        <w:t xml:space="preserve"> authorities to conduct serious, effective and diligent searches and investigations. This lack of accurate and disaggregated data hinders the adoption of policies and strategies to prevent the enforced disappearance of migrants and increases the vulnerability of migrants </w:t>
      </w:r>
      <w:r>
        <w:t xml:space="preserve">to </w:t>
      </w:r>
      <w:r w:rsidRPr="00D27F19">
        <w:t>becom</w:t>
      </w:r>
      <w:r>
        <w:t>ing</w:t>
      </w:r>
      <w:r w:rsidRPr="00D27F19">
        <w:t xml:space="preserve"> victims of this crime.</w:t>
      </w:r>
    </w:p>
    <w:p w14:paraId="3112977B" w14:textId="77777777" w:rsidR="00DB3692" w:rsidRPr="00D27F19" w:rsidRDefault="00DB3692" w:rsidP="00DB3692">
      <w:pPr>
        <w:pStyle w:val="SingleTxtG"/>
      </w:pPr>
      <w:r w:rsidRPr="00D27F19">
        <w:t>6.</w:t>
      </w:r>
      <w:r w:rsidRPr="00D27F19">
        <w:tab/>
        <w:t>Different factors contribute directly or indirectly to the disappearance of migrants</w:t>
      </w:r>
      <w:r>
        <w:t xml:space="preserve"> </w:t>
      </w:r>
      <w:r w:rsidRPr="00D27F19">
        <w:t>(</w:t>
      </w:r>
      <w:r w:rsidRPr="00F14177">
        <w:t xml:space="preserve">falling under </w:t>
      </w:r>
      <w:r w:rsidRPr="00D27F19">
        <w:t>articles 2 and 3</w:t>
      </w:r>
      <w:r>
        <w:t xml:space="preserve"> of the Convention</w:t>
      </w:r>
      <w:r w:rsidRPr="00D27F19">
        <w:t>)</w:t>
      </w:r>
      <w:r>
        <w:t>,</w:t>
      </w:r>
      <w:r w:rsidRPr="00D27F19">
        <w:t xml:space="preserve"> or </w:t>
      </w:r>
      <w:r>
        <w:t xml:space="preserve">the </w:t>
      </w:r>
      <w:r w:rsidRPr="00D27F19">
        <w:t xml:space="preserve">risk thereof. Various practices by </w:t>
      </w:r>
      <w:r>
        <w:t xml:space="preserve">some </w:t>
      </w:r>
      <w:r w:rsidRPr="00D27F19">
        <w:t>States and their agents in the context of restrictive and dehumani</w:t>
      </w:r>
      <w:r>
        <w:t>z</w:t>
      </w:r>
      <w:r w:rsidRPr="00D27F19">
        <w:t xml:space="preserve">ing border governance </w:t>
      </w:r>
      <w:r w:rsidRPr="0066546F">
        <w:t>directly</w:t>
      </w:r>
      <w:r w:rsidRPr="00D27F19">
        <w:t xml:space="preserve"> contribute to the disappearance of migrants. These practices include immigration detention, </w:t>
      </w:r>
      <w:r>
        <w:t>“</w:t>
      </w:r>
      <w:r w:rsidRPr="00D27F19">
        <w:t>pushbacks</w:t>
      </w:r>
      <w:r>
        <w:t>”</w:t>
      </w:r>
      <w:r w:rsidRPr="00D27F19">
        <w:t xml:space="preserve"> and </w:t>
      </w:r>
      <w:r>
        <w:t>“</w:t>
      </w:r>
      <w:r w:rsidRPr="00D27F19">
        <w:t>chain</w:t>
      </w:r>
      <w:r>
        <w:t xml:space="preserve"> </w:t>
      </w:r>
      <w:r w:rsidRPr="00D27F19">
        <w:t>pushbacks</w:t>
      </w:r>
      <w:r>
        <w:t>”</w:t>
      </w:r>
      <w:r w:rsidRPr="00D27F19">
        <w:t xml:space="preserve"> </w:t>
      </w:r>
      <w:r>
        <w:t>on</w:t>
      </w:r>
      <w:r w:rsidRPr="00D27F19">
        <w:t xml:space="preserve"> land or </w:t>
      </w:r>
      <w:r>
        <w:t xml:space="preserve">at </w:t>
      </w:r>
      <w:r w:rsidRPr="00D27F19">
        <w:t>sea,</w:t>
      </w:r>
      <w:r>
        <w:rPr>
          <w:rFonts w:eastAsia="Times New Roman"/>
        </w:rPr>
        <w:t xml:space="preserve"> the </w:t>
      </w:r>
      <w:r w:rsidRPr="00D27F19">
        <w:t xml:space="preserve">systematic failure </w:t>
      </w:r>
      <w:r>
        <w:t>of</w:t>
      </w:r>
      <w:r w:rsidRPr="00D27F19">
        <w:t xml:space="preserve"> search and rescue,</w:t>
      </w:r>
      <w:r w:rsidRPr="009662BA">
        <w:rPr>
          <w:rStyle w:val="FootnoteReference"/>
        </w:rPr>
        <w:footnoteReference w:id="14"/>
      </w:r>
      <w:r w:rsidRPr="00D27F19">
        <w:t xml:space="preserve"> </w:t>
      </w:r>
      <w:r>
        <w:t>and</w:t>
      </w:r>
      <w:r w:rsidRPr="00D27F19">
        <w:t xml:space="preserve"> collusion between </w:t>
      </w:r>
      <w:r>
        <w:t>S</w:t>
      </w:r>
      <w:r w:rsidRPr="00D27F19">
        <w:t>tate agents and organi</w:t>
      </w:r>
      <w:r>
        <w:t>z</w:t>
      </w:r>
      <w:r w:rsidRPr="00D27F19">
        <w:t>ed criminal groups engaged in trafficking</w:t>
      </w:r>
      <w:r>
        <w:t xml:space="preserve"> in persons</w:t>
      </w:r>
      <w:r w:rsidRPr="00D27F19">
        <w:t>.</w:t>
      </w:r>
      <w:r w:rsidRPr="009662BA">
        <w:rPr>
          <w:rStyle w:val="FootnoteReference"/>
        </w:rPr>
        <w:footnoteReference w:id="15"/>
      </w:r>
      <w:r w:rsidRPr="00D27F19">
        <w:t xml:space="preserve"> </w:t>
      </w:r>
    </w:p>
    <w:p w14:paraId="314A125E" w14:textId="77777777" w:rsidR="00DB3692" w:rsidRPr="00D27F19" w:rsidRDefault="00DB3692" w:rsidP="00DB3692">
      <w:pPr>
        <w:pStyle w:val="SingleTxtG"/>
      </w:pPr>
      <w:r w:rsidRPr="00D27F19">
        <w:lastRenderedPageBreak/>
        <w:t>7.</w:t>
      </w:r>
      <w:r w:rsidRPr="00D27F19">
        <w:tab/>
      </w:r>
      <w:r>
        <w:t>Furthermore</w:t>
      </w:r>
      <w:r w:rsidRPr="00D27F19">
        <w:t xml:space="preserve">, </w:t>
      </w:r>
      <w:r>
        <w:t xml:space="preserve">other factors – including </w:t>
      </w:r>
      <w:r w:rsidRPr="00D27F19">
        <w:t>rigid, securiti</w:t>
      </w:r>
      <w:r>
        <w:t>z</w:t>
      </w:r>
      <w:r w:rsidRPr="00D27F19">
        <w:t>ed and increasingly militari</w:t>
      </w:r>
      <w:r>
        <w:t>z</w:t>
      </w:r>
      <w:r w:rsidRPr="00D27F19">
        <w:t xml:space="preserve">ed migration and border governance policies of States, </w:t>
      </w:r>
      <w:r>
        <w:t xml:space="preserve">which are often grounded in deterrence, coupled with </w:t>
      </w:r>
      <w:r w:rsidRPr="00D27F19">
        <w:t>discriminatory attitudes and practices</w:t>
      </w:r>
      <w:r>
        <w:t xml:space="preserve"> against </w:t>
      </w:r>
      <w:r w:rsidRPr="00D27F19">
        <w:t>and a general trend of criminali</w:t>
      </w:r>
      <w:r>
        <w:t>z</w:t>
      </w:r>
      <w:r w:rsidRPr="00D27F19">
        <w:t>ation of migrants and those who assist them,</w:t>
      </w:r>
      <w:r w:rsidRPr="00D27F19">
        <w:rPr>
          <w:i/>
          <w:iCs/>
        </w:rPr>
        <w:t xml:space="preserve"> </w:t>
      </w:r>
      <w:r w:rsidRPr="00D27F19">
        <w:t>and widespread impunity of those who violate the rights of migrants</w:t>
      </w:r>
      <w:r w:rsidRPr="009662BA">
        <w:rPr>
          <w:rStyle w:val="FootnoteReference"/>
        </w:rPr>
        <w:footnoteReference w:id="16"/>
      </w:r>
      <w:r>
        <w:t xml:space="preserve"> – </w:t>
      </w:r>
      <w:r w:rsidRPr="0066546F">
        <w:t>indirectly</w:t>
      </w:r>
      <w:r w:rsidRPr="00D27F19">
        <w:t xml:space="preserve"> contribute to </w:t>
      </w:r>
      <w:r>
        <w:t xml:space="preserve">the </w:t>
      </w:r>
      <w:r w:rsidRPr="00D27F19">
        <w:t>disappearance of migrants</w:t>
      </w:r>
      <w:r>
        <w:t>,</w:t>
      </w:r>
      <w:r w:rsidRPr="00D27F19">
        <w:t xml:space="preserve"> by forcing them to choose increasingly dangerous routes</w:t>
      </w:r>
      <w:r>
        <w:t xml:space="preserve"> that traverse hostile environments or areas affected by armed conflict or other situations of violence and to </w:t>
      </w:r>
      <w:r w:rsidRPr="00D27F19">
        <w:t xml:space="preserve">turn to criminal networks of smugglers or traffickers, </w:t>
      </w:r>
      <w:r>
        <w:t>which</w:t>
      </w:r>
      <w:r w:rsidRPr="00D27F19">
        <w:t xml:space="preserve"> expos</w:t>
      </w:r>
      <w:r>
        <w:t>e</w:t>
      </w:r>
      <w:r w:rsidRPr="00D27F19">
        <w:t xml:space="preserve"> them to human rights violations and exploitation, including becoming victims of enforced disappearance. This phenomenon affects all regions of the world, without exception. </w:t>
      </w:r>
    </w:p>
    <w:p w14:paraId="01AF5AF9" w14:textId="77777777" w:rsidR="00DB3692" w:rsidRPr="00D27F19" w:rsidRDefault="00DB3692" w:rsidP="00DB3692">
      <w:pPr>
        <w:pStyle w:val="SingleTxtG"/>
      </w:pPr>
      <w:r w:rsidRPr="00D27F19">
        <w:t>8.</w:t>
      </w:r>
      <w:r w:rsidRPr="00D27F19">
        <w:tab/>
        <w:t xml:space="preserve">Among the factors </w:t>
      </w:r>
      <w:r>
        <w:t>that</w:t>
      </w:r>
      <w:r w:rsidRPr="00D27F19">
        <w:t xml:space="preserve"> contribute to </w:t>
      </w:r>
      <w:r>
        <w:t xml:space="preserve">the </w:t>
      </w:r>
      <w:r w:rsidRPr="00D27F19">
        <w:t>enforced disappearance of migrants, the issue of discrimination is of specific concern:</w:t>
      </w:r>
      <w:r w:rsidRPr="009662BA">
        <w:rPr>
          <w:rStyle w:val="FootnoteReference"/>
        </w:rPr>
        <w:footnoteReference w:id="17"/>
      </w:r>
    </w:p>
    <w:p w14:paraId="3F41A620" w14:textId="77777777" w:rsidR="00DB3692" w:rsidRPr="00D27F19" w:rsidRDefault="00DB3692" w:rsidP="00DB3692">
      <w:pPr>
        <w:pStyle w:val="SingleTxtG"/>
      </w:pPr>
      <w:r w:rsidRPr="00D27F19">
        <w:tab/>
        <w:t>(a)</w:t>
      </w:r>
      <w:r w:rsidRPr="00D27F19">
        <w:tab/>
        <w:t xml:space="preserve">Discrimination </w:t>
      </w:r>
      <w:r>
        <w:t>may</w:t>
      </w:r>
      <w:r w:rsidRPr="00D27F19">
        <w:t xml:space="preserve"> trigger migration </w:t>
      </w:r>
      <w:r>
        <w:t>among</w:t>
      </w:r>
      <w:r w:rsidRPr="00D27F19">
        <w:t xml:space="preserve"> </w:t>
      </w:r>
      <w:r>
        <w:t>those</w:t>
      </w:r>
      <w:r w:rsidRPr="00D27F19">
        <w:t xml:space="preserve"> exposed to structural or direct discrimination in the</w:t>
      </w:r>
      <w:r>
        <w:t>ir</w:t>
      </w:r>
      <w:r w:rsidRPr="00D27F19">
        <w:t xml:space="preserve"> country of origin or residence;</w:t>
      </w:r>
    </w:p>
    <w:p w14:paraId="548EDEC9" w14:textId="77777777" w:rsidR="00DB3692" w:rsidRPr="00D27F19" w:rsidRDefault="00DB3692" w:rsidP="00DB3692">
      <w:pPr>
        <w:pStyle w:val="SingleTxtG"/>
      </w:pPr>
      <w:r w:rsidRPr="00D27F19">
        <w:tab/>
        <w:t>(b)</w:t>
      </w:r>
      <w:r w:rsidRPr="00D27F19">
        <w:tab/>
        <w:t xml:space="preserve">Migration policies </w:t>
      </w:r>
      <w:r>
        <w:t>may</w:t>
      </w:r>
      <w:r w:rsidRPr="00D27F19">
        <w:t xml:space="preserve"> contain discriminatory elements, such as </w:t>
      </w:r>
      <w:r>
        <w:t xml:space="preserve">restrictions on </w:t>
      </w:r>
      <w:r w:rsidRPr="00D27F19">
        <w:t>visa</w:t>
      </w:r>
      <w:r>
        <w:t>s</w:t>
      </w:r>
      <w:r w:rsidRPr="00D27F19">
        <w:t xml:space="preserve"> or residence permi</w:t>
      </w:r>
      <w:r>
        <w:t>ts</w:t>
      </w:r>
      <w:r w:rsidRPr="00D27F19">
        <w:t xml:space="preserve"> for persons from certain countries or regions or for persons of certain nationalities; </w:t>
      </w:r>
    </w:p>
    <w:p w14:paraId="0805A89A" w14:textId="77777777" w:rsidR="00DB3692" w:rsidRPr="00D27F19" w:rsidRDefault="00DB3692" w:rsidP="00DB3692">
      <w:pPr>
        <w:pStyle w:val="SingleTxtG"/>
      </w:pPr>
      <w:r w:rsidRPr="00D27F19">
        <w:tab/>
        <w:t>(c)</w:t>
      </w:r>
      <w:r w:rsidRPr="00D27F19">
        <w:tab/>
      </w:r>
      <w:r>
        <w:t xml:space="preserve">Certain groups of migrants may face discrimination during the migration process on the </w:t>
      </w:r>
      <w:r w:rsidRPr="00BF2871">
        <w:t>bas</w:t>
      </w:r>
      <w:r>
        <w:t>is</w:t>
      </w:r>
      <w:r w:rsidRPr="00BF2871">
        <w:t xml:space="preserve"> o</w:t>
      </w:r>
      <w:r>
        <w:t>f</w:t>
      </w:r>
      <w:r w:rsidRPr="00BF2871">
        <w:t xml:space="preserve"> migratory </w:t>
      </w:r>
      <w:r>
        <w:t>or</w:t>
      </w:r>
      <w:r w:rsidRPr="00BF2871">
        <w:t xml:space="preserve"> socioeconomic status or other personal characteristics</w:t>
      </w:r>
      <w:r>
        <w:t>,</w:t>
      </w:r>
      <w:r w:rsidRPr="00BF2871">
        <w:t xml:space="preserve"> such as religion, race, colour, ethnic or national origin, age, sex, sexual orientation </w:t>
      </w:r>
      <w:r>
        <w:t>or</w:t>
      </w:r>
      <w:r w:rsidRPr="00BF2871">
        <w:t xml:space="preserve"> gender identity</w:t>
      </w:r>
      <w:r>
        <w:t>,</w:t>
      </w:r>
      <w:r w:rsidRPr="00BF2871">
        <w:t xml:space="preserve"> which makes them even more vulnerable to becoming victims of enforced disappearance</w:t>
      </w:r>
      <w:r>
        <w:t>;</w:t>
      </w:r>
      <w:r>
        <w:rPr>
          <w:rStyle w:val="FootnoteReference"/>
        </w:rPr>
        <w:footnoteReference w:id="18"/>
      </w:r>
      <w:r w:rsidRPr="00BF2871">
        <w:t xml:space="preserve"> </w:t>
      </w:r>
    </w:p>
    <w:p w14:paraId="5C21DEC8" w14:textId="77777777" w:rsidR="00DB3692" w:rsidRPr="00D27F19" w:rsidRDefault="00DB3692" w:rsidP="00DB3692">
      <w:pPr>
        <w:pStyle w:val="SingleTxtG"/>
      </w:pPr>
      <w:r w:rsidRPr="00D27F19">
        <w:tab/>
        <w:t>(d)</w:t>
      </w:r>
      <w:r w:rsidRPr="00D27F19">
        <w:tab/>
        <w:t xml:space="preserve">Discrimination </w:t>
      </w:r>
      <w:r>
        <w:t>may</w:t>
      </w:r>
      <w:r w:rsidRPr="00D27F19">
        <w:t xml:space="preserve"> also affect the </w:t>
      </w:r>
      <w:r>
        <w:t>enjoyment by</w:t>
      </w:r>
      <w:r w:rsidRPr="00D27F19">
        <w:t xml:space="preserve"> victims and their relatives </w:t>
      </w:r>
      <w:r>
        <w:t>of their rights concerning</w:t>
      </w:r>
      <w:r w:rsidRPr="00D27F19">
        <w:t xml:space="preserve"> access to justice, including, but not limited to, participation in the investigation and search, access to legal aid, </w:t>
      </w:r>
      <w:r>
        <w:t xml:space="preserve">information in a language that they understand, </w:t>
      </w:r>
      <w:r w:rsidRPr="00D27F19">
        <w:t xml:space="preserve">protection and support, </w:t>
      </w:r>
      <w:r>
        <w:t>and</w:t>
      </w:r>
      <w:r w:rsidRPr="00D27F19">
        <w:t xml:space="preserve"> presence during court </w:t>
      </w:r>
      <w:r>
        <w:t>proceedings</w:t>
      </w:r>
      <w:r w:rsidRPr="00D27F19">
        <w:t xml:space="preserve">. </w:t>
      </w:r>
    </w:p>
    <w:p w14:paraId="1A6C7966" w14:textId="77777777" w:rsidR="00DB3692" w:rsidRPr="00D27F19" w:rsidRDefault="00DB3692" w:rsidP="00DB3692">
      <w:pPr>
        <w:pStyle w:val="SingleTxtG"/>
      </w:pPr>
      <w:r w:rsidRPr="00D27F19">
        <w:t>9.</w:t>
      </w:r>
      <w:r w:rsidRPr="00D27F19">
        <w:tab/>
        <w:t>The Committee emphasi</w:t>
      </w:r>
      <w:r>
        <w:t>z</w:t>
      </w:r>
      <w:r w:rsidRPr="00D27F19">
        <w:t xml:space="preserve">es </w:t>
      </w:r>
      <w:r>
        <w:t xml:space="preserve">that </w:t>
      </w:r>
      <w:r w:rsidRPr="00D27F19">
        <w:t xml:space="preserve">the principle of non-discrimination </w:t>
      </w:r>
      <w:r>
        <w:t xml:space="preserve">is fundamental </w:t>
      </w:r>
      <w:r w:rsidRPr="00D27F19">
        <w:t xml:space="preserve">in international human rights </w:t>
      </w:r>
      <w:r>
        <w:t xml:space="preserve">instruments, being regarded as a </w:t>
      </w:r>
      <w:r w:rsidRPr="00D27F19">
        <w:rPr>
          <w:i/>
          <w:iCs/>
        </w:rPr>
        <w:t>jus cogens</w:t>
      </w:r>
      <w:r>
        <w:t xml:space="preserve"> norm.</w:t>
      </w:r>
      <w:r w:rsidRPr="009662BA">
        <w:rPr>
          <w:rStyle w:val="FootnoteReference"/>
        </w:rPr>
        <w:footnoteReference w:id="19"/>
      </w:r>
      <w:r w:rsidRPr="00D27F19">
        <w:rPr>
          <w:i/>
          <w:iCs/>
        </w:rPr>
        <w:t xml:space="preserve"> </w:t>
      </w:r>
      <w:r>
        <w:t>It</w:t>
      </w:r>
      <w:r w:rsidRPr="00D27F19">
        <w:t xml:space="preserve"> must be adhered to at all times by States parties </w:t>
      </w:r>
      <w:r>
        <w:t>in the</w:t>
      </w:r>
      <w:r w:rsidRPr="00D27F19">
        <w:t xml:space="preserve"> implement</w:t>
      </w:r>
      <w:r>
        <w:t>ation of</w:t>
      </w:r>
      <w:r w:rsidRPr="00D27F19">
        <w:t xml:space="preserve"> their obligations</w:t>
      </w:r>
      <w:r w:rsidRPr="00DD76BE">
        <w:t xml:space="preserve"> </w:t>
      </w:r>
      <w:r w:rsidRPr="00D27F19">
        <w:t>under the Convention relating to the prevention</w:t>
      </w:r>
      <w:r>
        <w:t xml:space="preserve"> of</w:t>
      </w:r>
      <w:r w:rsidRPr="00D27F19">
        <w:t xml:space="preserve"> and response to </w:t>
      </w:r>
      <w:r>
        <w:t xml:space="preserve">cases of </w:t>
      </w:r>
      <w:r w:rsidRPr="00D27F19">
        <w:t xml:space="preserve">disappearance. </w:t>
      </w:r>
      <w:r>
        <w:t>Indeed, as set out in</w:t>
      </w:r>
      <w:r w:rsidRPr="00D27F19">
        <w:t xml:space="preserve"> article 1 of the Convention, no one shall be subjected to enforced disappearance and no exceptional circumstances may be invoked </w:t>
      </w:r>
      <w:r>
        <w:t>as a</w:t>
      </w:r>
      <w:r w:rsidRPr="00D27F19">
        <w:t xml:space="preserve"> justif</w:t>
      </w:r>
      <w:r>
        <w:t>ication for</w:t>
      </w:r>
      <w:r w:rsidRPr="00D27F19">
        <w:t xml:space="preserve"> enforced disappearance. Consequently, the obligations of States parties under the Convention apply regardless of the nationality, origin or migratory status of the victims.</w:t>
      </w:r>
    </w:p>
    <w:p w14:paraId="4E79F042" w14:textId="77777777" w:rsidR="00DB3692" w:rsidRPr="00D27F19" w:rsidRDefault="00DB3692" w:rsidP="00DB3692">
      <w:pPr>
        <w:pStyle w:val="SingleTxtG"/>
      </w:pPr>
      <w:r w:rsidRPr="00D27F19">
        <w:t>10.</w:t>
      </w:r>
      <w:r w:rsidRPr="00D27F19">
        <w:tab/>
        <w:t xml:space="preserve">As the </w:t>
      </w:r>
      <w:r w:rsidRPr="003B2160">
        <w:t>contexts and modalities of enforced disappearance evolve over time, the Committee aims to ensure a prompt and proactive response to present-day realities. Considering the serious and highly worrying developments in enforced disappearance in the context of migration, and given the inherently preventive character of the Convention, the Committee decided to focus its first general comment on assisting States parties to fulfil their relevant obligations under the Convention with regard to preventing and responding to th</w:t>
      </w:r>
      <w:r>
        <w:t>is</w:t>
      </w:r>
      <w:r w:rsidRPr="003B2160">
        <w:t xml:space="preserve"> crime. The Committee is thereby addressing one aspect of the ongoing human rights </w:t>
      </w:r>
      <w:r>
        <w:t xml:space="preserve">concerns </w:t>
      </w:r>
      <w:r w:rsidRPr="003B2160">
        <w:t xml:space="preserve">and humanitarian crisis in the context of migration, building upon </w:t>
      </w:r>
      <w:r>
        <w:t xml:space="preserve">the </w:t>
      </w:r>
      <w:r w:rsidRPr="003B2160">
        <w:t>existing universal and regional</w:t>
      </w:r>
      <w:r w:rsidRPr="00D27F19">
        <w:t xml:space="preserve"> legal and policy instruments applicable to the multiple human rights violations </w:t>
      </w:r>
      <w:r>
        <w:t xml:space="preserve">that </w:t>
      </w:r>
      <w:r w:rsidRPr="00D27F19">
        <w:t>migrants face throughout their journeys,</w:t>
      </w:r>
      <w:r w:rsidRPr="009662BA">
        <w:rPr>
          <w:rStyle w:val="FootnoteReference"/>
        </w:rPr>
        <w:footnoteReference w:id="20"/>
      </w:r>
      <w:r w:rsidRPr="00D27F19">
        <w:t xml:space="preserve"> through the lens of the obligations established </w:t>
      </w:r>
      <w:r w:rsidRPr="00D27F19">
        <w:lastRenderedPageBreak/>
        <w:t xml:space="preserve">under the Convention. </w:t>
      </w:r>
      <w:r>
        <w:t>The Committee is</w:t>
      </w:r>
      <w:r w:rsidRPr="00D27F19">
        <w:t xml:space="preserve"> also further develop</w:t>
      </w:r>
      <w:r>
        <w:t>ing</w:t>
      </w:r>
      <w:r w:rsidRPr="00D27F19">
        <w:t xml:space="preserve"> </w:t>
      </w:r>
      <w:r>
        <w:t>its</w:t>
      </w:r>
      <w:r w:rsidRPr="00D27F19">
        <w:t xml:space="preserve"> standards in this regard, </w:t>
      </w:r>
      <w:r>
        <w:t>including</w:t>
      </w:r>
      <w:r w:rsidRPr="00D27F19">
        <w:t xml:space="preserve"> </w:t>
      </w:r>
      <w:r>
        <w:t xml:space="preserve">through </w:t>
      </w:r>
      <w:r w:rsidRPr="00D16CE8">
        <w:t xml:space="preserve">its </w:t>
      </w:r>
      <w:r w:rsidRPr="0066546F">
        <w:t>Guiding Principles for the Search for Disappeared Persons</w:t>
      </w:r>
      <w:r w:rsidRPr="00D16CE8">
        <w:t xml:space="preserve"> (2019)</w:t>
      </w:r>
      <w:r w:rsidRPr="00D27F19">
        <w:rPr>
          <w:i/>
          <w:iCs/>
        </w:rPr>
        <w:t xml:space="preserve"> </w:t>
      </w:r>
      <w:r>
        <w:t>and its statement on non-State actors in the context of the Convention (2023),</w:t>
      </w:r>
      <w:r>
        <w:rPr>
          <w:rStyle w:val="FootnoteReference"/>
        </w:rPr>
        <w:footnoteReference w:id="21"/>
      </w:r>
      <w:r>
        <w:t xml:space="preserve"> which </w:t>
      </w:r>
      <w:r w:rsidRPr="00D27F19">
        <w:t>provid</w:t>
      </w:r>
      <w:r>
        <w:t>e</w:t>
      </w:r>
      <w:r w:rsidRPr="00D27F19">
        <w:t xml:space="preserve"> a clear, authoritative and interpretative position on how to prevent and react to enforced disappearance in the context of migration. </w:t>
      </w:r>
    </w:p>
    <w:p w14:paraId="3702E247" w14:textId="77777777" w:rsidR="00DB3692" w:rsidRPr="00D27F19" w:rsidRDefault="00DB3692" w:rsidP="00DB3692">
      <w:pPr>
        <w:pStyle w:val="SingleTxtG"/>
      </w:pPr>
      <w:r w:rsidRPr="00D27F19">
        <w:t>11.</w:t>
      </w:r>
      <w:r w:rsidRPr="00D27F19">
        <w:tab/>
      </w:r>
      <w:r>
        <w:t>In t</w:t>
      </w:r>
      <w:r w:rsidRPr="00D27F19">
        <w:t>h</w:t>
      </w:r>
      <w:r>
        <w:t>e</w:t>
      </w:r>
      <w:r w:rsidRPr="00D27F19">
        <w:t xml:space="preserve"> </w:t>
      </w:r>
      <w:r>
        <w:t>present g</w:t>
      </w:r>
      <w:r w:rsidRPr="00D27F19">
        <w:t xml:space="preserve">eneral </w:t>
      </w:r>
      <w:r>
        <w:t>c</w:t>
      </w:r>
      <w:r w:rsidRPr="00D27F19">
        <w:t>omment</w:t>
      </w:r>
      <w:r>
        <w:t>,</w:t>
      </w:r>
      <w:r w:rsidRPr="00D27F19">
        <w:t xml:space="preserve"> </w:t>
      </w:r>
      <w:r>
        <w:t xml:space="preserve">the Committee </w:t>
      </w:r>
      <w:r w:rsidRPr="00D27F19">
        <w:t xml:space="preserve">draws on </w:t>
      </w:r>
      <w:r>
        <w:t>its</w:t>
      </w:r>
      <w:r w:rsidRPr="00D27F19">
        <w:t xml:space="preserve"> experience in reviewing States parties’ reports, the jurisprudence of human rights treaty bodies, the recommendations of the Human Rights Council and its special procedures, two rounds of consultations with States, experts and other stakeholders on the concept note and </w:t>
      </w:r>
      <w:r>
        <w:t>a preliminary</w:t>
      </w:r>
      <w:r w:rsidRPr="00D27F19">
        <w:t xml:space="preserve"> draft, and regional consultations </w:t>
      </w:r>
      <w:r>
        <w:t xml:space="preserve">held </w:t>
      </w:r>
      <w:r w:rsidRPr="00D27F19">
        <w:t>in Latin America and the Caribbean, Asia</w:t>
      </w:r>
      <w:r>
        <w:t xml:space="preserve"> and the </w:t>
      </w:r>
      <w:r w:rsidRPr="00D27F19">
        <w:t>Pacific, Europe</w:t>
      </w:r>
      <w:r>
        <w:t>,</w:t>
      </w:r>
      <w:r w:rsidRPr="00D27F19">
        <w:t xml:space="preserve"> and Africa, including the </w:t>
      </w:r>
      <w:r w:rsidRPr="007F67F9">
        <w:t>Middle East and North Africa</w:t>
      </w:r>
      <w:r w:rsidRPr="00D27F19">
        <w:t>.</w:t>
      </w:r>
    </w:p>
    <w:p w14:paraId="04AF9085" w14:textId="77777777" w:rsidR="00DB3692" w:rsidRPr="00D27F19" w:rsidRDefault="00DB3692" w:rsidP="00DB3692">
      <w:pPr>
        <w:pStyle w:val="HChG"/>
      </w:pPr>
      <w:bookmarkStart w:id="4" w:name="_Toc127804274"/>
      <w:bookmarkStart w:id="5" w:name="_Toc129893184"/>
      <w:bookmarkStart w:id="6" w:name="_Toc130394610"/>
      <w:r w:rsidRPr="00D27F19">
        <w:tab/>
        <w:t>II.</w:t>
      </w:r>
      <w:r w:rsidRPr="00D27F19">
        <w:tab/>
        <w:t xml:space="preserve">Objectives and </w:t>
      </w:r>
      <w:r>
        <w:t>s</w:t>
      </w:r>
      <w:r w:rsidRPr="00D27F19">
        <w:t xml:space="preserve">cope of the </w:t>
      </w:r>
      <w:r>
        <w:t>g</w:t>
      </w:r>
      <w:r w:rsidRPr="00D27F19">
        <w:t xml:space="preserve">eneral </w:t>
      </w:r>
      <w:r>
        <w:t>c</w:t>
      </w:r>
      <w:r w:rsidRPr="00D27F19">
        <w:t>omment</w:t>
      </w:r>
      <w:bookmarkEnd w:id="4"/>
      <w:bookmarkEnd w:id="5"/>
      <w:bookmarkEnd w:id="6"/>
    </w:p>
    <w:p w14:paraId="5E47DFCF" w14:textId="77777777" w:rsidR="00DB3692" w:rsidRPr="00D27F19" w:rsidRDefault="00DB3692" w:rsidP="00DB3692">
      <w:pPr>
        <w:pStyle w:val="SingleTxtG"/>
      </w:pPr>
      <w:r w:rsidRPr="00D27F19">
        <w:t>12.</w:t>
      </w:r>
      <w:r w:rsidRPr="00D27F19">
        <w:tab/>
      </w:r>
      <w:r>
        <w:t>The Committee is d</w:t>
      </w:r>
      <w:r w:rsidRPr="00D27F19">
        <w:t xml:space="preserve">eeply concerned </w:t>
      </w:r>
      <w:r>
        <w:t>about</w:t>
      </w:r>
      <w:r w:rsidRPr="00D27F19">
        <w:t xml:space="preserve"> the growing trend of enforced disappearance in the context of migration</w:t>
      </w:r>
      <w:r>
        <w:t>.</w:t>
      </w:r>
      <w:r w:rsidRPr="00D27F19">
        <w:t xml:space="preserve"> </w:t>
      </w:r>
      <w:r>
        <w:t>It</w:t>
      </w:r>
      <w:r w:rsidRPr="00D27F19">
        <w:t xml:space="preserve"> appeals to States parties to take urgent measures to prevent and respond to this </w:t>
      </w:r>
      <w:r>
        <w:t>phenomenon</w:t>
      </w:r>
      <w:r w:rsidRPr="00D27F19">
        <w:t xml:space="preserve">, guided by </w:t>
      </w:r>
      <w:r>
        <w:t>the present</w:t>
      </w:r>
      <w:r w:rsidRPr="00D27F19">
        <w:t xml:space="preserve"> </w:t>
      </w:r>
      <w:r>
        <w:t>g</w:t>
      </w:r>
      <w:r w:rsidRPr="00D27F19">
        <w:t xml:space="preserve">eneral </w:t>
      </w:r>
      <w:r>
        <w:t>c</w:t>
      </w:r>
      <w:r w:rsidRPr="00D27F19">
        <w:t>omment</w:t>
      </w:r>
      <w:r>
        <w:t>,</w:t>
      </w:r>
      <w:r w:rsidRPr="00D27F19">
        <w:t xml:space="preserve"> to ensure full compliance with their legal obligations. </w:t>
      </w:r>
      <w:r>
        <w:t>The Committee</w:t>
      </w:r>
      <w:r w:rsidRPr="00D27F19">
        <w:t xml:space="preserve"> intends</w:t>
      </w:r>
      <w:r>
        <w:t>, in the present general comment,</w:t>
      </w:r>
      <w:r w:rsidRPr="00D27F19">
        <w:t xml:space="preserve"> to clarify possible legal uncertainties under the Convention and to encourage future States parties by providing clear positions on an issue of global concern. </w:t>
      </w:r>
    </w:p>
    <w:p w14:paraId="0661E976" w14:textId="77777777" w:rsidR="00DB3692" w:rsidRPr="00D27F19" w:rsidRDefault="00DB3692" w:rsidP="00DB3692">
      <w:pPr>
        <w:pStyle w:val="SingleTxtG"/>
      </w:pPr>
      <w:r w:rsidRPr="00D27F19">
        <w:t>13.</w:t>
      </w:r>
      <w:r w:rsidRPr="00D27F19">
        <w:tab/>
      </w:r>
      <w:r>
        <w:t>Given</w:t>
      </w:r>
      <w:r w:rsidRPr="00D27F19">
        <w:t xml:space="preserve"> the preventive character of the Convention, th</w:t>
      </w:r>
      <w:r>
        <w:t>e</w:t>
      </w:r>
      <w:r w:rsidRPr="00D27F19">
        <w:t xml:space="preserve"> </w:t>
      </w:r>
      <w:r>
        <w:t>present g</w:t>
      </w:r>
      <w:r w:rsidRPr="00D27F19">
        <w:t xml:space="preserve">eneral </w:t>
      </w:r>
      <w:r>
        <w:t>c</w:t>
      </w:r>
      <w:r w:rsidRPr="00D27F19">
        <w:t xml:space="preserve">omment </w:t>
      </w:r>
      <w:r>
        <w:t>is also</w:t>
      </w:r>
      <w:r w:rsidRPr="00D27F19">
        <w:t xml:space="preserve"> aim</w:t>
      </w:r>
      <w:r>
        <w:t>ed</w:t>
      </w:r>
      <w:r w:rsidRPr="00D27F19">
        <w:t xml:space="preserve"> </w:t>
      </w:r>
      <w:r>
        <w:t>at</w:t>
      </w:r>
      <w:r w:rsidRPr="00D27F19">
        <w:t xml:space="preserve"> assist</w:t>
      </w:r>
      <w:r>
        <w:t>ing</w:t>
      </w:r>
      <w:r w:rsidRPr="00D27F19">
        <w:t xml:space="preserve"> States parties in developing and implementing national policies to protect migrants from becoming victims of enforced disappearance and </w:t>
      </w:r>
      <w:r>
        <w:t xml:space="preserve">to </w:t>
      </w:r>
      <w:r w:rsidRPr="00D27F19">
        <w:t>combat impunity.</w:t>
      </w:r>
    </w:p>
    <w:p w14:paraId="7545FE80" w14:textId="77777777" w:rsidR="00DB3692" w:rsidRPr="00D27F19" w:rsidRDefault="00DB3692" w:rsidP="00DB3692">
      <w:pPr>
        <w:pStyle w:val="SingleTxtG"/>
      </w:pPr>
      <w:r w:rsidRPr="00D27F19">
        <w:t>14.</w:t>
      </w:r>
      <w:r w:rsidRPr="00D27F19">
        <w:tab/>
      </w:r>
      <w:r>
        <w:t>The Committee r</w:t>
      </w:r>
      <w:r w:rsidRPr="00D27F19">
        <w:t>ecogni</w:t>
      </w:r>
      <w:r>
        <w:t>zes</w:t>
      </w:r>
      <w:r w:rsidRPr="00D27F19">
        <w:t xml:space="preserve"> the particular situation of vulnerability of migrants themselves, </w:t>
      </w:r>
      <w:r>
        <w:t>and</w:t>
      </w:r>
      <w:r w:rsidRPr="00D27F19">
        <w:t xml:space="preserve"> of their relatives, who are frequently also migrants and often encounter obstacles and discrimination when searching for their disappeared loved ones</w:t>
      </w:r>
      <w:r>
        <w:t>.</w:t>
      </w:r>
      <w:r w:rsidRPr="00D27F19">
        <w:t xml:space="preserve"> </w:t>
      </w:r>
      <w:r>
        <w:t xml:space="preserve">A further objective of </w:t>
      </w:r>
      <w:r w:rsidRPr="00D27F19">
        <w:t xml:space="preserve">the </w:t>
      </w:r>
      <w:r>
        <w:t>g</w:t>
      </w:r>
      <w:r w:rsidRPr="00D27F19">
        <w:t xml:space="preserve">eneral </w:t>
      </w:r>
      <w:r>
        <w:t>c</w:t>
      </w:r>
      <w:r w:rsidRPr="00D27F19">
        <w:t xml:space="preserve">omment </w:t>
      </w:r>
      <w:r>
        <w:t>is thus</w:t>
      </w:r>
      <w:r w:rsidRPr="00D27F19">
        <w:t xml:space="preserve"> to assist States in their efforts to ensure access to justice for victims</w:t>
      </w:r>
      <w:r>
        <w:t>,</w:t>
      </w:r>
      <w:r w:rsidRPr="00D27F19">
        <w:t xml:space="preserve"> </w:t>
      </w:r>
      <w:r>
        <w:t xml:space="preserve">with a view to </w:t>
      </w:r>
      <w:r w:rsidRPr="00D27F19">
        <w:t>contribut</w:t>
      </w:r>
      <w:r>
        <w:t>ing</w:t>
      </w:r>
      <w:r w:rsidRPr="00D27F19">
        <w:t xml:space="preserve"> to international efforts to improve the often dire human rights situation of migrants.</w:t>
      </w:r>
    </w:p>
    <w:p w14:paraId="19415BE7" w14:textId="77777777" w:rsidR="00DB3692" w:rsidRPr="00D27F19" w:rsidRDefault="00DB3692" w:rsidP="00DB3692">
      <w:pPr>
        <w:pStyle w:val="SingleTxtG"/>
      </w:pPr>
      <w:r w:rsidRPr="00D27F19">
        <w:t>15.</w:t>
      </w:r>
      <w:r w:rsidRPr="00D27F19">
        <w:tab/>
      </w:r>
      <w:r>
        <w:t>Given</w:t>
      </w:r>
      <w:r w:rsidRPr="00D27F19">
        <w:t xml:space="preserve"> the often cross-border character of enforced disappearance in the context of migration, the </w:t>
      </w:r>
      <w:r>
        <w:t>g</w:t>
      </w:r>
      <w:r w:rsidRPr="00D27F19">
        <w:t xml:space="preserve">eneral </w:t>
      </w:r>
      <w:r>
        <w:t>c</w:t>
      </w:r>
      <w:r w:rsidRPr="00D27F19">
        <w:t xml:space="preserve">omment </w:t>
      </w:r>
      <w:r>
        <w:t xml:space="preserve">is </w:t>
      </w:r>
      <w:r w:rsidRPr="00D27F19">
        <w:t>aim</w:t>
      </w:r>
      <w:r>
        <w:t>ed</w:t>
      </w:r>
      <w:r w:rsidRPr="00D27F19">
        <w:t xml:space="preserve"> at fostering international </w:t>
      </w:r>
      <w:r>
        <w:t xml:space="preserve">and regional </w:t>
      </w:r>
      <w:r w:rsidRPr="00D27F19">
        <w:t xml:space="preserve">cooperation </w:t>
      </w:r>
      <w:r>
        <w:t>on</w:t>
      </w:r>
      <w:r w:rsidRPr="00D27F19">
        <w:t xml:space="preserve"> prevention, search and investigation </w:t>
      </w:r>
      <w:r>
        <w:t>with regard to the</w:t>
      </w:r>
      <w:r w:rsidRPr="00D27F19">
        <w:t xml:space="preserve"> disappearance of migrants</w:t>
      </w:r>
      <w:r>
        <w:t>,</w:t>
      </w:r>
      <w:r w:rsidRPr="00D27F19">
        <w:t xml:space="preserve"> in compliance with </w:t>
      </w:r>
      <w:r>
        <w:t>States parties’</w:t>
      </w:r>
      <w:r w:rsidRPr="00D27F19">
        <w:t xml:space="preserve"> obligations under the Convention.</w:t>
      </w:r>
    </w:p>
    <w:p w14:paraId="7B6F79DE" w14:textId="77777777" w:rsidR="00DB3692" w:rsidRPr="00D27F19" w:rsidRDefault="00DB3692" w:rsidP="00DB3692">
      <w:pPr>
        <w:pStyle w:val="HChG"/>
      </w:pPr>
      <w:bookmarkStart w:id="7" w:name="_Toc127804275"/>
      <w:bookmarkStart w:id="8" w:name="_Toc129893185"/>
      <w:bookmarkStart w:id="9" w:name="_Toc130394611"/>
      <w:r w:rsidRPr="00D27F19">
        <w:tab/>
        <w:t>III.</w:t>
      </w:r>
      <w:r w:rsidRPr="00D27F19">
        <w:tab/>
        <w:t xml:space="preserve">Preventive </w:t>
      </w:r>
      <w:r>
        <w:t>m</w:t>
      </w:r>
      <w:r w:rsidRPr="00D27F19">
        <w:t>echanisms</w:t>
      </w:r>
      <w:bookmarkEnd w:id="7"/>
      <w:bookmarkEnd w:id="8"/>
      <w:bookmarkEnd w:id="9"/>
      <w:r w:rsidRPr="00D27F19">
        <w:t xml:space="preserve"> </w:t>
      </w:r>
    </w:p>
    <w:p w14:paraId="7EA32864" w14:textId="77777777" w:rsidR="00DB3692" w:rsidRPr="00D27F19" w:rsidRDefault="00DB3692" w:rsidP="00DB3692">
      <w:pPr>
        <w:pStyle w:val="H1G"/>
      </w:pPr>
      <w:bookmarkStart w:id="10" w:name="_Toc127804276"/>
      <w:bookmarkStart w:id="11" w:name="_Toc129893186"/>
      <w:bookmarkStart w:id="12" w:name="_Toc130394612"/>
      <w:r w:rsidRPr="00D27F19">
        <w:tab/>
        <w:t>A.</w:t>
      </w:r>
      <w:r w:rsidRPr="00D27F19">
        <w:tab/>
        <w:t xml:space="preserve">Prohibition of </w:t>
      </w:r>
      <w:r>
        <w:t xml:space="preserve">the </w:t>
      </w:r>
      <w:r w:rsidRPr="00D27F19">
        <w:t>secret detention of migrants</w:t>
      </w:r>
      <w:bookmarkEnd w:id="10"/>
      <w:bookmarkEnd w:id="11"/>
      <w:bookmarkEnd w:id="12"/>
    </w:p>
    <w:p w14:paraId="54517026" w14:textId="77777777" w:rsidR="00DB3692" w:rsidRPr="00D27F19" w:rsidRDefault="00DB3692" w:rsidP="00DB3692">
      <w:pPr>
        <w:pStyle w:val="SingleTxtG"/>
      </w:pPr>
      <w:r w:rsidRPr="00D27F19">
        <w:t>16.</w:t>
      </w:r>
      <w:r w:rsidRPr="00D27F19">
        <w:tab/>
        <w:t xml:space="preserve">To prevent migrants </w:t>
      </w:r>
      <w:r>
        <w:t xml:space="preserve">from </w:t>
      </w:r>
      <w:r w:rsidRPr="00D27F19">
        <w:t>becoming victims of enforced disappearance in the context of immigration detention,</w:t>
      </w:r>
      <w:r w:rsidRPr="009662BA">
        <w:rPr>
          <w:rStyle w:val="FootnoteReference"/>
        </w:rPr>
        <w:footnoteReference w:id="22"/>
      </w:r>
      <w:r w:rsidRPr="00D27F19">
        <w:t xml:space="preserve"> they </w:t>
      </w:r>
      <w:r>
        <w:t>must</w:t>
      </w:r>
      <w:r w:rsidRPr="00D27F19">
        <w:t xml:space="preserve"> always </w:t>
      </w:r>
      <w:r>
        <w:t xml:space="preserve">be </w:t>
      </w:r>
      <w:r w:rsidRPr="00D27F19">
        <w:t>able</w:t>
      </w:r>
      <w:r>
        <w:t xml:space="preserve">, from the outset of their detention and </w:t>
      </w:r>
      <w:r>
        <w:lastRenderedPageBreak/>
        <w:t>regardless of its duration,</w:t>
      </w:r>
      <w:r w:rsidRPr="00D27F19">
        <w:t xml:space="preserve"> to communicate with their relatives, consular authorities, legal representatives or any other person whom they could inform about their fate or whereabouts</w:t>
      </w:r>
      <w:r>
        <w:t>.</w:t>
      </w:r>
      <w:r w:rsidRPr="009662BA">
        <w:rPr>
          <w:rStyle w:val="FootnoteReference"/>
        </w:rPr>
        <w:footnoteReference w:id="23"/>
      </w:r>
      <w:r w:rsidRPr="00D27F19">
        <w:t xml:space="preserve"> Deprivation of liberty for immigration-related reasons should always be a measure of last resort</w:t>
      </w:r>
      <w:r>
        <w:t>,</w:t>
      </w:r>
      <w:r w:rsidRPr="00D27F19">
        <w:t xml:space="preserve"> and migrants should be deprived of </w:t>
      </w:r>
      <w:r>
        <w:t xml:space="preserve">their </w:t>
      </w:r>
      <w:r w:rsidRPr="00D27F19">
        <w:t>liberty only if there are no alternatives to detention.</w:t>
      </w:r>
      <w:r w:rsidRPr="009662BA">
        <w:rPr>
          <w:rStyle w:val="FootnoteReference"/>
        </w:rPr>
        <w:footnoteReference w:id="24"/>
      </w:r>
      <w:r w:rsidRPr="00D27F19">
        <w:t xml:space="preserve"> Moreover, in view of the non-derogability of the prohibition of enforced disappearances </w:t>
      </w:r>
      <w:r>
        <w:t xml:space="preserve">under </w:t>
      </w:r>
      <w:r w:rsidRPr="00D27F19">
        <w:t>article 1</w:t>
      </w:r>
      <w:r>
        <w:t xml:space="preserve"> </w:t>
      </w:r>
      <w:r w:rsidRPr="00D27F19">
        <w:t>(2) of the Convention, emergency situations must not be used to justify any form of deprivation of liberty of migrants that could amount to enforced disappearance.</w:t>
      </w:r>
      <w:r w:rsidRPr="009662BA">
        <w:rPr>
          <w:rStyle w:val="FootnoteReference"/>
        </w:rPr>
        <w:footnoteReference w:id="25"/>
      </w:r>
      <w:r w:rsidRPr="00D27F19">
        <w:t xml:space="preserve"> Children should never be deprived of their liberty for reasons related to their or their parents’ migrat</w:t>
      </w:r>
      <w:r>
        <w:t>ory</w:t>
      </w:r>
      <w:r w:rsidRPr="00D27F19">
        <w:t xml:space="preserve"> or residence </w:t>
      </w:r>
      <w:r>
        <w:t>s</w:t>
      </w:r>
      <w:r w:rsidRPr="00D27F19">
        <w:t>tatus,</w:t>
      </w:r>
      <w:r w:rsidRPr="00B74669">
        <w:t xml:space="preserve"> </w:t>
      </w:r>
      <w:r w:rsidRPr="00D27F19">
        <w:t>or lack thereof</w:t>
      </w:r>
      <w:r>
        <w:t>,</w:t>
      </w:r>
      <w:r w:rsidRPr="00D27F19">
        <w:t xml:space="preserve"> </w:t>
      </w:r>
      <w:r>
        <w:t xml:space="preserve">or solely </w:t>
      </w:r>
      <w:r w:rsidRPr="00D27F19">
        <w:t>on the basis of being unaccompanied or separated,</w:t>
      </w:r>
      <w:r w:rsidRPr="009662BA">
        <w:rPr>
          <w:rStyle w:val="FootnoteReference"/>
        </w:rPr>
        <w:footnoteReference w:id="26"/>
      </w:r>
      <w:r w:rsidRPr="00D27F19">
        <w:t xml:space="preserve"> and unaccompanied minors who are apprehended in the course of migration should be referred to child protection authorities.</w:t>
      </w:r>
      <w:r w:rsidRPr="009662BA">
        <w:rPr>
          <w:rStyle w:val="FootnoteReference"/>
        </w:rPr>
        <w:footnoteReference w:id="27"/>
      </w:r>
      <w:r w:rsidRPr="00D27F19">
        <w:t xml:space="preserve"> The prohibition of secret detention </w:t>
      </w:r>
      <w:r>
        <w:t>under</w:t>
      </w:r>
      <w:r w:rsidRPr="00D27F19">
        <w:t xml:space="preserve"> article 17 of the Convention is especially important </w:t>
      </w:r>
      <w:r>
        <w:t>for the</w:t>
      </w:r>
      <w:r w:rsidRPr="00D27F19">
        <w:t xml:space="preserve"> prevent</w:t>
      </w:r>
      <w:r>
        <w:t>ion of cases of</w:t>
      </w:r>
      <w:r w:rsidRPr="00D27F19">
        <w:t xml:space="preserve"> disappearance</w:t>
      </w:r>
      <w:r>
        <w:t>,</w:t>
      </w:r>
      <w:r w:rsidRPr="00D27F19">
        <w:t xml:space="preserve"> and extends to situations </w:t>
      </w:r>
      <w:r>
        <w:t>in which</w:t>
      </w:r>
      <w:r w:rsidRPr="00D27F19">
        <w:t xml:space="preserve"> migrants are deprived of their liberty by non-State actors acting with the support, authori</w:t>
      </w:r>
      <w:r>
        <w:t>z</w:t>
      </w:r>
      <w:r w:rsidRPr="00D27F19">
        <w:t>ation or acquiescence of the State.</w:t>
      </w:r>
      <w:r w:rsidRPr="009662BA">
        <w:rPr>
          <w:rStyle w:val="FootnoteReference"/>
        </w:rPr>
        <w:footnoteReference w:id="28"/>
      </w:r>
      <w:r w:rsidRPr="00D27F19">
        <w:t xml:space="preserve"> </w:t>
      </w:r>
    </w:p>
    <w:p w14:paraId="53484A54" w14:textId="77777777" w:rsidR="00DB3692" w:rsidRPr="00D27F19" w:rsidRDefault="00DB3692" w:rsidP="00DB3692">
      <w:pPr>
        <w:pStyle w:val="SingleTxtG"/>
      </w:pPr>
      <w:r w:rsidRPr="00D27F19">
        <w:t>17.</w:t>
      </w:r>
      <w:r w:rsidRPr="00D27F19">
        <w:tab/>
        <w:t>The absolute prohibition</w:t>
      </w:r>
      <w:r>
        <w:t>,</w:t>
      </w:r>
      <w:r w:rsidRPr="00D27F19">
        <w:t xml:space="preserve"> </w:t>
      </w:r>
      <w:r>
        <w:t xml:space="preserve">under article 17 (1) of the Convention, </w:t>
      </w:r>
      <w:r w:rsidRPr="00D27F19">
        <w:t xml:space="preserve">of </w:t>
      </w:r>
      <w:r>
        <w:t xml:space="preserve">the </w:t>
      </w:r>
      <w:r w:rsidRPr="00D27F19">
        <w:t>secret detention of any person,</w:t>
      </w:r>
      <w:r w:rsidRPr="009662BA">
        <w:rPr>
          <w:rStyle w:val="FootnoteReference"/>
        </w:rPr>
        <w:footnoteReference w:id="29"/>
      </w:r>
      <w:r w:rsidRPr="00D27F19">
        <w:t xml:space="preserve"> including migrants, encompasses any form of deprivation of liberty, </w:t>
      </w:r>
      <w:r>
        <w:t>including</w:t>
      </w:r>
      <w:r w:rsidRPr="00D27F19">
        <w:t xml:space="preserve"> incommunicado detention </w:t>
      </w:r>
      <w:r>
        <w:t>and</w:t>
      </w:r>
      <w:r w:rsidRPr="00D27F19">
        <w:t xml:space="preserve"> transfer to a secret location</w:t>
      </w:r>
      <w:r>
        <w:t>,</w:t>
      </w:r>
      <w:r w:rsidRPr="009662BA">
        <w:rPr>
          <w:rStyle w:val="FootnoteReference"/>
        </w:rPr>
        <w:footnoteReference w:id="30"/>
      </w:r>
      <w:r w:rsidRPr="00D27F19">
        <w:t xml:space="preserve"> regardless of the pretext used to justify</w:t>
      </w:r>
      <w:r>
        <w:t xml:space="preserve"> it and</w:t>
      </w:r>
      <w:r w:rsidRPr="00D27F19">
        <w:t xml:space="preserve"> </w:t>
      </w:r>
      <w:r>
        <w:t>of its</w:t>
      </w:r>
      <w:r w:rsidRPr="00D27F19">
        <w:t xml:space="preserve"> duration.</w:t>
      </w:r>
      <w:r w:rsidRPr="009662BA">
        <w:rPr>
          <w:rStyle w:val="FootnoteReference"/>
        </w:rPr>
        <w:footnoteReference w:id="31"/>
      </w:r>
      <w:r w:rsidRPr="00D27F19">
        <w:t xml:space="preserve"> States parties must ensure that</w:t>
      </w:r>
      <w:r>
        <w:t>,</w:t>
      </w:r>
      <w:r w:rsidRPr="00D27F19">
        <w:t xml:space="preserve"> if migrants are </w:t>
      </w:r>
      <w:r w:rsidRPr="00D27F19">
        <w:lastRenderedPageBreak/>
        <w:t xml:space="preserve">deprived of </w:t>
      </w:r>
      <w:r>
        <w:t xml:space="preserve">their </w:t>
      </w:r>
      <w:r w:rsidRPr="00D27F19">
        <w:t xml:space="preserve">liberty, </w:t>
      </w:r>
      <w:r>
        <w:t xml:space="preserve">they are afforded, </w:t>
      </w:r>
      <w:r w:rsidRPr="00D27F19">
        <w:t xml:space="preserve">without exception and irrespective of the place of deprivation of liberty, </w:t>
      </w:r>
      <w:r w:rsidRPr="0066546F">
        <w:t>de jure</w:t>
      </w:r>
      <w:r w:rsidRPr="00731BB4">
        <w:t xml:space="preserve"> and </w:t>
      </w:r>
      <w:r w:rsidRPr="0066546F">
        <w:t>de facto</w:t>
      </w:r>
      <w:r w:rsidRPr="00731BB4">
        <w:t>, all</w:t>
      </w:r>
      <w:r w:rsidRPr="00D27F19">
        <w:t xml:space="preserve"> </w:t>
      </w:r>
      <w:r>
        <w:t xml:space="preserve">the </w:t>
      </w:r>
      <w:r w:rsidRPr="00D27F19">
        <w:t>fundamental legal safeguards provided for under article 17 (2) of the Convention and other human rights treaties.</w:t>
      </w:r>
      <w:r w:rsidRPr="009662BA">
        <w:rPr>
          <w:rStyle w:val="FootnoteReference"/>
        </w:rPr>
        <w:footnoteReference w:id="32"/>
      </w:r>
      <w:r w:rsidRPr="00D27F19">
        <w:t xml:space="preserve"> This includes</w:t>
      </w:r>
      <w:r>
        <w:t xml:space="preserve"> the following measures</w:t>
      </w:r>
      <w:r w:rsidRPr="00D27F19">
        <w:t xml:space="preserve">: </w:t>
      </w:r>
    </w:p>
    <w:p w14:paraId="17586145" w14:textId="77777777" w:rsidR="00DB3692" w:rsidRPr="00D27F19" w:rsidRDefault="00DB3692" w:rsidP="00DB3692">
      <w:pPr>
        <w:pStyle w:val="SingleTxtG"/>
      </w:pPr>
      <w:r w:rsidRPr="00D27F19">
        <w:tab/>
        <w:t>(a)</w:t>
      </w:r>
      <w:r w:rsidRPr="00D27F19">
        <w:tab/>
      </w:r>
      <w:r>
        <w:t>E</w:t>
      </w:r>
      <w:r w:rsidRPr="00D27F19">
        <w:t xml:space="preserve">stablishing in legislation the conditions under which migrants may be deprived of </w:t>
      </w:r>
      <w:r>
        <w:t xml:space="preserve">their </w:t>
      </w:r>
      <w:r w:rsidRPr="00D27F19">
        <w:t xml:space="preserve">liberty; </w:t>
      </w:r>
    </w:p>
    <w:p w14:paraId="349844FF" w14:textId="77777777" w:rsidR="00DB3692" w:rsidRPr="00D27F19" w:rsidRDefault="00DB3692" w:rsidP="00DB3692">
      <w:pPr>
        <w:pStyle w:val="SingleTxtG"/>
      </w:pPr>
      <w:r w:rsidRPr="00D27F19">
        <w:tab/>
        <w:t>(b)</w:t>
      </w:r>
      <w:r w:rsidRPr="00D27F19">
        <w:tab/>
      </w:r>
      <w:r>
        <w:t>S</w:t>
      </w:r>
      <w:r w:rsidRPr="00D27F19">
        <w:t xml:space="preserve">pecifying </w:t>
      </w:r>
      <w:r>
        <w:t xml:space="preserve">which </w:t>
      </w:r>
      <w:r w:rsidRPr="00D27F19">
        <w:t xml:space="preserve">authorities </w:t>
      </w:r>
      <w:r>
        <w:t xml:space="preserve">are </w:t>
      </w:r>
      <w:r w:rsidRPr="00D27F19">
        <w:t>competent to order the deprivation of liberty;</w:t>
      </w:r>
    </w:p>
    <w:p w14:paraId="509BB590" w14:textId="77777777" w:rsidR="00DB3692" w:rsidRPr="00D27F19" w:rsidRDefault="00DB3692" w:rsidP="00DB3692">
      <w:pPr>
        <w:pStyle w:val="SingleTxtG"/>
      </w:pPr>
      <w:r w:rsidRPr="00D27F19">
        <w:tab/>
        <w:t>(c)</w:t>
      </w:r>
      <w:r w:rsidRPr="00D27F19">
        <w:tab/>
      </w:r>
      <w:r>
        <w:t>G</w:t>
      </w:r>
      <w:r w:rsidRPr="00D27F19">
        <w:t>uaranteeing that migrants deprived of their liberty are held solely in officially recogni</w:t>
      </w:r>
      <w:r>
        <w:t>z</w:t>
      </w:r>
      <w:r w:rsidRPr="00D27F19">
        <w:t>ed and supervised places of deprivation of liberty;</w:t>
      </w:r>
    </w:p>
    <w:p w14:paraId="009147BB" w14:textId="77777777" w:rsidR="00DB3692" w:rsidRPr="00D27F19" w:rsidRDefault="00DB3692" w:rsidP="00DB3692">
      <w:pPr>
        <w:pStyle w:val="SingleTxtG"/>
      </w:pPr>
      <w:r w:rsidRPr="00D27F19">
        <w:tab/>
        <w:t>(d)</w:t>
      </w:r>
      <w:r w:rsidRPr="00D27F19">
        <w:tab/>
      </w:r>
      <w:r>
        <w:t>G</w:t>
      </w:r>
      <w:r w:rsidRPr="00D27F19">
        <w:t xml:space="preserve">uaranteeing that migrants deprived of their liberty are informed about their rights from the very outset, in a language that they understand, have effective access to counsel and, where necessary, a professional interpreter, and </w:t>
      </w:r>
      <w:r>
        <w:t>are authorized to</w:t>
      </w:r>
      <w:r w:rsidRPr="00D27F19">
        <w:t xml:space="preserve"> communicate without delay with their relatives or any person of their choice</w:t>
      </w:r>
      <w:r>
        <w:t>,</w:t>
      </w:r>
      <w:r w:rsidRPr="00D27F19">
        <w:t xml:space="preserve"> and with their consular or other diplomatic authorities</w:t>
      </w:r>
      <w:r>
        <w:t>,</w:t>
      </w:r>
      <w:r w:rsidRPr="00D27F19">
        <w:t xml:space="preserve"> if they so wish</w:t>
      </w:r>
      <w:r>
        <w:t>,</w:t>
      </w:r>
      <w:r w:rsidRPr="00D27F19">
        <w:t xml:space="preserve"> </w:t>
      </w:r>
      <w:r>
        <w:t>including</w:t>
      </w:r>
      <w:r w:rsidRPr="00D27F19">
        <w:t xml:space="preserve"> </w:t>
      </w:r>
      <w:r>
        <w:t>the</w:t>
      </w:r>
      <w:r w:rsidRPr="00D27F19">
        <w:t xml:space="preserve"> right to be visited;</w:t>
      </w:r>
    </w:p>
    <w:p w14:paraId="6079926B" w14:textId="77777777" w:rsidR="00DB3692" w:rsidRPr="00D27F19" w:rsidRDefault="00DB3692" w:rsidP="00DB3692">
      <w:pPr>
        <w:pStyle w:val="SingleTxtG"/>
      </w:pPr>
      <w:r w:rsidRPr="00D27F19">
        <w:tab/>
        <w:t>(e)</w:t>
      </w:r>
      <w:r w:rsidRPr="00D27F19">
        <w:tab/>
      </w:r>
      <w:r>
        <w:t>G</w:t>
      </w:r>
      <w:r w:rsidRPr="00D27F19">
        <w:t>uaranteeing</w:t>
      </w:r>
      <w:r>
        <w:t>, without restriction under any circumstances and irrespective of the place of deprivation of liberty or of migratory status,</w:t>
      </w:r>
      <w:r w:rsidRPr="00D27F19">
        <w:t xml:space="preserve"> the right of person</w:t>
      </w:r>
      <w:r>
        <w:t>s</w:t>
      </w:r>
      <w:r w:rsidRPr="00D27F19">
        <w:t xml:space="preserve"> deprived of</w:t>
      </w:r>
      <w:r>
        <w:t xml:space="preserve"> their</w:t>
      </w:r>
      <w:r w:rsidRPr="00D27F19">
        <w:t xml:space="preserve"> liberty, or any person</w:t>
      </w:r>
      <w:r>
        <w:t>s</w:t>
      </w:r>
      <w:r w:rsidRPr="00D27F19">
        <w:t xml:space="preserve"> with a legitimate interest</w:t>
      </w:r>
      <w:r>
        <w:t>,</w:t>
      </w:r>
      <w:r w:rsidRPr="00D27F19">
        <w:t xml:space="preserve"> to take proceedings before a court in order to challenge the lawfulness of the deprivation of liberty.</w:t>
      </w:r>
      <w:r w:rsidRPr="009662BA">
        <w:rPr>
          <w:rStyle w:val="FootnoteReference"/>
        </w:rPr>
        <w:footnoteReference w:id="33"/>
      </w:r>
    </w:p>
    <w:p w14:paraId="32F309A2" w14:textId="77777777" w:rsidR="00DB3692" w:rsidRPr="00D27F19" w:rsidRDefault="00DB3692" w:rsidP="00DB3692">
      <w:pPr>
        <w:pStyle w:val="SingleTxtG"/>
      </w:pPr>
      <w:r w:rsidRPr="00D27F19">
        <w:t>18.</w:t>
      </w:r>
      <w:r w:rsidRPr="00D27F19">
        <w:tab/>
        <w:t xml:space="preserve">States parties should also ensure that allegations of secret detention are </w:t>
      </w:r>
      <w:r>
        <w:t>effectively, thoroughly, promptly and impartially</w:t>
      </w:r>
      <w:r w:rsidRPr="00D27F19">
        <w:t xml:space="preserve"> investigated and that those responsible are prosecuted and</w:t>
      </w:r>
      <w:r>
        <w:t>, if found guilty,</w:t>
      </w:r>
      <w:r w:rsidRPr="00D27F19">
        <w:t xml:space="preserve"> punished in accordance with the gravity of their acts.</w:t>
      </w:r>
      <w:r w:rsidRPr="009662BA">
        <w:rPr>
          <w:rStyle w:val="FootnoteReference"/>
        </w:rPr>
        <w:footnoteReference w:id="34"/>
      </w:r>
      <w:r w:rsidRPr="00D27F19">
        <w:t xml:space="preserve"> </w:t>
      </w:r>
    </w:p>
    <w:p w14:paraId="30C56D56" w14:textId="77777777" w:rsidR="00DB3692" w:rsidRPr="00D27F19" w:rsidRDefault="00DB3692" w:rsidP="00DB3692">
      <w:pPr>
        <w:pStyle w:val="SingleTxtG"/>
      </w:pPr>
      <w:r w:rsidRPr="00D27F19">
        <w:t>19.</w:t>
      </w:r>
      <w:r w:rsidRPr="00D27F19">
        <w:tab/>
        <w:t>States parties must guarantee that migrants deprived of their liberty are able to contact and be contacted local</w:t>
      </w:r>
      <w:r>
        <w:t>ly</w:t>
      </w:r>
      <w:r w:rsidRPr="00D27F19">
        <w:t xml:space="preserve"> </w:t>
      </w:r>
      <w:r>
        <w:t xml:space="preserve">by the </w:t>
      </w:r>
      <w:r w:rsidRPr="00004904">
        <w:t>Office of the United Nations High Commissioner for Refugees</w:t>
      </w:r>
      <w:r>
        <w:t xml:space="preserve"> (</w:t>
      </w:r>
      <w:r w:rsidRPr="00D27F19">
        <w:t>UNHCR</w:t>
      </w:r>
      <w:r>
        <w:t>)</w:t>
      </w:r>
      <w:r w:rsidRPr="00D27F19">
        <w:t xml:space="preserve">, national refugee bodies or other competent agencies and </w:t>
      </w:r>
      <w:r>
        <w:t xml:space="preserve">to </w:t>
      </w:r>
      <w:r w:rsidRPr="00D27F19">
        <w:t xml:space="preserve">communicate with them in private. </w:t>
      </w:r>
      <w:r>
        <w:t xml:space="preserve">Information on such contact and the </w:t>
      </w:r>
      <w:r w:rsidRPr="00D27F19">
        <w:t xml:space="preserve">means </w:t>
      </w:r>
      <w:r>
        <w:t>for</w:t>
      </w:r>
      <w:r w:rsidRPr="00D27F19">
        <w:t xml:space="preserve"> mak</w:t>
      </w:r>
      <w:r>
        <w:t>ing</w:t>
      </w:r>
      <w:r w:rsidRPr="00D27F19">
        <w:t xml:space="preserve"> </w:t>
      </w:r>
      <w:r>
        <w:t>it</w:t>
      </w:r>
      <w:r w:rsidRPr="00D27F19">
        <w:t xml:space="preserve"> should be made available.</w:t>
      </w:r>
      <w:r w:rsidRPr="009662BA">
        <w:rPr>
          <w:rStyle w:val="FootnoteReference"/>
        </w:rPr>
        <w:footnoteReference w:id="35"/>
      </w:r>
    </w:p>
    <w:p w14:paraId="21003BC9" w14:textId="77777777" w:rsidR="00DB3692" w:rsidRPr="00D27F19" w:rsidRDefault="00DB3692" w:rsidP="00DB3692">
      <w:pPr>
        <w:pStyle w:val="SingleTxtG"/>
      </w:pPr>
      <w:r w:rsidRPr="00D27F19">
        <w:t>20.</w:t>
      </w:r>
      <w:r w:rsidRPr="00D27F19">
        <w:tab/>
        <w:t>In accordance with article 17</w:t>
      </w:r>
      <w:r>
        <w:t xml:space="preserve"> </w:t>
      </w:r>
      <w:r w:rsidRPr="00D27F19">
        <w:t xml:space="preserve">(3) of the Convention, States parties must keep up-to-date official registers and records of all </w:t>
      </w:r>
      <w:r>
        <w:t xml:space="preserve">migrants </w:t>
      </w:r>
      <w:r w:rsidRPr="00D27F19">
        <w:t>depriv</w:t>
      </w:r>
      <w:r>
        <w:t>ed</w:t>
      </w:r>
      <w:r w:rsidRPr="00D27F19">
        <w:t xml:space="preserve"> of</w:t>
      </w:r>
      <w:r>
        <w:t xml:space="preserve"> their</w:t>
      </w:r>
      <w:r w:rsidRPr="00D27F19">
        <w:t xml:space="preserve"> liberty, transfer</w:t>
      </w:r>
      <w:r>
        <w:t>red</w:t>
      </w:r>
      <w:r w:rsidRPr="00D27F19">
        <w:t xml:space="preserve"> and release</w:t>
      </w:r>
      <w:r>
        <w:t>d</w:t>
      </w:r>
      <w:r w:rsidRPr="00D27F19">
        <w:t>, without exception and irrespective of the place or duration of the deprivation of liberty.</w:t>
      </w:r>
      <w:r w:rsidRPr="009662BA">
        <w:rPr>
          <w:rStyle w:val="FootnoteReference"/>
        </w:rPr>
        <w:footnoteReference w:id="36"/>
      </w:r>
      <w:r w:rsidRPr="00D27F19">
        <w:t xml:space="preserve"> These registers and records must, at a minimum, contain the information </w:t>
      </w:r>
      <w:r>
        <w:t>listed</w:t>
      </w:r>
      <w:r w:rsidRPr="00D27F19">
        <w:t xml:space="preserve"> in article 17</w:t>
      </w:r>
      <w:r>
        <w:t xml:space="preserve"> </w:t>
      </w:r>
      <w:r w:rsidRPr="00D27F19">
        <w:t xml:space="preserve">(3) and </w:t>
      </w:r>
      <w:r>
        <w:t xml:space="preserve">must </w:t>
      </w:r>
      <w:r w:rsidRPr="00D27F19">
        <w:t xml:space="preserve">be filled out </w:t>
      </w:r>
      <w:r>
        <w:t xml:space="preserve">and maintained </w:t>
      </w:r>
      <w:r w:rsidRPr="00D27F19">
        <w:t>diligently and without delay. In addition to the information listed in article 17 (3), and while ensuring full respect for the principles governing individual data protection in accordance with article 19, States parties are invited to consider the inclusion of photograph</w:t>
      </w:r>
      <w:r>
        <w:t>s</w:t>
      </w:r>
      <w:r w:rsidRPr="00D27F19">
        <w:t xml:space="preserve"> of person</w:t>
      </w:r>
      <w:r>
        <w:t>s</w:t>
      </w:r>
      <w:r w:rsidRPr="00D27F19">
        <w:t xml:space="preserve"> deprived of </w:t>
      </w:r>
      <w:r>
        <w:t xml:space="preserve">their </w:t>
      </w:r>
      <w:r w:rsidRPr="00D27F19">
        <w:t>liberty</w:t>
      </w:r>
      <w:r>
        <w:t>,</w:t>
      </w:r>
      <w:r w:rsidRPr="00D27F19">
        <w:t xml:space="preserve"> because some migrants may not carry identity documents or </w:t>
      </w:r>
      <w:r>
        <w:t xml:space="preserve">may </w:t>
      </w:r>
      <w:r w:rsidRPr="00D27F19">
        <w:t>use a false identity. Registers and records</w:t>
      </w:r>
      <w:r>
        <w:t xml:space="preserve"> must</w:t>
      </w:r>
      <w:r w:rsidRPr="00E93A24">
        <w:t xml:space="preserve"> be made promptly available, upon request, to any judicial or other competent authority or institution authorized for that purpose by the law of the State </w:t>
      </w:r>
      <w:r>
        <w:t>p</w:t>
      </w:r>
      <w:r w:rsidRPr="00E93A24">
        <w:t>arty concerned or any relevant international legal instrument to which the State concerned is a party.</w:t>
      </w:r>
      <w:r w:rsidRPr="00D27F19">
        <w:t xml:space="preserve"> </w:t>
      </w:r>
    </w:p>
    <w:p w14:paraId="210242B2" w14:textId="77777777" w:rsidR="00DB3692" w:rsidRPr="00D27F19" w:rsidRDefault="00DB3692" w:rsidP="00DB3692">
      <w:pPr>
        <w:pStyle w:val="SingleTxtG"/>
      </w:pPr>
      <w:r w:rsidRPr="00D27F19">
        <w:lastRenderedPageBreak/>
        <w:t>21.</w:t>
      </w:r>
      <w:r w:rsidRPr="00D27F19">
        <w:tab/>
        <w:t xml:space="preserve">The State party </w:t>
      </w:r>
      <w:r>
        <w:t>must</w:t>
      </w:r>
      <w:r w:rsidRPr="00D27F19">
        <w:t xml:space="preserve"> provide without delay information about migrants who have been deprived of </w:t>
      </w:r>
      <w:r>
        <w:t xml:space="preserve">their </w:t>
      </w:r>
      <w:r w:rsidRPr="00D27F19">
        <w:t>liberty to any person with a legitimate interest, such as relatives, their representatives or their counsel. At a minimum, such information should include the information listed in article 18</w:t>
      </w:r>
      <w:r>
        <w:t xml:space="preserve"> </w:t>
      </w:r>
      <w:r w:rsidRPr="00D27F19">
        <w:t>(1) of the Convention</w:t>
      </w:r>
      <w:r>
        <w:t>,</w:t>
      </w:r>
      <w:r w:rsidRPr="00D27F19">
        <w:t xml:space="preserve"> and States must ensure that persons with a legitimate interest have a real possibility of </w:t>
      </w:r>
      <w:r>
        <w:t xml:space="preserve">gaining </w:t>
      </w:r>
      <w:r w:rsidRPr="00D27F19">
        <w:t>access</w:t>
      </w:r>
      <w:r>
        <w:t xml:space="preserve"> to</w:t>
      </w:r>
      <w:r w:rsidRPr="00D27F19">
        <w:t xml:space="preserve"> it.</w:t>
      </w:r>
      <w:r w:rsidRPr="009662BA">
        <w:rPr>
          <w:rStyle w:val="FootnoteReference"/>
        </w:rPr>
        <w:footnoteReference w:id="37"/>
      </w:r>
      <w:r>
        <w:rPr>
          <w:rFonts w:ascii="Calibri" w:hAnsi="Calibri" w:cs="Calibri"/>
          <w:color w:val="000000"/>
        </w:rPr>
        <w:t xml:space="preserve"> </w:t>
      </w:r>
      <w:r w:rsidRPr="00D27F19">
        <w:t xml:space="preserve">The right of persons with a legitimate interest to </w:t>
      </w:r>
      <w:r>
        <w:t xml:space="preserve">have </w:t>
      </w:r>
      <w:r w:rsidRPr="00D27F19">
        <w:t>access</w:t>
      </w:r>
      <w:r>
        <w:t xml:space="preserve"> to</w:t>
      </w:r>
      <w:r w:rsidRPr="00D27F19">
        <w:t xml:space="preserve"> and </w:t>
      </w:r>
      <w:r>
        <w:t xml:space="preserve">to </w:t>
      </w:r>
      <w:r w:rsidRPr="00D27F19">
        <w:t xml:space="preserve">receive information may be restricted </w:t>
      </w:r>
      <w:r>
        <w:t xml:space="preserve">only </w:t>
      </w:r>
      <w:r w:rsidRPr="00D27F19">
        <w:t>in accordance with the provisions of article 20</w:t>
      </w:r>
      <w:r>
        <w:t xml:space="preserve"> </w:t>
      </w:r>
      <w:r w:rsidRPr="00D27F19">
        <w:t>(1)</w:t>
      </w:r>
      <w:bookmarkStart w:id="13" w:name="_ftnref2"/>
      <w:r w:rsidRPr="00D27F19">
        <w:t>.</w:t>
      </w:r>
      <w:bookmarkEnd w:id="13"/>
      <w:r w:rsidRPr="009662BA">
        <w:rPr>
          <w:rStyle w:val="FootnoteReference"/>
        </w:rPr>
        <w:footnoteReference w:id="38"/>
      </w:r>
      <w:r>
        <w:rPr>
          <w:rFonts w:ascii="Calibri" w:hAnsi="Calibri" w:cs="Calibri"/>
          <w:color w:val="000000"/>
        </w:rPr>
        <w:t xml:space="preserve"> </w:t>
      </w:r>
      <w:r w:rsidRPr="00D27F19">
        <w:t xml:space="preserve">States parties should ensure that </w:t>
      </w:r>
      <w:r>
        <w:t xml:space="preserve">regulations on </w:t>
      </w:r>
      <w:r w:rsidRPr="00D27F19">
        <w:t>data protection or privacy are not used as ground</w:t>
      </w:r>
      <w:r>
        <w:t>s</w:t>
      </w:r>
      <w:r w:rsidRPr="00D27F19">
        <w:t xml:space="preserve"> for withholding information.</w:t>
      </w:r>
      <w:r w:rsidRPr="009662BA">
        <w:rPr>
          <w:rStyle w:val="FootnoteReference"/>
        </w:rPr>
        <w:footnoteReference w:id="39"/>
      </w:r>
      <w:r>
        <w:t xml:space="preserve"> </w:t>
      </w:r>
    </w:p>
    <w:p w14:paraId="6EC574BD" w14:textId="77777777" w:rsidR="00DB3692" w:rsidRPr="00D27F19" w:rsidRDefault="00DB3692" w:rsidP="00DB3692">
      <w:pPr>
        <w:pStyle w:val="SingleTxtG"/>
      </w:pPr>
      <w:r w:rsidRPr="00D27F19">
        <w:t>22.</w:t>
      </w:r>
      <w:r w:rsidRPr="00D27F19">
        <w:tab/>
        <w:t xml:space="preserve">States parties should also </w:t>
      </w:r>
      <w:r>
        <w:t xml:space="preserve">compile and </w:t>
      </w:r>
      <w:r w:rsidRPr="00D27F19">
        <w:t>make publicly available exhaustive lists of all places of deprivation of liberty</w:t>
      </w:r>
      <w:r w:rsidRPr="009662BA">
        <w:rPr>
          <w:rStyle w:val="FootnoteReference"/>
        </w:rPr>
        <w:footnoteReference w:id="40"/>
      </w:r>
      <w:r w:rsidRPr="00D27F19">
        <w:t xml:space="preserve"> and ensure that independent and impartial monitors, such as national human rights institutions, </w:t>
      </w:r>
      <w:r>
        <w:t xml:space="preserve">national preventive mechanisms, </w:t>
      </w:r>
      <w:r w:rsidRPr="00D27F19">
        <w:t>civil society organi</w:t>
      </w:r>
      <w:r>
        <w:t>z</w:t>
      </w:r>
      <w:r w:rsidRPr="00D27F19">
        <w:t xml:space="preserve">ations </w:t>
      </w:r>
      <w:r>
        <w:t>and</w:t>
      </w:r>
      <w:r w:rsidRPr="00D27F19">
        <w:t xml:space="preserve"> international organi</w:t>
      </w:r>
      <w:r>
        <w:t>z</w:t>
      </w:r>
      <w:r w:rsidRPr="00D27F19">
        <w:t>ations</w:t>
      </w:r>
      <w:r>
        <w:t xml:space="preserve">, have full access to </w:t>
      </w:r>
      <w:r w:rsidRPr="00D27F19">
        <w:t xml:space="preserve">any location where migrants are deprived of </w:t>
      </w:r>
      <w:r>
        <w:t xml:space="preserve">their </w:t>
      </w:r>
      <w:r w:rsidRPr="00D27F19">
        <w:t xml:space="preserve">liberty, whether run by the State party or </w:t>
      </w:r>
      <w:r>
        <w:t xml:space="preserve">run </w:t>
      </w:r>
      <w:r w:rsidRPr="00D27F19">
        <w:t>privately.</w:t>
      </w:r>
      <w:r w:rsidRPr="009662BA">
        <w:rPr>
          <w:rStyle w:val="FootnoteReference"/>
        </w:rPr>
        <w:footnoteReference w:id="41"/>
      </w:r>
      <w:r w:rsidRPr="00D27F19">
        <w:t xml:space="preserve"> Access to sites of deprivation of liberty must be guaranteed in law, in accordance with article 17</w:t>
      </w:r>
      <w:r>
        <w:t xml:space="preserve"> </w:t>
      </w:r>
      <w:r w:rsidRPr="00D27F19">
        <w:t>(2)</w:t>
      </w:r>
      <w:r>
        <w:t xml:space="preserve"> </w:t>
      </w:r>
      <w:r w:rsidRPr="00D27F19">
        <w:t xml:space="preserve">(e) of the Convention, and in practice. States parties should </w:t>
      </w:r>
      <w:r>
        <w:t xml:space="preserve">therefore </w:t>
      </w:r>
      <w:r w:rsidRPr="00D27F19">
        <w:t>establish independent and impartial monitoring and accountability mechanisms in places of deprivation of liberty.</w:t>
      </w:r>
      <w:r w:rsidRPr="009662BA">
        <w:rPr>
          <w:rStyle w:val="FootnoteReference"/>
        </w:rPr>
        <w:footnoteReference w:id="42"/>
      </w:r>
      <w:r w:rsidRPr="00D27F19">
        <w:t xml:space="preserve"> Moreover, States parties should ensure that person</w:t>
      </w:r>
      <w:r>
        <w:t>s</w:t>
      </w:r>
      <w:r w:rsidRPr="00D27F19">
        <w:t xml:space="preserve"> deprived of </w:t>
      </w:r>
      <w:r>
        <w:t xml:space="preserve">their </w:t>
      </w:r>
      <w:r w:rsidRPr="00D27F19">
        <w:t>liberty ha</w:t>
      </w:r>
      <w:r>
        <w:t>ve</w:t>
      </w:r>
      <w:r w:rsidRPr="00D27F19">
        <w:t xml:space="preserve"> access to appropriate mechanisms to report violations of their rights to the relevant authorities.</w:t>
      </w:r>
      <w:r w:rsidRPr="009662BA">
        <w:rPr>
          <w:rStyle w:val="FootnoteReference"/>
        </w:rPr>
        <w:footnoteReference w:id="43"/>
      </w:r>
    </w:p>
    <w:p w14:paraId="281C5AD7" w14:textId="77777777" w:rsidR="00DB3692" w:rsidRPr="00D27F19" w:rsidRDefault="00DB3692" w:rsidP="00DB3692">
      <w:pPr>
        <w:pStyle w:val="H1G"/>
      </w:pPr>
      <w:bookmarkStart w:id="14" w:name="_Toc127804277"/>
      <w:bookmarkStart w:id="15" w:name="_Toc129893187"/>
      <w:bookmarkStart w:id="16" w:name="_Toc130394613"/>
      <w:r w:rsidRPr="00D27F19">
        <w:tab/>
        <w:t>B.</w:t>
      </w:r>
      <w:r w:rsidRPr="00D27F19">
        <w:tab/>
        <w:t>Data collection</w:t>
      </w:r>
      <w:bookmarkEnd w:id="14"/>
      <w:bookmarkEnd w:id="15"/>
      <w:bookmarkEnd w:id="16"/>
    </w:p>
    <w:p w14:paraId="62D5BE66" w14:textId="77777777" w:rsidR="00DB3692" w:rsidRPr="00D27F19" w:rsidRDefault="00DB3692" w:rsidP="00DB3692">
      <w:pPr>
        <w:pStyle w:val="SingleTxtG"/>
        <w:rPr>
          <w:color w:val="000000" w:themeColor="text1"/>
        </w:rPr>
      </w:pPr>
      <w:r w:rsidRPr="00D27F19">
        <w:t>23.</w:t>
      </w:r>
      <w:r w:rsidRPr="00D27F19">
        <w:tab/>
        <w:t xml:space="preserve">The lack of reliable data and statistics on disappeared </w:t>
      </w:r>
      <w:r>
        <w:t xml:space="preserve">and deceased </w:t>
      </w:r>
      <w:r w:rsidRPr="00D27F19">
        <w:t>migrants is one of the ma</w:t>
      </w:r>
      <w:r>
        <w:t>in</w:t>
      </w:r>
      <w:r w:rsidRPr="00D27F19">
        <w:t xml:space="preserve"> obstacles to preventing and responding to </w:t>
      </w:r>
      <w:r>
        <w:t xml:space="preserve">their </w:t>
      </w:r>
      <w:r w:rsidRPr="00D27F19">
        <w:t>disappearance</w:t>
      </w:r>
      <w:r>
        <w:t>s</w:t>
      </w:r>
      <w:r w:rsidRPr="00D27F19">
        <w:t>.</w:t>
      </w:r>
      <w:r w:rsidRPr="009662BA">
        <w:rPr>
          <w:rStyle w:val="FootnoteReference"/>
        </w:rPr>
        <w:footnoteReference w:id="44"/>
      </w:r>
      <w:r w:rsidRPr="00D27F19">
        <w:t xml:space="preserve"> The Committee emphasi</w:t>
      </w:r>
      <w:r>
        <w:t>z</w:t>
      </w:r>
      <w:r w:rsidRPr="00D27F19">
        <w:t>es that the regular and systematic collection of disaggregated data and the generation of accurate statistics are crucial to understanding the scale of the problem</w:t>
      </w:r>
      <w:r>
        <w:t xml:space="preserve"> of the disappearance of migrants</w:t>
      </w:r>
      <w:r w:rsidRPr="00D27F19">
        <w:t xml:space="preserve"> and </w:t>
      </w:r>
      <w:r>
        <w:t xml:space="preserve">to </w:t>
      </w:r>
      <w:r w:rsidRPr="00D27F19">
        <w:t xml:space="preserve">devising policies </w:t>
      </w:r>
      <w:r>
        <w:t>for</w:t>
      </w:r>
      <w:r w:rsidRPr="00D27F19">
        <w:t xml:space="preserve"> effective prevent</w:t>
      </w:r>
      <w:r>
        <w:t>ion</w:t>
      </w:r>
      <w:r w:rsidRPr="00D27F19">
        <w:t>, search, investigat</w:t>
      </w:r>
      <w:r>
        <w:t>ion</w:t>
      </w:r>
      <w:r w:rsidRPr="00D27F19">
        <w:t>, punish</w:t>
      </w:r>
      <w:r>
        <w:t>ment</w:t>
      </w:r>
      <w:r w:rsidRPr="00D27F19">
        <w:t xml:space="preserve"> and eliminat</w:t>
      </w:r>
      <w:r>
        <w:t>ion,</w:t>
      </w:r>
      <w:r w:rsidRPr="00D27F19">
        <w:t xml:space="preserve"> with a differential approach</w:t>
      </w:r>
      <w:r>
        <w:t>.</w:t>
      </w:r>
      <w:r w:rsidRPr="00D27F19">
        <w:t xml:space="preserve"> States parties should create and regularly update </w:t>
      </w:r>
      <w:r>
        <w:t xml:space="preserve">a </w:t>
      </w:r>
      <w:r w:rsidRPr="00D27F19">
        <w:t>single, nationwide database of disappeared persons that include</w:t>
      </w:r>
      <w:r>
        <w:t>s</w:t>
      </w:r>
      <w:r w:rsidRPr="00D27F19">
        <w:t xml:space="preserve"> basic information about migrants who may be victims of a disappearance</w:t>
      </w:r>
      <w:r>
        <w:t>, including the following:</w:t>
      </w:r>
      <w:r w:rsidRPr="00D27F19">
        <w:t xml:space="preserve"> age, sex, gender identity, sexual orientation</w:t>
      </w:r>
      <w:r>
        <w:t xml:space="preserve">, </w:t>
      </w:r>
      <w:r w:rsidRPr="00D27F19">
        <w:t xml:space="preserve">nationality, ethnic </w:t>
      </w:r>
      <w:r>
        <w:t>origin</w:t>
      </w:r>
      <w:r w:rsidRPr="00D27F19">
        <w:t xml:space="preserve"> </w:t>
      </w:r>
      <w:r>
        <w:t>and</w:t>
      </w:r>
      <w:r w:rsidRPr="00D27F19">
        <w:t xml:space="preserve"> religious affiliation</w:t>
      </w:r>
      <w:r>
        <w:t>;</w:t>
      </w:r>
      <w:r w:rsidRPr="00D27F19">
        <w:t xml:space="preserve"> </w:t>
      </w:r>
      <w:r>
        <w:t xml:space="preserve">the </w:t>
      </w:r>
      <w:r w:rsidRPr="00D27F19">
        <w:t>place, date, context and circumstances of the person’s disappearance, including all evidence relevant to determining whether it was a</w:t>
      </w:r>
      <w:r>
        <w:t xml:space="preserve"> case of</w:t>
      </w:r>
      <w:r w:rsidRPr="00D27F19">
        <w:t xml:space="preserve"> enforced disappearance</w:t>
      </w:r>
      <w:r>
        <w:t>;</w:t>
      </w:r>
      <w:r w:rsidRPr="00D27F19">
        <w:t xml:space="preserve"> and the status of </w:t>
      </w:r>
      <w:r>
        <w:t xml:space="preserve">relevant search and investigation procedures and of procedures for the </w:t>
      </w:r>
      <w:r w:rsidRPr="00D27F19">
        <w:t>exhumation, identification and return of remains.</w:t>
      </w:r>
      <w:r w:rsidRPr="009662BA">
        <w:rPr>
          <w:rStyle w:val="FootnoteReference"/>
        </w:rPr>
        <w:footnoteReference w:id="45"/>
      </w:r>
      <w:r w:rsidRPr="00D27F19">
        <w:t xml:space="preserve"> States parties that are countries of origin should create </w:t>
      </w:r>
      <w:r>
        <w:t xml:space="preserve">a </w:t>
      </w:r>
      <w:r w:rsidRPr="00D27F19">
        <w:t xml:space="preserve">register of </w:t>
      </w:r>
      <w:r>
        <w:t xml:space="preserve">their nationals who have </w:t>
      </w:r>
      <w:r w:rsidRPr="00D27F19">
        <w:t>disappeared abroad</w:t>
      </w:r>
      <w:r w:rsidRPr="009662BA">
        <w:rPr>
          <w:rStyle w:val="FootnoteReference"/>
        </w:rPr>
        <w:footnoteReference w:id="46"/>
      </w:r>
      <w:r w:rsidRPr="00D27F19">
        <w:t xml:space="preserve"> and </w:t>
      </w:r>
      <w:r w:rsidRPr="0066546F">
        <w:rPr>
          <w:rFonts w:asciiTheme="majorBidi" w:hAnsiTheme="majorBidi" w:cstheme="majorBidi"/>
        </w:rPr>
        <w:t xml:space="preserve">States </w:t>
      </w:r>
      <w:r>
        <w:rPr>
          <w:rFonts w:asciiTheme="majorBidi" w:hAnsiTheme="majorBidi" w:cstheme="majorBidi"/>
        </w:rPr>
        <w:t xml:space="preserve">parties that are countries </w:t>
      </w:r>
      <w:r w:rsidRPr="0066546F">
        <w:rPr>
          <w:rFonts w:asciiTheme="majorBidi" w:hAnsiTheme="majorBidi" w:cstheme="majorBidi"/>
        </w:rPr>
        <w:t>of origin, transit</w:t>
      </w:r>
      <w:r>
        <w:rPr>
          <w:rFonts w:asciiTheme="majorBidi" w:hAnsiTheme="majorBidi" w:cstheme="majorBidi"/>
        </w:rPr>
        <w:t xml:space="preserve">, </w:t>
      </w:r>
      <w:r w:rsidRPr="0066546F">
        <w:rPr>
          <w:rFonts w:asciiTheme="majorBidi" w:hAnsiTheme="majorBidi" w:cstheme="majorBidi"/>
        </w:rPr>
        <w:t xml:space="preserve">destination </w:t>
      </w:r>
      <w:r>
        <w:rPr>
          <w:rFonts w:asciiTheme="majorBidi" w:hAnsiTheme="majorBidi" w:cstheme="majorBidi"/>
        </w:rPr>
        <w:t xml:space="preserve">or return </w:t>
      </w:r>
      <w:r w:rsidRPr="0066546F">
        <w:rPr>
          <w:rFonts w:asciiTheme="majorBidi" w:hAnsiTheme="majorBidi" w:cstheme="majorBidi"/>
        </w:rPr>
        <w:t>should</w:t>
      </w:r>
      <w:r w:rsidRPr="00D27F19">
        <w:t xml:space="preserve"> ensure </w:t>
      </w:r>
      <w:r>
        <w:t xml:space="preserve">that the </w:t>
      </w:r>
      <w:r w:rsidRPr="00D27F19">
        <w:t>registration of migrants at border control</w:t>
      </w:r>
      <w:r>
        <w:t xml:space="preserve"> point</w:t>
      </w:r>
      <w:r w:rsidRPr="00D27F19">
        <w:t>s</w:t>
      </w:r>
      <w:r>
        <w:t xml:space="preserve"> involves the individual examination of all applications for entry so as to</w:t>
      </w:r>
      <w:r w:rsidRPr="001C0DC9">
        <w:t xml:space="preserve"> </w:t>
      </w:r>
      <w:r w:rsidRPr="00D27F19">
        <w:t xml:space="preserve">allow for an effective search in the event of a </w:t>
      </w:r>
      <w:r>
        <w:t xml:space="preserve">person’s </w:t>
      </w:r>
      <w:r w:rsidRPr="0085649F">
        <w:rPr>
          <w:rFonts w:asciiTheme="majorBidi" w:hAnsiTheme="majorBidi" w:cstheme="majorBidi"/>
        </w:rPr>
        <w:lastRenderedPageBreak/>
        <w:t>disappearance</w:t>
      </w:r>
      <w:r w:rsidRPr="00D27F19">
        <w:t>.</w:t>
      </w:r>
      <w:r w:rsidRPr="009662BA">
        <w:rPr>
          <w:rStyle w:val="FootnoteReference"/>
        </w:rPr>
        <w:footnoteReference w:id="47"/>
      </w:r>
      <w:r w:rsidRPr="00D27F19">
        <w:t xml:space="preserve"> </w:t>
      </w:r>
      <w:r>
        <w:t xml:space="preserve">The </w:t>
      </w:r>
      <w:r>
        <w:rPr>
          <w:color w:val="000000" w:themeColor="text1"/>
        </w:rPr>
        <w:t>a</w:t>
      </w:r>
      <w:r w:rsidRPr="00D27F19">
        <w:rPr>
          <w:color w:val="000000"/>
        </w:rPr>
        <w:t xml:space="preserve">uthorities responsible for entering the relevant data </w:t>
      </w:r>
      <w:r w:rsidRPr="00D27F19">
        <w:rPr>
          <w:color w:val="000000" w:themeColor="text1"/>
        </w:rPr>
        <w:t xml:space="preserve">must </w:t>
      </w:r>
      <w:r w:rsidRPr="00D27F19">
        <w:rPr>
          <w:color w:val="000000"/>
        </w:rPr>
        <w:t xml:space="preserve">do so in a consistent and exhaustive manner, immediately after being informed of a </w:t>
      </w:r>
      <w:r>
        <w:rPr>
          <w:color w:val="000000"/>
        </w:rPr>
        <w:t xml:space="preserve">case of </w:t>
      </w:r>
      <w:r w:rsidRPr="00D27F19">
        <w:rPr>
          <w:color w:val="000000"/>
        </w:rPr>
        <w:t>disappearance.</w:t>
      </w:r>
      <w:r w:rsidRPr="009662BA">
        <w:rPr>
          <w:rStyle w:val="FootnoteReference"/>
        </w:rPr>
        <w:footnoteReference w:id="48"/>
      </w:r>
      <w:r w:rsidRPr="0066546F">
        <w:rPr>
          <w:rStyle w:val="FootnoteReference"/>
          <w:color w:val="000000" w:themeColor="text1"/>
        </w:rPr>
        <w:t xml:space="preserve"> </w:t>
      </w:r>
      <w:r w:rsidRPr="00D27F19">
        <w:rPr>
          <w:color w:val="000000" w:themeColor="text1"/>
        </w:rPr>
        <w:t>States parties must ensure that such data are not shared or used for</w:t>
      </w:r>
      <w:r>
        <w:rPr>
          <w:color w:val="000000" w:themeColor="text1"/>
        </w:rPr>
        <w:t xml:space="preserve"> the purposes of</w:t>
      </w:r>
      <w:r w:rsidRPr="00D27F19">
        <w:rPr>
          <w:color w:val="000000" w:themeColor="text1"/>
        </w:rPr>
        <w:t xml:space="preserve"> immigration enforcement.</w:t>
      </w:r>
      <w:r w:rsidRPr="009662BA">
        <w:rPr>
          <w:rStyle w:val="FootnoteReference"/>
        </w:rPr>
        <w:footnoteReference w:id="49"/>
      </w:r>
    </w:p>
    <w:p w14:paraId="3CF63628" w14:textId="77777777" w:rsidR="00DB3692" w:rsidRPr="00D27F19" w:rsidRDefault="00DB3692" w:rsidP="00DB3692">
      <w:pPr>
        <w:pStyle w:val="SingleTxtG"/>
      </w:pPr>
      <w:r w:rsidRPr="00D27F19">
        <w:t>24.</w:t>
      </w:r>
      <w:r w:rsidRPr="00D27F19">
        <w:tab/>
        <w:t xml:space="preserve">The Committee recommends </w:t>
      </w:r>
      <w:r>
        <w:t xml:space="preserve">the </w:t>
      </w:r>
      <w:r w:rsidRPr="00D27F19">
        <w:t>standardi</w:t>
      </w:r>
      <w:r>
        <w:t>zation of</w:t>
      </w:r>
      <w:r w:rsidRPr="00D27F19">
        <w:t xml:space="preserve"> data collection in order to facilitate data-sharing between countries of origin, transit</w:t>
      </w:r>
      <w:r>
        <w:t xml:space="preserve">, </w:t>
      </w:r>
      <w:r w:rsidRPr="00D27F19">
        <w:t>destination</w:t>
      </w:r>
      <w:r>
        <w:t xml:space="preserve"> and return</w:t>
      </w:r>
      <w:r w:rsidRPr="00D27F19">
        <w:t>.</w:t>
      </w:r>
      <w:r w:rsidRPr="009662BA">
        <w:rPr>
          <w:rStyle w:val="FootnoteReference"/>
        </w:rPr>
        <w:footnoteReference w:id="50"/>
      </w:r>
      <w:r w:rsidRPr="00D27F19">
        <w:t xml:space="preserve"> Furthermore, States parties should ensure </w:t>
      </w:r>
      <w:r>
        <w:t>that</w:t>
      </w:r>
      <w:r w:rsidRPr="00D27F19">
        <w:t xml:space="preserve"> databases on disappeared and missing migrants </w:t>
      </w:r>
      <w:r>
        <w:t xml:space="preserve">are </w:t>
      </w:r>
      <w:r w:rsidRPr="00D27F19">
        <w:t>interconnect</w:t>
      </w:r>
      <w:r>
        <w:t>ed</w:t>
      </w:r>
      <w:r w:rsidRPr="00D27F19">
        <w:t xml:space="preserve"> and interoperab</w:t>
      </w:r>
      <w:r>
        <w:t xml:space="preserve">le </w:t>
      </w:r>
      <w:r w:rsidRPr="00D27F19">
        <w:t xml:space="preserve">at </w:t>
      </w:r>
      <w:r>
        <w:t xml:space="preserve">the </w:t>
      </w:r>
      <w:r w:rsidRPr="00D27F19">
        <w:t>national and international</w:t>
      </w:r>
      <w:r>
        <w:t xml:space="preserve"> levels</w:t>
      </w:r>
      <w:r w:rsidRPr="00D27F19">
        <w:t xml:space="preserve"> in order to facilitate the cross-checking of information. </w:t>
      </w:r>
      <w:r w:rsidRPr="00D27F19">
        <w:rPr>
          <w:color w:val="000000" w:themeColor="text1"/>
        </w:rPr>
        <w:t xml:space="preserve">Any exchange of personal data, both nationally and across borders or jurisdictions, should meet internationally accepted </w:t>
      </w:r>
      <w:r>
        <w:rPr>
          <w:color w:val="000000" w:themeColor="text1"/>
        </w:rPr>
        <w:t xml:space="preserve">standards on </w:t>
      </w:r>
      <w:r w:rsidRPr="00D27F19">
        <w:rPr>
          <w:color w:val="000000" w:themeColor="text1"/>
        </w:rPr>
        <w:t>data and privacy.</w:t>
      </w:r>
      <w:r w:rsidRPr="009662BA">
        <w:rPr>
          <w:rStyle w:val="FootnoteReference"/>
        </w:rPr>
        <w:footnoteReference w:id="51"/>
      </w:r>
      <w:r w:rsidRPr="00D27F19">
        <w:rPr>
          <w:color w:val="000000" w:themeColor="text1"/>
        </w:rPr>
        <w:t xml:space="preserve"> Moreover, personal data, </w:t>
      </w:r>
      <w:r>
        <w:rPr>
          <w:color w:val="000000" w:themeColor="text1"/>
        </w:rPr>
        <w:t>in particular</w:t>
      </w:r>
      <w:r w:rsidRPr="00D27F19">
        <w:rPr>
          <w:color w:val="000000" w:themeColor="text1"/>
        </w:rPr>
        <w:t xml:space="preserve"> biometric data, should be used </w:t>
      </w:r>
      <w:r>
        <w:rPr>
          <w:color w:val="000000" w:themeColor="text1"/>
        </w:rPr>
        <w:t xml:space="preserve">only </w:t>
      </w:r>
      <w:r w:rsidRPr="00D27F19">
        <w:rPr>
          <w:color w:val="000000" w:themeColor="text1"/>
        </w:rPr>
        <w:t>for the purpose</w:t>
      </w:r>
      <w:r>
        <w:rPr>
          <w:color w:val="000000" w:themeColor="text1"/>
        </w:rPr>
        <w:t>s</w:t>
      </w:r>
      <w:r w:rsidRPr="00D27F19">
        <w:rPr>
          <w:color w:val="000000" w:themeColor="text1"/>
        </w:rPr>
        <w:t xml:space="preserve"> of searching for disappeared migrants</w:t>
      </w:r>
      <w:r>
        <w:rPr>
          <w:color w:val="000000" w:themeColor="text1"/>
        </w:rPr>
        <w:t>,</w:t>
      </w:r>
      <w:r w:rsidRPr="00D27F19">
        <w:rPr>
          <w:color w:val="000000" w:themeColor="text1"/>
        </w:rPr>
        <w:t xml:space="preserve"> </w:t>
      </w:r>
      <w:r>
        <w:rPr>
          <w:color w:val="000000" w:themeColor="text1"/>
        </w:rPr>
        <w:t xml:space="preserve">in accordance with </w:t>
      </w:r>
      <w:r w:rsidRPr="00D27F19">
        <w:rPr>
          <w:color w:val="000000" w:themeColor="text1"/>
        </w:rPr>
        <w:t>article 19</w:t>
      </w:r>
      <w:r>
        <w:rPr>
          <w:color w:val="000000" w:themeColor="text1"/>
        </w:rPr>
        <w:t xml:space="preserve"> </w:t>
      </w:r>
      <w:r w:rsidRPr="00D27F19">
        <w:rPr>
          <w:color w:val="000000" w:themeColor="text1"/>
        </w:rPr>
        <w:t>(1)</w:t>
      </w:r>
      <w:r>
        <w:rPr>
          <w:color w:val="000000" w:themeColor="text1"/>
        </w:rPr>
        <w:t xml:space="preserve"> of the Convention,</w:t>
      </w:r>
      <w:r w:rsidRPr="00D27F19">
        <w:rPr>
          <w:color w:val="000000" w:themeColor="text1"/>
        </w:rPr>
        <w:t xml:space="preserve"> and </w:t>
      </w:r>
      <w:r>
        <w:rPr>
          <w:color w:val="000000" w:themeColor="text1"/>
        </w:rPr>
        <w:t xml:space="preserve">of </w:t>
      </w:r>
      <w:r w:rsidRPr="00D27F19">
        <w:rPr>
          <w:color w:val="000000" w:themeColor="text1"/>
        </w:rPr>
        <w:t>providing information to persons with a legitimate interest</w:t>
      </w:r>
      <w:r>
        <w:rPr>
          <w:color w:val="000000" w:themeColor="text1"/>
        </w:rPr>
        <w:t>,</w:t>
      </w:r>
      <w:r w:rsidRPr="00D27F19">
        <w:rPr>
          <w:color w:val="000000" w:themeColor="text1"/>
        </w:rPr>
        <w:t xml:space="preserve"> in </w:t>
      </w:r>
      <w:r>
        <w:rPr>
          <w:color w:val="000000" w:themeColor="text1"/>
        </w:rPr>
        <w:t>accordance</w:t>
      </w:r>
      <w:r w:rsidRPr="00D27F19">
        <w:rPr>
          <w:color w:val="000000" w:themeColor="text1"/>
        </w:rPr>
        <w:t xml:space="preserve"> with article 18.</w:t>
      </w:r>
    </w:p>
    <w:p w14:paraId="4C8873F9" w14:textId="77777777" w:rsidR="00DB3692" w:rsidRPr="00D27F19" w:rsidRDefault="00DB3692" w:rsidP="00DB3692">
      <w:pPr>
        <w:pStyle w:val="SingleTxtG"/>
      </w:pPr>
      <w:r w:rsidRPr="00D27F19">
        <w:t>25.</w:t>
      </w:r>
      <w:r w:rsidRPr="00D27F19">
        <w:tab/>
        <w:t xml:space="preserve">The absence of record-keeping throughout the handling of persons in </w:t>
      </w:r>
      <w:r>
        <w:t>the context of</w:t>
      </w:r>
      <w:r w:rsidRPr="00D27F19">
        <w:t xml:space="preserve"> irregular border crossings further increases the </w:t>
      </w:r>
      <w:r>
        <w:t>risk</w:t>
      </w:r>
      <w:r w:rsidRPr="00D27F19">
        <w:t xml:space="preserve"> </w:t>
      </w:r>
      <w:r>
        <w:t>of their</w:t>
      </w:r>
      <w:r w:rsidRPr="00D27F19">
        <w:t xml:space="preserve"> becom</w:t>
      </w:r>
      <w:r>
        <w:t>ing</w:t>
      </w:r>
      <w:r w:rsidRPr="00D27F19">
        <w:t xml:space="preserve"> victims of human rights violations</w:t>
      </w:r>
      <w:r>
        <w:t>, including enforced disappearance</w:t>
      </w:r>
      <w:r w:rsidRPr="00D27F19">
        <w:t>.</w:t>
      </w:r>
      <w:r w:rsidRPr="009662BA">
        <w:rPr>
          <w:rStyle w:val="FootnoteReference"/>
        </w:rPr>
        <w:footnoteReference w:id="52"/>
      </w:r>
      <w:r w:rsidRPr="00D27F19">
        <w:t xml:space="preserve"> It also renders any accountability impossible, including effective inquiries and investigations.</w:t>
      </w:r>
      <w:r w:rsidRPr="009662BA">
        <w:rPr>
          <w:rStyle w:val="FootnoteReference"/>
        </w:rPr>
        <w:footnoteReference w:id="53"/>
      </w:r>
      <w:r w:rsidRPr="00D27F19">
        <w:t xml:space="preserve"> Consequently, States parties must keep record</w:t>
      </w:r>
      <w:r>
        <w:t>s</w:t>
      </w:r>
      <w:r w:rsidRPr="00D27F19">
        <w:t xml:space="preserve"> of their handling of persons in the context of irregular border crossings</w:t>
      </w:r>
      <w:r>
        <w:t>,</w:t>
      </w:r>
      <w:r w:rsidRPr="009662BA">
        <w:rPr>
          <w:rStyle w:val="FootnoteReference"/>
        </w:rPr>
        <w:footnoteReference w:id="54"/>
      </w:r>
      <w:r>
        <w:t xml:space="preserve"> and</w:t>
      </w:r>
      <w:r w:rsidRPr="00D27F19">
        <w:t xml:space="preserve"> footage from border surveillance equipment should be preserved and made accessible to those mandated with overseeing </w:t>
      </w:r>
      <w:r>
        <w:t>border</w:t>
      </w:r>
      <w:r w:rsidRPr="00D27F19">
        <w:t xml:space="preserve"> operations</w:t>
      </w:r>
      <w:r>
        <w:t>, as well as to authorities in charge of the search for disappeared migrants and the investigations into their disappearances</w:t>
      </w:r>
      <w:r w:rsidRPr="00D27F19">
        <w:t>.</w:t>
      </w:r>
      <w:r w:rsidRPr="009662BA">
        <w:rPr>
          <w:rStyle w:val="FootnoteReference"/>
        </w:rPr>
        <w:footnoteReference w:id="55"/>
      </w:r>
    </w:p>
    <w:p w14:paraId="29D5F053" w14:textId="7F041062" w:rsidR="00DB3692" w:rsidRPr="00D27F19" w:rsidRDefault="00DB3692" w:rsidP="00DB3692">
      <w:pPr>
        <w:pStyle w:val="SingleTxtG"/>
      </w:pPr>
      <w:r w:rsidRPr="00D27F19">
        <w:t>26.</w:t>
      </w:r>
      <w:r w:rsidRPr="00D27F19">
        <w:tab/>
        <w:t>In addition to collecting data, States parties should conduct contextual analys</w:t>
      </w:r>
      <w:r>
        <w:t>e</w:t>
      </w:r>
      <w:r w:rsidRPr="00D27F19">
        <w:t xml:space="preserve">s to identify possible patterns in </w:t>
      </w:r>
      <w:r>
        <w:t xml:space="preserve">cases of the </w:t>
      </w:r>
      <w:r w:rsidRPr="00D27F19">
        <w:t xml:space="preserve">disappearance of migrants </w:t>
      </w:r>
      <w:r w:rsidRPr="00D27F19">
        <w:rPr>
          <w:color w:val="000000" w:themeColor="text1"/>
        </w:rPr>
        <w:t>and</w:t>
      </w:r>
      <w:r w:rsidRPr="00D27F19">
        <w:t xml:space="preserve"> </w:t>
      </w:r>
      <w:r>
        <w:t xml:space="preserve">the </w:t>
      </w:r>
      <w:r w:rsidRPr="00D27F19">
        <w:t>underlying structural failures that enable these crimes,</w:t>
      </w:r>
      <w:r w:rsidRPr="009662BA">
        <w:rPr>
          <w:rStyle w:val="FootnoteReference"/>
        </w:rPr>
        <w:footnoteReference w:id="56"/>
      </w:r>
      <w:r w:rsidRPr="00D27F19">
        <w:t xml:space="preserve"> </w:t>
      </w:r>
      <w:r>
        <w:t>and</w:t>
      </w:r>
      <w:r w:rsidRPr="00D27F19">
        <w:t xml:space="preserve"> possible ties between authorities and criminal networks involved in trafficking</w:t>
      </w:r>
      <w:r>
        <w:t xml:space="preserve"> in persons</w:t>
      </w:r>
      <w:r w:rsidRPr="00D27F19">
        <w:t xml:space="preserve"> and </w:t>
      </w:r>
      <w:r>
        <w:t xml:space="preserve">the </w:t>
      </w:r>
      <w:r w:rsidRPr="00D27F19">
        <w:t>smuggling of migrants. For this purpose, the Committee recommends the collection of qualitative data.</w:t>
      </w:r>
      <w:r w:rsidRPr="009662BA">
        <w:rPr>
          <w:rStyle w:val="FootnoteReference"/>
        </w:rPr>
        <w:footnoteReference w:id="57"/>
      </w:r>
      <w:r w:rsidRPr="00D27F19">
        <w:t xml:space="preserve"> In order to identify trends and patterns in </w:t>
      </w:r>
      <w:r>
        <w:t>cases of</w:t>
      </w:r>
      <w:r w:rsidRPr="00D27F19">
        <w:t xml:space="preserve"> </w:t>
      </w:r>
      <w:r>
        <w:t xml:space="preserve">the </w:t>
      </w:r>
      <w:r w:rsidRPr="00D27F19">
        <w:t>disappearance</w:t>
      </w:r>
      <w:r>
        <w:t xml:space="preserve"> of migrants</w:t>
      </w:r>
      <w:r w:rsidRPr="00D27F19">
        <w:t xml:space="preserve"> in the context of trafficking</w:t>
      </w:r>
      <w:r w:rsidRPr="00F14177">
        <w:t xml:space="preserve"> </w:t>
      </w:r>
      <w:r>
        <w:t xml:space="preserve">in </w:t>
      </w:r>
      <w:r>
        <w:lastRenderedPageBreak/>
        <w:t>persons</w:t>
      </w:r>
      <w:r w:rsidRPr="00D27F19">
        <w:t xml:space="preserve">, States parties should cooperate with a broad range of </w:t>
      </w:r>
      <w:r>
        <w:t xml:space="preserve">actors, including </w:t>
      </w:r>
      <w:r w:rsidRPr="00D27F19">
        <w:t>anti</w:t>
      </w:r>
      <w:r w:rsidR="00CC09FE">
        <w:noBreakHyphen/>
      </w:r>
      <w:r w:rsidRPr="00D27F19">
        <w:t>trafficking</w:t>
      </w:r>
      <w:r>
        <w:t xml:space="preserve"> and migration</w:t>
      </w:r>
      <w:r w:rsidRPr="00D27F19">
        <w:t xml:space="preserve"> professionals.</w:t>
      </w:r>
      <w:r w:rsidRPr="009662BA">
        <w:rPr>
          <w:rStyle w:val="FootnoteReference"/>
        </w:rPr>
        <w:footnoteReference w:id="58"/>
      </w:r>
    </w:p>
    <w:p w14:paraId="0F7163F7" w14:textId="77777777" w:rsidR="00DB3692" w:rsidRPr="00D27F19" w:rsidRDefault="00DB3692" w:rsidP="00DB3692">
      <w:pPr>
        <w:pStyle w:val="H1G"/>
      </w:pPr>
      <w:bookmarkStart w:id="17" w:name="_Toc127804278"/>
      <w:bookmarkStart w:id="18" w:name="_Toc129893188"/>
      <w:bookmarkStart w:id="19" w:name="_Toc130394614"/>
      <w:r w:rsidRPr="00D27F19">
        <w:tab/>
        <w:t>C.</w:t>
      </w:r>
      <w:r w:rsidRPr="00D27F19">
        <w:tab/>
        <w:t>Policies and non-criminali</w:t>
      </w:r>
      <w:r>
        <w:t>z</w:t>
      </w:r>
      <w:r w:rsidRPr="00D27F19">
        <w:t>ation</w:t>
      </w:r>
      <w:bookmarkEnd w:id="17"/>
      <w:bookmarkEnd w:id="18"/>
      <w:bookmarkEnd w:id="19"/>
    </w:p>
    <w:p w14:paraId="0C14BCF8" w14:textId="77777777" w:rsidR="00DB3692" w:rsidRPr="00D27F19" w:rsidRDefault="00DB3692" w:rsidP="00DB3692">
      <w:pPr>
        <w:pStyle w:val="SingleTxtG"/>
      </w:pPr>
      <w:r w:rsidRPr="00D27F19">
        <w:t>27.</w:t>
      </w:r>
      <w:r w:rsidRPr="00D27F19">
        <w:tab/>
        <w:t>Policies that criminali</w:t>
      </w:r>
      <w:r>
        <w:t>z</w:t>
      </w:r>
      <w:r w:rsidRPr="00D27F19">
        <w:t>e migrants</w:t>
      </w:r>
      <w:r>
        <w:t>,</w:t>
      </w:r>
      <w:r w:rsidRPr="00D27F19">
        <w:t xml:space="preserve"> and migration itself, lack </w:t>
      </w:r>
      <w:r>
        <w:t xml:space="preserve">the </w:t>
      </w:r>
      <w:r w:rsidRPr="00D27F19">
        <w:t xml:space="preserve">mechanisms </w:t>
      </w:r>
      <w:r>
        <w:t>necessary to</w:t>
      </w:r>
      <w:r w:rsidRPr="00D27F19">
        <w:t xml:space="preserve"> allow for </w:t>
      </w:r>
      <w:r>
        <w:t xml:space="preserve">the </w:t>
      </w:r>
      <w:r w:rsidRPr="00D27F19">
        <w:t>prior assessment of the risks and circumstances in each individual case</w:t>
      </w:r>
      <w:r>
        <w:t>.</w:t>
      </w:r>
      <w:r w:rsidRPr="00D27F19">
        <w:t xml:space="preserve"> </w:t>
      </w:r>
      <w:r>
        <w:t>Instead, such policies</w:t>
      </w:r>
      <w:r w:rsidRPr="00D27F19">
        <w:t xml:space="preserve"> focus on deterring entry</w:t>
      </w:r>
      <w:r>
        <w:t xml:space="preserve"> and</w:t>
      </w:r>
      <w:r w:rsidRPr="00D27F19">
        <w:t xml:space="preserve"> heighten the risk of migrants becoming victims of human rights violations, including </w:t>
      </w:r>
      <w:r>
        <w:t xml:space="preserve">enforced </w:t>
      </w:r>
      <w:r w:rsidRPr="00D27F19">
        <w:t>disappearance. Consequently, the Committee urges States parties to adopt evidence-based policies to foster access to regular</w:t>
      </w:r>
      <w:r>
        <w:t>, safe and orderly</w:t>
      </w:r>
      <w:r w:rsidRPr="00D27F19">
        <w:t xml:space="preserve"> migration</w:t>
      </w:r>
      <w:r>
        <w:t>,</w:t>
      </w:r>
      <w:r w:rsidRPr="00D27F19">
        <w:t xml:space="preserve"> in </w:t>
      </w:r>
      <w:r>
        <w:t>accordance</w:t>
      </w:r>
      <w:r w:rsidRPr="00D27F19">
        <w:t xml:space="preserve"> with the objectives</w:t>
      </w:r>
      <w:r>
        <w:t xml:space="preserve"> of and commitments</w:t>
      </w:r>
      <w:r w:rsidRPr="00D27F19">
        <w:t xml:space="preserve"> </w:t>
      </w:r>
      <w:r>
        <w:t>made in</w:t>
      </w:r>
      <w:r w:rsidRPr="00D27F19">
        <w:t xml:space="preserve"> the Global Compact </w:t>
      </w:r>
      <w:r w:rsidRPr="00091585">
        <w:t>for Safe, Orderly and Regular</w:t>
      </w:r>
      <w:r w:rsidRPr="00D27F19">
        <w:t xml:space="preserve"> Migration. Specifically, States parties should work towards enhancing pathways for regular migration, </w:t>
      </w:r>
      <w:r>
        <w:t xml:space="preserve">addressing and </w:t>
      </w:r>
      <w:r w:rsidRPr="00D27F19">
        <w:t>reducing vulnerabilities</w:t>
      </w:r>
      <w:r>
        <w:t xml:space="preserve"> in migration</w:t>
      </w:r>
      <w:r w:rsidRPr="00D27F19">
        <w:t>, saving lives, countering trafficking</w:t>
      </w:r>
      <w:r>
        <w:t xml:space="preserve"> in persons and the smuggling of migrants</w:t>
      </w:r>
      <w:r w:rsidRPr="00D27F19">
        <w:t>, training and adequately equipping border authorities, finding alternatives to detention, facilitating consular assistance and, if appropriate, consular access to relevant information about disappeared</w:t>
      </w:r>
      <w:r>
        <w:t xml:space="preserve"> persons</w:t>
      </w:r>
      <w:r w:rsidRPr="00D27F19">
        <w:t>, and eliminating discrimination.</w:t>
      </w:r>
      <w:r w:rsidRPr="009662BA">
        <w:rPr>
          <w:rStyle w:val="FootnoteReference"/>
        </w:rPr>
        <w:footnoteReference w:id="59"/>
      </w:r>
      <w:r w:rsidRPr="00D27F19">
        <w:t xml:space="preserve"> </w:t>
      </w:r>
      <w:r>
        <w:t>In a</w:t>
      </w:r>
      <w:r w:rsidRPr="00D27F19">
        <w:t>ddition, States parties must guarantee the right</w:t>
      </w:r>
      <w:r>
        <w:t>s</w:t>
      </w:r>
      <w:r w:rsidRPr="00D27F19">
        <w:t xml:space="preserve"> of every person to seek legal protection based on an individual risk assessment </w:t>
      </w:r>
      <w:r>
        <w:t>and of</w:t>
      </w:r>
      <w:r w:rsidRPr="00D27F19">
        <w:t xml:space="preserve"> access to justice through legal remedies</w:t>
      </w:r>
      <w:r>
        <w:t>, including in situations where military forces are involved in border control</w:t>
      </w:r>
      <w:r w:rsidRPr="00D27F19">
        <w:t>. States parties must end, investigate and punish practices of collective expulsions and pushbacks at borders or fail</w:t>
      </w:r>
      <w:r>
        <w:t>ure</w:t>
      </w:r>
      <w:r w:rsidRPr="00D27F19">
        <w:t xml:space="preserve"> to act diligently to rescue migrants </w:t>
      </w:r>
      <w:r>
        <w:t xml:space="preserve">who are </w:t>
      </w:r>
      <w:r w:rsidRPr="00D27F19">
        <w:t xml:space="preserve">at sea, in the desert, in impassable forests, exposed to extreme temperatures or in other life-threatening </w:t>
      </w:r>
      <w:r>
        <w:t>situations</w:t>
      </w:r>
      <w:r w:rsidRPr="00D27F19">
        <w:t xml:space="preserve">. </w:t>
      </w:r>
    </w:p>
    <w:p w14:paraId="12A23F74" w14:textId="77777777" w:rsidR="00DB3692" w:rsidRPr="00D27F19" w:rsidRDefault="00DB3692" w:rsidP="00DB3692">
      <w:pPr>
        <w:pStyle w:val="SingleTxtG"/>
      </w:pPr>
      <w:r w:rsidRPr="00D27F19">
        <w:t>28.</w:t>
      </w:r>
      <w:r w:rsidRPr="00D27F19">
        <w:tab/>
      </w:r>
      <w:r>
        <w:t>Given</w:t>
      </w:r>
      <w:r w:rsidRPr="00D27F19">
        <w:t xml:space="preserve"> the role played by non-State actors in many cases of </w:t>
      </w:r>
      <w:r>
        <w:t xml:space="preserve">the </w:t>
      </w:r>
      <w:r w:rsidRPr="00D27F19">
        <w:t>disappearance of migrants,</w:t>
      </w:r>
      <w:r w:rsidRPr="009662BA">
        <w:rPr>
          <w:rStyle w:val="FootnoteReference"/>
        </w:rPr>
        <w:footnoteReference w:id="60"/>
      </w:r>
      <w:r w:rsidRPr="00D27F19">
        <w:t xml:space="preserve"> States parties should, in cooperation with countries of origin, transit</w:t>
      </w:r>
      <w:r>
        <w:t xml:space="preserve">, </w:t>
      </w:r>
      <w:r w:rsidRPr="00D27F19">
        <w:t xml:space="preserve">destination </w:t>
      </w:r>
      <w:r>
        <w:t>and return, i</w:t>
      </w:r>
      <w:r w:rsidRPr="00D27F19">
        <w:t xml:space="preserve">ncrease efforts to counter any form of exploitation or trafficking in </w:t>
      </w:r>
      <w:r>
        <w:t>persons and</w:t>
      </w:r>
      <w:r w:rsidRPr="00D27F19">
        <w:t xml:space="preserve"> </w:t>
      </w:r>
      <w:r>
        <w:t xml:space="preserve">address the abuses and rights violations occurring in the context of </w:t>
      </w:r>
      <w:r w:rsidRPr="00D27F19">
        <w:t xml:space="preserve">smuggling and </w:t>
      </w:r>
      <w:r w:rsidRPr="002403D2">
        <w:t>corruption.</w:t>
      </w:r>
      <w:r w:rsidRPr="009662BA">
        <w:rPr>
          <w:rStyle w:val="FootnoteReference"/>
        </w:rPr>
        <w:footnoteReference w:id="61"/>
      </w:r>
      <w:r w:rsidRPr="002403D2">
        <w:t xml:space="preserve"> States parties are encouraged to accede to and implement international instruments for the suppression of transnational organized crime</w:t>
      </w:r>
      <w:r>
        <w:t>,</w:t>
      </w:r>
      <w:r w:rsidRPr="002403D2">
        <w:t xml:space="preserve"> such as the Protocol to Prevent, Suppress and Punish Trafficking in Persons, Especially Women and Children, supplementing the United Nations Convention against Transnational Organized Crime</w:t>
      </w:r>
      <w:r>
        <w:t>,</w:t>
      </w:r>
      <w:r w:rsidRPr="002403D2">
        <w:t xml:space="preserve"> the Protocol against the Smuggling of Migrants by Land, Sea and Air, supplementing the United Nations Convention against Transnational Organized Crime</w:t>
      </w:r>
      <w:r>
        <w:t>,</w:t>
      </w:r>
      <w:r w:rsidRPr="002403D2">
        <w:t xml:space="preserve"> and the United Nations Convention against Corruption</w:t>
      </w:r>
      <w:r>
        <w:t>,</w:t>
      </w:r>
      <w:r w:rsidRPr="002403D2">
        <w:t xml:space="preserve"> and other relevant international and regional instruments, as part of their efforts to prevent the disappearance of migrants.</w:t>
      </w:r>
    </w:p>
    <w:p w14:paraId="7568F1F2" w14:textId="77777777" w:rsidR="00DB3692" w:rsidRPr="00D27F19" w:rsidRDefault="00DB3692" w:rsidP="00DB3692">
      <w:pPr>
        <w:pStyle w:val="SingleTxtG"/>
      </w:pPr>
      <w:r w:rsidRPr="00D27F19">
        <w:t>29.</w:t>
      </w:r>
      <w:r w:rsidRPr="00D27F19">
        <w:tab/>
        <w:t xml:space="preserve">Special consideration must be given to the rights of migrant children, </w:t>
      </w:r>
      <w:r>
        <w:t>in particular</w:t>
      </w:r>
      <w:r w:rsidRPr="00D27F19">
        <w:t xml:space="preserve"> unaccompanied minors.</w:t>
      </w:r>
      <w:r w:rsidRPr="009662BA">
        <w:rPr>
          <w:rStyle w:val="FootnoteReference"/>
        </w:rPr>
        <w:footnoteReference w:id="62"/>
      </w:r>
      <w:r w:rsidRPr="00D27F19">
        <w:t xml:space="preserve"> The separation of children from their families increases </w:t>
      </w:r>
      <w:r>
        <w:t xml:space="preserve">the </w:t>
      </w:r>
      <w:r w:rsidRPr="00D27F19">
        <w:t>risk of enforced disappearance and should be avoided, unless it is determined to be in the best interests of the child in compliance with international standards.</w:t>
      </w:r>
      <w:r w:rsidRPr="009662BA">
        <w:rPr>
          <w:rStyle w:val="FootnoteReference"/>
        </w:rPr>
        <w:footnoteReference w:id="63"/>
      </w:r>
      <w:r w:rsidRPr="00D27F19">
        <w:t xml:space="preserve"> States parties should take </w:t>
      </w:r>
      <w:r w:rsidRPr="00D27F19">
        <w:lastRenderedPageBreak/>
        <w:t xml:space="preserve">effective measures to ensure the protection of unaccompanied or separated migrant children housed in reception centres, or other places of accommodation, from becoming victims of human rights violations, including disappearance </w:t>
      </w:r>
      <w:r>
        <w:t xml:space="preserve">falling under </w:t>
      </w:r>
      <w:r w:rsidRPr="00D27F19">
        <w:t>articles 2 and 3</w:t>
      </w:r>
      <w:r>
        <w:t xml:space="preserve"> of the </w:t>
      </w:r>
      <w:r w:rsidRPr="0066546F">
        <w:rPr>
          <w:rFonts w:asciiTheme="majorBidi" w:hAnsiTheme="majorBidi" w:cstheme="majorBidi"/>
        </w:rPr>
        <w:t>Convention.</w:t>
      </w:r>
      <w:r w:rsidRPr="009662BA">
        <w:rPr>
          <w:rStyle w:val="FootnoteReference"/>
        </w:rPr>
        <w:footnoteReference w:id="64"/>
      </w:r>
      <w:r w:rsidRPr="0066546F">
        <w:rPr>
          <w:rFonts w:asciiTheme="majorBidi" w:hAnsiTheme="majorBidi" w:cstheme="majorBidi"/>
        </w:rPr>
        <w:t xml:space="preserve"> Children</w:t>
      </w:r>
      <w:r w:rsidRPr="00D27F19">
        <w:t xml:space="preserve"> born on migrant routes or in places of deprivation of liberty are </w:t>
      </w:r>
      <w:r>
        <w:t>at</w:t>
      </w:r>
      <w:r w:rsidRPr="00D27F19">
        <w:t xml:space="preserve"> additional risk </w:t>
      </w:r>
      <w:r>
        <w:t>of</w:t>
      </w:r>
      <w:r w:rsidRPr="00D27F19">
        <w:t xml:space="preserve"> wrongful remov</w:t>
      </w:r>
      <w:r>
        <w:t>al</w:t>
      </w:r>
      <w:r w:rsidRPr="00D27F19">
        <w:t xml:space="preserve"> (art</w:t>
      </w:r>
      <w:r>
        <w:t>.</w:t>
      </w:r>
      <w:r w:rsidRPr="00D27F19">
        <w:t xml:space="preserve"> 25) and it is therefore paramount to ensure their registration at birth.</w:t>
      </w:r>
      <w:r w:rsidRPr="009662BA">
        <w:rPr>
          <w:rStyle w:val="FootnoteReference"/>
        </w:rPr>
        <w:footnoteReference w:id="65"/>
      </w:r>
      <w:r w:rsidRPr="00D27F19">
        <w:t xml:space="preserve"> </w:t>
      </w:r>
      <w:r w:rsidRPr="00EE73EF">
        <w:rPr>
          <w:color w:val="000000" w:themeColor="text1"/>
        </w:rPr>
        <w:t xml:space="preserve">To respect their best interests, States </w:t>
      </w:r>
      <w:r>
        <w:rPr>
          <w:color w:val="000000" w:themeColor="text1"/>
        </w:rPr>
        <w:t>parties should</w:t>
      </w:r>
      <w:r w:rsidRPr="00EE73EF">
        <w:rPr>
          <w:color w:val="000000" w:themeColor="text1"/>
        </w:rPr>
        <w:t xml:space="preserve"> grant children at international borders the right to </w:t>
      </w:r>
      <w:r w:rsidRPr="005236CE">
        <w:rPr>
          <w:lang w:val="en-US"/>
        </w:rPr>
        <w:t xml:space="preserve">access to the territory, regardless of the documentation </w:t>
      </w:r>
      <w:r>
        <w:rPr>
          <w:lang w:val="en-US"/>
        </w:rPr>
        <w:t xml:space="preserve">that </w:t>
      </w:r>
      <w:r w:rsidRPr="005236CE">
        <w:rPr>
          <w:lang w:val="en-US"/>
        </w:rPr>
        <w:t>they have or lack, and to be referred to authorities in charge of evaluating their needs in terms of protection of their rights, ensuring their procedural safeguards</w:t>
      </w:r>
      <w:r w:rsidRPr="00EE73EF">
        <w:rPr>
          <w:color w:val="000000" w:themeColor="text1"/>
        </w:rPr>
        <w:t>.</w:t>
      </w:r>
      <w:r w:rsidRPr="00EE73EF">
        <w:rPr>
          <w:rStyle w:val="FootnoteReference"/>
          <w:color w:val="000000" w:themeColor="text1"/>
        </w:rPr>
        <w:footnoteReference w:id="66"/>
      </w:r>
      <w:r w:rsidRPr="00EE73EF">
        <w:rPr>
          <w:color w:val="000000" w:themeColor="text1"/>
        </w:rPr>
        <w:t xml:space="preserve"> </w:t>
      </w:r>
      <w:r w:rsidRPr="00D27F19">
        <w:t>Respect for the best interests of the child and family unity should be prioriti</w:t>
      </w:r>
      <w:r>
        <w:t>z</w:t>
      </w:r>
      <w:r w:rsidRPr="00D27F19">
        <w:t xml:space="preserve">ed </w:t>
      </w:r>
      <w:r>
        <w:t xml:space="preserve">by, </w:t>
      </w:r>
      <w:r w:rsidRPr="00D27F19">
        <w:t>for example</w:t>
      </w:r>
      <w:r>
        <w:t>,</w:t>
      </w:r>
      <w:r w:rsidRPr="00D27F19">
        <w:t xml:space="preserve"> promptly identifying migrant</w:t>
      </w:r>
      <w:r>
        <w:t xml:space="preserve"> children</w:t>
      </w:r>
      <w:r w:rsidRPr="00D27F19">
        <w:t xml:space="preserve"> at border controls or in other circumstances, assigning a guardian to unaccompanied children and putting in place best</w:t>
      </w:r>
      <w:r>
        <w:t xml:space="preserve"> </w:t>
      </w:r>
      <w:r w:rsidRPr="00D27F19">
        <w:t>interest</w:t>
      </w:r>
      <w:r>
        <w:t>s</w:t>
      </w:r>
      <w:r w:rsidRPr="00D27F19">
        <w:t xml:space="preserve"> determination procedures.</w:t>
      </w:r>
      <w:r w:rsidRPr="009662BA">
        <w:rPr>
          <w:rStyle w:val="FootnoteReference"/>
        </w:rPr>
        <w:footnoteReference w:id="67"/>
      </w:r>
    </w:p>
    <w:p w14:paraId="5616C294" w14:textId="77777777" w:rsidR="00DB3692" w:rsidRPr="00D27F19" w:rsidRDefault="00DB3692" w:rsidP="00DB3692">
      <w:pPr>
        <w:pStyle w:val="SingleTxtG"/>
      </w:pPr>
      <w:r w:rsidRPr="00D27F19">
        <w:t>30.</w:t>
      </w:r>
      <w:r w:rsidRPr="00D27F19">
        <w:tab/>
        <w:t>The criminali</w:t>
      </w:r>
      <w:r>
        <w:t>z</w:t>
      </w:r>
      <w:r w:rsidRPr="00D27F19">
        <w:t xml:space="preserve">ation of both </w:t>
      </w:r>
      <w:r>
        <w:t xml:space="preserve">migration and the provision of assistance to </w:t>
      </w:r>
      <w:r w:rsidRPr="00D27F19">
        <w:t xml:space="preserve">migrants directly contributes to the heightened risk of disappearance </w:t>
      </w:r>
      <w:r>
        <w:t>faced by</w:t>
      </w:r>
      <w:r w:rsidRPr="00D27F19">
        <w:t xml:space="preserve"> migrants</w:t>
      </w:r>
      <w:r>
        <w:t>,</w:t>
      </w:r>
      <w:r w:rsidRPr="00D27F19">
        <w:t xml:space="preserve"> </w:t>
      </w:r>
      <w:r>
        <w:t>as it</w:t>
      </w:r>
      <w:r w:rsidRPr="00D27F19">
        <w:t xml:space="preserve"> plac</w:t>
      </w:r>
      <w:r>
        <w:t>es</w:t>
      </w:r>
      <w:r w:rsidRPr="00D27F19">
        <w:t xml:space="preserve"> them in a situation of vulnerability. The Committee urges States parties to avoid criminali</w:t>
      </w:r>
      <w:r>
        <w:t>z</w:t>
      </w:r>
      <w:r w:rsidRPr="00D27F19">
        <w:t>ing migra</w:t>
      </w:r>
      <w:r>
        <w:t>tion,</w:t>
      </w:r>
      <w:r w:rsidRPr="00D27F19">
        <w:t xml:space="preserve"> both in </w:t>
      </w:r>
      <w:r>
        <w:t>law</w:t>
      </w:r>
      <w:r w:rsidRPr="00D27F19">
        <w:t xml:space="preserve"> and </w:t>
      </w:r>
      <w:r>
        <w:t xml:space="preserve">in </w:t>
      </w:r>
      <w:r w:rsidRPr="00D27F19">
        <w:t>practice</w:t>
      </w:r>
      <w:r>
        <w:t>,</w:t>
      </w:r>
      <w:r w:rsidRPr="00D27F19">
        <w:t xml:space="preserve"> and to facilitate a supportive environment for persons or organi</w:t>
      </w:r>
      <w:r>
        <w:t>z</w:t>
      </w:r>
      <w:r w:rsidRPr="00D27F19">
        <w:t>ations providing humanitarian or legal assistance to migrants.</w:t>
      </w:r>
      <w:r w:rsidRPr="009662BA">
        <w:rPr>
          <w:rStyle w:val="FootnoteReference"/>
        </w:rPr>
        <w:footnoteReference w:id="68"/>
      </w:r>
      <w:r w:rsidRPr="00D27F19">
        <w:t xml:space="preserve"> States parties must ensure that human rights defenders, civil society actors, journalists </w:t>
      </w:r>
      <w:r>
        <w:t>and</w:t>
      </w:r>
      <w:r w:rsidRPr="00D27F19">
        <w:t xml:space="preserve"> anyone providing such assistance are not exposed to reprisals or intimidation </w:t>
      </w:r>
      <w:r>
        <w:t xml:space="preserve">and are not </w:t>
      </w:r>
      <w:r w:rsidRPr="00D27F19">
        <w:t>criminali</w:t>
      </w:r>
      <w:r>
        <w:t>z</w:t>
      </w:r>
      <w:r w:rsidRPr="00D27F19">
        <w:t>ed or prosecuted for their involvement in search and rescue operations</w:t>
      </w:r>
      <w:r>
        <w:t xml:space="preserve"> concerning migrants</w:t>
      </w:r>
      <w:r w:rsidRPr="00D27F19">
        <w:t xml:space="preserve">, </w:t>
      </w:r>
      <w:r>
        <w:t xml:space="preserve">in </w:t>
      </w:r>
      <w:r w:rsidRPr="00D27F19">
        <w:t xml:space="preserve">monitoring and documenting violations or </w:t>
      </w:r>
      <w:r>
        <w:t xml:space="preserve">in </w:t>
      </w:r>
      <w:r w:rsidRPr="00D27F19">
        <w:t>providing any other form of assistance to migrants.</w:t>
      </w:r>
      <w:r w:rsidRPr="009662BA">
        <w:rPr>
          <w:rStyle w:val="FootnoteReference"/>
        </w:rPr>
        <w:footnoteReference w:id="69"/>
      </w:r>
      <w:r w:rsidRPr="00D27F19">
        <w:t xml:space="preserve"> To this end, States parties should review the terminology used in certain types of legislation, such as </w:t>
      </w:r>
      <w:r>
        <w:t xml:space="preserve">legislation on countering </w:t>
      </w:r>
      <w:r w:rsidRPr="00D27F19">
        <w:t>trafficking, smuggling and terrorism.</w:t>
      </w:r>
      <w:r w:rsidRPr="009662BA">
        <w:rPr>
          <w:rStyle w:val="FootnoteReference"/>
        </w:rPr>
        <w:footnoteReference w:id="70"/>
      </w:r>
      <w:r>
        <w:rPr>
          <w:rStyle w:val="FootnoteReference"/>
        </w:rPr>
        <w:t xml:space="preserve"> </w:t>
      </w:r>
    </w:p>
    <w:p w14:paraId="423396BC" w14:textId="77777777" w:rsidR="00DB3692" w:rsidRPr="00D27F19" w:rsidRDefault="00DB3692" w:rsidP="00DB3692">
      <w:pPr>
        <w:pStyle w:val="H1G"/>
      </w:pPr>
      <w:bookmarkStart w:id="20" w:name="_Toc127804279"/>
      <w:bookmarkStart w:id="21" w:name="_Toc129893189"/>
      <w:bookmarkStart w:id="22" w:name="_Toc130394615"/>
      <w:r w:rsidRPr="00D27F19">
        <w:tab/>
        <w:t>D.</w:t>
      </w:r>
      <w:r w:rsidRPr="00D27F19">
        <w:tab/>
        <w:t>Non-refoulement and the prohibition of pushbacks</w:t>
      </w:r>
      <w:bookmarkEnd w:id="20"/>
      <w:bookmarkEnd w:id="21"/>
      <w:bookmarkEnd w:id="22"/>
    </w:p>
    <w:p w14:paraId="502A8483" w14:textId="77777777" w:rsidR="00DB3692" w:rsidRPr="00D27F19" w:rsidRDefault="00DB3692" w:rsidP="00DB3692">
      <w:pPr>
        <w:pStyle w:val="SingleTxtG"/>
      </w:pPr>
      <w:r w:rsidRPr="00D27F19">
        <w:t>31.</w:t>
      </w:r>
      <w:r w:rsidRPr="00D27F19">
        <w:tab/>
        <w:t>Article 16 (1) of the Convention enshrines the non-derogable principle of non-refoulement of any person</w:t>
      </w:r>
      <w:r>
        <w:t>s</w:t>
      </w:r>
      <w:r w:rsidRPr="00D27F19">
        <w:t xml:space="preserve"> to a</w:t>
      </w:r>
      <w:r>
        <w:t>nother</w:t>
      </w:r>
      <w:r w:rsidRPr="00D27F19">
        <w:t xml:space="preserve"> </w:t>
      </w:r>
      <w:r>
        <w:t>State</w:t>
      </w:r>
      <w:r w:rsidRPr="00D27F19">
        <w:t xml:space="preserve"> where there are substantial grounds for believing that they would be in danger of being subjected to enforced disappearance. States parties should explicitly incorporate this principle into national legislation</w:t>
      </w:r>
      <w:r w:rsidRPr="009662BA">
        <w:rPr>
          <w:rStyle w:val="FootnoteReference"/>
        </w:rPr>
        <w:footnoteReference w:id="71"/>
      </w:r>
      <w:r w:rsidRPr="00D27F19">
        <w:t xml:space="preserve"> and refrain from </w:t>
      </w:r>
      <w:r w:rsidRPr="00D27F19">
        <w:lastRenderedPageBreak/>
        <w:t>creating legal exceptions aimed at its circumvention.</w:t>
      </w:r>
      <w:r w:rsidRPr="009662BA">
        <w:rPr>
          <w:rStyle w:val="FootnoteReference"/>
        </w:rPr>
        <w:footnoteReference w:id="72"/>
      </w:r>
      <w:r w:rsidRPr="00D27F19">
        <w:t xml:space="preserve"> The prohibition of refoulement applies wherever the State party exercises </w:t>
      </w:r>
      <w:r>
        <w:t xml:space="preserve">jurisdiction or </w:t>
      </w:r>
      <w:r w:rsidRPr="00D27F19">
        <w:t>effective control over the persons concerned, including at sea and on vessels.</w:t>
      </w:r>
      <w:r w:rsidRPr="009662BA">
        <w:rPr>
          <w:rStyle w:val="FootnoteReference"/>
        </w:rPr>
        <w:footnoteReference w:id="73"/>
      </w:r>
      <w:r>
        <w:rPr>
          <w:rStyle w:val="FootnoteReference"/>
        </w:rPr>
        <w:t xml:space="preserve"> </w:t>
      </w:r>
      <w:r w:rsidRPr="00D27F19">
        <w:t>It also applies whenever States parties decide to externalize migration management to third countries.</w:t>
      </w:r>
      <w:r w:rsidRPr="009662BA">
        <w:rPr>
          <w:rStyle w:val="FootnoteReference"/>
        </w:rPr>
        <w:footnoteReference w:id="74"/>
      </w:r>
    </w:p>
    <w:p w14:paraId="0A2A63BE" w14:textId="77777777" w:rsidR="00DB3692" w:rsidRPr="00D27F19" w:rsidRDefault="00DB3692" w:rsidP="00DB3692">
      <w:pPr>
        <w:pStyle w:val="SingleTxtG"/>
      </w:pPr>
      <w:r w:rsidRPr="00D27F19">
        <w:t>32.</w:t>
      </w:r>
      <w:r w:rsidRPr="00D27F19">
        <w:tab/>
      </w:r>
      <w:r>
        <w:t>T</w:t>
      </w:r>
      <w:r w:rsidRPr="00D27F19">
        <w:t>he principle of non-refoulement requires States parties to ensure that each person’s case is examined individually, impartially and independently by competent administrative and judicial authorities, in conformity with international due process standards.</w:t>
      </w:r>
      <w:r w:rsidRPr="009662BA">
        <w:rPr>
          <w:rStyle w:val="FootnoteReference"/>
        </w:rPr>
        <w:footnoteReference w:id="75"/>
      </w:r>
      <w:r w:rsidRPr="00D27F19">
        <w:rPr>
          <w:vertAlign w:val="superscript"/>
        </w:rPr>
        <w:t xml:space="preserve"> </w:t>
      </w:r>
      <w:r w:rsidRPr="00D27F19">
        <w:t xml:space="preserve">This </w:t>
      </w:r>
      <w:r>
        <w:t xml:space="preserve">process </w:t>
      </w:r>
      <w:r w:rsidRPr="00D27F19">
        <w:t xml:space="preserve">should include an </w:t>
      </w:r>
      <w:r w:rsidRPr="008C0CDD">
        <w:t>assessment of whether there is a risk of the person being transferred on to a third country where they may be subjected to enforced disappearance (“chain refoulement”).</w:t>
      </w:r>
      <w:r w:rsidRPr="009662BA">
        <w:rPr>
          <w:rStyle w:val="FootnoteReference"/>
        </w:rPr>
        <w:footnoteReference w:id="76"/>
      </w:r>
      <w:r w:rsidRPr="008C0CDD">
        <w:t xml:space="preserve"> Lists of “</w:t>
      </w:r>
      <w:r w:rsidRPr="00D27F19">
        <w:t>safe countries” must not be used as an alternative to individual assessments of risk.</w:t>
      </w:r>
      <w:r w:rsidRPr="009662BA">
        <w:rPr>
          <w:rStyle w:val="FootnoteReference"/>
        </w:rPr>
        <w:footnoteReference w:id="77"/>
      </w:r>
      <w:r w:rsidRPr="00D27F19">
        <w:t xml:space="preserve"> Moreover, any diplomatic assurances must be evaluated with </w:t>
      </w:r>
      <w:r>
        <w:t xml:space="preserve">the </w:t>
      </w:r>
      <w:r w:rsidRPr="00D27F19">
        <w:t>utmost care.</w:t>
      </w:r>
      <w:r w:rsidRPr="009662BA">
        <w:rPr>
          <w:rStyle w:val="FootnoteReference"/>
        </w:rPr>
        <w:footnoteReference w:id="78"/>
      </w:r>
      <w:r w:rsidRPr="00D27F19">
        <w:rPr>
          <w:rStyle w:val="FootnoteReference"/>
        </w:rPr>
        <w:t xml:space="preserve"> </w:t>
      </w:r>
      <w:r w:rsidRPr="00D27F19">
        <w:t>A decision to return any individual</w:t>
      </w:r>
      <w:r>
        <w:t>s</w:t>
      </w:r>
      <w:r w:rsidRPr="00D27F19">
        <w:t xml:space="preserve"> after such an assessment must be communicated to the migrant</w:t>
      </w:r>
      <w:r>
        <w:t>s</w:t>
      </w:r>
      <w:r w:rsidRPr="00D27F19">
        <w:t xml:space="preserve"> in a language </w:t>
      </w:r>
      <w:r>
        <w:t xml:space="preserve">that </w:t>
      </w:r>
      <w:r w:rsidRPr="00D27F19">
        <w:t>they understand</w:t>
      </w:r>
      <w:r>
        <w:t>, and in writing if requested,</w:t>
      </w:r>
      <w:r w:rsidRPr="009662BA">
        <w:rPr>
          <w:rStyle w:val="FootnoteReference"/>
        </w:rPr>
        <w:footnoteReference w:id="79"/>
      </w:r>
      <w:r w:rsidRPr="00D27F19">
        <w:t xml:space="preserve"> and </w:t>
      </w:r>
      <w:r>
        <w:t xml:space="preserve">must </w:t>
      </w:r>
      <w:r w:rsidRPr="00D27F19">
        <w:t>be subject to an appeal</w:t>
      </w:r>
      <w:r>
        <w:t xml:space="preserve">, </w:t>
      </w:r>
      <w:r w:rsidRPr="00D27F19">
        <w:t>with suspensive effect</w:t>
      </w:r>
      <w:r>
        <w:t>,</w:t>
      </w:r>
      <w:r w:rsidRPr="00D27F19">
        <w:t xml:space="preserve"> before an </w:t>
      </w:r>
      <w:r>
        <w:t xml:space="preserve">independent and </w:t>
      </w:r>
      <w:r w:rsidRPr="00D27F19">
        <w:t>impartial authority.</w:t>
      </w:r>
      <w:r w:rsidRPr="009662BA">
        <w:rPr>
          <w:rStyle w:val="FootnoteReference"/>
        </w:rPr>
        <w:footnoteReference w:id="80"/>
      </w:r>
    </w:p>
    <w:p w14:paraId="174134CF" w14:textId="77777777" w:rsidR="00DB3692" w:rsidRPr="00D27F19" w:rsidRDefault="00DB3692" w:rsidP="00DB3692">
      <w:pPr>
        <w:pStyle w:val="SingleTxtG"/>
      </w:pPr>
      <w:r w:rsidRPr="00D27F19">
        <w:t>33.</w:t>
      </w:r>
      <w:r w:rsidRPr="00D27F19">
        <w:tab/>
        <w:t xml:space="preserve">To ensure respect for the principle of non-refoulement in practice, States parties should build the institutional capacity necessary to </w:t>
      </w:r>
      <w:r>
        <w:t>conduct</w:t>
      </w:r>
      <w:r w:rsidRPr="00D27F19">
        <w:t xml:space="preserve"> individual assessments, </w:t>
      </w:r>
      <w:r>
        <w:t>with</w:t>
      </w:r>
      <w:r w:rsidRPr="00D27F19">
        <w:t xml:space="preserve"> duly </w:t>
      </w:r>
      <w:r>
        <w:t>trained personnel</w:t>
      </w:r>
      <w:r w:rsidRPr="00D27F19">
        <w:t xml:space="preserve"> and adequate funding</w:t>
      </w:r>
      <w:r>
        <w:t>, and consider establishing national independent border monitoring mechanisms</w:t>
      </w:r>
      <w:r w:rsidRPr="00D27F19">
        <w:t>.</w:t>
      </w:r>
      <w:r>
        <w:rPr>
          <w:rStyle w:val="FootnoteReference"/>
        </w:rPr>
        <w:footnoteReference w:id="81"/>
      </w:r>
      <w:r w:rsidRPr="00D27F19">
        <w:t xml:space="preserve"> Furthermore, States parties should provide training to border officials and staff involved in asylum, return, surrender or extradition procedures and to law enforcement officials, in general, on the concept of enforced disappearance and on the assessment of the related risks.</w:t>
      </w:r>
      <w:r w:rsidRPr="009662BA">
        <w:rPr>
          <w:rStyle w:val="FootnoteReference"/>
        </w:rPr>
        <w:footnoteReference w:id="82"/>
      </w:r>
      <w:r w:rsidRPr="00D27F19">
        <w:t xml:space="preserve"> </w:t>
      </w:r>
    </w:p>
    <w:p w14:paraId="3B93B94C" w14:textId="77777777" w:rsidR="00DB3692" w:rsidRPr="00D27F19" w:rsidRDefault="00DB3692" w:rsidP="00DB3692">
      <w:pPr>
        <w:pStyle w:val="SingleTxtG"/>
      </w:pPr>
      <w:r w:rsidRPr="00D27F19">
        <w:t>34.</w:t>
      </w:r>
      <w:r w:rsidRPr="00D27F19">
        <w:tab/>
        <w:t xml:space="preserve">The Committee calls </w:t>
      </w:r>
      <w:r>
        <w:t>up</w:t>
      </w:r>
      <w:r w:rsidRPr="00D27F19">
        <w:t>on States parties to avoid indirect refoulement resulting from the creation of conditions that leave migrants no option but to return to a country where</w:t>
      </w:r>
      <w:r>
        <w:t xml:space="preserve"> there are substantial grounds to believe that they would be in danger of</w:t>
      </w:r>
      <w:r w:rsidRPr="00D27F19">
        <w:t xml:space="preserve"> being subjected to enforced disappearance or transferred to another country where they </w:t>
      </w:r>
      <w:r>
        <w:t xml:space="preserve">would </w:t>
      </w:r>
      <w:r w:rsidRPr="00D27F19">
        <w:t xml:space="preserve">face such </w:t>
      </w:r>
      <w:r>
        <w:t xml:space="preserve">a </w:t>
      </w:r>
      <w:r w:rsidRPr="00D27F19">
        <w:t>risk.</w:t>
      </w:r>
      <w:r w:rsidRPr="009662BA">
        <w:rPr>
          <w:rStyle w:val="FootnoteReference"/>
        </w:rPr>
        <w:footnoteReference w:id="83"/>
      </w:r>
    </w:p>
    <w:p w14:paraId="2D38791E" w14:textId="77777777" w:rsidR="00DB3692" w:rsidRPr="00D27F19" w:rsidRDefault="00DB3692" w:rsidP="00DB3692">
      <w:pPr>
        <w:pStyle w:val="SingleTxtG"/>
      </w:pPr>
      <w:r w:rsidRPr="00D27F19">
        <w:t>35.</w:t>
      </w:r>
      <w:r w:rsidRPr="00D27F19">
        <w:tab/>
        <w:t>Pushbacks, and any other form of collective expulsion that do not allow for an individual assessment, constitute a flagrant violation of article 16 of the Convention.</w:t>
      </w:r>
      <w:r>
        <w:rPr>
          <w:rStyle w:val="FootnoteReference"/>
        </w:rPr>
        <w:footnoteReference w:id="84"/>
      </w:r>
      <w:r w:rsidRPr="00D27F19">
        <w:t xml:space="preserve"> In the </w:t>
      </w:r>
      <w:r w:rsidRPr="00D27F19">
        <w:lastRenderedPageBreak/>
        <w:t>absence of an internationally agreed legal definition of the term, the Committee considers that pushbacks constitute measures taken by States, sometimes involving third countries or non-State actors, which result in migrants being summarily forced back, without an individual assessment of their human rights protection needs, to the country or territory, or to sea, whether it be territorial waters or international waters, from where they attempted to cross or crossed an international border.</w:t>
      </w:r>
      <w:r w:rsidRPr="009662BA">
        <w:rPr>
          <w:rStyle w:val="FootnoteReference"/>
        </w:rPr>
        <w:footnoteReference w:id="85"/>
      </w:r>
      <w:r w:rsidRPr="00D27F19">
        <w:t xml:space="preserve"> The Committee is of the view that</w:t>
      </w:r>
      <w:r>
        <w:t>,</w:t>
      </w:r>
      <w:r w:rsidRPr="00D27F19">
        <w:t xml:space="preserve"> when </w:t>
      </w:r>
      <w:r w:rsidRPr="008D40CD">
        <w:t>pushbacks</w:t>
      </w:r>
      <w:r w:rsidRPr="00D27F19">
        <w:t xml:space="preserve"> involve the deprivation of liberty of migrants and the concealment of their fate or whereabouts, they amount to enforced disappearance within the meaning of article 2 of the Convention, regardless of the duration of the deprivation of liberty. They </w:t>
      </w:r>
      <w:r>
        <w:t>may</w:t>
      </w:r>
      <w:r w:rsidRPr="00D27F19">
        <w:t xml:space="preserve"> also constitute a violation of articles 17 and 18</w:t>
      </w:r>
      <w:r>
        <w:t>,</w:t>
      </w:r>
      <w:r w:rsidRPr="00D27F19">
        <w:t xml:space="preserve"> </w:t>
      </w:r>
      <w:r>
        <w:t>which</w:t>
      </w:r>
      <w:r w:rsidRPr="00D27F19">
        <w:t xml:space="preserve"> prohibit secret detention and guarantee the right </w:t>
      </w:r>
      <w:r>
        <w:t xml:space="preserve">of access </w:t>
      </w:r>
      <w:r w:rsidRPr="00D27F19">
        <w:t xml:space="preserve">to information </w:t>
      </w:r>
      <w:r>
        <w:t>about</w:t>
      </w:r>
      <w:r w:rsidRPr="00D27F19">
        <w:t xml:space="preserve"> persons deprived of </w:t>
      </w:r>
      <w:r>
        <w:t xml:space="preserve">their </w:t>
      </w:r>
      <w:r w:rsidRPr="00D27F19">
        <w:t xml:space="preserve">liberty, </w:t>
      </w:r>
      <w:r>
        <w:t>and of</w:t>
      </w:r>
      <w:r w:rsidRPr="00D27F19">
        <w:t xml:space="preserve"> other articles of the Convention, depending on the circumstances. The same applies to cases where </w:t>
      </w:r>
      <w:r w:rsidRPr="008D40CD">
        <w:t>pushbacks</w:t>
      </w:r>
      <w:r w:rsidRPr="00D27F19">
        <w:t xml:space="preserve"> are carried out by non-State actors or intergovernmental organi</w:t>
      </w:r>
      <w:r>
        <w:t>z</w:t>
      </w:r>
      <w:r w:rsidRPr="00D27F19">
        <w:t xml:space="preserve">ations </w:t>
      </w:r>
      <w:r>
        <w:t>that</w:t>
      </w:r>
      <w:r w:rsidRPr="00D27F19">
        <w:t xml:space="preserve"> act with the support, authori</w:t>
      </w:r>
      <w:r>
        <w:t>z</w:t>
      </w:r>
      <w:r w:rsidRPr="00D27F19">
        <w:t xml:space="preserve">ation or acquiescence of the State party. </w:t>
      </w:r>
      <w:r>
        <w:t>In a</w:t>
      </w:r>
      <w:r w:rsidRPr="00D27F19">
        <w:t xml:space="preserve">ddition, the seizure and destruction of individuals’ personal belongings, identity documents or mobile phones after their apprehension </w:t>
      </w:r>
      <w:r>
        <w:t>may</w:t>
      </w:r>
      <w:r w:rsidRPr="00D27F19">
        <w:t xml:space="preserve"> lead to enforced disappearance</w:t>
      </w:r>
      <w:r>
        <w:t>,</w:t>
      </w:r>
      <w:r w:rsidRPr="00D27F19">
        <w:t xml:space="preserve"> </w:t>
      </w:r>
      <w:r>
        <w:t>given that</w:t>
      </w:r>
      <w:r w:rsidRPr="00D27F19">
        <w:t xml:space="preserve"> individuals </w:t>
      </w:r>
      <w:r>
        <w:t xml:space="preserve">are left </w:t>
      </w:r>
      <w:r w:rsidRPr="00D27F19">
        <w:t>without any means to communicate their whereabouts to relatives or prove their identity.</w:t>
      </w:r>
      <w:r w:rsidRPr="009662BA">
        <w:rPr>
          <w:rStyle w:val="FootnoteReference"/>
        </w:rPr>
        <w:footnoteReference w:id="86"/>
      </w:r>
      <w:r w:rsidRPr="00D27F19">
        <w:t xml:space="preserve"> </w:t>
      </w:r>
    </w:p>
    <w:p w14:paraId="6A8B4BF0" w14:textId="77777777" w:rsidR="00DB3692" w:rsidRPr="00D27F19" w:rsidRDefault="00DB3692" w:rsidP="00DB3692">
      <w:pPr>
        <w:pStyle w:val="SingleTxtG"/>
      </w:pPr>
      <w:r w:rsidRPr="00D27F19">
        <w:t>36.</w:t>
      </w:r>
      <w:r w:rsidRPr="00D27F19">
        <w:tab/>
      </w:r>
      <w:r w:rsidRPr="001C49A3">
        <w:t>By obstructing access to applicable legal frameworks and procedural safeguards</w:t>
      </w:r>
      <w:r>
        <w:t>, p</w:t>
      </w:r>
      <w:r w:rsidRPr="008E3F40">
        <w:t>ushbacks</w:t>
      </w:r>
      <w:r w:rsidRPr="00D27F19">
        <w:t xml:space="preserve"> place migrants outside the protection of the law, make them vulnerable and </w:t>
      </w:r>
      <w:r>
        <w:t>may</w:t>
      </w:r>
      <w:r w:rsidRPr="00D27F19">
        <w:t xml:space="preserve"> result in human rights violations incompatible with States’ obligations under international human rights law</w:t>
      </w:r>
      <w:r>
        <w:t>.</w:t>
      </w:r>
      <w:r>
        <w:rPr>
          <w:rStyle w:val="FootnoteReference"/>
        </w:rPr>
        <w:footnoteReference w:id="87"/>
      </w:r>
      <w:r w:rsidRPr="00D27F19">
        <w:t xml:space="preserve"> </w:t>
      </w:r>
      <w:r>
        <w:t>S</w:t>
      </w:r>
      <w:r w:rsidRPr="00D27F19">
        <w:t xml:space="preserve">uch </w:t>
      </w:r>
      <w:r>
        <w:t>obligations concern</w:t>
      </w:r>
      <w:r w:rsidRPr="00D27F19">
        <w:t xml:space="preserve"> </w:t>
      </w:r>
      <w:r>
        <w:t xml:space="preserve">not only </w:t>
      </w:r>
      <w:r w:rsidRPr="00D27F19">
        <w:t xml:space="preserve">the prohibition of </w:t>
      </w:r>
      <w:r>
        <w:t xml:space="preserve">refoulement and </w:t>
      </w:r>
      <w:r w:rsidRPr="00D27F19">
        <w:t>collective expulsion</w:t>
      </w:r>
      <w:r>
        <w:t>,</w:t>
      </w:r>
      <w:r w:rsidRPr="009662BA">
        <w:rPr>
          <w:rStyle w:val="FootnoteReference"/>
        </w:rPr>
        <w:footnoteReference w:id="88"/>
      </w:r>
      <w:r w:rsidRPr="00D27F19">
        <w:t xml:space="preserve"> but also the prohibition of torture</w:t>
      </w:r>
      <w:r>
        <w:t xml:space="preserve"> and other</w:t>
      </w:r>
      <w:r w:rsidRPr="00D27F19">
        <w:t xml:space="preserve"> cruel, inhuman or degrading treatment or punishment,</w:t>
      </w:r>
      <w:r w:rsidRPr="009662BA">
        <w:rPr>
          <w:rStyle w:val="FootnoteReference"/>
        </w:rPr>
        <w:footnoteReference w:id="89"/>
      </w:r>
      <w:r w:rsidRPr="00D27F19">
        <w:t xml:space="preserve"> the right to liberty</w:t>
      </w:r>
      <w:r w:rsidRPr="009662BA">
        <w:rPr>
          <w:rStyle w:val="FootnoteReference"/>
        </w:rPr>
        <w:footnoteReference w:id="90"/>
      </w:r>
      <w:r w:rsidRPr="00D27F19">
        <w:t xml:space="preserve"> and the right to life.</w:t>
      </w:r>
      <w:r w:rsidRPr="009662BA">
        <w:rPr>
          <w:rStyle w:val="FootnoteReference"/>
        </w:rPr>
        <w:footnoteReference w:id="91"/>
      </w:r>
      <w:r w:rsidRPr="00D27F19">
        <w:t xml:space="preserve"> </w:t>
      </w:r>
      <w:r w:rsidRPr="00C9290F">
        <w:t>Pushbacks</w:t>
      </w:r>
      <w:r w:rsidRPr="00D27F19">
        <w:t xml:space="preserve"> that do not involve </w:t>
      </w:r>
      <w:r>
        <w:t xml:space="preserve">the </w:t>
      </w:r>
      <w:r w:rsidRPr="00D27F19">
        <w:t>deprivation of liberty also raise grave concern</w:t>
      </w:r>
      <w:r>
        <w:t>s</w:t>
      </w:r>
      <w:r w:rsidRPr="00D27F19">
        <w:t xml:space="preserve"> because they effectively remove the persons subjected</w:t>
      </w:r>
      <w:r>
        <w:t xml:space="preserve"> to them</w:t>
      </w:r>
      <w:r w:rsidRPr="00D27F19">
        <w:t xml:space="preserve"> from any protection of the law and contribute to a risk of disappearance. The Committee strongly urges States parties to refrain from such practices, including chain pushbacks</w:t>
      </w:r>
      <w:r>
        <w:t>,</w:t>
      </w:r>
      <w:r w:rsidRPr="00D27F19">
        <w:t xml:space="preserve"> </w:t>
      </w:r>
      <w:r>
        <w:t>and</w:t>
      </w:r>
      <w:r w:rsidRPr="00D27F19">
        <w:t xml:space="preserve"> </w:t>
      </w:r>
      <w:r>
        <w:t xml:space="preserve">from </w:t>
      </w:r>
      <w:r w:rsidRPr="00D27F19">
        <w:t xml:space="preserve">indirect </w:t>
      </w:r>
      <w:r w:rsidRPr="00C9290F">
        <w:t>pushbacks</w:t>
      </w:r>
      <w:r w:rsidRPr="00D27F19">
        <w:t xml:space="preserve"> that result from a deliberate failure to search and rescue at sea or on land.</w:t>
      </w:r>
      <w:r w:rsidRPr="009662BA">
        <w:rPr>
          <w:rStyle w:val="FootnoteReference"/>
        </w:rPr>
        <w:footnoteReference w:id="92"/>
      </w:r>
      <w:r w:rsidRPr="00D27F19">
        <w:t xml:space="preserve"> States parties</w:t>
      </w:r>
      <w:r>
        <w:t>,</w:t>
      </w:r>
      <w:r w:rsidRPr="00D27F19">
        <w:t xml:space="preserve"> therefore</w:t>
      </w:r>
      <w:r>
        <w:t>,</w:t>
      </w:r>
      <w:r w:rsidRPr="00D27F19">
        <w:t xml:space="preserve"> must refrain from conducting pushbacks, </w:t>
      </w:r>
      <w:r>
        <w:t xml:space="preserve">must </w:t>
      </w:r>
      <w:r w:rsidRPr="00D27F19">
        <w:t xml:space="preserve">effectively investigate, prosecute and punish any allegations of such practices and </w:t>
      </w:r>
      <w:r>
        <w:t xml:space="preserve">must </w:t>
      </w:r>
      <w:r w:rsidRPr="00D27F19">
        <w:t>not deny their occurrence.</w:t>
      </w:r>
      <w:r w:rsidRPr="009662BA">
        <w:rPr>
          <w:rStyle w:val="FootnoteReference"/>
        </w:rPr>
        <w:footnoteReference w:id="93"/>
      </w:r>
    </w:p>
    <w:p w14:paraId="7CED206F" w14:textId="77777777" w:rsidR="00DB3692" w:rsidRPr="00D27F19" w:rsidRDefault="00DB3692" w:rsidP="00DB3692">
      <w:pPr>
        <w:pStyle w:val="HChG"/>
      </w:pPr>
      <w:bookmarkStart w:id="23" w:name="_Toc127804280"/>
      <w:bookmarkStart w:id="24" w:name="_Toc129893190"/>
      <w:bookmarkStart w:id="25" w:name="_Toc130394616"/>
      <w:r w:rsidRPr="00D27F19">
        <w:tab/>
        <w:t>IV.</w:t>
      </w:r>
      <w:r w:rsidRPr="00D27F19">
        <w:tab/>
      </w:r>
      <w:r>
        <w:t>O</w:t>
      </w:r>
      <w:r w:rsidRPr="00D27F19">
        <w:t>bligation</w:t>
      </w:r>
      <w:r>
        <w:t>s</w:t>
      </w:r>
      <w:r w:rsidRPr="00D27F19">
        <w:t xml:space="preserve"> to search and investigate</w:t>
      </w:r>
      <w:bookmarkEnd w:id="23"/>
      <w:bookmarkEnd w:id="24"/>
      <w:bookmarkEnd w:id="25"/>
    </w:p>
    <w:p w14:paraId="300231E5" w14:textId="77777777" w:rsidR="00DB3692" w:rsidRPr="00D27F19" w:rsidRDefault="00DB3692" w:rsidP="00DB3692">
      <w:pPr>
        <w:pStyle w:val="SingleTxtG"/>
      </w:pPr>
      <w:r w:rsidRPr="00D27F19">
        <w:t>37.</w:t>
      </w:r>
      <w:r w:rsidRPr="00D27F19">
        <w:tab/>
        <w:t>The Committee recalls that the obligations to search for disappeared persons, conduct effective investigation</w:t>
      </w:r>
      <w:r>
        <w:t>s</w:t>
      </w:r>
      <w:r w:rsidRPr="00D27F19">
        <w:t xml:space="preserve"> into </w:t>
      </w:r>
      <w:r>
        <w:t xml:space="preserve">cases of </w:t>
      </w:r>
      <w:r w:rsidRPr="00D27F19">
        <w:t xml:space="preserve">alleged disappearance, including those falling within </w:t>
      </w:r>
      <w:r w:rsidRPr="00D27F19">
        <w:lastRenderedPageBreak/>
        <w:t xml:space="preserve">article 3 of the Convention, and prosecute and punish perpetrators are fundamental to ending this heinous crime and preventing its reoccurrence. In migration contexts, </w:t>
      </w:r>
      <w:r>
        <w:t xml:space="preserve">cases of </w:t>
      </w:r>
      <w:r w:rsidRPr="00D27F19">
        <w:t>disappearance are often not reported,</w:t>
      </w:r>
      <w:r>
        <w:t xml:space="preserve"> for example,</w:t>
      </w:r>
      <w:r w:rsidRPr="00D27F19">
        <w:t xml:space="preserve"> </w:t>
      </w:r>
      <w:r>
        <w:t>owing</w:t>
      </w:r>
      <w:r w:rsidRPr="00D27F19">
        <w:t xml:space="preserve"> to obstacles faced by relatives living in another country, language, cultural or knowledge barriers </w:t>
      </w:r>
      <w:r>
        <w:t>and</w:t>
      </w:r>
      <w:r w:rsidRPr="00D27F19">
        <w:t xml:space="preserve"> fear </w:t>
      </w:r>
      <w:r>
        <w:t>among</w:t>
      </w:r>
      <w:r w:rsidRPr="00D27F19">
        <w:t xml:space="preserve"> relatives or witnesses who may themselves have an </w:t>
      </w:r>
      <w:r w:rsidRPr="003C52EC">
        <w:t>irregular migratory status</w:t>
      </w:r>
      <w:r w:rsidRPr="00D27F19">
        <w:t>.</w:t>
      </w:r>
      <w:r w:rsidRPr="009662BA">
        <w:rPr>
          <w:rStyle w:val="FootnoteReference"/>
        </w:rPr>
        <w:footnoteReference w:id="94"/>
      </w:r>
      <w:r w:rsidRPr="00D27F19">
        <w:t xml:space="preserve"> Authorities should initiate the search and </w:t>
      </w:r>
      <w:r w:rsidRPr="008619AE">
        <w:t xml:space="preserve">investigation </w:t>
      </w:r>
      <w:r w:rsidRPr="0066546F">
        <w:t>ex officio</w:t>
      </w:r>
      <w:r w:rsidRPr="00D27F19">
        <w:t xml:space="preserve"> as soon as they become aware of or have indications</w:t>
      </w:r>
      <w:r>
        <w:t>, through any means,</w:t>
      </w:r>
      <w:r w:rsidRPr="00D27F19">
        <w:t xml:space="preserve"> that a person has been subjected to disappearance.</w:t>
      </w:r>
      <w:r w:rsidRPr="009662BA">
        <w:rPr>
          <w:rStyle w:val="FootnoteReference"/>
        </w:rPr>
        <w:footnoteReference w:id="95"/>
      </w:r>
      <w:r w:rsidRPr="00D27F19">
        <w:t xml:space="preserve"> The burden of proof should not be on the victims or relatives.</w:t>
      </w:r>
      <w:r w:rsidRPr="009662BA">
        <w:rPr>
          <w:rStyle w:val="FootnoteReference"/>
        </w:rPr>
        <w:footnoteReference w:id="96"/>
      </w:r>
      <w:r>
        <w:t xml:space="preserve"> </w:t>
      </w:r>
    </w:p>
    <w:p w14:paraId="5F40E380" w14:textId="77777777" w:rsidR="00DB3692" w:rsidRPr="00D27F19" w:rsidRDefault="00DB3692" w:rsidP="00DB3692">
      <w:pPr>
        <w:pStyle w:val="SingleTxtG"/>
      </w:pPr>
      <w:r w:rsidRPr="00D27F19">
        <w:t>38.</w:t>
      </w:r>
      <w:r w:rsidRPr="00D27F19">
        <w:tab/>
      </w:r>
      <w:r>
        <w:t>All</w:t>
      </w:r>
      <w:r w:rsidRPr="00D27F19">
        <w:t xml:space="preserve"> individual</w:t>
      </w:r>
      <w:r>
        <w:t>s, irrespective of their migratory status,</w:t>
      </w:r>
      <w:r w:rsidRPr="00D27F19">
        <w:t xml:space="preserve"> must be guaranteed the right to report an enforced disappearance (art</w:t>
      </w:r>
      <w:r>
        <w:t>.</w:t>
      </w:r>
      <w:r w:rsidRPr="00D27F19">
        <w:t xml:space="preserve"> 12</w:t>
      </w:r>
      <w:r>
        <w:t xml:space="preserve"> (</w:t>
      </w:r>
      <w:r w:rsidRPr="00D27F19">
        <w:t>1</w:t>
      </w:r>
      <w:r>
        <w:t>)</w:t>
      </w:r>
      <w:r w:rsidRPr="00D27F19">
        <w:t xml:space="preserve">). For the right to report to be effective, States parties should </w:t>
      </w:r>
      <w:r>
        <w:t>endeavour</w:t>
      </w:r>
      <w:r w:rsidRPr="00D27F19">
        <w:t xml:space="preserve"> to raise awareness about existing reporting mechanisms and provide professional interpreters whenever necessary.</w:t>
      </w:r>
      <w:r w:rsidRPr="009662BA">
        <w:rPr>
          <w:rStyle w:val="FootnoteReference"/>
        </w:rPr>
        <w:footnoteReference w:id="97"/>
      </w:r>
      <w:r w:rsidRPr="00D27F19">
        <w:t xml:space="preserve"> Moreover, witnesses or relatives must be able to report disappearance without fear of </w:t>
      </w:r>
      <w:r>
        <w:t xml:space="preserve">reprisals, including </w:t>
      </w:r>
      <w:r w:rsidRPr="00D27F19">
        <w:t xml:space="preserve">deportation or deprivation of liberty. States parties should </w:t>
      </w:r>
      <w:r>
        <w:t>t</w:t>
      </w:r>
      <w:r w:rsidRPr="00D27F19">
        <w:t xml:space="preserve">herefore create </w:t>
      </w:r>
      <w:r>
        <w:t xml:space="preserve">functional and accessible </w:t>
      </w:r>
      <w:r w:rsidRPr="00D27F19">
        <w:t xml:space="preserve">mechanisms to enable the reporting of </w:t>
      </w:r>
      <w:r>
        <w:t xml:space="preserve">a </w:t>
      </w:r>
      <w:r w:rsidRPr="00D27F19">
        <w:t>disappearance from another country</w:t>
      </w:r>
      <w:r>
        <w:t>,</w:t>
      </w:r>
      <w:r w:rsidRPr="00D27F19">
        <w:t xml:space="preserve"> and promptly alert the competent authorities of the country </w:t>
      </w:r>
      <w:r>
        <w:t>in which</w:t>
      </w:r>
      <w:r w:rsidRPr="00D27F19">
        <w:t xml:space="preserve"> the alleged disappearance took place.</w:t>
      </w:r>
      <w:r w:rsidRPr="009662BA">
        <w:rPr>
          <w:rStyle w:val="FootnoteReference"/>
        </w:rPr>
        <w:footnoteReference w:id="98"/>
      </w:r>
      <w:r w:rsidRPr="00D27F19">
        <w:t xml:space="preserve"> </w:t>
      </w:r>
    </w:p>
    <w:p w14:paraId="57648003" w14:textId="77777777" w:rsidR="00DB3692" w:rsidRPr="00D27F19" w:rsidRDefault="00DB3692" w:rsidP="00DB3692">
      <w:pPr>
        <w:pStyle w:val="SingleTxtG"/>
      </w:pPr>
      <w:r w:rsidRPr="00D27F19">
        <w:t>39.</w:t>
      </w:r>
      <w:r w:rsidRPr="00D27F19">
        <w:tab/>
        <w:t xml:space="preserve">To ensure </w:t>
      </w:r>
      <w:r>
        <w:t xml:space="preserve">the </w:t>
      </w:r>
      <w:r w:rsidRPr="00D27F19">
        <w:t xml:space="preserve">effectiveness of the search, States parties should implement the </w:t>
      </w:r>
      <w:r w:rsidRPr="002D1E4E">
        <w:t xml:space="preserve">Committee’s </w:t>
      </w:r>
      <w:r w:rsidRPr="0066546F">
        <w:t>Guiding Principles</w:t>
      </w:r>
      <w:r w:rsidRPr="009F6C9A">
        <w:t xml:space="preserve"> </w:t>
      </w:r>
      <w:r w:rsidRPr="0066546F">
        <w:t>for the Search for Disappeared Persons</w:t>
      </w:r>
      <w:r w:rsidRPr="00D27F19">
        <w:rPr>
          <w:i/>
          <w:iCs/>
        </w:rPr>
        <w:t xml:space="preserve"> </w:t>
      </w:r>
      <w:r w:rsidRPr="00D27F19">
        <w:t>and other international standards.</w:t>
      </w:r>
      <w:r w:rsidRPr="009662BA">
        <w:rPr>
          <w:rStyle w:val="FootnoteReference"/>
        </w:rPr>
        <w:footnoteReference w:id="99"/>
      </w:r>
      <w:r w:rsidRPr="00D27F19">
        <w:t xml:space="preserve"> </w:t>
      </w:r>
      <w:r>
        <w:t>T</w:t>
      </w:r>
      <w:r w:rsidRPr="00D27F19">
        <w:t>he search should be conducted under the presumption that the person is alive; respect human dignity at every stage; be governed by a public policy; follow a differential approach; respect the right to participation; begin without delay; continue until the disappeared person’s fate and whereabouts have been determined with certainty; be conducted on the basis of a comprehensive strategy; take into account the particular vulnerability of migrants; be organi</w:t>
      </w:r>
      <w:r>
        <w:t>z</w:t>
      </w:r>
      <w:r w:rsidRPr="00D27F19">
        <w:t xml:space="preserve">ed efficiently; use information in an appropriate manner; be coordinated; reinforce the criminal investigation; be carried out safely; be independent and impartial; and be governed by public protocols. </w:t>
      </w:r>
      <w:r w:rsidRPr="00CD2293">
        <w:rPr>
          <w:rFonts w:cstheme="minorHAnsi"/>
          <w:szCs w:val="18"/>
        </w:rPr>
        <w:t xml:space="preserve">Investigations of cases of </w:t>
      </w:r>
      <w:r>
        <w:rPr>
          <w:rFonts w:cstheme="minorHAnsi"/>
          <w:szCs w:val="18"/>
        </w:rPr>
        <w:t xml:space="preserve">the </w:t>
      </w:r>
      <w:r w:rsidRPr="00CD2293">
        <w:rPr>
          <w:rFonts w:cstheme="minorHAnsi"/>
          <w:szCs w:val="18"/>
        </w:rPr>
        <w:t>disappearance of migrants must be transparent, thorough and impartial and must adopt a differential approach that considers the structural vulnerability of migrants and the intersectional vulnerability of particular groups of migrants, such as women, children, members of LGBTQI+ communit</w:t>
      </w:r>
      <w:r>
        <w:rPr>
          <w:rFonts w:cstheme="minorHAnsi"/>
          <w:szCs w:val="18"/>
        </w:rPr>
        <w:t>ies and</w:t>
      </w:r>
      <w:r w:rsidRPr="00CD2293">
        <w:rPr>
          <w:rFonts w:cstheme="minorHAnsi"/>
          <w:szCs w:val="18"/>
        </w:rPr>
        <w:t xml:space="preserve"> those belonging to certain ethnic or racial groups.</w:t>
      </w:r>
      <w:r w:rsidRPr="009662BA">
        <w:rPr>
          <w:rStyle w:val="FootnoteReference"/>
        </w:rPr>
        <w:footnoteReference w:id="100"/>
      </w:r>
    </w:p>
    <w:p w14:paraId="458FDD1D" w14:textId="77777777" w:rsidR="00DB3692" w:rsidRPr="00D27F19" w:rsidRDefault="00DB3692" w:rsidP="00DB3692">
      <w:pPr>
        <w:pStyle w:val="SingleTxtG"/>
      </w:pPr>
      <w:r w:rsidRPr="00D27F19">
        <w:t>40.</w:t>
      </w:r>
      <w:r w:rsidRPr="00D27F19">
        <w:tab/>
        <w:t xml:space="preserve">When investigating </w:t>
      </w:r>
      <w:r>
        <w:t xml:space="preserve">cases of the </w:t>
      </w:r>
      <w:r w:rsidRPr="00D27F19">
        <w:t xml:space="preserve">disappearance of migrants, States should have a clear and comprehensive investigation strategy that guarantees </w:t>
      </w:r>
      <w:r>
        <w:t xml:space="preserve">the </w:t>
      </w:r>
      <w:r w:rsidRPr="00D27F19">
        <w:t>exhaustiveness and impartiality of the investigation and includes contextual analysis. Once the perpetrators have been identified, they should be prosecuted and punished in accordance with the gravity of the crime</w:t>
      </w:r>
      <w:r>
        <w:t>,</w:t>
      </w:r>
      <w:r w:rsidRPr="00D27F19">
        <w:t xml:space="preserve"> and the situation of vulnerability of migrants </w:t>
      </w:r>
      <w:r>
        <w:t>should be considered</w:t>
      </w:r>
      <w:r w:rsidRPr="00D27F19">
        <w:t xml:space="preserve"> an aggravating circumstance. States parties applying a statute of limitations </w:t>
      </w:r>
      <w:r>
        <w:t>must</w:t>
      </w:r>
      <w:r w:rsidRPr="00D27F19">
        <w:t xml:space="preserve"> take into account the fact that enforced disappearance is a continuous crime and that the term of limitation for criminal proceedings commences from the moment when the offence of enforced disappearance ceases. States parties </w:t>
      </w:r>
      <w:r>
        <w:t>must</w:t>
      </w:r>
      <w:r w:rsidRPr="00D27F19">
        <w:t xml:space="preserve"> also take all </w:t>
      </w:r>
      <w:r>
        <w:t>the</w:t>
      </w:r>
      <w:r w:rsidRPr="00D27F19">
        <w:t xml:space="preserve"> measures</w:t>
      </w:r>
      <w:r>
        <w:t xml:space="preserve"> necessary</w:t>
      </w:r>
      <w:r w:rsidRPr="00D27F19">
        <w:t xml:space="preserve"> to establish their competence to exercise jurisdiction over </w:t>
      </w:r>
      <w:r>
        <w:t xml:space="preserve">the offence of </w:t>
      </w:r>
      <w:r w:rsidRPr="00D27F19">
        <w:t>enforced disappearance occurr</w:t>
      </w:r>
      <w:r>
        <w:t>ing</w:t>
      </w:r>
      <w:r w:rsidRPr="00D27F19">
        <w:t xml:space="preserve"> outside their territor</w:t>
      </w:r>
      <w:r>
        <w:t>y</w:t>
      </w:r>
      <w:r w:rsidRPr="00D27F19">
        <w:t>, as provided for in article 9 of the Convention.</w:t>
      </w:r>
    </w:p>
    <w:p w14:paraId="3B227C33" w14:textId="77777777" w:rsidR="00DB3692" w:rsidRPr="00D27F19" w:rsidRDefault="00DB3692" w:rsidP="00DB3692">
      <w:pPr>
        <w:pStyle w:val="SingleTxtG"/>
      </w:pPr>
      <w:r w:rsidRPr="00D27F19">
        <w:t>41.</w:t>
      </w:r>
      <w:r w:rsidRPr="00D27F19">
        <w:tab/>
        <w:t xml:space="preserve">To facilitate search and investigation, States parties should ensure effective inter-institutional cooperation and coordination at </w:t>
      </w:r>
      <w:r>
        <w:t xml:space="preserve">the </w:t>
      </w:r>
      <w:r w:rsidRPr="00D27F19">
        <w:t>national level and among institutions from countries of origin, transit</w:t>
      </w:r>
      <w:r>
        <w:t xml:space="preserve">, </w:t>
      </w:r>
      <w:r w:rsidRPr="00D27F19">
        <w:t>destination</w:t>
      </w:r>
      <w:r>
        <w:t xml:space="preserve"> and return</w:t>
      </w:r>
      <w:r w:rsidRPr="00D27F19">
        <w:t>.</w:t>
      </w:r>
      <w:r w:rsidRPr="009662BA">
        <w:rPr>
          <w:rStyle w:val="FootnoteReference"/>
        </w:rPr>
        <w:footnoteReference w:id="101"/>
      </w:r>
      <w:r w:rsidRPr="00D27F19">
        <w:t xml:space="preserve"> </w:t>
      </w:r>
      <w:r w:rsidRPr="00D27F19">
        <w:rPr>
          <w:color w:val="000000" w:themeColor="text1"/>
        </w:rPr>
        <w:t xml:space="preserve">Moreover, </w:t>
      </w:r>
      <w:r>
        <w:rPr>
          <w:color w:val="000000" w:themeColor="text1"/>
        </w:rPr>
        <w:t>States parties</w:t>
      </w:r>
      <w:r w:rsidRPr="00D27F19">
        <w:rPr>
          <w:color w:val="000000" w:themeColor="text1"/>
        </w:rPr>
        <w:t xml:space="preserve"> should strive to </w:t>
      </w:r>
      <w:r w:rsidRPr="00D27F19">
        <w:rPr>
          <w:color w:val="000000" w:themeColor="text1"/>
        </w:rPr>
        <w:lastRenderedPageBreak/>
        <w:t>create standardi</w:t>
      </w:r>
      <w:r>
        <w:rPr>
          <w:color w:val="000000" w:themeColor="text1"/>
        </w:rPr>
        <w:t>z</w:t>
      </w:r>
      <w:r w:rsidRPr="00D27F19">
        <w:rPr>
          <w:color w:val="000000" w:themeColor="text1"/>
        </w:rPr>
        <w:t xml:space="preserve">ed protocols for search and investigation </w:t>
      </w:r>
      <w:r>
        <w:rPr>
          <w:color w:val="000000" w:themeColor="text1"/>
        </w:rPr>
        <w:t>in cases of</w:t>
      </w:r>
      <w:r w:rsidRPr="00D27F19">
        <w:rPr>
          <w:color w:val="000000" w:themeColor="text1"/>
        </w:rPr>
        <w:t xml:space="preserve"> disappeared migrants across States</w:t>
      </w:r>
      <w:r w:rsidRPr="009662BA">
        <w:rPr>
          <w:rStyle w:val="FootnoteReference"/>
        </w:rPr>
        <w:footnoteReference w:id="102"/>
      </w:r>
      <w:r w:rsidRPr="00D27F19">
        <w:rPr>
          <w:color w:val="000000" w:themeColor="text1"/>
        </w:rPr>
        <w:t xml:space="preserve"> and enable the exchange of all relevant information, including national registers of disappeared persons and DNA databases, while respecting international standards </w:t>
      </w:r>
      <w:r>
        <w:rPr>
          <w:color w:val="000000" w:themeColor="text1"/>
        </w:rPr>
        <w:t>on</w:t>
      </w:r>
      <w:r w:rsidRPr="00D27F19">
        <w:rPr>
          <w:color w:val="000000" w:themeColor="text1"/>
        </w:rPr>
        <w:t xml:space="preserve"> data protection and privacy</w:t>
      </w:r>
      <w:r>
        <w:rPr>
          <w:color w:val="000000" w:themeColor="text1"/>
        </w:rPr>
        <w:t xml:space="preserve"> and not exposing migrants to further risk</w:t>
      </w:r>
      <w:r w:rsidRPr="00D27F19">
        <w:rPr>
          <w:color w:val="000000" w:themeColor="text1"/>
        </w:rPr>
        <w:t xml:space="preserve">. </w:t>
      </w:r>
      <w:r w:rsidRPr="00D27F19">
        <w:t>States parties must ensure that all competent institutions are adequately funded</w:t>
      </w:r>
      <w:r>
        <w:t xml:space="preserve"> and </w:t>
      </w:r>
      <w:r w:rsidRPr="00D27F19">
        <w:t>equipped and have the necessary properly</w:t>
      </w:r>
      <w:r>
        <w:t xml:space="preserve"> </w:t>
      </w:r>
      <w:r w:rsidRPr="00D27F19">
        <w:t xml:space="preserve">trained </w:t>
      </w:r>
      <w:r>
        <w:t>personnel</w:t>
      </w:r>
      <w:r w:rsidRPr="00D27F19">
        <w:t xml:space="preserve">. </w:t>
      </w:r>
    </w:p>
    <w:p w14:paraId="35038220" w14:textId="77777777" w:rsidR="00DB3692" w:rsidRPr="00D27F19" w:rsidRDefault="00DB3692" w:rsidP="00DB3692">
      <w:pPr>
        <w:pStyle w:val="SingleTxtG"/>
      </w:pPr>
      <w:r w:rsidRPr="00D27F19">
        <w:t>42.</w:t>
      </w:r>
      <w:r w:rsidRPr="00D27F19">
        <w:tab/>
        <w:t xml:space="preserve">States parties must ensure that </w:t>
      </w:r>
      <w:r>
        <w:t xml:space="preserve">the </w:t>
      </w:r>
      <w:r w:rsidRPr="00D27F19">
        <w:t>relatives of disappeared migrants, their representatives and any other person with a legitimate interest, irrespective of where they reside, are able</w:t>
      </w:r>
      <w:r>
        <w:t xml:space="preserve"> and supported</w:t>
      </w:r>
      <w:r w:rsidRPr="00D27F19">
        <w:t xml:space="preserve"> to </w:t>
      </w:r>
      <w:r>
        <w:t xml:space="preserve">gain </w:t>
      </w:r>
      <w:r w:rsidRPr="00D27F19">
        <w:t xml:space="preserve">access </w:t>
      </w:r>
      <w:r>
        <w:t xml:space="preserve">to </w:t>
      </w:r>
      <w:r w:rsidRPr="00D27F19">
        <w:t xml:space="preserve">information without delay and </w:t>
      </w:r>
      <w:r>
        <w:t xml:space="preserve">to </w:t>
      </w:r>
      <w:r w:rsidRPr="00D27F19">
        <w:t>take part in all stages of the search and investigation if they so wish.</w:t>
      </w:r>
      <w:r w:rsidRPr="009662BA">
        <w:rPr>
          <w:rStyle w:val="FootnoteReference"/>
        </w:rPr>
        <w:footnoteReference w:id="103"/>
      </w:r>
      <w:r w:rsidRPr="00D27F19">
        <w:t xml:space="preserve"> In the course of the search and investigation process, States parties should use information provided by relatives, civil society organi</w:t>
      </w:r>
      <w:r>
        <w:t>z</w:t>
      </w:r>
      <w:r w:rsidRPr="00D27F19">
        <w:t>ations, international organi</w:t>
      </w:r>
      <w:r>
        <w:t>z</w:t>
      </w:r>
      <w:r w:rsidRPr="00D27F19">
        <w:t xml:space="preserve">ations </w:t>
      </w:r>
      <w:r>
        <w:t>and</w:t>
      </w:r>
      <w:r w:rsidRPr="00D27F19">
        <w:t xml:space="preserve"> other States that </w:t>
      </w:r>
      <w:r>
        <w:t>has been</w:t>
      </w:r>
      <w:r w:rsidRPr="00D27F19">
        <w:t xml:space="preserve"> gathered through </w:t>
      </w:r>
      <w:r>
        <w:t xml:space="preserve">the </w:t>
      </w:r>
      <w:r w:rsidRPr="00D27F19">
        <w:t>innovative use of information and communication</w:t>
      </w:r>
      <w:r>
        <w:t>s</w:t>
      </w:r>
      <w:r w:rsidRPr="00D27F19">
        <w:t xml:space="preserve"> technology.</w:t>
      </w:r>
      <w:r w:rsidRPr="009662BA">
        <w:rPr>
          <w:rStyle w:val="FootnoteReference"/>
        </w:rPr>
        <w:footnoteReference w:id="104"/>
      </w:r>
      <w:r w:rsidRPr="00D27F19">
        <w:t xml:space="preserve"> </w:t>
      </w:r>
    </w:p>
    <w:p w14:paraId="62A3D80B" w14:textId="77777777" w:rsidR="00DB3692" w:rsidRPr="00D27F19" w:rsidRDefault="00DB3692" w:rsidP="00DB3692">
      <w:pPr>
        <w:pStyle w:val="SingleTxtG"/>
      </w:pPr>
      <w:r w:rsidRPr="00D27F19">
        <w:t>43.</w:t>
      </w:r>
      <w:r w:rsidRPr="00D27F19">
        <w:tab/>
        <w:t>States parties should take all appropriate measures to search for, identify and return the remains of migrants who are found dead along migrat</w:t>
      </w:r>
      <w:r>
        <w:t>ory</w:t>
      </w:r>
      <w:r w:rsidRPr="00D27F19">
        <w:t xml:space="preserve"> routes. To this end, States parties should investigate allegations </w:t>
      </w:r>
      <w:r>
        <w:t>of</w:t>
      </w:r>
      <w:r w:rsidRPr="00D27F19">
        <w:t xml:space="preserve"> </w:t>
      </w:r>
      <w:r>
        <w:t xml:space="preserve">deaths along migratory routes and </w:t>
      </w:r>
      <w:r w:rsidRPr="00D27F19">
        <w:t xml:space="preserve">the existence of clandestine mass graves and establish a register of </w:t>
      </w:r>
      <w:r>
        <w:t xml:space="preserve">remains </w:t>
      </w:r>
      <w:r w:rsidRPr="00D27F19">
        <w:t xml:space="preserve">found. Exhumations of such sites must be conducted </w:t>
      </w:r>
      <w:r>
        <w:t>in</w:t>
      </w:r>
      <w:r w:rsidRPr="00D27F19">
        <w:t xml:space="preserve"> full </w:t>
      </w:r>
      <w:r>
        <w:t>compliance</w:t>
      </w:r>
      <w:r w:rsidRPr="00D27F19">
        <w:t xml:space="preserve"> </w:t>
      </w:r>
      <w:r>
        <w:t>with</w:t>
      </w:r>
      <w:r w:rsidRPr="00D27F19">
        <w:t xml:space="preserve"> international standards.</w:t>
      </w:r>
      <w:r w:rsidRPr="009662BA">
        <w:rPr>
          <w:rStyle w:val="FootnoteReference"/>
        </w:rPr>
        <w:footnoteReference w:id="105"/>
      </w:r>
      <w:r w:rsidRPr="00D27F19">
        <w:t xml:space="preserve"> To facilitate the search</w:t>
      </w:r>
      <w:r>
        <w:t xml:space="preserve"> for</w:t>
      </w:r>
      <w:r w:rsidRPr="00D27F19">
        <w:t xml:space="preserve"> and the identification of remains, States parties should establish centrali</w:t>
      </w:r>
      <w:r>
        <w:t>z</w:t>
      </w:r>
      <w:r w:rsidRPr="00D27F19">
        <w:t xml:space="preserve">ed DNA databases that contain the necessary genetic data, as well as ante-mortem and post-mortem information, and </w:t>
      </w:r>
      <w:r>
        <w:t xml:space="preserve">should </w:t>
      </w:r>
      <w:r w:rsidRPr="00D27F19">
        <w:t xml:space="preserve">promote the establishment of agreements, mechanisms and practices with all relevant countries </w:t>
      </w:r>
      <w:r>
        <w:t xml:space="preserve">– </w:t>
      </w:r>
      <w:r w:rsidRPr="00D27F19">
        <w:t>of possible origin, transit</w:t>
      </w:r>
      <w:r>
        <w:t xml:space="preserve">, </w:t>
      </w:r>
      <w:r w:rsidRPr="00D27F19">
        <w:t>destination</w:t>
      </w:r>
      <w:r>
        <w:t xml:space="preserve"> and return –</w:t>
      </w:r>
      <w:r w:rsidRPr="00D27F19">
        <w:t xml:space="preserve"> to multiply the options for DNA data match</w:t>
      </w:r>
      <w:r>
        <w:t>es</w:t>
      </w:r>
      <w:r w:rsidRPr="00D27F19">
        <w:t xml:space="preserve"> </w:t>
      </w:r>
      <w:r>
        <w:t>concerning</w:t>
      </w:r>
      <w:r w:rsidRPr="00D27F19">
        <w:t xml:space="preserve"> unidentified human remains.</w:t>
      </w:r>
      <w:r w:rsidRPr="009662BA">
        <w:rPr>
          <w:rStyle w:val="FootnoteReference"/>
        </w:rPr>
        <w:footnoteReference w:id="106"/>
      </w:r>
      <w:r w:rsidRPr="00D27F19">
        <w:t xml:space="preserve"> </w:t>
      </w:r>
    </w:p>
    <w:p w14:paraId="42A416B5" w14:textId="77777777" w:rsidR="00DB3692" w:rsidRPr="00D27F19" w:rsidRDefault="00DB3692" w:rsidP="00DB3692">
      <w:pPr>
        <w:pStyle w:val="HChG"/>
      </w:pPr>
      <w:bookmarkStart w:id="26" w:name="_Toc127804281"/>
      <w:bookmarkStart w:id="27" w:name="_Toc129893191"/>
      <w:bookmarkStart w:id="28" w:name="_Toc130394617"/>
      <w:r w:rsidRPr="00D27F19">
        <w:tab/>
        <w:t>V.</w:t>
      </w:r>
      <w:r w:rsidRPr="00D27F19">
        <w:tab/>
        <w:t>Victims’ rights</w:t>
      </w:r>
      <w:bookmarkEnd w:id="26"/>
      <w:bookmarkEnd w:id="27"/>
      <w:bookmarkEnd w:id="28"/>
    </w:p>
    <w:p w14:paraId="2C07E922" w14:textId="77777777" w:rsidR="00DB3692" w:rsidRPr="00D27F19" w:rsidRDefault="00DB3692" w:rsidP="00DB3692">
      <w:pPr>
        <w:pStyle w:val="SingleTxtG"/>
      </w:pPr>
      <w:r w:rsidRPr="00D27F19">
        <w:t>44.</w:t>
      </w:r>
      <w:r w:rsidRPr="00D27F19">
        <w:tab/>
        <w:t>States parties have an obligation to ensure that all victims of enforced disappearance have access to their right</w:t>
      </w:r>
      <w:r>
        <w:t>s</w:t>
      </w:r>
      <w:r w:rsidRPr="00D27F19">
        <w:t xml:space="preserve"> to truth and justice, reparation and guarantees of non-repetition, including when such disappearance occur</w:t>
      </w:r>
      <w:r>
        <w:t>s</w:t>
      </w:r>
      <w:r w:rsidRPr="00D27F19">
        <w:t xml:space="preserve"> in the context of migration. Reparation should be understood in a broad sense that includes restitution, rehabilitation, satisfaction, including restoration of dignity and reputation, and guarantees of non-repetition. </w:t>
      </w:r>
      <w:r>
        <w:t>In a</w:t>
      </w:r>
      <w:r w:rsidRPr="00D27F19">
        <w:t>ddition, all victims have a right to prompt, fair and adequate compensation (art</w:t>
      </w:r>
      <w:r>
        <w:t>.</w:t>
      </w:r>
      <w:r w:rsidRPr="00D27F19">
        <w:t xml:space="preserve"> 24 </w:t>
      </w:r>
      <w:r>
        <w:t>(</w:t>
      </w:r>
      <w:r w:rsidRPr="00D27F19">
        <w:t>2</w:t>
      </w:r>
      <w:r>
        <w:t>)–(</w:t>
      </w:r>
      <w:r w:rsidRPr="00D27F19">
        <w:t>5</w:t>
      </w:r>
      <w:r>
        <w:t>)</w:t>
      </w:r>
      <w:r w:rsidRPr="00D27F19">
        <w:t>).</w:t>
      </w:r>
      <w:r w:rsidRPr="009662BA">
        <w:rPr>
          <w:rStyle w:val="FootnoteReference"/>
        </w:rPr>
        <w:footnoteReference w:id="107"/>
      </w:r>
    </w:p>
    <w:p w14:paraId="46878CDA" w14:textId="77777777" w:rsidR="00DB3692" w:rsidRPr="00D27F19" w:rsidRDefault="00DB3692" w:rsidP="00DB3692">
      <w:pPr>
        <w:pStyle w:val="SingleTxtG"/>
        <w:rPr>
          <w:rFonts w:cstheme="minorHAnsi"/>
        </w:rPr>
      </w:pPr>
      <w:r w:rsidRPr="00D27F19">
        <w:t>45.</w:t>
      </w:r>
      <w:r w:rsidRPr="00D27F19">
        <w:tab/>
      </w:r>
      <w:r>
        <w:t>In ensuring a</w:t>
      </w:r>
      <w:r w:rsidRPr="00D27F19">
        <w:t>ccess to compensation and reparation</w:t>
      </w:r>
      <w:r>
        <w:t>,</w:t>
      </w:r>
      <w:r w:rsidRPr="00D27F19">
        <w:t xml:space="preserve"> </w:t>
      </w:r>
      <w:r>
        <w:t>States parties must</w:t>
      </w:r>
      <w:r w:rsidRPr="00D27F19">
        <w:t xml:space="preserve"> be sensitive to the specific needs of victims, taking into account</w:t>
      </w:r>
      <w:r w:rsidRPr="00674D00">
        <w:t xml:space="preserve">, </w:t>
      </w:r>
      <w:r w:rsidRPr="0066546F">
        <w:t>inter alia</w:t>
      </w:r>
      <w:r w:rsidRPr="00674D00">
        <w:t>, their</w:t>
      </w:r>
      <w:r w:rsidRPr="00D27F19">
        <w:t xml:space="preserve"> sex, sexual orientation, gender identity, age, nationality, ethnic origin, social status, disability, </w:t>
      </w:r>
      <w:r w:rsidRPr="00674D00">
        <w:t xml:space="preserve">migratory status </w:t>
      </w:r>
      <w:r>
        <w:t>and</w:t>
      </w:r>
      <w:r w:rsidRPr="00D27F19">
        <w:t xml:space="preserve"> other characteristics of the person or their relatives. </w:t>
      </w:r>
      <w:r>
        <w:t>S</w:t>
      </w:r>
      <w:r w:rsidRPr="00411D78">
        <w:t xml:space="preserve">uch access must be guaranteed </w:t>
      </w:r>
      <w:r>
        <w:t>for those in</w:t>
      </w:r>
      <w:r w:rsidRPr="00411D78">
        <w:t xml:space="preserve"> any form of union comparable to marriage, </w:t>
      </w:r>
      <w:r>
        <w:t>e</w:t>
      </w:r>
      <w:r w:rsidRPr="00411D78">
        <w:t xml:space="preserve">ven when not recognized under the law of the </w:t>
      </w:r>
      <w:r>
        <w:t>State party</w:t>
      </w:r>
      <w:r w:rsidRPr="00411D78">
        <w:t xml:space="preserve"> or the country in which relatives are located</w:t>
      </w:r>
      <w:r>
        <w:t>.</w:t>
      </w:r>
    </w:p>
    <w:p w14:paraId="59335652" w14:textId="77777777" w:rsidR="00DB3692" w:rsidRPr="00D27F19" w:rsidRDefault="00DB3692" w:rsidP="00DB3692">
      <w:pPr>
        <w:pStyle w:val="SingleTxtG"/>
      </w:pPr>
      <w:r w:rsidRPr="00D27F19">
        <w:t>46.</w:t>
      </w:r>
      <w:r w:rsidRPr="00D27F19">
        <w:tab/>
        <w:t xml:space="preserve">Specific attention should be given to ensuring </w:t>
      </w:r>
      <w:r>
        <w:t xml:space="preserve">the </w:t>
      </w:r>
      <w:r w:rsidRPr="00D27F19">
        <w:t xml:space="preserve">necessary psychosocial and logistical support </w:t>
      </w:r>
      <w:r>
        <w:t>for</w:t>
      </w:r>
      <w:r w:rsidRPr="00D27F19">
        <w:t xml:space="preserve"> relatives of disappeared persons. </w:t>
      </w:r>
      <w:r>
        <w:t>Relatives</w:t>
      </w:r>
      <w:r w:rsidRPr="00D27F19">
        <w:t xml:space="preserve"> </w:t>
      </w:r>
      <w:r>
        <w:t>should</w:t>
      </w:r>
      <w:r w:rsidRPr="00D27F19">
        <w:t xml:space="preserve"> be provided with effective and quick access to humanitarian visas and temporary residence permits, </w:t>
      </w:r>
      <w:r>
        <w:t>and</w:t>
      </w:r>
      <w:r w:rsidRPr="00D27F19">
        <w:t xml:space="preserve"> other measures </w:t>
      </w:r>
      <w:r>
        <w:t xml:space="preserve">should be taken </w:t>
      </w:r>
      <w:r w:rsidRPr="00D27F19">
        <w:t xml:space="preserve">to facilitate their participation in the search and investigation and </w:t>
      </w:r>
      <w:r>
        <w:t>their access to</w:t>
      </w:r>
      <w:r w:rsidRPr="00D27F19">
        <w:t xml:space="preserve"> information about their loved ones.</w:t>
      </w:r>
      <w:r w:rsidRPr="009662BA">
        <w:rPr>
          <w:rStyle w:val="FootnoteReference"/>
        </w:rPr>
        <w:footnoteReference w:id="108"/>
      </w:r>
      <w:r w:rsidRPr="00D27F19">
        <w:t xml:space="preserve"> States parties </w:t>
      </w:r>
      <w:r>
        <w:t>should</w:t>
      </w:r>
      <w:r w:rsidRPr="00D27F19">
        <w:t xml:space="preserve"> ensure that disappeared migrants found alive and their relatives are not deported or expelled because of </w:t>
      </w:r>
      <w:r w:rsidRPr="00D27F19">
        <w:lastRenderedPageBreak/>
        <w:t xml:space="preserve">their irregular </w:t>
      </w:r>
      <w:r w:rsidRPr="00B04F47">
        <w:t>migratory</w:t>
      </w:r>
      <w:r w:rsidRPr="00D27F19">
        <w:t xml:space="preserve"> status prior to the final decision in criminal proceeding</w:t>
      </w:r>
      <w:r>
        <w:t>s</w:t>
      </w:r>
      <w:r w:rsidRPr="00D27F19">
        <w:t xml:space="preserve">, </w:t>
      </w:r>
      <w:r>
        <w:t>given that</w:t>
      </w:r>
      <w:r w:rsidRPr="00D27F19">
        <w:t xml:space="preserve"> </w:t>
      </w:r>
      <w:r>
        <w:t>such action</w:t>
      </w:r>
      <w:r w:rsidRPr="00D27F19">
        <w:t xml:space="preserve"> </w:t>
      </w:r>
      <w:r>
        <w:t>may</w:t>
      </w:r>
      <w:r w:rsidRPr="00D27F19">
        <w:t xml:space="preserve"> imped</w:t>
      </w:r>
      <w:r>
        <w:t>e</w:t>
      </w:r>
      <w:r w:rsidRPr="00D27F19">
        <w:t xml:space="preserve"> access to justice. The right</w:t>
      </w:r>
      <w:r>
        <w:t xml:space="preserve"> of relatives</w:t>
      </w:r>
      <w:r w:rsidRPr="00D27F19">
        <w:t xml:space="preserve"> to take part or be represented in the trial and in the search and investigation must be guaranteed. State authorities must maintain effective communication with </w:t>
      </w:r>
      <w:r>
        <w:t>relatives</w:t>
      </w:r>
      <w:r w:rsidRPr="00D27F19">
        <w:t>, including through the use of new technologies</w:t>
      </w:r>
      <w:r>
        <w:t xml:space="preserve"> or, where appropriate, diplomatic and consular representation</w:t>
      </w:r>
      <w:r w:rsidRPr="00D27F19">
        <w:t>.</w:t>
      </w:r>
      <w:r w:rsidRPr="009662BA">
        <w:rPr>
          <w:rStyle w:val="FootnoteReference"/>
        </w:rPr>
        <w:footnoteReference w:id="109"/>
      </w:r>
    </w:p>
    <w:p w14:paraId="21835A70" w14:textId="77777777" w:rsidR="00DB3692" w:rsidRPr="00D27F19" w:rsidRDefault="00DB3692" w:rsidP="00DB3692">
      <w:pPr>
        <w:pStyle w:val="SingleTxtG"/>
        <w:rPr>
          <w:rFonts w:cstheme="minorHAnsi"/>
        </w:rPr>
      </w:pPr>
      <w:r w:rsidRPr="00D27F19">
        <w:t>47.</w:t>
      </w:r>
      <w:r w:rsidRPr="00D27F19">
        <w:tab/>
        <w:t xml:space="preserve">States parties should remove or simplify </w:t>
      </w:r>
      <w:r>
        <w:t xml:space="preserve">the </w:t>
      </w:r>
      <w:r w:rsidRPr="00D27F19">
        <w:t>administrative procedures</w:t>
      </w:r>
      <w:r>
        <w:t xml:space="preserve"> in place</w:t>
      </w:r>
      <w:r w:rsidRPr="00D27F19">
        <w:t xml:space="preserve"> for migrant victims of enforced disappearance found alive and the relatives of forcibly disappeared persons to </w:t>
      </w:r>
      <w:r>
        <w:t xml:space="preserve">obtain </w:t>
      </w:r>
      <w:r w:rsidRPr="00D27F19">
        <w:t>access</w:t>
      </w:r>
      <w:r>
        <w:t xml:space="preserve"> to</w:t>
      </w:r>
      <w:r w:rsidRPr="00D27F19">
        <w:t xml:space="preserve"> appropriate victim support services before, during and, for an appropriate time, after proceedings. To achieve this, the creation of emergency funds aimed at covering the immediate economic expenses of relatives in the search process is fundamental, as </w:t>
      </w:r>
      <w:r>
        <w:t>is</w:t>
      </w:r>
      <w:r w:rsidRPr="00D27F19">
        <w:t xml:space="preserve"> the </w:t>
      </w:r>
      <w:r>
        <w:t>ongoing</w:t>
      </w:r>
      <w:r w:rsidRPr="00D27F19">
        <w:t xml:space="preserve"> training of civil servants </w:t>
      </w:r>
      <w:r>
        <w:t>in</w:t>
      </w:r>
      <w:r w:rsidRPr="00D27F19">
        <w:t xml:space="preserve"> public institutions</w:t>
      </w:r>
      <w:r>
        <w:t>, including consular authorities,</w:t>
      </w:r>
      <w:r w:rsidRPr="00D27F19">
        <w:t xml:space="preserve"> on issues of psychosocial approach, intersectional</w:t>
      </w:r>
      <w:r>
        <w:t>, intercultural</w:t>
      </w:r>
      <w:r w:rsidRPr="00D27F19">
        <w:t xml:space="preserve"> and gender perspectives and the context of forced migration, in order to </w:t>
      </w:r>
      <w:r>
        <w:t>ensure that</w:t>
      </w:r>
      <w:r w:rsidRPr="00D27F19">
        <w:t xml:space="preserve"> relatives</w:t>
      </w:r>
      <w:r>
        <w:t xml:space="preserve"> are treated in a dignified manner</w:t>
      </w:r>
      <w:r w:rsidRPr="00D27F19">
        <w:t xml:space="preserve"> and </w:t>
      </w:r>
      <w:r>
        <w:t xml:space="preserve">to </w:t>
      </w:r>
      <w:r w:rsidRPr="00D27F19">
        <w:t>avoid their revictimi</w:t>
      </w:r>
      <w:r>
        <w:t>z</w:t>
      </w:r>
      <w:r w:rsidRPr="00D27F19">
        <w:t>ation. Training should also include addressing the specific needs of migrants who disappeared as a result of trafficking</w:t>
      </w:r>
      <w:r w:rsidRPr="00F14177">
        <w:t xml:space="preserve"> </w:t>
      </w:r>
      <w:r>
        <w:t>in persons</w:t>
      </w:r>
      <w:r w:rsidRPr="009662BA">
        <w:rPr>
          <w:rStyle w:val="FootnoteReference"/>
        </w:rPr>
        <w:footnoteReference w:id="110"/>
      </w:r>
      <w:r w:rsidRPr="00D27F19">
        <w:t xml:space="preserve"> </w:t>
      </w:r>
      <w:r>
        <w:t>or</w:t>
      </w:r>
      <w:r w:rsidRPr="00D27F19">
        <w:t xml:space="preserve"> illegal adoption.</w:t>
      </w:r>
      <w:r w:rsidRPr="009662BA">
        <w:rPr>
          <w:rStyle w:val="FootnoteReference"/>
        </w:rPr>
        <w:footnoteReference w:id="111"/>
      </w:r>
      <w:r w:rsidRPr="00D27F19">
        <w:t xml:space="preserve"> State bodies </w:t>
      </w:r>
      <w:r w:rsidRPr="00D27F19">
        <w:rPr>
          <w:rFonts w:cstheme="minorHAnsi"/>
        </w:rPr>
        <w:t xml:space="preserve">should </w:t>
      </w:r>
      <w:r>
        <w:rPr>
          <w:rFonts w:cstheme="minorHAnsi"/>
        </w:rPr>
        <w:t xml:space="preserve">also </w:t>
      </w:r>
      <w:r w:rsidRPr="00D27F19">
        <w:rPr>
          <w:rFonts w:cstheme="minorHAnsi"/>
        </w:rPr>
        <w:t>have a speciali</w:t>
      </w:r>
      <w:r>
        <w:rPr>
          <w:rFonts w:cstheme="minorHAnsi"/>
        </w:rPr>
        <w:t>z</w:t>
      </w:r>
      <w:r w:rsidRPr="00D27F19">
        <w:rPr>
          <w:rFonts w:cstheme="minorHAnsi"/>
        </w:rPr>
        <w:t xml:space="preserve">ed system of care </w:t>
      </w:r>
      <w:r>
        <w:rPr>
          <w:rFonts w:cstheme="minorHAnsi"/>
        </w:rPr>
        <w:t>in place</w:t>
      </w:r>
      <w:r w:rsidRPr="00D27F19">
        <w:rPr>
          <w:rFonts w:cstheme="minorHAnsi"/>
        </w:rPr>
        <w:t xml:space="preserve"> to provide</w:t>
      </w:r>
      <w:r w:rsidRPr="00296546">
        <w:rPr>
          <w:rFonts w:cstheme="minorHAnsi"/>
        </w:rPr>
        <w:t xml:space="preserve"> </w:t>
      </w:r>
      <w:r w:rsidRPr="00D27F19">
        <w:rPr>
          <w:rFonts w:cstheme="minorHAnsi"/>
        </w:rPr>
        <w:t xml:space="preserve">relatives </w:t>
      </w:r>
      <w:r>
        <w:rPr>
          <w:rFonts w:cstheme="minorHAnsi"/>
        </w:rPr>
        <w:t>with</w:t>
      </w:r>
      <w:r w:rsidRPr="00D27F19">
        <w:rPr>
          <w:rFonts w:cstheme="minorHAnsi"/>
        </w:rPr>
        <w:t xml:space="preserve"> social and psychological support, legal advice and medical care in a language </w:t>
      </w:r>
      <w:r>
        <w:rPr>
          <w:rFonts w:cstheme="minorHAnsi"/>
        </w:rPr>
        <w:t xml:space="preserve">that </w:t>
      </w:r>
      <w:r w:rsidRPr="00D27F19">
        <w:rPr>
          <w:rFonts w:cstheme="minorHAnsi"/>
        </w:rPr>
        <w:t>they understand.</w:t>
      </w:r>
      <w:r w:rsidRPr="009662BA">
        <w:rPr>
          <w:rStyle w:val="FootnoteReference"/>
        </w:rPr>
        <w:footnoteReference w:id="112"/>
      </w:r>
      <w:r w:rsidRPr="00D27F19">
        <w:rPr>
          <w:rFonts w:cstheme="minorHAnsi"/>
        </w:rPr>
        <w:t xml:space="preserve"> </w:t>
      </w:r>
    </w:p>
    <w:p w14:paraId="47313B93" w14:textId="77777777" w:rsidR="00DB3692" w:rsidRPr="00D27F19" w:rsidRDefault="00DB3692" w:rsidP="00DB3692">
      <w:pPr>
        <w:pStyle w:val="SingleTxtG"/>
      </w:pPr>
      <w:r w:rsidRPr="00D27F19">
        <w:t>48.</w:t>
      </w:r>
      <w:r w:rsidRPr="00D27F19">
        <w:tab/>
        <w:t>States parties should use inter</w:t>
      </w:r>
      <w:r>
        <w:t>-S</w:t>
      </w:r>
      <w:r w:rsidRPr="00D27F19">
        <w:t>tate cooperation mechanisms to ensure continuity in the enjoyment of victims</w:t>
      </w:r>
      <w:r>
        <w:t>’</w:t>
      </w:r>
      <w:r w:rsidRPr="00D27F19">
        <w:t xml:space="preserve"> rights </w:t>
      </w:r>
      <w:r>
        <w:t>as they migrate</w:t>
      </w:r>
      <w:r w:rsidRPr="00D27F19">
        <w:t xml:space="preserve"> from one State party to another, but also after </w:t>
      </w:r>
      <w:r>
        <w:t xml:space="preserve">they </w:t>
      </w:r>
      <w:r w:rsidRPr="00D27F19">
        <w:t>arriv</w:t>
      </w:r>
      <w:r>
        <w:t>e</w:t>
      </w:r>
      <w:r w:rsidRPr="00D27F19">
        <w:t xml:space="preserve"> in the</w:t>
      </w:r>
      <w:r>
        <w:t>ir</w:t>
      </w:r>
      <w:r w:rsidRPr="00D27F19">
        <w:t xml:space="preserve"> country of destination or return to the</w:t>
      </w:r>
      <w:r>
        <w:t>ir</w:t>
      </w:r>
      <w:r w:rsidRPr="00D27F19">
        <w:t xml:space="preserve"> country of origin.</w:t>
      </w:r>
      <w:r w:rsidRPr="009662BA">
        <w:rPr>
          <w:rStyle w:val="FootnoteReference"/>
        </w:rPr>
        <w:footnoteReference w:id="113"/>
      </w:r>
      <w:r w:rsidRPr="00D27F19">
        <w:rPr>
          <w:color w:val="000000" w:themeColor="text1"/>
        </w:rPr>
        <w:t xml:space="preserve"> </w:t>
      </w:r>
      <w:r w:rsidRPr="00D27F19">
        <w:t xml:space="preserve">Cooperation instruments should not be limited to the search, but </w:t>
      </w:r>
      <w:r>
        <w:t xml:space="preserve">should </w:t>
      </w:r>
      <w:r w:rsidRPr="00D27F19">
        <w:t xml:space="preserve">include all processes derived from the investigation, including locating and releasing disappeared persons from deprivation of liberty </w:t>
      </w:r>
      <w:r>
        <w:t>and</w:t>
      </w:r>
      <w:r w:rsidRPr="00D27F19">
        <w:t xml:space="preserve"> exhuming, identifying and returning remains, ensuring </w:t>
      </w:r>
      <w:r>
        <w:t xml:space="preserve">their </w:t>
      </w:r>
      <w:r w:rsidRPr="00D27F19">
        <w:t>repatriation where necessary.</w:t>
      </w:r>
      <w:r w:rsidRPr="009662BA">
        <w:rPr>
          <w:rStyle w:val="FootnoteReference"/>
        </w:rPr>
        <w:footnoteReference w:id="114"/>
      </w:r>
      <w:r w:rsidRPr="00D27F19">
        <w:t xml:space="preserve"> </w:t>
      </w:r>
      <w:r>
        <w:t>The r</w:t>
      </w:r>
      <w:r w:rsidRPr="00D27F19">
        <w:t xml:space="preserve">epatriation of bodies </w:t>
      </w:r>
      <w:r>
        <w:t>must</w:t>
      </w:r>
      <w:r w:rsidRPr="00D27F19">
        <w:t xml:space="preserve"> be timely</w:t>
      </w:r>
      <w:r>
        <w:t xml:space="preserve"> and</w:t>
      </w:r>
      <w:r w:rsidRPr="00D27F19">
        <w:t xml:space="preserve"> without cost to relatives and </w:t>
      </w:r>
      <w:r>
        <w:t xml:space="preserve">must </w:t>
      </w:r>
      <w:r w:rsidRPr="00D27F19">
        <w:t xml:space="preserve">follow strict protocols </w:t>
      </w:r>
      <w:r>
        <w:t>with regard to</w:t>
      </w:r>
      <w:r w:rsidRPr="00D27F19">
        <w:t xml:space="preserve"> notification</w:t>
      </w:r>
      <w:r>
        <w:t xml:space="preserve"> in order</w:t>
      </w:r>
      <w:r w:rsidRPr="00D27F19">
        <w:t xml:space="preserve"> to avoid revictimization.</w:t>
      </w:r>
      <w:r>
        <w:rPr>
          <w:rStyle w:val="FootnoteReference"/>
        </w:rPr>
        <w:footnoteReference w:id="115"/>
      </w:r>
      <w:r w:rsidRPr="00D27F19">
        <w:t xml:space="preserve"> Whenever requested, consular offices or embassies should play a crucial role in facilitating communication with relatives based abroad. Efficient communication channels should be established between consular authorities in the country </w:t>
      </w:r>
      <w:r>
        <w:t>in which</w:t>
      </w:r>
      <w:r w:rsidRPr="00D27F19">
        <w:t xml:space="preserve"> the person disappeared and all </w:t>
      </w:r>
      <w:r>
        <w:t xml:space="preserve">the </w:t>
      </w:r>
      <w:r w:rsidRPr="00D27F19">
        <w:t xml:space="preserve">national authorities of that country that may </w:t>
      </w:r>
      <w:r>
        <w:t>be able to provide</w:t>
      </w:r>
      <w:r w:rsidRPr="00D27F19">
        <w:t xml:space="preserve"> information about the disappeared person, including prosecution authorities, places of deprivation of liberty, shelters, other consular missions, hospitals </w:t>
      </w:r>
      <w:r>
        <w:t>and</w:t>
      </w:r>
      <w:r w:rsidRPr="00D27F19">
        <w:t xml:space="preserve"> communities of migrants abroad.</w:t>
      </w:r>
      <w:r w:rsidRPr="009662BA">
        <w:rPr>
          <w:rStyle w:val="FootnoteReference"/>
        </w:rPr>
        <w:footnoteReference w:id="116"/>
      </w:r>
    </w:p>
    <w:p w14:paraId="46C75BC8" w14:textId="77777777" w:rsidR="00DB3692" w:rsidRPr="00D27F19" w:rsidRDefault="00DB3692" w:rsidP="00DB3692">
      <w:pPr>
        <w:pStyle w:val="SingleTxtG"/>
        <w:rPr>
          <w:rFonts w:cstheme="minorBidi"/>
        </w:rPr>
      </w:pPr>
      <w:r w:rsidRPr="00D27F19">
        <w:lastRenderedPageBreak/>
        <w:t>49.</w:t>
      </w:r>
      <w:r w:rsidRPr="00D27F19">
        <w:tab/>
        <w:t xml:space="preserve">Considering the situation of special vulnerability of relatives of disappeared persons, States parties must eliminate any harmful practices that limit or hamper their right to form and participate freely in organizations and associations focused on attempting to establish the circumstances of </w:t>
      </w:r>
      <w:r>
        <w:t xml:space="preserve">cases of </w:t>
      </w:r>
      <w:r w:rsidRPr="00D27F19">
        <w:t>enforced disappearance and the fate of disappeared persons in the context of migration, and to assist migrant victims of enforced disappearance.</w:t>
      </w:r>
      <w:r w:rsidRPr="00D27F19">
        <w:rPr>
          <w:rFonts w:cstheme="minorBidi"/>
        </w:rPr>
        <w:t xml:space="preserve"> </w:t>
      </w:r>
    </w:p>
    <w:p w14:paraId="6918D847" w14:textId="77777777" w:rsidR="00DB3692" w:rsidRPr="00D27F19" w:rsidRDefault="00DB3692" w:rsidP="00DB3692">
      <w:pPr>
        <w:pStyle w:val="HChG"/>
      </w:pPr>
      <w:bookmarkStart w:id="29" w:name="_Toc127804282"/>
      <w:bookmarkStart w:id="30" w:name="_Toc129893192"/>
      <w:bookmarkStart w:id="31" w:name="_Toc130394618"/>
      <w:r w:rsidRPr="00D27F19">
        <w:tab/>
        <w:t>VI.</w:t>
      </w:r>
      <w:r w:rsidRPr="00D27F19">
        <w:tab/>
        <w:t>Training and cooperation</w:t>
      </w:r>
      <w:bookmarkEnd w:id="29"/>
      <w:bookmarkEnd w:id="30"/>
      <w:bookmarkEnd w:id="31"/>
    </w:p>
    <w:p w14:paraId="792E06B6" w14:textId="77777777" w:rsidR="00DB3692" w:rsidRPr="00D27F19" w:rsidRDefault="00DB3692" w:rsidP="00DB3692">
      <w:pPr>
        <w:pStyle w:val="SingleTxtG"/>
        <w:rPr>
          <w:b/>
          <w:bCs/>
        </w:rPr>
      </w:pPr>
      <w:r w:rsidRPr="00D27F19">
        <w:t>50.</w:t>
      </w:r>
      <w:r w:rsidRPr="00D27F19">
        <w:tab/>
        <w:t xml:space="preserve">States parties </w:t>
      </w:r>
      <w:r>
        <w:t>should</w:t>
      </w:r>
      <w:r w:rsidRPr="00D27F19">
        <w:t xml:space="preserve"> ensure that the programmes </w:t>
      </w:r>
      <w:r>
        <w:t xml:space="preserve">that </w:t>
      </w:r>
      <w:r w:rsidRPr="00D27F19">
        <w:t xml:space="preserve">they implement in compliance with article 23 of the Convention include specific elements relating to the prevention, investigation, prosecution and punishment </w:t>
      </w:r>
      <w:r>
        <w:t>of</w:t>
      </w:r>
      <w:r w:rsidRPr="00D27F19">
        <w:t xml:space="preserve"> enforced disappearance in the context of migration. In this context, particular attention should be paid to the concepts of enforced disappearance and non-discrimination,</w:t>
      </w:r>
      <w:r w:rsidRPr="009662BA">
        <w:rPr>
          <w:rStyle w:val="FootnoteReference"/>
        </w:rPr>
        <w:footnoteReference w:id="117"/>
      </w:r>
      <w:r w:rsidRPr="00D27F19">
        <w:t xml:space="preserve"> </w:t>
      </w:r>
      <w:r>
        <w:t>to</w:t>
      </w:r>
      <w:r w:rsidRPr="00D27F19">
        <w:t xml:space="preserve"> the particular situation of vulnerability and needs of migrants and their relatives and </w:t>
      </w:r>
      <w:r>
        <w:t xml:space="preserve">to </w:t>
      </w:r>
      <w:r w:rsidRPr="00D27F19">
        <w:t xml:space="preserve">international cooperation mechanisms. Such training </w:t>
      </w:r>
      <w:r>
        <w:t>should</w:t>
      </w:r>
      <w:r w:rsidRPr="00D27F19">
        <w:t xml:space="preserve"> be provided to law enforcement and civil or military security personnel, medical </w:t>
      </w:r>
      <w:r>
        <w:t xml:space="preserve">and forensic </w:t>
      </w:r>
      <w:r w:rsidRPr="00D27F19">
        <w:t xml:space="preserve">personnel, public officials, </w:t>
      </w:r>
      <w:r>
        <w:t xml:space="preserve">including </w:t>
      </w:r>
      <w:r w:rsidRPr="00D27F19">
        <w:t xml:space="preserve">border officials and other </w:t>
      </w:r>
      <w:r>
        <w:t>officials</w:t>
      </w:r>
      <w:r w:rsidRPr="00D27F19">
        <w:t xml:space="preserve"> involved in border</w:t>
      </w:r>
      <w:r>
        <w:t>-</w:t>
      </w:r>
      <w:r w:rsidRPr="00D27F19">
        <w:t xml:space="preserve">control measures and the apprehension or deprivation of liberty of migrants, and other persons who may be involved in the custody or treatment of migrants deprived of </w:t>
      </w:r>
      <w:r>
        <w:t xml:space="preserve">their </w:t>
      </w:r>
      <w:r w:rsidRPr="00D27F19">
        <w:t>liberty.</w:t>
      </w:r>
    </w:p>
    <w:p w14:paraId="75C47C09" w14:textId="77777777" w:rsidR="00DB3692" w:rsidRPr="00D27F19" w:rsidRDefault="00DB3692" w:rsidP="00DB3692">
      <w:pPr>
        <w:pStyle w:val="SingleTxtG"/>
      </w:pPr>
      <w:r w:rsidRPr="00D27F19">
        <w:t>51.</w:t>
      </w:r>
      <w:r w:rsidRPr="00D27F19">
        <w:tab/>
      </w:r>
      <w:r>
        <w:t>Given</w:t>
      </w:r>
      <w:r w:rsidRPr="00D27F19">
        <w:t xml:space="preserve"> the often transnational nature of migration processes, cooperation and mutual legal assistance among States parties </w:t>
      </w:r>
      <w:r>
        <w:t>are</w:t>
      </w:r>
      <w:r w:rsidRPr="00D27F19">
        <w:t xml:space="preserve"> crucial </w:t>
      </w:r>
      <w:r>
        <w:t xml:space="preserve">if they are </w:t>
      </w:r>
      <w:r w:rsidRPr="00D27F19">
        <w:t>to comply</w:t>
      </w:r>
      <w:r>
        <w:t xml:space="preserve"> fully</w:t>
      </w:r>
      <w:r w:rsidRPr="00D27F19">
        <w:t xml:space="preserve"> with the</w:t>
      </w:r>
      <w:r>
        <w:t>ir</w:t>
      </w:r>
      <w:r w:rsidRPr="00D27F19">
        <w:t xml:space="preserve"> obligations under the Convention to prevent and investigate disappearance</w:t>
      </w:r>
      <w:r>
        <w:t>,</w:t>
      </w:r>
      <w:r w:rsidRPr="00D27F19">
        <w:t xml:space="preserve"> search for disappeared</w:t>
      </w:r>
      <w:r>
        <w:t xml:space="preserve"> persons</w:t>
      </w:r>
      <w:r w:rsidRPr="00D27F19">
        <w:t xml:space="preserve"> and ensure the rights of victims. To facilitate cooperation and assistance, States parties should adopt and implement bilateral and multilateral cooperation agreements, enhance existing institutional capacities or establish competent authorities and strengthen their capacities </w:t>
      </w:r>
      <w:r>
        <w:t xml:space="preserve">as </w:t>
      </w:r>
      <w:r w:rsidRPr="00D27F19">
        <w:t xml:space="preserve">necessary to ensure </w:t>
      </w:r>
      <w:r>
        <w:t xml:space="preserve">the </w:t>
      </w:r>
      <w:r w:rsidRPr="00D27F19">
        <w:t xml:space="preserve">effective coordination of search and investigation efforts, including </w:t>
      </w:r>
      <w:r>
        <w:t xml:space="preserve">the </w:t>
      </w:r>
      <w:r w:rsidRPr="00D27F19">
        <w:t xml:space="preserve">prompt and secure exchange of information and documentation that may help </w:t>
      </w:r>
      <w:r>
        <w:t>to</w:t>
      </w:r>
      <w:r w:rsidRPr="00D27F19">
        <w:t xml:space="preserve"> locat</w:t>
      </w:r>
      <w:r>
        <w:t>e</w:t>
      </w:r>
      <w:r w:rsidRPr="00D27F19">
        <w:t xml:space="preserve"> persons disappeared during migration.</w:t>
      </w:r>
      <w:r w:rsidRPr="009662BA">
        <w:rPr>
          <w:rStyle w:val="FootnoteReference"/>
        </w:rPr>
        <w:footnoteReference w:id="118"/>
      </w:r>
      <w:r w:rsidRPr="00D27F19">
        <w:t xml:space="preserve"> Such agreements should be subject to regular review and updated to reflect the requirements of </w:t>
      </w:r>
      <w:r>
        <w:t xml:space="preserve">the </w:t>
      </w:r>
      <w:r w:rsidRPr="00D27F19">
        <w:t xml:space="preserve">current circumstances. </w:t>
      </w:r>
    </w:p>
    <w:p w14:paraId="0DD7524B" w14:textId="77777777" w:rsidR="00DB3692" w:rsidRPr="00D27F19" w:rsidRDefault="00DB3692" w:rsidP="00DB3692">
      <w:pPr>
        <w:pStyle w:val="SingleTxtG"/>
      </w:pPr>
      <w:r w:rsidRPr="00D27F19">
        <w:t>52.</w:t>
      </w:r>
      <w:r w:rsidRPr="00D27F19">
        <w:tab/>
        <w:t xml:space="preserve">The Committee calls </w:t>
      </w:r>
      <w:r>
        <w:t>up</w:t>
      </w:r>
      <w:r w:rsidRPr="00D27F19">
        <w:t>on States of origin, transit</w:t>
      </w:r>
      <w:r>
        <w:t>,</w:t>
      </w:r>
      <w:r w:rsidRPr="00D27F19">
        <w:t xml:space="preserve"> destination </w:t>
      </w:r>
      <w:r>
        <w:t xml:space="preserve">and return </w:t>
      </w:r>
      <w:r w:rsidRPr="00D27F19">
        <w:t xml:space="preserve">to establish transnational and regional or subregional mechanisms for the search </w:t>
      </w:r>
      <w:r>
        <w:t>for</w:t>
      </w:r>
      <w:r w:rsidRPr="00D27F19">
        <w:t xml:space="preserve"> disappeared migrants to further facilitate the exchange of information and to guarantee access to justice </w:t>
      </w:r>
      <w:r>
        <w:t>for</w:t>
      </w:r>
      <w:r w:rsidRPr="00D27F19">
        <w:t xml:space="preserve"> the victims and their relatives. To facilitate </w:t>
      </w:r>
      <w:r>
        <w:t xml:space="preserve">the </w:t>
      </w:r>
      <w:r w:rsidRPr="00D27F19">
        <w:t>cross-border exchange of information, the Committee recommends the establishment of notification mechanisms and national contact points in charge of sharing information and communicating with counterparts and relatives.</w:t>
      </w:r>
      <w:r w:rsidRPr="009662BA">
        <w:rPr>
          <w:rStyle w:val="FootnoteReference"/>
        </w:rPr>
        <w:footnoteReference w:id="119"/>
      </w:r>
      <w:r w:rsidRPr="00D27F19">
        <w:t xml:space="preserve"> </w:t>
      </w:r>
      <w:r>
        <w:t>In</w:t>
      </w:r>
      <w:r w:rsidRPr="00D27F19">
        <w:t xml:space="preserve"> creat</w:t>
      </w:r>
      <w:r>
        <w:t>ing</w:t>
      </w:r>
      <w:r w:rsidRPr="00D27F19">
        <w:t xml:space="preserve"> </w:t>
      </w:r>
      <w:r>
        <w:t xml:space="preserve">such information-exchange </w:t>
      </w:r>
      <w:r w:rsidRPr="00D27F19">
        <w:t>mechanisms, States parties should take into account existing mechanisms, protocols and guidelines.</w:t>
      </w:r>
      <w:r w:rsidRPr="009662BA">
        <w:rPr>
          <w:rStyle w:val="FootnoteReference"/>
        </w:rPr>
        <w:footnoteReference w:id="120"/>
      </w:r>
      <w:r w:rsidRPr="00D27F19">
        <w:t xml:space="preserve"> </w:t>
      </w:r>
    </w:p>
    <w:p w14:paraId="187CC5D0" w14:textId="77777777" w:rsidR="00DB3692" w:rsidRPr="00D27F19" w:rsidRDefault="00DB3692" w:rsidP="00DB3692">
      <w:pPr>
        <w:pStyle w:val="SingleTxtG"/>
        <w:rPr>
          <w:b/>
          <w:bCs/>
        </w:rPr>
      </w:pPr>
      <w:r w:rsidRPr="00D27F19">
        <w:t>53.</w:t>
      </w:r>
      <w:r w:rsidRPr="00D27F19">
        <w:tab/>
        <w:t>Given the often transnational nature of migration and the focus of articles 15, 24 and 25 (2</w:t>
      </w:r>
      <w:r>
        <w:t>) and (</w:t>
      </w:r>
      <w:r w:rsidRPr="00D27F19">
        <w:t xml:space="preserve">3) of the Convention on assisting victims, States parties should take all </w:t>
      </w:r>
      <w:r>
        <w:t>the</w:t>
      </w:r>
      <w:r w:rsidRPr="00D27F19">
        <w:t xml:space="preserve"> </w:t>
      </w:r>
      <w:r w:rsidRPr="00D27F19">
        <w:lastRenderedPageBreak/>
        <w:t>measures</w:t>
      </w:r>
      <w:r>
        <w:t xml:space="preserve"> </w:t>
      </w:r>
      <w:r w:rsidRPr="00D27F19">
        <w:t xml:space="preserve">necessary to ensure mutual assistance </w:t>
      </w:r>
      <w:r>
        <w:t>among</w:t>
      </w:r>
      <w:r w:rsidRPr="00D27F19">
        <w:t xml:space="preserve"> all States, </w:t>
      </w:r>
      <w:r>
        <w:t>in particular</w:t>
      </w:r>
      <w:r w:rsidRPr="00D27F19">
        <w:t xml:space="preserve"> in the context of searching</w:t>
      </w:r>
      <w:r>
        <w:t xml:space="preserve"> for</w:t>
      </w:r>
      <w:r w:rsidRPr="00D27F19">
        <w:t xml:space="preserve"> and gathering information contained in </w:t>
      </w:r>
      <w:r>
        <w:t xml:space="preserve">the </w:t>
      </w:r>
      <w:r w:rsidRPr="00D27F19">
        <w:t>registers and databases of other States, notwithstanding the</w:t>
      </w:r>
      <w:r>
        <w:t>ir</w:t>
      </w:r>
      <w:r w:rsidRPr="00D27F19">
        <w:t xml:space="preserve"> ratification status.</w:t>
      </w:r>
      <w:r w:rsidRPr="009662BA">
        <w:rPr>
          <w:rStyle w:val="FootnoteReference"/>
        </w:rPr>
        <w:footnoteReference w:id="121"/>
      </w:r>
      <w:r w:rsidRPr="00D27F19">
        <w:t xml:space="preserve"> In addition, States parties should seek and provide assistance in the collection of data relevant to the disappearance of migrants and </w:t>
      </w:r>
      <w:r>
        <w:t xml:space="preserve">to the </w:t>
      </w:r>
      <w:r w:rsidRPr="00D27F19">
        <w:t>efforts to protect the human rights</w:t>
      </w:r>
      <w:r>
        <w:t xml:space="preserve"> of migrants</w:t>
      </w:r>
      <w:r w:rsidRPr="00D27F19">
        <w:t xml:space="preserve"> by</w:t>
      </w:r>
      <w:r>
        <w:t xml:space="preserve"> the</w:t>
      </w:r>
      <w:r w:rsidRPr="00D27F19">
        <w:t xml:space="preserve"> United Nations</w:t>
      </w:r>
      <w:r>
        <w:t>,</w:t>
      </w:r>
      <w:r w:rsidRPr="00D27F19">
        <w:t xml:space="preserve"> regional mechanisms </w:t>
      </w:r>
      <w:r>
        <w:t>and</w:t>
      </w:r>
      <w:r w:rsidRPr="00D27F19">
        <w:t xml:space="preserve"> international organi</w:t>
      </w:r>
      <w:r>
        <w:t>z</w:t>
      </w:r>
      <w:r w:rsidRPr="00D27F19">
        <w:t xml:space="preserve">ations with special expertise in this area. </w:t>
      </w:r>
    </w:p>
    <w:p w14:paraId="05BD89BE" w14:textId="77777777" w:rsidR="00DB3692" w:rsidRPr="00D27F19" w:rsidRDefault="00DB3692" w:rsidP="00DB3692">
      <w:pPr>
        <w:pStyle w:val="SingleTxtG"/>
      </w:pPr>
      <w:r w:rsidRPr="00D27F19">
        <w:t>54.</w:t>
      </w:r>
      <w:r w:rsidRPr="00D27F19">
        <w:tab/>
        <w:t>In some regions, speciali</w:t>
      </w:r>
      <w:r>
        <w:t>z</w:t>
      </w:r>
      <w:r w:rsidRPr="00D27F19">
        <w:t>ed mechanisms have been created to facilitate transnational communication between victims</w:t>
      </w:r>
      <w:r>
        <w:t xml:space="preserve"> or </w:t>
      </w:r>
      <w:r w:rsidRPr="00D27F19">
        <w:t xml:space="preserve">relatives and </w:t>
      </w:r>
      <w:r>
        <w:t xml:space="preserve">the </w:t>
      </w:r>
      <w:r w:rsidRPr="00D27F19">
        <w:t xml:space="preserve">authorities of the State where the disappearance </w:t>
      </w:r>
      <w:r>
        <w:t>is thought to have occurred</w:t>
      </w:r>
      <w:r w:rsidRPr="00D27F19">
        <w:t>.</w:t>
      </w:r>
      <w:r w:rsidRPr="009662BA">
        <w:rPr>
          <w:rStyle w:val="FootnoteReference"/>
        </w:rPr>
        <w:footnoteReference w:id="122"/>
      </w:r>
      <w:r w:rsidRPr="00D27F19">
        <w:t xml:space="preserve"> The Committee encourages States parties to share good practices and lessons learned</w:t>
      </w:r>
      <w:r>
        <w:t xml:space="preserve">, </w:t>
      </w:r>
      <w:r w:rsidRPr="00D27F19">
        <w:t>with each other and with non-signatory States</w:t>
      </w:r>
      <w:r>
        <w:t>,</w:t>
      </w:r>
      <w:r w:rsidRPr="00D27F19">
        <w:t xml:space="preserve"> in relation to prevention, search and investigation </w:t>
      </w:r>
      <w:r>
        <w:t>concerning the</w:t>
      </w:r>
      <w:r w:rsidRPr="00D27F19">
        <w:t xml:space="preserve"> disappearance of migrants </w:t>
      </w:r>
      <w:r>
        <w:t>and</w:t>
      </w:r>
      <w:r w:rsidRPr="00D27F19">
        <w:t xml:space="preserve"> </w:t>
      </w:r>
      <w:r>
        <w:t xml:space="preserve">to </w:t>
      </w:r>
      <w:r w:rsidRPr="00D27F19">
        <w:t>accountability of perpetrators.</w:t>
      </w:r>
    </w:p>
    <w:p w14:paraId="5359F4F2" w14:textId="77777777" w:rsidR="00DB3692" w:rsidRPr="00D27F19" w:rsidRDefault="00DB3692" w:rsidP="00DB3692">
      <w:pPr>
        <w:pStyle w:val="SingleTxtG"/>
      </w:pPr>
      <w:r w:rsidRPr="00D27F19">
        <w:t>55.</w:t>
      </w:r>
      <w:r w:rsidRPr="00D27F19">
        <w:tab/>
        <w:t xml:space="preserve">The present </w:t>
      </w:r>
      <w:r>
        <w:t>g</w:t>
      </w:r>
      <w:r w:rsidRPr="00D27F19">
        <w:t xml:space="preserve">eneral </w:t>
      </w:r>
      <w:r>
        <w:t>c</w:t>
      </w:r>
      <w:r w:rsidRPr="00D27F19">
        <w:t xml:space="preserve">omment should be translated into </w:t>
      </w:r>
      <w:r>
        <w:t>all national</w:t>
      </w:r>
      <w:r w:rsidRPr="00D27F19">
        <w:t xml:space="preserve"> languages and disseminated widely to international, regional and national stakeholders, </w:t>
      </w:r>
      <w:r>
        <w:t>in particular</w:t>
      </w:r>
      <w:r w:rsidRPr="00D27F19">
        <w:t xml:space="preserve"> all branches of government, security forces, migration and border authorities and personnel, medical personnel and social</w:t>
      </w:r>
      <w:r>
        <w:t>-</w:t>
      </w:r>
      <w:r w:rsidRPr="00D27F19">
        <w:t xml:space="preserve">care professionals, </w:t>
      </w:r>
      <w:r>
        <w:t xml:space="preserve">and to </w:t>
      </w:r>
      <w:r w:rsidRPr="00D27F19">
        <w:t>organi</w:t>
      </w:r>
      <w:r>
        <w:t>z</w:t>
      </w:r>
      <w:r w:rsidRPr="00D27F19">
        <w:t>ations of relatives of disappeared migrants</w:t>
      </w:r>
      <w:r>
        <w:t>,</w:t>
      </w:r>
      <w:r w:rsidRPr="00D27F19">
        <w:t xml:space="preserve"> other civil society actors, academia and the media. </w:t>
      </w:r>
    </w:p>
    <w:p w14:paraId="3D16C739" w14:textId="77777777" w:rsidR="00DB3692" w:rsidRPr="00D27F19" w:rsidRDefault="00DB3692" w:rsidP="00DB3692">
      <w:pPr>
        <w:pStyle w:val="HChG"/>
      </w:pPr>
      <w:bookmarkStart w:id="32" w:name="_Toc129893193"/>
      <w:bookmarkStart w:id="33" w:name="_Toc130394619"/>
      <w:r w:rsidRPr="00D27F19">
        <w:tab/>
        <w:t>VII.</w:t>
      </w:r>
      <w:r w:rsidRPr="00D27F19">
        <w:tab/>
        <w:t>Ratification</w:t>
      </w:r>
      <w:bookmarkEnd w:id="32"/>
      <w:bookmarkEnd w:id="33"/>
    </w:p>
    <w:p w14:paraId="2DE5B159" w14:textId="77777777" w:rsidR="00DB3692" w:rsidRPr="00D27F19" w:rsidRDefault="00DB3692" w:rsidP="00DB3692">
      <w:pPr>
        <w:pStyle w:val="SingleTxtG"/>
      </w:pPr>
      <w:r w:rsidRPr="00D27F19">
        <w:t>56.</w:t>
      </w:r>
      <w:r w:rsidRPr="00D27F19">
        <w:tab/>
      </w:r>
      <w:r>
        <w:t>T</w:t>
      </w:r>
      <w:r w:rsidRPr="00D27F19">
        <w:t xml:space="preserve">he Committee encourages </w:t>
      </w:r>
      <w:r>
        <w:t xml:space="preserve">all </w:t>
      </w:r>
      <w:r w:rsidRPr="00D27F19">
        <w:t xml:space="preserve">States </w:t>
      </w:r>
      <w:r>
        <w:t>that</w:t>
      </w:r>
      <w:r w:rsidRPr="00D27F19">
        <w:t xml:space="preserve"> have not yet done so to ratify the Convention and to </w:t>
      </w:r>
      <w:r>
        <w:t>recognize</w:t>
      </w:r>
      <w:r w:rsidRPr="00D27F19">
        <w:t xml:space="preserve"> the competence of the Committee under articles 31 and 32.</w:t>
      </w:r>
    </w:p>
    <w:p w14:paraId="5FD15C6D" w14:textId="77777777" w:rsidR="00DB3692" w:rsidRPr="00A260F4" w:rsidRDefault="00DB3692" w:rsidP="00B124B1">
      <w:pPr>
        <w:spacing w:before="240"/>
        <w:jc w:val="center"/>
        <w:rPr>
          <w:u w:val="single"/>
        </w:rPr>
      </w:pPr>
      <w:r w:rsidRPr="00A260F4">
        <w:rPr>
          <w:u w:val="single"/>
        </w:rPr>
        <w:tab/>
      </w:r>
      <w:r w:rsidRPr="00A260F4">
        <w:rPr>
          <w:u w:val="single"/>
        </w:rPr>
        <w:tab/>
      </w:r>
      <w:r w:rsidRPr="00A260F4">
        <w:rPr>
          <w:u w:val="single"/>
        </w:rPr>
        <w:tab/>
      </w:r>
    </w:p>
    <w:sectPr w:rsidR="00DB3692" w:rsidRPr="00A260F4"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9EAB" w14:textId="77777777" w:rsidR="004172AD" w:rsidRPr="00557A78" w:rsidRDefault="004172AD" w:rsidP="00557A78">
      <w:pPr>
        <w:pStyle w:val="Footer"/>
      </w:pPr>
    </w:p>
  </w:endnote>
  <w:endnote w:type="continuationSeparator" w:id="0">
    <w:p w14:paraId="10D4E2AB" w14:textId="77777777" w:rsidR="004172AD" w:rsidRPr="00557A78" w:rsidRDefault="004172AD"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7B80" w14:textId="77777777" w:rsidR="00DB3692" w:rsidRDefault="00DB3692" w:rsidP="00DB3692">
    <w:pPr>
      <w:pStyle w:val="Footer"/>
      <w:tabs>
        <w:tab w:val="right" w:pos="9638"/>
      </w:tabs>
    </w:pPr>
    <w:r w:rsidRPr="00DB3692">
      <w:rPr>
        <w:b/>
        <w:bCs/>
        <w:sz w:val="18"/>
      </w:rPr>
      <w:fldChar w:fldCharType="begin"/>
    </w:r>
    <w:r w:rsidRPr="00DB3692">
      <w:rPr>
        <w:b/>
        <w:bCs/>
        <w:sz w:val="18"/>
      </w:rPr>
      <w:instrText xml:space="preserve"> PAGE  \* MERGEFORMAT </w:instrText>
    </w:r>
    <w:r w:rsidRPr="00DB3692">
      <w:rPr>
        <w:b/>
        <w:bCs/>
        <w:sz w:val="18"/>
      </w:rPr>
      <w:fldChar w:fldCharType="separate"/>
    </w:r>
    <w:r w:rsidRPr="00DB3692">
      <w:rPr>
        <w:b/>
        <w:bCs/>
        <w:noProof/>
        <w:sz w:val="18"/>
      </w:rPr>
      <w:t>2</w:t>
    </w:r>
    <w:r w:rsidRPr="00DB3692">
      <w:rPr>
        <w:b/>
        <w:bCs/>
        <w:sz w:val="18"/>
      </w:rPr>
      <w:fldChar w:fldCharType="end"/>
    </w:r>
    <w:r>
      <w:tab/>
      <w:t>GE.23-19531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6D0A" w14:textId="77777777" w:rsidR="00DB3692" w:rsidRDefault="00DB3692" w:rsidP="00DB3692">
    <w:pPr>
      <w:pStyle w:val="Footer"/>
      <w:tabs>
        <w:tab w:val="right" w:pos="9638"/>
      </w:tabs>
    </w:pPr>
    <w:r>
      <w:t>GE.23-19531</w:t>
    </w:r>
    <w:r>
      <w:tab/>
    </w:r>
    <w:r w:rsidRPr="00DB3692">
      <w:rPr>
        <w:b/>
        <w:bCs/>
        <w:sz w:val="18"/>
      </w:rPr>
      <w:fldChar w:fldCharType="begin"/>
    </w:r>
    <w:r w:rsidRPr="00DB3692">
      <w:rPr>
        <w:b/>
        <w:bCs/>
        <w:sz w:val="18"/>
      </w:rPr>
      <w:instrText xml:space="preserve"> PAGE  \* MERGEFORMAT </w:instrText>
    </w:r>
    <w:r w:rsidRPr="00DB3692">
      <w:rPr>
        <w:b/>
        <w:bCs/>
        <w:sz w:val="18"/>
      </w:rPr>
      <w:fldChar w:fldCharType="separate"/>
    </w:r>
    <w:r w:rsidRPr="00DB3692">
      <w:rPr>
        <w:b/>
        <w:bCs/>
        <w:noProof/>
        <w:sz w:val="18"/>
      </w:rPr>
      <w:t>3</w:t>
    </w:r>
    <w:r w:rsidRPr="00DB36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A49C" w14:textId="77777777" w:rsidR="00DB3692" w:rsidRDefault="00DB3692">
    <w:pPr>
      <w:pStyle w:val="Footer"/>
      <w:rPr>
        <w:sz w:val="20"/>
      </w:rPr>
    </w:pPr>
    <w:r w:rsidRPr="0027112F">
      <w:rPr>
        <w:noProof/>
        <w:lang w:val="en-US"/>
      </w:rPr>
      <w:drawing>
        <wp:anchor distT="0" distB="0" distL="114300" distR="114300" simplePos="0" relativeHeight="251659264" behindDoc="0" locked="1" layoutInCell="1" allowOverlap="1" wp14:anchorId="1A542E27" wp14:editId="2A7B5D9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E1ECC9" w14:textId="088F3349" w:rsidR="00DB3692" w:rsidRPr="00DB3692" w:rsidRDefault="00DB3692" w:rsidP="00DB3692">
    <w:pPr>
      <w:pStyle w:val="Footer"/>
      <w:tabs>
        <w:tab w:val="right" w:pos="7370"/>
      </w:tabs>
      <w:rPr>
        <w:sz w:val="20"/>
      </w:rPr>
    </w:pPr>
    <w:r>
      <w:rPr>
        <w:sz w:val="20"/>
      </w:rPr>
      <w:t>GE.23-19531  (E)</w:t>
    </w:r>
    <w:r>
      <w:rPr>
        <w:noProof/>
        <w:sz w:val="20"/>
      </w:rPr>
      <w:drawing>
        <wp:anchor distT="0" distB="0" distL="114300" distR="114300" simplePos="0" relativeHeight="251660288" behindDoc="0" locked="0" layoutInCell="1" allowOverlap="1" wp14:anchorId="59C25860" wp14:editId="0FC531A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840">
      <w:rPr>
        <w:sz w:val="20"/>
      </w:rPr>
      <w:t xml:space="preserve">    251023    </w:t>
    </w:r>
    <w:r w:rsidR="00EE6507">
      <w:rPr>
        <w:sz w:val="20"/>
      </w:rPr>
      <w:t>26</w:t>
    </w:r>
    <w:r w:rsidR="00D36840">
      <w:rPr>
        <w:sz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09AE" w14:textId="77777777" w:rsidR="004172AD" w:rsidRPr="00557A78" w:rsidRDefault="004172AD" w:rsidP="00557A78">
      <w:pPr>
        <w:tabs>
          <w:tab w:val="right" w:pos="2155"/>
        </w:tabs>
        <w:spacing w:after="80" w:line="240" w:lineRule="auto"/>
        <w:ind w:left="680"/>
      </w:pPr>
      <w:r>
        <w:rPr>
          <w:u w:val="single"/>
        </w:rPr>
        <w:tab/>
      </w:r>
    </w:p>
  </w:footnote>
  <w:footnote w:type="continuationSeparator" w:id="0">
    <w:p w14:paraId="0C926DE1" w14:textId="77777777" w:rsidR="004172AD" w:rsidRPr="00557A78" w:rsidRDefault="004172AD" w:rsidP="00557A78">
      <w:pPr>
        <w:tabs>
          <w:tab w:val="right" w:pos="2155"/>
        </w:tabs>
        <w:spacing w:after="80" w:line="240" w:lineRule="auto"/>
        <w:ind w:left="680"/>
      </w:pPr>
      <w:r>
        <w:rPr>
          <w:u w:val="single"/>
        </w:rPr>
        <w:tab/>
      </w:r>
    </w:p>
  </w:footnote>
  <w:footnote w:id="1">
    <w:p w14:paraId="7DD3AB2B" w14:textId="77777777" w:rsidR="00DB3692" w:rsidRPr="005A756C" w:rsidRDefault="00DB3692" w:rsidP="00CB0813">
      <w:pPr>
        <w:pStyle w:val="FootnoteText"/>
      </w:pPr>
      <w:r>
        <w:rPr>
          <w:rStyle w:val="FootnoteReference"/>
        </w:rPr>
        <w:tab/>
      </w:r>
      <w:r w:rsidRPr="00A260F4">
        <w:rPr>
          <w:rStyle w:val="FootnoteReference"/>
          <w:sz w:val="20"/>
          <w:vertAlign w:val="baseline"/>
        </w:rPr>
        <w:t>*</w:t>
      </w:r>
      <w:r>
        <w:rPr>
          <w:rStyle w:val="FootnoteReference"/>
          <w:sz w:val="20"/>
          <w:vertAlign w:val="baseline"/>
        </w:rPr>
        <w:tab/>
      </w:r>
      <w:r>
        <w:t>Adopted by the Committee at its twenty-fifth session (11–29 September 2023).</w:t>
      </w:r>
    </w:p>
  </w:footnote>
  <w:footnote w:id="2">
    <w:p w14:paraId="3C5A8E34" w14:textId="324FA789" w:rsidR="00DB3692" w:rsidRPr="007354CB" w:rsidRDefault="00D36840" w:rsidP="00CB0813">
      <w:pPr>
        <w:pStyle w:val="FootnoteText"/>
      </w:pPr>
      <w:r>
        <w:tab/>
      </w:r>
      <w:r w:rsidR="00DB3692" w:rsidRPr="009662BA">
        <w:rPr>
          <w:rStyle w:val="FootnoteReference"/>
        </w:rPr>
        <w:footnoteRef/>
      </w:r>
      <w:r w:rsidR="00DB3692" w:rsidRPr="007354CB">
        <w:tab/>
      </w:r>
      <w:r w:rsidR="00DB3692" w:rsidRPr="00FE346A">
        <w:t>International Organization for Migration (IOM)</w:t>
      </w:r>
      <w:r w:rsidR="00DB3692" w:rsidRPr="007354CB">
        <w:t>, “</w:t>
      </w:r>
      <w:r w:rsidR="00DB3692">
        <w:t>IOM definition of</w:t>
      </w:r>
      <w:r w:rsidR="00DB3692" w:rsidRPr="007354CB">
        <w:t xml:space="preserve"> </w:t>
      </w:r>
      <w:r w:rsidR="00DB3692">
        <w:t>‘m</w:t>
      </w:r>
      <w:r w:rsidR="00DB3692" w:rsidRPr="007354CB">
        <w:t>igrant</w:t>
      </w:r>
      <w:r w:rsidR="00DB3692">
        <w:t>’”.</w:t>
      </w:r>
    </w:p>
  </w:footnote>
  <w:footnote w:id="3">
    <w:p w14:paraId="790E24D9" w14:textId="35E877FB" w:rsidR="00DB3692" w:rsidRPr="007354CB" w:rsidRDefault="00DB3692" w:rsidP="00CB0813">
      <w:pPr>
        <w:pStyle w:val="FootnoteText"/>
      </w:pPr>
      <w:r w:rsidRPr="007354CB">
        <w:tab/>
      </w:r>
      <w:r w:rsidRPr="009662BA">
        <w:rPr>
          <w:rStyle w:val="FootnoteReference"/>
        </w:rPr>
        <w:footnoteRef/>
      </w:r>
      <w:r w:rsidRPr="007354CB">
        <w:tab/>
      </w:r>
      <w:hyperlink r:id="rId1" w:history="1">
        <w:r w:rsidRPr="00DB3692">
          <w:rPr>
            <w:rStyle w:val="Hyperlink"/>
          </w:rPr>
          <w:t>A/76/642</w:t>
        </w:r>
      </w:hyperlink>
      <w:r w:rsidRPr="007354CB">
        <w:t>, para</w:t>
      </w:r>
      <w:r>
        <w:t>.</w:t>
      </w:r>
      <w:r w:rsidRPr="007354CB">
        <w:t xml:space="preserve"> 11</w:t>
      </w:r>
      <w:r>
        <w:t xml:space="preserve">. See also IOM, Global Migration Data Analysis Centre, “International migrant stocks”, Migration Data Portal. </w:t>
      </w:r>
      <w:r w:rsidRPr="00A260F4">
        <w:t>Available at https://www.migrationdataportal.org/themes/</w:t>
      </w:r>
      <w:r w:rsidRPr="00CB0813">
        <w:t>international</w:t>
      </w:r>
      <w:r w:rsidRPr="00A260F4">
        <w:t>-migrant-stocks</w:t>
      </w:r>
      <w:r>
        <w:t>.</w:t>
      </w:r>
    </w:p>
  </w:footnote>
  <w:footnote w:id="4">
    <w:p w14:paraId="2EA88F5F" w14:textId="1C5CF39C" w:rsidR="00DB3692" w:rsidRPr="007354CB" w:rsidRDefault="00DB3692" w:rsidP="00CB0813">
      <w:pPr>
        <w:pStyle w:val="FootnoteText"/>
      </w:pPr>
      <w:r w:rsidRPr="007354CB">
        <w:tab/>
      </w:r>
      <w:r w:rsidRPr="009662BA">
        <w:rPr>
          <w:rStyle w:val="FootnoteReference"/>
        </w:rPr>
        <w:footnoteRef/>
      </w:r>
      <w:r w:rsidRPr="007354CB">
        <w:tab/>
      </w:r>
      <w:r w:rsidRPr="0066546F">
        <w:t>Global Compact for Safe, Orderly and Regular Migration</w:t>
      </w:r>
      <w:r w:rsidRPr="000D3699">
        <w:t xml:space="preserve">, </w:t>
      </w:r>
      <w:r>
        <w:t xml:space="preserve">objective </w:t>
      </w:r>
      <w:proofErr w:type="gramStart"/>
      <w:r>
        <w:t>7</w:t>
      </w:r>
      <w:proofErr w:type="gramEnd"/>
      <w:r w:rsidRPr="007354CB">
        <w:t>. See also</w:t>
      </w:r>
      <w:r>
        <w:t xml:space="preserve"> </w:t>
      </w:r>
      <w:r w:rsidRPr="00226FA4">
        <w:t xml:space="preserve">the </w:t>
      </w:r>
      <w:r w:rsidRPr="00226FA4">
        <w:rPr>
          <w:rFonts w:eastAsiaTheme="minorEastAsia"/>
        </w:rPr>
        <w:t xml:space="preserve">Guiding Principles for the Search for Disappeared Persons </w:t>
      </w:r>
      <w:r w:rsidRPr="00BB5D98">
        <w:rPr>
          <w:rFonts w:eastAsiaTheme="minorEastAsia"/>
        </w:rPr>
        <w:t>(</w:t>
      </w:r>
      <w:hyperlink r:id="rId2" w:history="1">
        <w:r w:rsidRPr="00DB3692">
          <w:rPr>
            <w:rStyle w:val="Hyperlink"/>
          </w:rPr>
          <w:t>CED/C/7</w:t>
        </w:r>
      </w:hyperlink>
      <w:r w:rsidRPr="00BB5D98">
        <w:rPr>
          <w:rFonts w:eastAsiaTheme="minorEastAsia"/>
        </w:rPr>
        <w:t>, annex),</w:t>
      </w:r>
      <w:r>
        <w:rPr>
          <w:rFonts w:eastAsiaTheme="minorEastAsia"/>
        </w:rPr>
        <w:t xml:space="preserve"> principle 9;</w:t>
      </w:r>
      <w:r w:rsidRPr="00A260F4">
        <w:rPr>
          <w:rFonts w:eastAsiaTheme="minorEastAsia"/>
        </w:rPr>
        <w:t xml:space="preserve"> and African Commission on Human and Peoples’ Rights, Guidelines on the Protection</w:t>
      </w:r>
      <w:r w:rsidRPr="0066546F">
        <w:rPr>
          <w:i/>
          <w:iCs/>
        </w:rPr>
        <w:t xml:space="preserve"> of All Persons from Enforced Disappearances in Africa</w:t>
      </w:r>
      <w:r>
        <w:t xml:space="preserve"> (2022)</w:t>
      </w:r>
      <w:r w:rsidRPr="007354CB">
        <w:t>, para</w:t>
      </w:r>
      <w:r>
        <w:t>.</w:t>
      </w:r>
      <w:r w:rsidRPr="007354CB">
        <w:t xml:space="preserve"> 1.3.2.</w:t>
      </w:r>
    </w:p>
  </w:footnote>
  <w:footnote w:id="5">
    <w:p w14:paraId="1390F0C7" w14:textId="77777777" w:rsidR="00DB3692" w:rsidRPr="007354CB" w:rsidRDefault="00DB3692" w:rsidP="00CB0813">
      <w:pPr>
        <w:pStyle w:val="FootnoteText"/>
      </w:pPr>
      <w:r w:rsidRPr="007354CB">
        <w:tab/>
      </w:r>
      <w:r w:rsidRPr="009662BA">
        <w:rPr>
          <w:rStyle w:val="FootnoteReference"/>
        </w:rPr>
        <w:footnoteRef/>
      </w:r>
      <w:r w:rsidRPr="007354CB">
        <w:tab/>
      </w:r>
      <w:r w:rsidRPr="0066546F">
        <w:t>Global Compact for Safe, Orderly and Regular Migration</w:t>
      </w:r>
      <w:r w:rsidRPr="00226FA4">
        <w:t>,</w:t>
      </w:r>
      <w:r w:rsidRPr="007354CB">
        <w:t xml:space="preserve"> para</w:t>
      </w:r>
      <w:r>
        <w:t>.</w:t>
      </w:r>
      <w:r w:rsidRPr="007354CB">
        <w:t xml:space="preserve"> 4.</w:t>
      </w:r>
    </w:p>
  </w:footnote>
  <w:footnote w:id="6">
    <w:p w14:paraId="3A71BDC9" w14:textId="34DAF3F5" w:rsidR="00DB3692" w:rsidRPr="007354CB" w:rsidRDefault="00DB3692" w:rsidP="00CB0813">
      <w:pPr>
        <w:pStyle w:val="FootnoteText"/>
      </w:pPr>
      <w:r w:rsidRPr="007354CB">
        <w:tab/>
      </w:r>
      <w:r w:rsidRPr="009662BA">
        <w:rPr>
          <w:rStyle w:val="FootnoteReference"/>
        </w:rPr>
        <w:footnoteRef/>
      </w:r>
      <w:r w:rsidRPr="007354CB">
        <w:tab/>
      </w:r>
      <w:hyperlink r:id="rId3" w:history="1"/>
      <w:r w:rsidRPr="00790ED6">
        <w:t>Committee on the Elimination of Discrimination against Women, general recommendation No. 38 (2020) on trafficking in women and girls in the context of global migration</w:t>
      </w:r>
      <w:r w:rsidRPr="00B53FF0">
        <w:t>, para. 23.</w:t>
      </w:r>
    </w:p>
  </w:footnote>
  <w:footnote w:id="7">
    <w:p w14:paraId="388AAA67" w14:textId="38C0A3AA"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hyperlink r:id="rId4" w:history="1">
        <w:r w:rsidRPr="00DB3692">
          <w:rPr>
            <w:rStyle w:val="Hyperlink"/>
          </w:rPr>
          <w:t>A/HRC/50/31</w:t>
        </w:r>
      </w:hyperlink>
      <w:r w:rsidRPr="007354CB">
        <w:rPr>
          <w:rFonts w:cstheme="minorHAnsi"/>
          <w:szCs w:val="18"/>
        </w:rPr>
        <w:t>, para</w:t>
      </w:r>
      <w:r>
        <w:rPr>
          <w:rFonts w:cstheme="minorHAnsi"/>
          <w:szCs w:val="18"/>
        </w:rPr>
        <w:t>.</w:t>
      </w:r>
      <w:r w:rsidRPr="007354CB">
        <w:rPr>
          <w:rFonts w:cstheme="minorHAnsi"/>
          <w:szCs w:val="18"/>
        </w:rPr>
        <w:t xml:space="preserve"> 24. See also </w:t>
      </w:r>
      <w:hyperlink r:id="rId5" w:history="1">
        <w:r w:rsidRPr="00DB3692">
          <w:rPr>
            <w:rStyle w:val="Hyperlink"/>
          </w:rPr>
          <w:t>CED/C/GRC/CO/1</w:t>
        </w:r>
      </w:hyperlink>
      <w:r w:rsidRPr="007354CB">
        <w:rPr>
          <w:rFonts w:cstheme="minorHAnsi"/>
          <w:szCs w:val="18"/>
        </w:rPr>
        <w:t>, para</w:t>
      </w:r>
      <w:r>
        <w:rPr>
          <w:rFonts w:cstheme="minorHAnsi"/>
          <w:szCs w:val="18"/>
        </w:rPr>
        <w:t>.</w:t>
      </w:r>
      <w:r w:rsidRPr="007354CB">
        <w:rPr>
          <w:rFonts w:cstheme="minorHAnsi"/>
          <w:szCs w:val="18"/>
        </w:rPr>
        <w:t xml:space="preserve"> 28; </w:t>
      </w:r>
      <w:hyperlink r:id="rId6" w:history="1">
        <w:r w:rsidRPr="00DB3692">
          <w:rPr>
            <w:rStyle w:val="Hyperlink"/>
          </w:rPr>
          <w:t>CED/C/MEX/VR/1</w:t>
        </w:r>
      </w:hyperlink>
      <w:r w:rsidRPr="00A260F4">
        <w:t xml:space="preserve"> (Findings)</w:t>
      </w:r>
      <w:r w:rsidRPr="007354CB">
        <w:rPr>
          <w:rFonts w:cstheme="minorHAnsi"/>
          <w:szCs w:val="18"/>
        </w:rPr>
        <w:t>, para</w:t>
      </w:r>
      <w:r>
        <w:rPr>
          <w:rFonts w:cstheme="minorHAnsi"/>
          <w:szCs w:val="18"/>
        </w:rPr>
        <w:t>.</w:t>
      </w:r>
      <w:r w:rsidR="00B85046">
        <w:rPr>
          <w:rFonts w:cstheme="minorHAnsi"/>
          <w:szCs w:val="18"/>
        </w:rPr>
        <w:t> </w:t>
      </w:r>
      <w:r w:rsidRPr="007354CB">
        <w:rPr>
          <w:rFonts w:cstheme="minorHAnsi"/>
          <w:szCs w:val="18"/>
        </w:rPr>
        <w:t xml:space="preserve">20; </w:t>
      </w:r>
      <w:r>
        <w:rPr>
          <w:rFonts w:cstheme="minorHAnsi"/>
          <w:szCs w:val="18"/>
        </w:rPr>
        <w:t>and</w:t>
      </w:r>
      <w:r w:rsidRPr="007354CB">
        <w:rPr>
          <w:rFonts w:cstheme="minorHAnsi"/>
          <w:szCs w:val="18"/>
        </w:rPr>
        <w:t xml:space="preserve"> </w:t>
      </w:r>
      <w:hyperlink r:id="rId7" w:history="1">
        <w:r w:rsidRPr="00DB3692">
          <w:rPr>
            <w:rStyle w:val="Hyperlink"/>
          </w:rPr>
          <w:t>CED/C/MEX/VR/1</w:t>
        </w:r>
      </w:hyperlink>
      <w:r w:rsidRPr="00A260F4">
        <w:t xml:space="preserve"> (Recommendations)</w:t>
      </w:r>
      <w:r w:rsidRPr="007354CB">
        <w:rPr>
          <w:rFonts w:cstheme="minorHAnsi"/>
          <w:szCs w:val="18"/>
        </w:rPr>
        <w:t>, para</w:t>
      </w:r>
      <w:r>
        <w:rPr>
          <w:rFonts w:cstheme="minorHAnsi"/>
          <w:szCs w:val="18"/>
        </w:rPr>
        <w:t>s.</w:t>
      </w:r>
      <w:r w:rsidRPr="007354CB">
        <w:rPr>
          <w:rFonts w:cstheme="minorHAnsi"/>
          <w:szCs w:val="18"/>
        </w:rPr>
        <w:t xml:space="preserve"> 39</w:t>
      </w:r>
      <w:r>
        <w:rPr>
          <w:rFonts w:cstheme="minorHAnsi"/>
          <w:szCs w:val="18"/>
        </w:rPr>
        <w:t>–</w:t>
      </w:r>
      <w:r w:rsidRPr="007354CB">
        <w:rPr>
          <w:rFonts w:cstheme="minorHAnsi"/>
          <w:szCs w:val="18"/>
        </w:rPr>
        <w:t>42.</w:t>
      </w:r>
    </w:p>
  </w:footnote>
  <w:footnote w:id="8">
    <w:p w14:paraId="3AB7F7DA" w14:textId="4ECDD8E4"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hyperlink r:id="rId8" w:history="1">
        <w:r w:rsidRPr="00DB3692">
          <w:rPr>
            <w:rStyle w:val="Hyperlink"/>
          </w:rPr>
          <w:t>A/72/335</w:t>
        </w:r>
      </w:hyperlink>
      <w:r w:rsidRPr="007354CB">
        <w:rPr>
          <w:rFonts w:cstheme="minorHAnsi"/>
          <w:szCs w:val="18"/>
        </w:rPr>
        <w:t>, para</w:t>
      </w:r>
      <w:r>
        <w:rPr>
          <w:rFonts w:cstheme="minorHAnsi"/>
          <w:szCs w:val="18"/>
        </w:rPr>
        <w:t>.</w:t>
      </w:r>
      <w:r w:rsidRPr="007354CB">
        <w:rPr>
          <w:rFonts w:cstheme="minorHAnsi"/>
          <w:szCs w:val="18"/>
        </w:rPr>
        <w:t xml:space="preserve"> 1.</w:t>
      </w:r>
    </w:p>
  </w:footnote>
  <w:footnote w:id="9">
    <w:p w14:paraId="3EAC3625" w14:textId="77777777" w:rsidR="00DB3692" w:rsidRPr="005236CE" w:rsidRDefault="00DB3692" w:rsidP="00CB0813">
      <w:pPr>
        <w:pStyle w:val="FootnoteText"/>
      </w:pPr>
      <w:r>
        <w:tab/>
      </w:r>
      <w:r>
        <w:rPr>
          <w:rStyle w:val="FootnoteReference"/>
        </w:rPr>
        <w:footnoteRef/>
      </w:r>
      <w:r w:rsidRPr="005236CE">
        <w:t xml:space="preserve"> </w:t>
      </w:r>
      <w:r>
        <w:tab/>
      </w:r>
      <w:r w:rsidRPr="001502FA">
        <w:t>ICRC, Guiding Principles/Model Law on the Missing</w:t>
      </w:r>
      <w:r>
        <w:t>:</w:t>
      </w:r>
      <w:r w:rsidRPr="001502FA">
        <w:t xml:space="preserve"> Principles for Legislating the Situation of Persons Missing as a </w:t>
      </w:r>
      <w:r>
        <w:t>R</w:t>
      </w:r>
      <w:r w:rsidRPr="001502FA">
        <w:t>esult of Armed Conflict or International Violence</w:t>
      </w:r>
      <w:r>
        <w:t xml:space="preserve"> –</w:t>
      </w:r>
      <w:r w:rsidRPr="001502FA">
        <w:t xml:space="preserve"> Measures to </w:t>
      </w:r>
      <w:r>
        <w:t>P</w:t>
      </w:r>
      <w:r w:rsidRPr="001502FA">
        <w:t xml:space="preserve">revent </w:t>
      </w:r>
      <w:r>
        <w:t>P</w:t>
      </w:r>
      <w:r w:rsidRPr="001502FA">
        <w:t xml:space="preserve">ersons from </w:t>
      </w:r>
      <w:r>
        <w:t>G</w:t>
      </w:r>
      <w:r w:rsidRPr="001502FA">
        <w:t xml:space="preserve">oing </w:t>
      </w:r>
      <w:r>
        <w:t>M</w:t>
      </w:r>
      <w:r w:rsidRPr="001502FA">
        <w:t xml:space="preserve">issing and to </w:t>
      </w:r>
      <w:r>
        <w:t>P</w:t>
      </w:r>
      <w:r w:rsidRPr="001502FA">
        <w:t xml:space="preserve">rotect the </w:t>
      </w:r>
      <w:r>
        <w:t>R</w:t>
      </w:r>
      <w:r w:rsidRPr="001502FA">
        <w:t xml:space="preserve">ights and </w:t>
      </w:r>
      <w:r>
        <w:t>I</w:t>
      </w:r>
      <w:r w:rsidRPr="001502FA">
        <w:t xml:space="preserve">nterests of the </w:t>
      </w:r>
      <w:r>
        <w:t>M</w:t>
      </w:r>
      <w:r w:rsidRPr="001502FA">
        <w:t xml:space="preserve">issing and </w:t>
      </w:r>
      <w:r>
        <w:t>T</w:t>
      </w:r>
      <w:r w:rsidRPr="001502FA">
        <w:t xml:space="preserve">heir </w:t>
      </w:r>
      <w:r>
        <w:t>F</w:t>
      </w:r>
      <w:r w:rsidRPr="001502FA">
        <w:t>amilies</w:t>
      </w:r>
      <w:r>
        <w:t xml:space="preserve"> (Geneva, 2009)</w:t>
      </w:r>
      <w:r w:rsidRPr="001502FA">
        <w:t>, art</w:t>
      </w:r>
      <w:r>
        <w:t>.</w:t>
      </w:r>
      <w:r w:rsidRPr="001502FA">
        <w:t xml:space="preserve"> 2 </w:t>
      </w:r>
      <w:r>
        <w:t>(</w:t>
      </w:r>
      <w:r w:rsidRPr="001502FA">
        <w:t>1</w:t>
      </w:r>
      <w:r>
        <w:t>).</w:t>
      </w:r>
    </w:p>
  </w:footnote>
  <w:footnote w:id="10">
    <w:p w14:paraId="6FA5FC03" w14:textId="3230DDFE" w:rsidR="00DB3692" w:rsidRPr="00D478EE" w:rsidRDefault="00DB3692" w:rsidP="00CB0813">
      <w:pPr>
        <w:pStyle w:val="FootnoteText"/>
      </w:pPr>
      <w:r w:rsidRPr="007354CB">
        <w:tab/>
      </w:r>
      <w:r w:rsidRPr="009662BA">
        <w:rPr>
          <w:rStyle w:val="FootnoteReference"/>
        </w:rPr>
        <w:footnoteRef/>
      </w:r>
      <w:r w:rsidRPr="007354CB">
        <w:tab/>
      </w:r>
      <w:r>
        <w:t>The project data</w:t>
      </w:r>
      <w:r w:rsidRPr="0066546F">
        <w:t xml:space="preserve"> also include corpses found at border crossings that are categori</w:t>
      </w:r>
      <w:r>
        <w:t>z</w:t>
      </w:r>
      <w:r w:rsidRPr="0066546F">
        <w:t>ed as the bodies of migrants on the basis of belongings and/or the characteristics of the death.</w:t>
      </w:r>
    </w:p>
  </w:footnote>
  <w:footnote w:id="11">
    <w:p w14:paraId="4DC1DF5F" w14:textId="50C17F03" w:rsidR="00DB3692" w:rsidRPr="00C02062" w:rsidRDefault="00DB3692" w:rsidP="00CB0813">
      <w:pPr>
        <w:pStyle w:val="FootnoteText"/>
      </w:pPr>
      <w:r w:rsidRPr="007354CB">
        <w:tab/>
      </w:r>
      <w:r w:rsidRPr="009662BA">
        <w:rPr>
          <w:rStyle w:val="FootnoteReference"/>
        </w:rPr>
        <w:footnoteRef/>
      </w:r>
      <w:r w:rsidRPr="007354CB">
        <w:tab/>
      </w:r>
      <w:hyperlink r:id="rId9" w:history="1">
        <w:r w:rsidRPr="00DB3692">
          <w:rPr>
            <w:rStyle w:val="Hyperlink"/>
          </w:rPr>
          <w:t>A/76/642</w:t>
        </w:r>
      </w:hyperlink>
      <w:r w:rsidRPr="007354CB">
        <w:t>, para</w:t>
      </w:r>
      <w:r>
        <w:t>.</w:t>
      </w:r>
      <w:r w:rsidRPr="007354CB">
        <w:t xml:space="preserve"> 74. Current efforts to record data are mainly </w:t>
      </w:r>
      <w:proofErr w:type="gramStart"/>
      <w:r w:rsidRPr="007354CB">
        <w:t>carried out</w:t>
      </w:r>
      <w:proofErr w:type="gramEnd"/>
      <w:r w:rsidRPr="007354CB">
        <w:t xml:space="preserve"> by non-governmental and international organi</w:t>
      </w:r>
      <w:r>
        <w:t>z</w:t>
      </w:r>
      <w:r w:rsidRPr="007354CB">
        <w:t>ations</w:t>
      </w:r>
      <w:r>
        <w:t>.</w:t>
      </w:r>
      <w:r w:rsidRPr="007354CB">
        <w:t xml:space="preserve"> </w:t>
      </w:r>
      <w:r>
        <w:t>According to</w:t>
      </w:r>
      <w:r w:rsidRPr="007354CB">
        <w:t xml:space="preserve"> the </w:t>
      </w:r>
      <w:r>
        <w:t xml:space="preserve">IOM </w:t>
      </w:r>
      <w:r w:rsidRPr="007354CB">
        <w:t>Missing Migrants Project,</w:t>
      </w:r>
      <w:r>
        <w:t xml:space="preserve"> </w:t>
      </w:r>
      <w:r w:rsidRPr="002607F3">
        <w:t xml:space="preserve">more </w:t>
      </w:r>
      <w:r>
        <w:t xml:space="preserve">than </w:t>
      </w:r>
      <w:r w:rsidRPr="002607F3">
        <w:t>50,000</w:t>
      </w:r>
      <w:r w:rsidRPr="007354CB">
        <w:t xml:space="preserve"> migrants have gone missing since 2014</w:t>
      </w:r>
      <w:r>
        <w:t>.</w:t>
      </w:r>
      <w:r w:rsidRPr="0007579C">
        <w:t xml:space="preserve"> </w:t>
      </w:r>
      <w:r w:rsidRPr="0066546F">
        <w:rPr>
          <w:rFonts w:asciiTheme="majorBidi" w:hAnsiTheme="majorBidi" w:cstheme="majorBidi"/>
        </w:rPr>
        <w:t>See</w:t>
      </w:r>
      <w:r w:rsidRPr="00C02062">
        <w:t xml:space="preserve"> also </w:t>
      </w:r>
      <w:r>
        <w:t xml:space="preserve">Julia </w:t>
      </w:r>
      <w:r w:rsidRPr="00C02062">
        <w:t xml:space="preserve">Black, </w:t>
      </w:r>
      <w:r w:rsidRPr="00C02062">
        <w:rPr>
          <w:i/>
          <w:iCs/>
        </w:rPr>
        <w:t>Global Migration Indicators 2021</w:t>
      </w:r>
      <w:r>
        <w:rPr>
          <w:rFonts w:cstheme="minorHAnsi"/>
          <w:i/>
          <w:iCs/>
          <w:szCs w:val="18"/>
        </w:rPr>
        <w:t>: Insights from the Global Migration Data Portal</w:t>
      </w:r>
      <w:r>
        <w:rPr>
          <w:rFonts w:cstheme="minorHAnsi"/>
          <w:szCs w:val="18"/>
        </w:rPr>
        <w:t xml:space="preserve"> (Geneva, IOM, 2021)</w:t>
      </w:r>
      <w:r w:rsidRPr="00C02062">
        <w:t>, pp. 38</w:t>
      </w:r>
      <w:r>
        <w:t xml:space="preserve"> and </w:t>
      </w:r>
      <w:r w:rsidRPr="00C02062">
        <w:t>39.</w:t>
      </w:r>
    </w:p>
  </w:footnote>
  <w:footnote w:id="12">
    <w:p w14:paraId="21A32916" w14:textId="7AB177C2" w:rsidR="00DB3692" w:rsidRPr="00A260F4" w:rsidRDefault="00DB3692" w:rsidP="00CB0813">
      <w:pPr>
        <w:pStyle w:val="FootnoteText"/>
        <w:rPr>
          <w:lang w:val="es-ES"/>
        </w:rPr>
      </w:pPr>
      <w:r>
        <w:tab/>
      </w:r>
      <w:r w:rsidRPr="009662BA">
        <w:rPr>
          <w:rStyle w:val="FootnoteReference"/>
        </w:rPr>
        <w:footnoteRef/>
      </w:r>
      <w:r w:rsidRPr="00A260F4">
        <w:rPr>
          <w:lang w:val="es-ES"/>
        </w:rPr>
        <w:tab/>
      </w:r>
      <w:hyperlink r:id="rId10" w:history="1">
        <w:r w:rsidRPr="00DB3692">
          <w:rPr>
            <w:rStyle w:val="Hyperlink"/>
            <w:lang w:val="es-ES"/>
          </w:rPr>
          <w:t>A/HRC/36/39/Add.2</w:t>
        </w:r>
      </w:hyperlink>
      <w:r w:rsidRPr="00A260F4">
        <w:rPr>
          <w:lang w:val="es-ES"/>
        </w:rPr>
        <w:t>.</w:t>
      </w:r>
    </w:p>
  </w:footnote>
  <w:footnote w:id="13">
    <w:p w14:paraId="0B6C0836" w14:textId="1AF273B5" w:rsidR="00DB3692" w:rsidRPr="006B17B4" w:rsidRDefault="00DB3692" w:rsidP="00CB0813">
      <w:pPr>
        <w:pStyle w:val="FootnoteText"/>
        <w:rPr>
          <w:rFonts w:cstheme="minorHAnsi"/>
          <w:szCs w:val="18"/>
        </w:rPr>
      </w:pPr>
      <w:r w:rsidRPr="00A260F4">
        <w:rPr>
          <w:rFonts w:cstheme="minorHAnsi"/>
          <w:szCs w:val="18"/>
          <w:lang w:val="es-ES"/>
        </w:rPr>
        <w:tab/>
      </w:r>
      <w:r w:rsidRPr="009662BA">
        <w:rPr>
          <w:rStyle w:val="FootnoteReference"/>
        </w:rPr>
        <w:footnoteRef/>
      </w:r>
      <w:r w:rsidRPr="00A260F4">
        <w:rPr>
          <w:rFonts w:cstheme="minorHAnsi"/>
          <w:szCs w:val="18"/>
          <w:lang w:val="es-ES"/>
        </w:rPr>
        <w:tab/>
      </w:r>
      <w:hyperlink r:id="rId11" w:history="1">
        <w:r w:rsidRPr="00DB3692">
          <w:rPr>
            <w:rStyle w:val="Hyperlink"/>
            <w:lang w:val="es-ES"/>
          </w:rPr>
          <w:t>A/72/335</w:t>
        </w:r>
      </w:hyperlink>
      <w:r w:rsidRPr="00A260F4">
        <w:rPr>
          <w:rFonts w:cstheme="minorHAnsi"/>
          <w:szCs w:val="18"/>
          <w:lang w:val="es-ES"/>
        </w:rPr>
        <w:t xml:space="preserve">, para. </w:t>
      </w:r>
      <w:r w:rsidRPr="006B17B4">
        <w:rPr>
          <w:rFonts w:cstheme="minorHAnsi"/>
          <w:szCs w:val="18"/>
        </w:rPr>
        <w:t xml:space="preserve">2; </w:t>
      </w:r>
      <w:r w:rsidRPr="006B17B4">
        <w:rPr>
          <w:rFonts w:eastAsiaTheme="minorEastAsia" w:cstheme="minorHAnsi"/>
          <w:szCs w:val="18"/>
        </w:rPr>
        <w:t>and</w:t>
      </w:r>
      <w:r w:rsidRPr="006B17B4">
        <w:rPr>
          <w:rFonts w:cstheme="minorHAnsi"/>
          <w:szCs w:val="18"/>
        </w:rPr>
        <w:t xml:space="preserve"> </w:t>
      </w:r>
      <w:hyperlink r:id="rId12" w:history="1">
        <w:r w:rsidRPr="00DB7833">
          <w:rPr>
            <w:rStyle w:val="Hyperlink"/>
          </w:rPr>
          <w:t>A/HRC/36/39/Add.2</w:t>
        </w:r>
      </w:hyperlink>
      <w:hyperlink w:history="1"/>
      <w:r w:rsidRPr="006B17B4">
        <w:rPr>
          <w:rFonts w:cstheme="minorHAnsi"/>
          <w:szCs w:val="18"/>
        </w:rPr>
        <w:t>, para. 56.</w:t>
      </w:r>
    </w:p>
  </w:footnote>
  <w:footnote w:id="14">
    <w:p w14:paraId="4A83C394" w14:textId="17C1380F" w:rsidR="00DB3692" w:rsidRPr="007354CB" w:rsidRDefault="00DB3692" w:rsidP="00CB0813">
      <w:pPr>
        <w:pStyle w:val="FootnoteText"/>
      </w:pPr>
      <w:r w:rsidRPr="006B17B4">
        <w:tab/>
      </w:r>
      <w:r w:rsidRPr="009662BA">
        <w:rPr>
          <w:rStyle w:val="FootnoteReference"/>
        </w:rPr>
        <w:footnoteRef/>
      </w:r>
      <w:r w:rsidRPr="007354CB">
        <w:tab/>
      </w:r>
      <w:r>
        <w:t>Office of the United Nations High Commissioner for Human Rights (OHCHR)</w:t>
      </w:r>
      <w:r w:rsidRPr="007354CB">
        <w:t>, “</w:t>
      </w:r>
      <w:r>
        <w:t>‘</w:t>
      </w:r>
      <w:r w:rsidRPr="007354CB">
        <w:t xml:space="preserve">Lethal </w:t>
      </w:r>
      <w:r>
        <w:t>d</w:t>
      </w:r>
      <w:r w:rsidRPr="007354CB">
        <w:t>isregard</w:t>
      </w:r>
      <w:r>
        <w:t>’</w:t>
      </w:r>
      <w:r w:rsidRPr="007354CB">
        <w:t xml:space="preserve">: </w:t>
      </w:r>
      <w:r>
        <w:t>s</w:t>
      </w:r>
      <w:r w:rsidRPr="007354CB">
        <w:t xml:space="preserve">earch and rescue and the protection of migrants in the central Mediterranean Sea” </w:t>
      </w:r>
      <w:r>
        <w:t>(Geneva, 2021)</w:t>
      </w:r>
      <w:r w:rsidRPr="007354CB">
        <w:t xml:space="preserve">; </w:t>
      </w:r>
      <w:r>
        <w:t xml:space="preserve">and </w:t>
      </w:r>
      <w:r w:rsidRPr="007354CB">
        <w:t>Noemi Magugliani and Jean-Pierre Gauci</w:t>
      </w:r>
      <w:r>
        <w:t>,</w:t>
      </w:r>
      <w:r w:rsidRPr="007354CB">
        <w:t xml:space="preserve"> </w:t>
      </w:r>
      <w:r>
        <w:t>“</w:t>
      </w:r>
      <w:r w:rsidRPr="007354CB">
        <w:t xml:space="preserve">Migrant </w:t>
      </w:r>
      <w:r>
        <w:t>c</w:t>
      </w:r>
      <w:r w:rsidRPr="007354CB">
        <w:t xml:space="preserve">rossings in the Channel: </w:t>
      </w:r>
      <w:r>
        <w:t>n</w:t>
      </w:r>
      <w:r w:rsidRPr="007354CB">
        <w:t>on-</w:t>
      </w:r>
      <w:r>
        <w:t>a</w:t>
      </w:r>
      <w:r w:rsidRPr="007354CB">
        <w:t xml:space="preserve">ssistance, </w:t>
      </w:r>
      <w:r>
        <w:t>s</w:t>
      </w:r>
      <w:r w:rsidRPr="007354CB">
        <w:t xml:space="preserve">ecuritisation, and </w:t>
      </w:r>
      <w:r>
        <w:t>a</w:t>
      </w:r>
      <w:r w:rsidRPr="007354CB">
        <w:t xml:space="preserve">ccountability </w:t>
      </w:r>
      <w:r>
        <w:t>u</w:t>
      </w:r>
      <w:r w:rsidRPr="007354CB">
        <w:t xml:space="preserve">nder </w:t>
      </w:r>
      <w:r>
        <w:t>i</w:t>
      </w:r>
      <w:r w:rsidRPr="007354CB">
        <w:t xml:space="preserve">nternational </w:t>
      </w:r>
      <w:r>
        <w:t>l</w:t>
      </w:r>
      <w:r w:rsidRPr="007354CB">
        <w:t>aw</w:t>
      </w:r>
      <w:r>
        <w:t>”</w:t>
      </w:r>
      <w:r w:rsidRPr="007354CB">
        <w:t xml:space="preserve">, </w:t>
      </w:r>
      <w:r w:rsidRPr="0066546F">
        <w:t>Opinio Juris,</w:t>
      </w:r>
      <w:r w:rsidRPr="007354CB">
        <w:t xml:space="preserve"> 21 December</w:t>
      </w:r>
      <w:r>
        <w:t xml:space="preserve"> 2021</w:t>
      </w:r>
      <w:r w:rsidRPr="002F3093">
        <w:t>.</w:t>
      </w:r>
    </w:p>
  </w:footnote>
  <w:footnote w:id="15">
    <w:p w14:paraId="3BF2D4F1" w14:textId="1375908D" w:rsidR="00DB3692" w:rsidRPr="007354CB" w:rsidRDefault="00DB3692" w:rsidP="00CB0813">
      <w:pPr>
        <w:pStyle w:val="FootnoteText"/>
      </w:pPr>
      <w:r w:rsidRPr="007354CB">
        <w:tab/>
      </w:r>
      <w:r w:rsidRPr="009662BA">
        <w:rPr>
          <w:rStyle w:val="FootnoteReference"/>
        </w:rPr>
        <w:footnoteRef/>
      </w:r>
      <w:r w:rsidRPr="007354CB">
        <w:tab/>
      </w:r>
      <w:hyperlink r:id="rId13" w:history="1">
        <w:r w:rsidRPr="00DB3692">
          <w:rPr>
            <w:rStyle w:val="Hyperlink"/>
          </w:rPr>
          <w:t>A/HRC/36/39/Add.2</w:t>
        </w:r>
      </w:hyperlink>
      <w:r w:rsidRPr="00B05B10">
        <w:t>,</w:t>
      </w:r>
      <w:r w:rsidRPr="007354CB">
        <w:t xml:space="preserve"> </w:t>
      </w:r>
      <w:r w:rsidRPr="007354CB">
        <w:rPr>
          <w:rFonts w:eastAsiaTheme="minorEastAsia"/>
        </w:rPr>
        <w:t>paras</w:t>
      </w:r>
      <w:r w:rsidRPr="000043DD">
        <w:rPr>
          <w:rFonts w:eastAsiaTheme="minorEastAsia"/>
        </w:rPr>
        <w:t>. 34</w:t>
      </w:r>
      <w:r w:rsidR="00661200">
        <w:rPr>
          <w:rFonts w:eastAsiaTheme="minorEastAsia"/>
        </w:rPr>
        <w:t>–</w:t>
      </w:r>
      <w:r w:rsidRPr="000043DD">
        <w:rPr>
          <w:rFonts w:eastAsiaTheme="minorEastAsia"/>
        </w:rPr>
        <w:t>43</w:t>
      </w:r>
      <w:r>
        <w:rPr>
          <w:rFonts w:eastAsiaTheme="minorEastAsia"/>
        </w:rPr>
        <w:t>.</w:t>
      </w:r>
      <w:r w:rsidRPr="007354CB">
        <w:rPr>
          <w:rFonts w:eastAsiaTheme="minorEastAsia"/>
        </w:rPr>
        <w:t xml:space="preserve"> </w:t>
      </w:r>
      <w:r>
        <w:rPr>
          <w:rFonts w:eastAsiaTheme="minorEastAsia"/>
        </w:rPr>
        <w:t>See also</w:t>
      </w:r>
      <w:r w:rsidRPr="007354CB">
        <w:rPr>
          <w:rFonts w:eastAsiaTheme="minorEastAsia"/>
        </w:rPr>
        <w:t xml:space="preserve"> </w:t>
      </w:r>
      <w:r w:rsidRPr="007354CB">
        <w:t xml:space="preserve">Human Rights Commission of Malaysia and Fortify Rights, </w:t>
      </w:r>
      <w:r w:rsidRPr="0066546F">
        <w:rPr>
          <w:i/>
          <w:iCs/>
        </w:rPr>
        <w:t>“Sold like Fish”: Crimes against Humanity, Mass Graves, and Human Trafficking from Myanmar and Bangladesh to Malaysia from 2012 to 2015</w:t>
      </w:r>
      <w:r>
        <w:rPr>
          <w:i/>
          <w:iCs/>
        </w:rPr>
        <w:t xml:space="preserve"> </w:t>
      </w:r>
      <w:r>
        <w:t>(2019</w:t>
      </w:r>
      <w:r w:rsidRPr="007F1171">
        <w:t>)</w:t>
      </w:r>
      <w:r w:rsidRPr="00222D5C">
        <w:t>.</w:t>
      </w:r>
    </w:p>
  </w:footnote>
  <w:footnote w:id="16">
    <w:p w14:paraId="6DDFE2A9" w14:textId="0BAE3773" w:rsidR="00DB3692" w:rsidRPr="00A260F4"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A260F4">
        <w:rPr>
          <w:rFonts w:cstheme="minorHAnsi"/>
          <w:szCs w:val="18"/>
        </w:rPr>
        <w:tab/>
      </w:r>
      <w:hyperlink r:id="rId14" w:history="1">
        <w:r w:rsidRPr="00DB3692">
          <w:rPr>
            <w:rStyle w:val="Hyperlink"/>
          </w:rPr>
          <w:t>A/HRC/36/39/Add.2</w:t>
        </w:r>
      </w:hyperlink>
      <w:r w:rsidRPr="00A260F4">
        <w:rPr>
          <w:rFonts w:cstheme="minorHAnsi"/>
          <w:szCs w:val="18"/>
        </w:rPr>
        <w:t>, paras. 50</w:t>
      </w:r>
      <w:r>
        <w:rPr>
          <w:rFonts w:cstheme="minorHAnsi"/>
          <w:szCs w:val="18"/>
        </w:rPr>
        <w:t xml:space="preserve"> and </w:t>
      </w:r>
      <w:r w:rsidRPr="00A260F4">
        <w:rPr>
          <w:rFonts w:cstheme="minorHAnsi"/>
          <w:szCs w:val="18"/>
        </w:rPr>
        <w:t>51.</w:t>
      </w:r>
    </w:p>
  </w:footnote>
  <w:footnote w:id="17">
    <w:p w14:paraId="410767AE" w14:textId="5917CA36" w:rsidR="00DB3692" w:rsidRPr="007354CB" w:rsidRDefault="00DB3692" w:rsidP="00CB0813">
      <w:pPr>
        <w:pStyle w:val="FootnoteText"/>
        <w:rPr>
          <w:rFonts w:cstheme="minorHAnsi"/>
          <w:szCs w:val="18"/>
        </w:rPr>
      </w:pPr>
      <w:r w:rsidRPr="00A260F4">
        <w:rPr>
          <w:rFonts w:cstheme="minorHAnsi"/>
          <w:szCs w:val="18"/>
        </w:rPr>
        <w:tab/>
      </w:r>
      <w:r w:rsidRPr="009662BA">
        <w:rPr>
          <w:rStyle w:val="FootnoteReference"/>
        </w:rPr>
        <w:footnoteRef/>
      </w:r>
      <w:r w:rsidRPr="007A5A91">
        <w:rPr>
          <w:rFonts w:cstheme="minorHAnsi"/>
          <w:szCs w:val="18"/>
          <w:lang w:val="en-GB"/>
        </w:rPr>
        <w:tab/>
      </w:r>
      <w:hyperlink r:id="rId15" w:history="1">
        <w:r w:rsidRPr="007A5A91">
          <w:rPr>
            <w:rStyle w:val="Hyperlink"/>
            <w:lang w:val="en-GB"/>
          </w:rPr>
          <w:t>CED/C/BRA/CO/1</w:t>
        </w:r>
      </w:hyperlink>
      <w:r w:rsidRPr="007A5A91">
        <w:rPr>
          <w:rFonts w:cstheme="minorHAnsi"/>
          <w:szCs w:val="18"/>
          <w:lang w:val="en-GB"/>
        </w:rPr>
        <w:t xml:space="preserve">, para. </w:t>
      </w:r>
      <w:r w:rsidRPr="007354CB">
        <w:rPr>
          <w:rFonts w:cstheme="minorHAnsi"/>
          <w:szCs w:val="18"/>
        </w:rPr>
        <w:t>23 (c)</w:t>
      </w:r>
      <w:r>
        <w:rPr>
          <w:rFonts w:cstheme="minorHAnsi"/>
          <w:szCs w:val="18"/>
        </w:rPr>
        <w:t>;</w:t>
      </w:r>
      <w:r w:rsidRPr="007354CB">
        <w:rPr>
          <w:rFonts w:cstheme="minorHAnsi"/>
          <w:szCs w:val="18"/>
        </w:rPr>
        <w:t xml:space="preserve"> </w:t>
      </w:r>
      <w:r>
        <w:rPr>
          <w:rFonts w:cstheme="minorHAnsi"/>
          <w:szCs w:val="18"/>
        </w:rPr>
        <w:t xml:space="preserve">and </w:t>
      </w:r>
      <w:hyperlink r:id="rId16" w:history="1">
        <w:r w:rsidRPr="00DB3692">
          <w:rPr>
            <w:rStyle w:val="Hyperlink"/>
          </w:rPr>
          <w:t>CED/C/MEX/VR/1</w:t>
        </w:r>
      </w:hyperlink>
      <w:r w:rsidRPr="00A260F4">
        <w:t xml:space="preserve"> (Recommendations)</w:t>
      </w:r>
      <w:r w:rsidRPr="00382618">
        <w:rPr>
          <w:szCs w:val="18"/>
        </w:rPr>
        <w:t xml:space="preserve">, </w:t>
      </w:r>
      <w:r w:rsidRPr="007354CB">
        <w:rPr>
          <w:szCs w:val="18"/>
        </w:rPr>
        <w:t>para</w:t>
      </w:r>
      <w:r>
        <w:rPr>
          <w:szCs w:val="18"/>
        </w:rPr>
        <w:t>.</w:t>
      </w:r>
      <w:r w:rsidRPr="007354CB">
        <w:rPr>
          <w:szCs w:val="18"/>
        </w:rPr>
        <w:t xml:space="preserve"> 39.</w:t>
      </w:r>
    </w:p>
  </w:footnote>
  <w:footnote w:id="18">
    <w:p w14:paraId="54214278" w14:textId="186A6E81" w:rsidR="00DB3692" w:rsidRPr="00A260F4" w:rsidRDefault="00DB3692" w:rsidP="00CB0813">
      <w:pPr>
        <w:pStyle w:val="FootnoteText"/>
      </w:pPr>
      <w:r>
        <w:tab/>
      </w:r>
      <w:r>
        <w:rPr>
          <w:rStyle w:val="FootnoteReference"/>
        </w:rPr>
        <w:footnoteRef/>
      </w:r>
      <w:r>
        <w:tab/>
      </w:r>
      <w:r w:rsidRPr="001502FA">
        <w:t xml:space="preserve">Border Violence Monitoring Network, “EU </w:t>
      </w:r>
      <w:r>
        <w:t>m</w:t>
      </w:r>
      <w:r w:rsidRPr="001502FA">
        <w:t>ember States</w:t>
      </w:r>
      <w:r>
        <w:t>’</w:t>
      </w:r>
      <w:r w:rsidRPr="001502FA">
        <w:t xml:space="preserve"> use of </w:t>
      </w:r>
      <w:proofErr w:type="gramStart"/>
      <w:r w:rsidRPr="001502FA">
        <w:t>new technologies</w:t>
      </w:r>
      <w:proofErr w:type="gramEnd"/>
      <w:r w:rsidRPr="001502FA">
        <w:t xml:space="preserve"> in enforced disappearances</w:t>
      </w:r>
      <w:r>
        <w:t>:</w:t>
      </w:r>
      <w:r w:rsidRPr="001502FA">
        <w:t xml:space="preserve"> </w:t>
      </w:r>
      <w:r>
        <w:t>i</w:t>
      </w:r>
      <w:r w:rsidRPr="001502FA">
        <w:t xml:space="preserve">nput for the thematic study by </w:t>
      </w:r>
      <w:r>
        <w:t xml:space="preserve">the UN Working Group in Enforced or Involuntary Disappearances </w:t>
      </w:r>
      <w:r w:rsidRPr="001502FA">
        <w:t xml:space="preserve">on </w:t>
      </w:r>
      <w:r>
        <w:t>‘</w:t>
      </w:r>
      <w:r w:rsidRPr="001502FA">
        <w:t>new technologies and enforced disappearances</w:t>
      </w:r>
      <w:r>
        <w:t>’” (2023)</w:t>
      </w:r>
      <w:hyperlink w:history="1"/>
      <w:r w:rsidRPr="00A260F4">
        <w:t>, para. 9.</w:t>
      </w:r>
    </w:p>
  </w:footnote>
  <w:footnote w:id="19">
    <w:p w14:paraId="1AFFE1A5" w14:textId="77777777" w:rsidR="00DB3692" w:rsidRPr="007354CB" w:rsidRDefault="00DB3692" w:rsidP="00CB0813">
      <w:pPr>
        <w:pStyle w:val="FootnoteText"/>
      </w:pPr>
      <w:r w:rsidRPr="007354CB">
        <w:tab/>
      </w:r>
      <w:r w:rsidRPr="009662BA">
        <w:rPr>
          <w:rStyle w:val="FootnoteReference"/>
        </w:rPr>
        <w:footnoteRef/>
      </w:r>
      <w:r w:rsidRPr="00DD76BE">
        <w:tab/>
        <w:t>Committee on the Protection of the Rights of All Migrant Workers and Members of Their Families, general comment No. 5 (2021) on migrants’ rights to liberty and freedom from arbitrary detention and their connection with other human rights, para. 32.</w:t>
      </w:r>
    </w:p>
  </w:footnote>
  <w:footnote w:id="20">
    <w:p w14:paraId="65802791" w14:textId="2C60DF3B" w:rsidR="00DB3692" w:rsidRPr="007F1171" w:rsidRDefault="00DB3692" w:rsidP="00CB0813">
      <w:pPr>
        <w:pStyle w:val="FootnoteText"/>
      </w:pPr>
      <w:r w:rsidRPr="007354CB">
        <w:tab/>
      </w:r>
      <w:r w:rsidRPr="009662BA">
        <w:rPr>
          <w:rStyle w:val="FootnoteReference"/>
        </w:rPr>
        <w:footnoteRef/>
      </w:r>
      <w:r w:rsidRPr="007354CB">
        <w:tab/>
      </w:r>
      <w:r>
        <w:t xml:space="preserve">The </w:t>
      </w:r>
      <w:r w:rsidRPr="0085649F">
        <w:t>Global Compact for Safe, Orderly and Regular Migration</w:t>
      </w:r>
      <w:r w:rsidRPr="007354CB">
        <w:rPr>
          <w:i/>
          <w:iCs/>
        </w:rPr>
        <w:t xml:space="preserve"> </w:t>
      </w:r>
      <w:r w:rsidRPr="007354CB">
        <w:t xml:space="preserve">contains several </w:t>
      </w:r>
      <w:r>
        <w:t>o</w:t>
      </w:r>
      <w:r w:rsidRPr="007354CB">
        <w:t xml:space="preserve">bjectives </w:t>
      </w:r>
      <w:r>
        <w:t xml:space="preserve">that are </w:t>
      </w:r>
      <w:r w:rsidRPr="007354CB">
        <w:t xml:space="preserve">of direct relevance to States parties’ obligations to prevent and respond to </w:t>
      </w:r>
      <w:r>
        <w:t xml:space="preserve">the </w:t>
      </w:r>
      <w:r w:rsidRPr="007354CB">
        <w:t>disappearance of migrants</w:t>
      </w:r>
      <w:r>
        <w:t xml:space="preserve"> and </w:t>
      </w:r>
      <w:r w:rsidRPr="007354CB">
        <w:t xml:space="preserve">are </w:t>
      </w:r>
      <w:proofErr w:type="gramStart"/>
      <w:r w:rsidRPr="007354CB">
        <w:t>directly related</w:t>
      </w:r>
      <w:proofErr w:type="gramEnd"/>
      <w:r w:rsidRPr="007354CB">
        <w:t xml:space="preserve"> to the risk of disappearance during the process of migration</w:t>
      </w:r>
      <w:r>
        <w:t>.</w:t>
      </w:r>
      <w:r w:rsidRPr="007354CB">
        <w:t xml:space="preserve"> </w:t>
      </w:r>
      <w:r>
        <w:t>The following</w:t>
      </w:r>
      <w:r w:rsidRPr="007354CB">
        <w:t xml:space="preserve"> should be used as guidance for the development of prevention policies and strategies: </w:t>
      </w:r>
      <w:r>
        <w:t>o</w:t>
      </w:r>
      <w:r w:rsidRPr="007354CB">
        <w:t>bjective</w:t>
      </w:r>
      <w:r>
        <w:t xml:space="preserve"> </w:t>
      </w:r>
      <w:r w:rsidRPr="007354CB">
        <w:t xml:space="preserve">5 (Enhance availability and flexibility of pathways for regular migration), </w:t>
      </w:r>
      <w:r>
        <w:t>o</w:t>
      </w:r>
      <w:r w:rsidRPr="007354CB">
        <w:t>bjective</w:t>
      </w:r>
      <w:r>
        <w:t xml:space="preserve"> </w:t>
      </w:r>
      <w:r w:rsidRPr="007354CB">
        <w:t xml:space="preserve">7 (Address and reduce vulnerabilities in migration), </w:t>
      </w:r>
      <w:r>
        <w:t>o</w:t>
      </w:r>
      <w:r w:rsidRPr="007354CB">
        <w:t>bjective</w:t>
      </w:r>
      <w:r>
        <w:t xml:space="preserve"> </w:t>
      </w:r>
      <w:r w:rsidRPr="007354CB">
        <w:t xml:space="preserve">8 (Save lives and establish coordinated international efforts on missing migrants), </w:t>
      </w:r>
      <w:r>
        <w:t>o</w:t>
      </w:r>
      <w:r w:rsidRPr="007354CB">
        <w:t>bjective</w:t>
      </w:r>
      <w:r>
        <w:t xml:space="preserve"> </w:t>
      </w:r>
      <w:r w:rsidRPr="007354CB">
        <w:t xml:space="preserve">9 (Strengthen the transnational response to smuggling of migrants), </w:t>
      </w:r>
      <w:r>
        <w:t>o</w:t>
      </w:r>
      <w:r w:rsidRPr="007354CB">
        <w:t>bjective</w:t>
      </w:r>
      <w:r>
        <w:t xml:space="preserve"> </w:t>
      </w:r>
      <w:r w:rsidRPr="007354CB">
        <w:t xml:space="preserve">10 (Prevent, combat and eradicate trafficking in persons in the context of </w:t>
      </w:r>
      <w:r w:rsidRPr="00B4435F">
        <w:t>international migration) and objective 13 (Use immigration detention only as a measure of last resort and work towards alternatives). See also the joint statement on illegal intercountry adoption (</w:t>
      </w:r>
      <w:hyperlink r:id="rId17" w:history="1">
        <w:r w:rsidRPr="00DB3692">
          <w:rPr>
            <w:rStyle w:val="Hyperlink"/>
          </w:rPr>
          <w:t>CED/C/9</w:t>
        </w:r>
      </w:hyperlink>
      <w:r w:rsidRPr="00B4435F">
        <w:t>)</w:t>
      </w:r>
      <w:hyperlink w:history="1"/>
      <w:bookmarkStart w:id="3" w:name="_Hlk131608522"/>
      <w:r w:rsidRPr="00B4435F">
        <w:t>; African Commission on Human and Peoples’ Rights,</w:t>
      </w:r>
      <w:r w:rsidRPr="00B4435F">
        <w:rPr>
          <w:i/>
          <w:iCs/>
        </w:rPr>
        <w:t xml:space="preserve"> Guidelines on the Protection of All Persons from Enforced Disappearances in Africa</w:t>
      </w:r>
      <w:r w:rsidRPr="00B4435F">
        <w:t xml:space="preserve">; </w:t>
      </w:r>
      <w:r w:rsidRPr="00A260F4">
        <w:t>the</w:t>
      </w:r>
      <w:r w:rsidRPr="00B4435F">
        <w:t xml:space="preserve"> Inter-American Principles on the Human Rights of All Migrants, Refugees, Stateless Persons, and Victims of Trafficking in </w:t>
      </w:r>
      <w:r w:rsidRPr="00A260F4">
        <w:t>P</w:t>
      </w:r>
      <w:r w:rsidRPr="00B4435F">
        <w:t>ersons; and ICRC, “Declaration for the Dignified Treatment of all Missing and Deceased Persons and their Families as a Consequence of Migrant Journeys (the Mytilini Declaration</w:t>
      </w:r>
      <w:bookmarkEnd w:id="3"/>
      <w:r w:rsidRPr="00B4435F">
        <w:t>)</w:t>
      </w:r>
      <w:r w:rsidRPr="00A260F4">
        <w:t>”</w:t>
      </w:r>
      <w:r w:rsidRPr="00B4435F">
        <w:t>.</w:t>
      </w:r>
    </w:p>
  </w:footnote>
  <w:footnote w:id="21">
    <w:p w14:paraId="007AE176" w14:textId="1EE96F8E" w:rsidR="00DB3692" w:rsidRPr="005236CE" w:rsidRDefault="00DB3692" w:rsidP="00CB0813">
      <w:pPr>
        <w:pStyle w:val="FootnoteText"/>
        <w:rPr>
          <w:szCs w:val="18"/>
        </w:rPr>
      </w:pPr>
      <w:r>
        <w:rPr>
          <w:szCs w:val="18"/>
        </w:rPr>
        <w:tab/>
      </w:r>
      <w:r w:rsidRPr="005236CE">
        <w:rPr>
          <w:rStyle w:val="FootnoteReference"/>
          <w:szCs w:val="18"/>
        </w:rPr>
        <w:footnoteRef/>
      </w:r>
      <w:r>
        <w:rPr>
          <w:szCs w:val="18"/>
        </w:rPr>
        <w:tab/>
      </w:r>
      <w:hyperlink r:id="rId18" w:history="1">
        <w:r w:rsidRPr="00DB3692">
          <w:rPr>
            <w:rStyle w:val="Hyperlink"/>
            <w:szCs w:val="18"/>
          </w:rPr>
          <w:t>CED/C/10</w:t>
        </w:r>
      </w:hyperlink>
      <w:r w:rsidRPr="005236CE">
        <w:rPr>
          <w:szCs w:val="18"/>
        </w:rPr>
        <w:t>.</w:t>
      </w:r>
    </w:p>
  </w:footnote>
  <w:footnote w:id="22">
    <w:p w14:paraId="0528220B" w14:textId="66791E0D" w:rsidR="00DB3692" w:rsidRPr="007354CB" w:rsidRDefault="00DB3692" w:rsidP="00CB0813">
      <w:pPr>
        <w:pStyle w:val="FootnoteText"/>
      </w:pPr>
      <w:r w:rsidRPr="007354CB">
        <w:tab/>
      </w:r>
      <w:r w:rsidRPr="00CE3939">
        <w:rPr>
          <w:rStyle w:val="FootnoteReference"/>
        </w:rPr>
        <w:footnoteRef/>
      </w:r>
      <w:r w:rsidRPr="00CE3939">
        <w:tab/>
      </w:r>
      <w:r>
        <w:t>“</w:t>
      </w:r>
      <w:r w:rsidRPr="00C32C35">
        <w:t>Immigration detention</w:t>
      </w:r>
      <w:r>
        <w:t>”</w:t>
      </w:r>
      <w:r w:rsidRPr="00C32C35">
        <w:t xml:space="preserve"> is understood to comprise any form of deprivation of liberty that relates to a person’s migration status, encompassing the person’s migratory or residence status, or lack thereof, whether relating to irregular entry or stay or not.</w:t>
      </w:r>
      <w:r w:rsidRPr="00CE3939">
        <w:t xml:space="preserve"> Immigration detention refers to any situation in which a person is deprived of liberty on grounds related to that person’s migration status, regardless of the name or reason given for </w:t>
      </w:r>
      <w:proofErr w:type="gramStart"/>
      <w:r w:rsidRPr="00CE3939">
        <w:t>carrying out</w:t>
      </w:r>
      <w:proofErr w:type="gramEnd"/>
      <w:r w:rsidRPr="00CE3939">
        <w:t xml:space="preserve"> the deprivation of liberty, or the name of the facility or place where the person is being held while deprived of liberty. Accordingly, immigration detention includes the detention of migrants in prisons, police stations, immigration detention centres, closed reception facilities, health-care facilities and any other enclosed spaces, such as international or transit areas at air, land and maritime ports.</w:t>
      </w:r>
      <w:r w:rsidRPr="00A260F4">
        <w:t xml:space="preserve"> </w:t>
      </w:r>
      <w:r w:rsidRPr="00CE3939">
        <w:t xml:space="preserve">“Reasons related to migration status” is understood by the Committee on Migrant Workers to be a person’s migratory or residence status, or the lack thereof, relating to </w:t>
      </w:r>
      <w:r w:rsidRPr="004A5641">
        <w:t>irregular entry, stay or exit (general</w:t>
      </w:r>
      <w:r w:rsidRPr="00CE3939">
        <w:t xml:space="preserve"> comment No. 5 (2021), para. 14).</w:t>
      </w:r>
    </w:p>
  </w:footnote>
  <w:footnote w:id="23">
    <w:p w14:paraId="6FAEBFFC" w14:textId="15F80F40"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hyperlink r:id="rId19" w:history="1">
        <w:r w:rsidRPr="00DB3692">
          <w:rPr>
            <w:rStyle w:val="Hyperlink"/>
          </w:rPr>
          <w:t>CED/C/MEX/VR/1</w:t>
        </w:r>
      </w:hyperlink>
      <w:r w:rsidRPr="00A260F4">
        <w:t xml:space="preserve"> (Findings)</w:t>
      </w:r>
      <w:r w:rsidRPr="00691E87">
        <w:rPr>
          <w:rFonts w:cstheme="minorHAnsi"/>
          <w:szCs w:val="18"/>
        </w:rPr>
        <w:t xml:space="preserve">, </w:t>
      </w:r>
      <w:r w:rsidRPr="007354CB">
        <w:rPr>
          <w:rFonts w:cstheme="minorHAnsi"/>
          <w:szCs w:val="18"/>
        </w:rPr>
        <w:t>para</w:t>
      </w:r>
      <w:r>
        <w:rPr>
          <w:rFonts w:cstheme="minorHAnsi"/>
          <w:szCs w:val="18"/>
        </w:rPr>
        <w:t>.</w:t>
      </w:r>
      <w:r w:rsidRPr="007354CB">
        <w:rPr>
          <w:rFonts w:cstheme="minorHAnsi"/>
          <w:szCs w:val="18"/>
        </w:rPr>
        <w:t xml:space="preserve"> 18.</w:t>
      </w:r>
    </w:p>
  </w:footnote>
  <w:footnote w:id="24">
    <w:p w14:paraId="1E081088" w14:textId="5221FDD3" w:rsidR="00DB3692" w:rsidRPr="00A260F4" w:rsidRDefault="00DB3692" w:rsidP="00CB0813">
      <w:pPr>
        <w:pStyle w:val="FootnoteText"/>
      </w:pPr>
      <w:r w:rsidRPr="007354CB">
        <w:tab/>
      </w:r>
      <w:r w:rsidRPr="009662BA">
        <w:rPr>
          <w:rStyle w:val="FootnoteReference"/>
        </w:rPr>
        <w:footnoteRef/>
      </w:r>
      <w:r w:rsidRPr="00A260F4">
        <w:tab/>
      </w:r>
      <w:hyperlink r:id="rId20" w:history="1"/>
      <w:r w:rsidRPr="00A260F4">
        <w:t>Committee on the Protection of the Rights of All Migrant Workers and Members of Their Families</w:t>
      </w:r>
      <w:r>
        <w:t>,</w:t>
      </w:r>
      <w:r w:rsidRPr="00A260F4">
        <w:t xml:space="preserve"> general comment</w:t>
      </w:r>
      <w:r>
        <w:t xml:space="preserve"> No. 5 (2021), </w:t>
      </w:r>
      <w:r w:rsidRPr="00A260F4">
        <w:t xml:space="preserve">para. 38; and </w:t>
      </w:r>
      <w:hyperlink r:id="rId21" w:history="1">
        <w:r w:rsidRPr="00DB3692">
          <w:rPr>
            <w:rStyle w:val="Hyperlink"/>
          </w:rPr>
          <w:t>A/HRC/36/39/Add.2</w:t>
        </w:r>
      </w:hyperlink>
      <w:r w:rsidRPr="00A260F4">
        <w:t>, para. 22.</w:t>
      </w:r>
    </w:p>
  </w:footnote>
  <w:footnote w:id="25">
    <w:p w14:paraId="366EEDE0" w14:textId="6C142A7E" w:rsidR="00DB3692" w:rsidRPr="00A260F4" w:rsidRDefault="00DB3692" w:rsidP="00CB0813">
      <w:pPr>
        <w:pStyle w:val="FootnoteText"/>
        <w:rPr>
          <w:rFonts w:cstheme="minorHAnsi"/>
          <w:szCs w:val="18"/>
        </w:rPr>
      </w:pPr>
      <w:r w:rsidRPr="00A260F4">
        <w:rPr>
          <w:rFonts w:cstheme="minorHAnsi"/>
          <w:szCs w:val="18"/>
        </w:rPr>
        <w:tab/>
      </w:r>
      <w:r w:rsidRPr="009662BA">
        <w:rPr>
          <w:rStyle w:val="FootnoteReference"/>
        </w:rPr>
        <w:footnoteRef/>
      </w:r>
      <w:r w:rsidRPr="007354CB">
        <w:rPr>
          <w:rFonts w:cstheme="minorHAnsi"/>
          <w:szCs w:val="18"/>
        </w:rPr>
        <w:tab/>
      </w:r>
      <w:hyperlink r:id="rId22" w:history="1">
        <w:r w:rsidRPr="00A260F4">
          <w:t>Key guidelines on enforced disappearance</w:t>
        </w:r>
      </w:hyperlink>
      <w:r>
        <w:rPr>
          <w:rFonts w:cstheme="minorHAnsi"/>
          <w:szCs w:val="18"/>
        </w:rPr>
        <w:t xml:space="preserve"> in the context of the coronavirus disease (COVID-19), issued by the Committee and the Working Group on Enforced or Involuntary Disappearances, </w:t>
      </w:r>
      <w:r w:rsidRPr="007354CB">
        <w:rPr>
          <w:rFonts w:cstheme="minorHAnsi"/>
          <w:szCs w:val="18"/>
        </w:rPr>
        <w:t>paras</w:t>
      </w:r>
      <w:r>
        <w:rPr>
          <w:rFonts w:cstheme="minorHAnsi"/>
          <w:szCs w:val="18"/>
        </w:rPr>
        <w:t>.</w:t>
      </w:r>
      <w:r w:rsidR="002E7302">
        <w:rPr>
          <w:rFonts w:cstheme="minorHAnsi"/>
          <w:szCs w:val="18"/>
        </w:rPr>
        <w:t> </w:t>
      </w:r>
      <w:r w:rsidRPr="00A260F4">
        <w:rPr>
          <w:rFonts w:cstheme="minorHAnsi"/>
          <w:szCs w:val="18"/>
        </w:rPr>
        <w:t xml:space="preserve">23 and 24. </w:t>
      </w:r>
    </w:p>
  </w:footnote>
  <w:footnote w:id="26">
    <w:p w14:paraId="58A87441" w14:textId="5CAF25C6" w:rsidR="00DB3692" w:rsidRPr="007354CB" w:rsidRDefault="00DB3692" w:rsidP="00CB0813">
      <w:pPr>
        <w:pStyle w:val="FootnoteText"/>
      </w:pPr>
      <w:r w:rsidRPr="00A260F4">
        <w:tab/>
      </w:r>
      <w:r w:rsidRPr="009662BA">
        <w:rPr>
          <w:rStyle w:val="FootnoteReference"/>
        </w:rPr>
        <w:footnoteRef/>
      </w:r>
      <w:r w:rsidRPr="00A260F4">
        <w:tab/>
        <w:t>Committee on the Rights of the Child, general comment No. 6 (2005) on treatment of unaccompanied and separated children outside of their country of origin, para. 61;</w:t>
      </w:r>
      <w:r w:rsidRPr="00FB3278">
        <w:t xml:space="preserve"> joint</w:t>
      </w:r>
      <w:r w:rsidRPr="00841804">
        <w:t xml:space="preserve"> general comment No. 4 of the Committee on the Protection of the Rights of All Migrant Workers and Members of Their Families/No. 23 of the Committee on the Rights of the Child (2017) on State obligations regarding the human rights of children in the context of international migration in countries of origin, transit, destination and return,</w:t>
      </w:r>
      <w:r>
        <w:t xml:space="preserve"> </w:t>
      </w:r>
      <w:r w:rsidRPr="00A260F4">
        <w:t xml:space="preserve">paras. </w:t>
      </w:r>
      <w:r w:rsidRPr="00FF1364">
        <w:t xml:space="preserve">5 and 8; </w:t>
      </w:r>
      <w:r w:rsidRPr="003F605B">
        <w:t>Committee on the Protection of the Rights of All Migrant Workers and Members of Their Families, general comment No. 5 (2021), paras. 39–</w:t>
      </w:r>
      <w:r w:rsidRPr="00E12EEC">
        <w:t>44</w:t>
      </w:r>
      <w:r w:rsidRPr="00A260F4">
        <w:t xml:space="preserve">; </w:t>
      </w:r>
      <w:r w:rsidRPr="00E12EEC">
        <w:t xml:space="preserve">and </w:t>
      </w:r>
      <w:hyperlink r:id="rId23" w:history="1">
        <w:r w:rsidRPr="00DB3692">
          <w:rPr>
            <w:rStyle w:val="Hyperlink"/>
          </w:rPr>
          <w:t>A/75/183</w:t>
        </w:r>
      </w:hyperlink>
      <w:r w:rsidRPr="00E12EEC">
        <w:t>.</w:t>
      </w:r>
    </w:p>
  </w:footnote>
  <w:footnote w:id="27">
    <w:p w14:paraId="5180BF33" w14:textId="4648FC77" w:rsidR="00DB3692" w:rsidRPr="007354CB" w:rsidRDefault="00DB3692" w:rsidP="00CB0813">
      <w:pPr>
        <w:pStyle w:val="FootnoteText"/>
      </w:pPr>
      <w:r w:rsidRPr="007354CB">
        <w:tab/>
      </w:r>
      <w:r w:rsidRPr="009662BA">
        <w:rPr>
          <w:rStyle w:val="FootnoteReference"/>
        </w:rPr>
        <w:footnoteRef/>
      </w:r>
      <w:r w:rsidRPr="00A260F4">
        <w:tab/>
      </w:r>
      <w:r w:rsidRPr="002E086C">
        <w:t>Committee on the Protection of the Rights of All Migrant Workers and Members of Their Families, general comment No. 5</w:t>
      </w:r>
      <w:r>
        <w:t xml:space="preserve"> (2021)</w:t>
      </w:r>
      <w:r w:rsidRPr="00A260F4">
        <w:t>, para. 44;</w:t>
      </w:r>
      <w:r w:rsidRPr="0096311E">
        <w:t xml:space="preserve"> Committee on the Rights of the Child, general comment No.</w:t>
      </w:r>
      <w:r w:rsidR="0038777B">
        <w:t> </w:t>
      </w:r>
      <w:r w:rsidRPr="0096311E">
        <w:t>6 (2005)</w:t>
      </w:r>
      <w:r w:rsidRPr="00A260F4">
        <w:t xml:space="preserve">, paras. </w:t>
      </w:r>
      <w:r w:rsidRPr="009F0831">
        <w:t xml:space="preserve">40 and </w:t>
      </w:r>
      <w:r w:rsidRPr="00361443">
        <w:t xml:space="preserve">61–63; joint general comment No. 3 of the Committee on the Protection of the Rights of All Migrant Workers and Members of Their Families/No. 22 of the Committee on the Rights of the Child (2017) on </w:t>
      </w:r>
      <w:r w:rsidRPr="0066546F">
        <w:t>the general principles regarding the human rights of children in the context of international migration</w:t>
      </w:r>
      <w:r w:rsidRPr="00361443">
        <w:t>, para. 32; and joint general comment No. 4 of the Committee on the Protection of the Rights of All Migrant Workers and Members of Their Families/No. 23 of the Committee on the Rights of the Child (2017), paras. 12</w:t>
      </w:r>
      <w:r>
        <w:t xml:space="preserve"> and </w:t>
      </w:r>
      <w:r w:rsidRPr="007354CB">
        <w:t>13.</w:t>
      </w:r>
    </w:p>
  </w:footnote>
  <w:footnote w:id="28">
    <w:p w14:paraId="5333DC58" w14:textId="60DB6417" w:rsidR="00DB3692" w:rsidRPr="00A260F4"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A260F4">
        <w:rPr>
          <w:rFonts w:cstheme="minorHAnsi"/>
          <w:szCs w:val="18"/>
        </w:rPr>
        <w:tab/>
      </w:r>
      <w:hyperlink r:id="rId24" w:history="1">
        <w:r w:rsidRPr="00DB3692">
          <w:rPr>
            <w:rStyle w:val="Hyperlink"/>
            <w:rFonts w:cstheme="minorHAnsi"/>
            <w:szCs w:val="18"/>
          </w:rPr>
          <w:t>CED/C/10</w:t>
        </w:r>
      </w:hyperlink>
      <w:r w:rsidRPr="00A260F4">
        <w:rPr>
          <w:rFonts w:cstheme="minorHAnsi"/>
          <w:szCs w:val="18"/>
        </w:rPr>
        <w:t>, paras. 2</w:t>
      </w:r>
      <w:r w:rsidRPr="00541A61">
        <w:rPr>
          <w:rFonts w:cstheme="minorHAnsi"/>
          <w:szCs w:val="18"/>
        </w:rPr>
        <w:t>–</w:t>
      </w:r>
      <w:r w:rsidRPr="00A260F4">
        <w:rPr>
          <w:rFonts w:cstheme="minorHAnsi"/>
          <w:szCs w:val="18"/>
        </w:rPr>
        <w:t xml:space="preserve">8; </w:t>
      </w:r>
      <w:hyperlink r:id="rId25" w:history="1">
        <w:r w:rsidRPr="00DB3692">
          <w:rPr>
            <w:rStyle w:val="Hyperlink"/>
          </w:rPr>
          <w:t>A/HRC/13/42</w:t>
        </w:r>
      </w:hyperlink>
      <w:r w:rsidRPr="00541A61">
        <w:rPr>
          <w:rFonts w:cstheme="minorHAnsi"/>
          <w:szCs w:val="18"/>
        </w:rPr>
        <w:t xml:space="preserve">; </w:t>
      </w:r>
      <w:hyperlink r:id="rId26" w:history="1">
        <w:r w:rsidRPr="00DB3692">
          <w:rPr>
            <w:rStyle w:val="Hyperlink"/>
          </w:rPr>
          <w:t>A/HRC/36/39/Add.2</w:t>
        </w:r>
      </w:hyperlink>
      <w:r w:rsidRPr="00A260F4">
        <w:rPr>
          <w:rFonts w:eastAsiaTheme="minorEastAsia" w:cstheme="minorHAnsi"/>
          <w:szCs w:val="18"/>
        </w:rPr>
        <w:t>, paras</w:t>
      </w:r>
      <w:r w:rsidRPr="00541A61">
        <w:rPr>
          <w:rFonts w:eastAsiaTheme="minorEastAsia" w:cstheme="minorHAnsi"/>
          <w:szCs w:val="18"/>
        </w:rPr>
        <w:t>.</w:t>
      </w:r>
      <w:r w:rsidRPr="00A260F4">
        <w:rPr>
          <w:rFonts w:eastAsiaTheme="minorEastAsia" w:cstheme="minorHAnsi"/>
          <w:szCs w:val="18"/>
        </w:rPr>
        <w:t xml:space="preserve"> 21–24; </w:t>
      </w:r>
      <w:r w:rsidRPr="00332561">
        <w:rPr>
          <w:rFonts w:cstheme="minorHAnsi"/>
          <w:szCs w:val="18"/>
        </w:rPr>
        <w:t>Human Rights Committee, general comment No. 36 (2018) on the right to life, paras. 57 and 58</w:t>
      </w:r>
      <w:r>
        <w:rPr>
          <w:rFonts w:cstheme="minorHAnsi"/>
          <w:szCs w:val="18"/>
        </w:rPr>
        <w:t xml:space="preserve">; </w:t>
      </w:r>
      <w:r w:rsidRPr="00CE3939">
        <w:rPr>
          <w:rFonts w:cstheme="minorHAnsi"/>
          <w:szCs w:val="18"/>
        </w:rPr>
        <w:t>Committee on the Protection of the Rights of All Migrant Workers and Members of Their Families, general comment No. 5 (2021)</w:t>
      </w:r>
      <w:r w:rsidRPr="00A260F4">
        <w:rPr>
          <w:rFonts w:cstheme="minorHAnsi"/>
          <w:szCs w:val="18"/>
        </w:rPr>
        <w:t xml:space="preserve">, para. </w:t>
      </w:r>
      <w:r w:rsidRPr="00CE3939">
        <w:rPr>
          <w:rFonts w:cstheme="minorHAnsi"/>
          <w:szCs w:val="18"/>
        </w:rPr>
        <w:t xml:space="preserve">17; </w:t>
      </w:r>
      <w:r>
        <w:rPr>
          <w:rFonts w:cstheme="minorHAnsi"/>
          <w:szCs w:val="18"/>
        </w:rPr>
        <w:t xml:space="preserve">and </w:t>
      </w:r>
      <w:r w:rsidRPr="00CE3939">
        <w:rPr>
          <w:rFonts w:cstheme="minorHAnsi"/>
          <w:szCs w:val="18"/>
        </w:rPr>
        <w:t xml:space="preserve">Inter-American Commission on Human Rights, </w:t>
      </w:r>
      <w:r w:rsidRPr="00CE3939">
        <w:rPr>
          <w:rFonts w:cstheme="minorHAnsi"/>
          <w:i/>
          <w:iCs/>
          <w:szCs w:val="18"/>
        </w:rPr>
        <w:t xml:space="preserve">Human Rights of Migrants and Other Persons in the Context of Human Mobility in Mexico </w:t>
      </w:r>
      <w:r w:rsidRPr="00CE3939">
        <w:rPr>
          <w:rFonts w:cstheme="minorHAnsi"/>
          <w:szCs w:val="18"/>
        </w:rPr>
        <w:t>(2013</w:t>
      </w:r>
      <w:r w:rsidRPr="00A260F4">
        <w:rPr>
          <w:rFonts w:cstheme="minorHAnsi"/>
          <w:szCs w:val="18"/>
        </w:rPr>
        <w:t>)</w:t>
      </w:r>
      <w:r w:rsidRPr="00CE3939">
        <w:rPr>
          <w:rFonts w:cstheme="minorHAnsi"/>
          <w:szCs w:val="18"/>
        </w:rPr>
        <w:t xml:space="preserve">, paras. </w:t>
      </w:r>
      <w:r w:rsidRPr="00A260F4">
        <w:rPr>
          <w:rFonts w:cstheme="minorHAnsi"/>
          <w:szCs w:val="18"/>
        </w:rPr>
        <w:t>175–240.</w:t>
      </w:r>
    </w:p>
  </w:footnote>
  <w:footnote w:id="29">
    <w:p w14:paraId="07990D7D" w14:textId="5B9BA9DC" w:rsidR="00DB3692" w:rsidRPr="00A260F4" w:rsidRDefault="00DB3692" w:rsidP="00CB0813">
      <w:pPr>
        <w:pStyle w:val="FootnoteText"/>
        <w:rPr>
          <w:rFonts w:cstheme="minorHAnsi"/>
          <w:szCs w:val="18"/>
        </w:rPr>
      </w:pPr>
      <w:r w:rsidRPr="00A260F4">
        <w:rPr>
          <w:rFonts w:cstheme="minorHAnsi"/>
          <w:szCs w:val="18"/>
        </w:rPr>
        <w:tab/>
      </w:r>
      <w:r w:rsidRPr="009662BA">
        <w:rPr>
          <w:rStyle w:val="FootnoteReference"/>
        </w:rPr>
        <w:footnoteRef/>
      </w:r>
      <w:r w:rsidRPr="00A260F4">
        <w:rPr>
          <w:rFonts w:cstheme="minorHAnsi"/>
          <w:szCs w:val="18"/>
        </w:rPr>
        <w:tab/>
      </w:r>
      <w:hyperlink r:id="rId27" w:history="1">
        <w:r w:rsidRPr="00DB3692">
          <w:rPr>
            <w:rStyle w:val="Hyperlink"/>
          </w:rPr>
          <w:t>E/CN.4/2003/71</w:t>
        </w:r>
      </w:hyperlink>
      <w:r w:rsidRPr="00A260F4">
        <w:rPr>
          <w:rFonts w:cstheme="minorHAnsi"/>
          <w:szCs w:val="18"/>
        </w:rPr>
        <w:t>, para. 67.</w:t>
      </w:r>
    </w:p>
  </w:footnote>
  <w:footnote w:id="30">
    <w:p w14:paraId="15A72F02" w14:textId="7DD03F26" w:rsidR="00DB3692" w:rsidRPr="006B17B4" w:rsidRDefault="00DB3692" w:rsidP="00CB0813">
      <w:pPr>
        <w:pStyle w:val="FootnoteText"/>
      </w:pPr>
      <w:r w:rsidRPr="00A260F4">
        <w:tab/>
      </w:r>
      <w:r w:rsidRPr="009662BA">
        <w:rPr>
          <w:rStyle w:val="FootnoteReference"/>
        </w:rPr>
        <w:footnoteRef/>
      </w:r>
      <w:r w:rsidRPr="006B17B4">
        <w:tab/>
      </w:r>
      <w:r w:rsidRPr="00311C82">
        <w:t xml:space="preserve">Committee on the Protection of the Rights of All Migrant Workers and Members of Their Families, general comment No. 5 (2021), paras. 12 and 13; </w:t>
      </w:r>
      <w:r w:rsidRPr="00A260F4">
        <w:t xml:space="preserve">and </w:t>
      </w:r>
      <w:r w:rsidRPr="00311C82">
        <w:t>joint</w:t>
      </w:r>
      <w:r w:rsidRPr="00B746FD">
        <w:t xml:space="preserve"> general comment No. 4 of the Committee on the Protection of the Rights of All Migrant Workers and Members of Their Families/No. 23 of the Committee on the Rights of the Child (2017), para. 6.</w:t>
      </w:r>
    </w:p>
  </w:footnote>
  <w:footnote w:id="31">
    <w:p w14:paraId="49C314DA" w14:textId="1B8392CB" w:rsidR="00DB3692" w:rsidRPr="007354CB" w:rsidRDefault="00DB3692" w:rsidP="00CB0813">
      <w:pPr>
        <w:pStyle w:val="FootnoteText"/>
        <w:rPr>
          <w:rFonts w:cstheme="minorHAnsi"/>
          <w:szCs w:val="18"/>
        </w:rPr>
      </w:pPr>
      <w:r w:rsidRPr="006B17B4">
        <w:rPr>
          <w:rFonts w:cstheme="minorHAnsi"/>
          <w:szCs w:val="18"/>
        </w:rPr>
        <w:tab/>
      </w:r>
      <w:r w:rsidRPr="009662BA">
        <w:rPr>
          <w:rStyle w:val="FootnoteReference"/>
        </w:rPr>
        <w:footnoteRef/>
      </w:r>
      <w:r w:rsidRPr="00A260F4">
        <w:rPr>
          <w:rFonts w:cstheme="minorHAnsi"/>
          <w:szCs w:val="18"/>
        </w:rPr>
        <w:tab/>
      </w:r>
      <w:r w:rsidRPr="00A260F4">
        <w:rPr>
          <w:rFonts w:cstheme="minorHAnsi"/>
          <w:i/>
          <w:iCs/>
          <w:szCs w:val="18"/>
        </w:rPr>
        <w:t xml:space="preserve">Yrusta and Yrusta v. Argentina </w:t>
      </w:r>
      <w:r w:rsidRPr="00A260F4">
        <w:rPr>
          <w:rFonts w:cstheme="minorHAnsi"/>
          <w:szCs w:val="18"/>
        </w:rPr>
        <w:t>(</w:t>
      </w:r>
      <w:hyperlink r:id="rId28" w:history="1">
        <w:r w:rsidRPr="00DB3692">
          <w:rPr>
            <w:rStyle w:val="Hyperlink"/>
          </w:rPr>
          <w:t>CED/C/10/D/1/2013</w:t>
        </w:r>
      </w:hyperlink>
      <w:r w:rsidRPr="00A260F4">
        <w:rPr>
          <w:rFonts w:cstheme="minorHAnsi"/>
          <w:szCs w:val="18"/>
        </w:rPr>
        <w:t xml:space="preserve">), para. </w:t>
      </w:r>
      <w:r w:rsidRPr="007354CB">
        <w:rPr>
          <w:rFonts w:cstheme="minorHAnsi"/>
          <w:szCs w:val="18"/>
        </w:rPr>
        <w:t>10.3.</w:t>
      </w:r>
    </w:p>
  </w:footnote>
  <w:footnote w:id="32">
    <w:p w14:paraId="5C03C0B7" w14:textId="5B0075F9" w:rsidR="00DB3692" w:rsidRPr="007354CB" w:rsidRDefault="00DB3692" w:rsidP="00CB0813">
      <w:pPr>
        <w:pStyle w:val="FootnoteText"/>
      </w:pPr>
      <w:r w:rsidRPr="007354CB">
        <w:tab/>
      </w:r>
      <w:r w:rsidRPr="009662BA">
        <w:rPr>
          <w:rStyle w:val="FootnoteReference"/>
        </w:rPr>
        <w:footnoteRef/>
      </w:r>
      <w:r w:rsidRPr="007354CB">
        <w:tab/>
      </w:r>
      <w:r>
        <w:t>For example,</w:t>
      </w:r>
      <w:r w:rsidRPr="007354CB">
        <w:t xml:space="preserve"> the International Covenant on Civil and Political </w:t>
      </w:r>
      <w:r w:rsidRPr="00741E4A">
        <w:t>Rights, the International Convention on the Protection of the Rights of All Migrant Workers and Members of Their Families, the Convention on the Rights of the Child and</w:t>
      </w:r>
      <w:r w:rsidRPr="007354CB">
        <w:t xml:space="preserve"> the Convention against Torture and Other Cruel, Inhuman or Degrading Treatment or Punishm</w:t>
      </w:r>
      <w:r w:rsidRPr="00731BB4">
        <w:t xml:space="preserve">ent </w:t>
      </w:r>
      <w:r>
        <w:t>(s</w:t>
      </w:r>
      <w:r w:rsidRPr="00731BB4">
        <w:t>ee</w:t>
      </w:r>
      <w:r>
        <w:t xml:space="preserve"> </w:t>
      </w:r>
      <w:r w:rsidRPr="0097069F">
        <w:t>Committee on the Protection of the Rights of All Migrant Workers and Members of Their Families, general comments No. 2 (2013) on the rights of migrant workers in an irregular situation and members of their families</w:t>
      </w:r>
      <w:r w:rsidRPr="00CE3939">
        <w:t xml:space="preserve">, paras. 27–33, </w:t>
      </w:r>
      <w:r w:rsidRPr="00386B88">
        <w:t>and No. 5 (2021), paras.</w:t>
      </w:r>
      <w:r w:rsidR="00355F4A">
        <w:t> </w:t>
      </w:r>
      <w:r w:rsidRPr="00386B88">
        <w:t xml:space="preserve">53, </w:t>
      </w:r>
      <w:r w:rsidRPr="004B039C">
        <w:t xml:space="preserve">58 and 65–67. See also </w:t>
      </w:r>
      <w:hyperlink r:id="rId29" w:history="1">
        <w:r w:rsidRPr="00DB3692">
          <w:rPr>
            <w:rStyle w:val="Hyperlink"/>
          </w:rPr>
          <w:t>CED/C/GRC/CO/1</w:t>
        </w:r>
      </w:hyperlink>
      <w:r w:rsidRPr="004B039C">
        <w:t>, para. 31 (</w:t>
      </w:r>
      <w:r w:rsidRPr="00A260F4">
        <w:t>c</w:t>
      </w:r>
      <w:r w:rsidRPr="004B039C">
        <w:t>)</w:t>
      </w:r>
      <w:r w:rsidRPr="00A260F4">
        <w:t xml:space="preserve"> and </w:t>
      </w:r>
      <w:r w:rsidRPr="004B039C">
        <w:t>(</w:t>
      </w:r>
      <w:r w:rsidRPr="00A260F4">
        <w:t>d</w:t>
      </w:r>
      <w:r w:rsidRPr="004B039C">
        <w:t xml:space="preserve">); </w:t>
      </w:r>
      <w:hyperlink r:id="rId30" w:history="1">
        <w:r w:rsidRPr="00DB3692">
          <w:rPr>
            <w:rStyle w:val="Hyperlink"/>
          </w:rPr>
          <w:t>CED/C/FRA/CO/1</w:t>
        </w:r>
      </w:hyperlink>
      <w:r w:rsidRPr="004B039C">
        <w:t>, paras.</w:t>
      </w:r>
      <w:r w:rsidR="00355F4A">
        <w:t> </w:t>
      </w:r>
      <w:r w:rsidRPr="00A260F4">
        <w:t>30 and 31</w:t>
      </w:r>
      <w:r w:rsidRPr="004B039C">
        <w:t xml:space="preserve">; and </w:t>
      </w:r>
      <w:hyperlink r:id="rId31" w:history="1">
        <w:r w:rsidRPr="00DB3692">
          <w:rPr>
            <w:rStyle w:val="Hyperlink"/>
          </w:rPr>
          <w:t>A/HRC/37/50</w:t>
        </w:r>
      </w:hyperlink>
      <w:r w:rsidRPr="00DC1801">
        <w:t>, paras. 73</w:t>
      </w:r>
      <w:r w:rsidRPr="00A260F4">
        <w:t xml:space="preserve"> and </w:t>
      </w:r>
      <w:r w:rsidRPr="00DC1801">
        <w:t>74</w:t>
      </w:r>
      <w:r>
        <w:t>)</w:t>
      </w:r>
      <w:r w:rsidRPr="00DC1801">
        <w:t>.</w:t>
      </w:r>
    </w:p>
  </w:footnote>
  <w:footnote w:id="33">
    <w:p w14:paraId="17051E4D" w14:textId="0D41FD56"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Pr>
          <w:rFonts w:cstheme="minorHAnsi"/>
          <w:szCs w:val="18"/>
        </w:rPr>
        <w:tab/>
      </w:r>
      <w:hyperlink r:id="rId32" w:history="1">
        <w:r w:rsidRPr="00DB3692">
          <w:rPr>
            <w:rStyle w:val="Hyperlink"/>
          </w:rPr>
          <w:t>CED/C/GRC/CO/1</w:t>
        </w:r>
      </w:hyperlink>
      <w:r w:rsidRPr="00004904">
        <w:rPr>
          <w:rFonts w:cstheme="minorHAnsi"/>
          <w:szCs w:val="18"/>
        </w:rPr>
        <w:t>,</w:t>
      </w:r>
      <w:r w:rsidRPr="007354CB">
        <w:rPr>
          <w:rFonts w:cstheme="minorHAnsi"/>
          <w:szCs w:val="18"/>
        </w:rPr>
        <w:t xml:space="preserve"> para</w:t>
      </w:r>
      <w:r>
        <w:rPr>
          <w:rFonts w:cstheme="minorHAnsi"/>
          <w:szCs w:val="18"/>
        </w:rPr>
        <w:t>.</w:t>
      </w:r>
      <w:r w:rsidRPr="007354CB">
        <w:rPr>
          <w:rFonts w:cstheme="minorHAnsi"/>
          <w:szCs w:val="18"/>
        </w:rPr>
        <w:t xml:space="preserve"> 31 (d).</w:t>
      </w:r>
    </w:p>
  </w:footnote>
  <w:footnote w:id="34">
    <w:p w14:paraId="3A682014" w14:textId="77777777" w:rsidR="00DB3692" w:rsidRPr="007354CB" w:rsidRDefault="00DB3692" w:rsidP="00CB0813">
      <w:pPr>
        <w:pStyle w:val="FootnoteText"/>
      </w:pPr>
      <w:r w:rsidRPr="007354CB">
        <w:tab/>
      </w:r>
      <w:r w:rsidRPr="009662BA">
        <w:rPr>
          <w:rStyle w:val="FootnoteReference"/>
        </w:rPr>
        <w:footnoteRef/>
      </w:r>
      <w:r>
        <w:tab/>
        <w:t>Ibid.</w:t>
      </w:r>
      <w:r w:rsidRPr="007354CB">
        <w:t>, para</w:t>
      </w:r>
      <w:r>
        <w:t>.</w:t>
      </w:r>
      <w:r w:rsidRPr="007354CB">
        <w:t xml:space="preserve"> 31 (a).</w:t>
      </w:r>
    </w:p>
  </w:footnote>
  <w:footnote w:id="35">
    <w:p w14:paraId="47A36A45" w14:textId="3BBAB3EA" w:rsidR="00DB3692" w:rsidRPr="007354CB" w:rsidRDefault="00DB3692" w:rsidP="00CB0813">
      <w:pPr>
        <w:pStyle w:val="FootnoteText"/>
      </w:pPr>
      <w:r w:rsidRPr="007354CB">
        <w:tab/>
      </w:r>
      <w:r w:rsidRPr="009662BA">
        <w:rPr>
          <w:rStyle w:val="FootnoteReference"/>
        </w:rPr>
        <w:footnoteRef/>
      </w:r>
      <w:r>
        <w:tab/>
      </w:r>
      <w:r w:rsidRPr="007354CB">
        <w:t xml:space="preserve">UNHCR, Guidelines on the Applicable Criteria and Standards relating to the Detention of Asylum-Seekers and Alternatives to Detention </w:t>
      </w:r>
      <w:r>
        <w:t xml:space="preserve">(Geneva, </w:t>
      </w:r>
      <w:r w:rsidRPr="007354CB">
        <w:t>2012</w:t>
      </w:r>
      <w:r>
        <w:t>)</w:t>
      </w:r>
      <w:r w:rsidRPr="007354CB">
        <w:t xml:space="preserve">, </w:t>
      </w:r>
      <w:r>
        <w:t xml:space="preserve">para. 47 </w:t>
      </w:r>
      <w:r w:rsidRPr="007354CB">
        <w:t>(vii)</w:t>
      </w:r>
      <w:r w:rsidRPr="007354CB">
        <w:rPr>
          <w:shd w:val="clear" w:color="auto" w:fill="FFFFFF"/>
        </w:rPr>
        <w:t>.</w:t>
      </w:r>
    </w:p>
  </w:footnote>
  <w:footnote w:id="36">
    <w:p w14:paraId="6330AC16" w14:textId="4490818B" w:rsidR="00DB3692" w:rsidRPr="00A260F4" w:rsidRDefault="00DB3692" w:rsidP="00CB0813">
      <w:pPr>
        <w:pStyle w:val="FootnoteText"/>
        <w:rPr>
          <w:rFonts w:cstheme="minorHAnsi"/>
          <w:szCs w:val="18"/>
          <w:lang w:val="es-ES"/>
        </w:rPr>
      </w:pPr>
      <w:r w:rsidRPr="007354CB">
        <w:rPr>
          <w:rFonts w:cstheme="minorHAnsi"/>
          <w:szCs w:val="18"/>
        </w:rPr>
        <w:tab/>
      </w:r>
      <w:r w:rsidRPr="009662BA">
        <w:rPr>
          <w:rStyle w:val="FootnoteReference"/>
        </w:rPr>
        <w:footnoteRef/>
      </w:r>
      <w:r>
        <w:rPr>
          <w:rFonts w:cstheme="minorHAnsi"/>
          <w:szCs w:val="18"/>
        </w:rPr>
        <w:tab/>
      </w:r>
      <w:hyperlink r:id="rId33" w:history="1">
        <w:r w:rsidRPr="00DB3692">
          <w:rPr>
            <w:rStyle w:val="Hyperlink"/>
          </w:rPr>
          <w:t>CED/C/MEX/VR/1</w:t>
        </w:r>
      </w:hyperlink>
      <w:r w:rsidRPr="00A260F4">
        <w:t xml:space="preserve"> (Recommendations)</w:t>
      </w:r>
      <w:r w:rsidRPr="00D274E5">
        <w:rPr>
          <w:rFonts w:cstheme="minorHAnsi"/>
          <w:szCs w:val="18"/>
        </w:rPr>
        <w:t>, para. 111</w:t>
      </w:r>
      <w:r w:rsidRPr="00674E7B">
        <w:rPr>
          <w:rFonts w:cstheme="minorHAnsi"/>
          <w:szCs w:val="18"/>
        </w:rPr>
        <w:t xml:space="preserve">; </w:t>
      </w:r>
      <w:hyperlink r:id="rId34" w:history="1">
        <w:r w:rsidRPr="00DB3692">
          <w:rPr>
            <w:rStyle w:val="Hyperlink"/>
          </w:rPr>
          <w:t>CED/C/ITA/CO/1</w:t>
        </w:r>
      </w:hyperlink>
      <w:r w:rsidRPr="00674E7B">
        <w:rPr>
          <w:rFonts w:cstheme="minorHAnsi"/>
          <w:szCs w:val="18"/>
        </w:rPr>
        <w:t xml:space="preserve">, paras. 28 and 29; </w:t>
      </w:r>
      <w:hyperlink r:id="rId35" w:history="1">
        <w:r w:rsidRPr="00DB3692">
          <w:rPr>
            <w:rStyle w:val="Hyperlink"/>
          </w:rPr>
          <w:t>CED/C/JPN/CO/1</w:t>
        </w:r>
      </w:hyperlink>
      <w:r w:rsidRPr="00CD1C57">
        <w:rPr>
          <w:rFonts w:cstheme="minorHAnsi"/>
          <w:szCs w:val="18"/>
        </w:rPr>
        <w:t xml:space="preserve">, paras. 35 and 36; </w:t>
      </w:r>
      <w:hyperlink r:id="rId36" w:history="1">
        <w:r w:rsidRPr="00DB3692">
          <w:rPr>
            <w:rStyle w:val="Hyperlink"/>
          </w:rPr>
          <w:t>A/HRC/36/39/Add.2</w:t>
        </w:r>
      </w:hyperlink>
      <w:r w:rsidRPr="00DE2179">
        <w:rPr>
          <w:rFonts w:eastAsiaTheme="minorEastAsia" w:cstheme="minorHAnsi"/>
          <w:szCs w:val="18"/>
        </w:rPr>
        <w:t>, paras. 23</w:t>
      </w:r>
      <w:r w:rsidRPr="00A260F4">
        <w:rPr>
          <w:rFonts w:eastAsiaTheme="minorEastAsia" w:cstheme="minorHAnsi"/>
          <w:szCs w:val="18"/>
        </w:rPr>
        <w:t>,</w:t>
      </w:r>
      <w:r w:rsidRPr="00DE2179">
        <w:rPr>
          <w:rFonts w:eastAsiaTheme="minorEastAsia" w:cstheme="minorHAnsi"/>
          <w:szCs w:val="18"/>
        </w:rPr>
        <w:t xml:space="preserve"> 24 and 62; </w:t>
      </w:r>
      <w:r w:rsidRPr="00344441">
        <w:rPr>
          <w:rFonts w:eastAsiaTheme="minorEastAsia" w:cstheme="minorHAnsi"/>
          <w:szCs w:val="18"/>
        </w:rPr>
        <w:t>and</w:t>
      </w:r>
      <w:r w:rsidRPr="00344441">
        <w:rPr>
          <w:rFonts w:eastAsia="Verdana" w:cstheme="minorHAnsi"/>
          <w:szCs w:val="18"/>
        </w:rPr>
        <w:t xml:space="preserve"> </w:t>
      </w:r>
      <w:hyperlink r:id="rId37" w:history="1">
        <w:r w:rsidRPr="00DB3692">
          <w:rPr>
            <w:rStyle w:val="Hyperlink"/>
          </w:rPr>
          <w:t>E/CN.4/1997/34</w:t>
        </w:r>
      </w:hyperlink>
      <w:r w:rsidRPr="00344441">
        <w:rPr>
          <w:rFonts w:eastAsia="Verdana" w:cstheme="minorHAnsi"/>
          <w:szCs w:val="18"/>
        </w:rPr>
        <w:t xml:space="preserve">, paras. </w:t>
      </w:r>
      <w:r w:rsidRPr="00A260F4">
        <w:rPr>
          <w:rFonts w:eastAsia="Verdana" w:cstheme="minorHAnsi"/>
          <w:szCs w:val="18"/>
          <w:lang w:val="es-ES"/>
        </w:rPr>
        <w:t>22–30.</w:t>
      </w:r>
    </w:p>
  </w:footnote>
  <w:footnote w:id="37">
    <w:p w14:paraId="5D46ABB8" w14:textId="58A0891F" w:rsidR="00DB3692" w:rsidRPr="00A260F4" w:rsidRDefault="00DB3692" w:rsidP="00CB0813">
      <w:pPr>
        <w:pStyle w:val="FootnoteText"/>
        <w:rPr>
          <w:rFonts w:cstheme="minorHAnsi"/>
          <w:szCs w:val="18"/>
          <w:lang w:val="es-ES"/>
        </w:rPr>
      </w:pPr>
      <w:r w:rsidRPr="00A260F4">
        <w:rPr>
          <w:rFonts w:cstheme="minorHAnsi"/>
          <w:szCs w:val="18"/>
          <w:lang w:val="es-ES"/>
        </w:rPr>
        <w:tab/>
      </w:r>
      <w:r w:rsidRPr="009662BA">
        <w:rPr>
          <w:rStyle w:val="FootnoteReference"/>
        </w:rPr>
        <w:footnoteRef/>
      </w:r>
      <w:r w:rsidRPr="00A260F4">
        <w:rPr>
          <w:rFonts w:cstheme="minorHAnsi"/>
          <w:szCs w:val="18"/>
          <w:lang w:val="es-ES"/>
        </w:rPr>
        <w:tab/>
      </w:r>
      <w:hyperlink r:id="rId38" w:history="1">
        <w:r w:rsidRPr="00DB3692">
          <w:rPr>
            <w:rStyle w:val="Hyperlink"/>
            <w:lang w:val="es-ES"/>
          </w:rPr>
          <w:t>CED/C/NLD/CO/1</w:t>
        </w:r>
      </w:hyperlink>
      <w:r w:rsidRPr="00A260F4">
        <w:rPr>
          <w:rFonts w:cstheme="minorHAnsi"/>
          <w:szCs w:val="18"/>
          <w:lang w:val="es-ES"/>
        </w:rPr>
        <w:t>, para. 29.</w:t>
      </w:r>
    </w:p>
  </w:footnote>
  <w:footnote w:id="38">
    <w:p w14:paraId="7B36A8FA" w14:textId="77777777" w:rsidR="00DB3692" w:rsidRPr="00A260F4" w:rsidRDefault="00DB3692" w:rsidP="00CB0813">
      <w:pPr>
        <w:pStyle w:val="FootnoteText"/>
      </w:pPr>
      <w:r w:rsidRPr="007A5A91">
        <w:rPr>
          <w:lang w:val="es-ES"/>
        </w:rPr>
        <w:tab/>
      </w:r>
      <w:r w:rsidRPr="009662BA">
        <w:rPr>
          <w:rStyle w:val="FootnoteReference"/>
        </w:rPr>
        <w:footnoteRef/>
      </w:r>
      <w:r w:rsidRPr="007A5A91">
        <w:rPr>
          <w:lang w:val="es-ES"/>
        </w:rPr>
        <w:tab/>
      </w:r>
      <w:r w:rsidRPr="00F931FD">
        <w:rPr>
          <w:i/>
          <w:iCs/>
          <w:lang w:val="es-ES"/>
        </w:rPr>
        <w:t>Yrusta and Yrusta v. Argentina</w:t>
      </w:r>
      <w:r w:rsidRPr="007A5A91">
        <w:rPr>
          <w:lang w:val="es-ES"/>
        </w:rPr>
        <w:t xml:space="preserve">, paras. </w:t>
      </w:r>
      <w:r w:rsidRPr="00A260F4">
        <w:t>10.5</w:t>
      </w:r>
      <w:r>
        <w:t xml:space="preserve"> and </w:t>
      </w:r>
      <w:r w:rsidRPr="00A260F4">
        <w:t>10.6.</w:t>
      </w:r>
    </w:p>
  </w:footnote>
  <w:footnote w:id="39">
    <w:p w14:paraId="7AFD77AD" w14:textId="4C92236F" w:rsidR="00DB3692" w:rsidRPr="00A260F4" w:rsidRDefault="00DB3692" w:rsidP="00CB0813">
      <w:pPr>
        <w:pStyle w:val="FootnoteText"/>
        <w:rPr>
          <w:rFonts w:cstheme="minorHAnsi"/>
          <w:szCs w:val="18"/>
        </w:rPr>
      </w:pPr>
      <w:r w:rsidRPr="00A260F4">
        <w:rPr>
          <w:rFonts w:cstheme="minorHAnsi"/>
          <w:szCs w:val="18"/>
        </w:rPr>
        <w:tab/>
      </w:r>
      <w:r w:rsidRPr="009662BA">
        <w:rPr>
          <w:rStyle w:val="FootnoteReference"/>
        </w:rPr>
        <w:footnoteRef/>
      </w:r>
      <w:r w:rsidRPr="00A260F4">
        <w:rPr>
          <w:rFonts w:cstheme="minorHAnsi"/>
          <w:szCs w:val="18"/>
        </w:rPr>
        <w:tab/>
      </w:r>
      <w:hyperlink r:id="rId39" w:history="1">
        <w:r w:rsidRPr="00DB3692">
          <w:rPr>
            <w:rStyle w:val="Hyperlink"/>
          </w:rPr>
          <w:t>CED/C/NLD/CO/1</w:t>
        </w:r>
      </w:hyperlink>
      <w:r w:rsidRPr="00A260F4">
        <w:rPr>
          <w:rFonts w:cstheme="minorHAnsi"/>
          <w:szCs w:val="18"/>
        </w:rPr>
        <w:t>, paras. 28 and 29.</w:t>
      </w:r>
    </w:p>
  </w:footnote>
  <w:footnote w:id="40">
    <w:p w14:paraId="68E52799" w14:textId="3F9A651D" w:rsidR="00DB3692" w:rsidRPr="00A260F4" w:rsidRDefault="00DB3692" w:rsidP="00CB0813">
      <w:pPr>
        <w:pStyle w:val="FootnoteText"/>
        <w:rPr>
          <w:rFonts w:cstheme="minorHAnsi"/>
          <w:szCs w:val="18"/>
        </w:rPr>
      </w:pPr>
      <w:r w:rsidRPr="00A260F4">
        <w:rPr>
          <w:rFonts w:cstheme="minorHAnsi"/>
          <w:szCs w:val="18"/>
        </w:rPr>
        <w:tab/>
      </w:r>
      <w:r w:rsidRPr="009662BA">
        <w:rPr>
          <w:rStyle w:val="FootnoteReference"/>
        </w:rPr>
        <w:footnoteRef/>
      </w:r>
      <w:r w:rsidRPr="00A260F4">
        <w:rPr>
          <w:rFonts w:cstheme="minorHAnsi"/>
          <w:szCs w:val="18"/>
        </w:rPr>
        <w:tab/>
      </w:r>
      <w:hyperlink r:id="rId40" w:history="1">
        <w:r w:rsidRPr="00DB3692">
          <w:rPr>
            <w:rStyle w:val="Hyperlink"/>
          </w:rPr>
          <w:t>CED/C/ITA/CO/1</w:t>
        </w:r>
      </w:hyperlink>
      <w:r w:rsidRPr="00A260F4">
        <w:rPr>
          <w:rFonts w:cstheme="minorHAnsi"/>
          <w:szCs w:val="18"/>
        </w:rPr>
        <w:t>, para. 29.</w:t>
      </w:r>
    </w:p>
  </w:footnote>
  <w:footnote w:id="41">
    <w:p w14:paraId="3A2D0D3F" w14:textId="75E4F20B" w:rsidR="00DB3692" w:rsidRPr="006B42E1" w:rsidRDefault="00DB3692" w:rsidP="00CB0813">
      <w:pPr>
        <w:pStyle w:val="FootnoteText"/>
      </w:pPr>
      <w:r w:rsidRPr="00A260F4">
        <w:tab/>
      </w:r>
      <w:r w:rsidRPr="009662BA">
        <w:rPr>
          <w:rStyle w:val="FootnoteReference"/>
        </w:rPr>
        <w:footnoteRef/>
      </w:r>
      <w:r w:rsidRPr="007354CB">
        <w:tab/>
      </w:r>
      <w:hyperlink r:id="rId41" w:history="1">
        <w:r w:rsidRPr="00DB3692">
          <w:rPr>
            <w:rStyle w:val="Hyperlink"/>
          </w:rPr>
          <w:t>A/HRC/36/39/Add.2</w:t>
        </w:r>
      </w:hyperlink>
      <w:r w:rsidRPr="00415461">
        <w:t xml:space="preserve">, para. 88 (d); and </w:t>
      </w:r>
      <w:r w:rsidRPr="00CA5476">
        <w:t>Committee on the Protection of the Rights of All Migrant Workers and Members of Their Families, general comment No. 5 (2021), paras. 84–89.</w:t>
      </w:r>
      <w:r w:rsidRPr="00BB0B80">
        <w:t xml:space="preserve"> See also Committee on the Protection of the Rights of All Migrant Workers and Members of Their Families, general comment No. 2 (2013), paras. 39 and 48; </w:t>
      </w:r>
      <w:hyperlink r:id="rId42" w:history="1">
        <w:r w:rsidRPr="00DB3692">
          <w:rPr>
            <w:rStyle w:val="Hyperlink"/>
          </w:rPr>
          <w:t>A/HRC/37/50</w:t>
        </w:r>
      </w:hyperlink>
      <w:r w:rsidRPr="00F62BE2">
        <w:t xml:space="preserve">, para. 73; and </w:t>
      </w:r>
      <w:r w:rsidRPr="008A4838">
        <w:t xml:space="preserve">Association for the Prevention of Torture, International Detention Coalition and UNHCR, </w:t>
      </w:r>
      <w:r w:rsidRPr="008A4838">
        <w:rPr>
          <w:i/>
          <w:iCs/>
        </w:rPr>
        <w:t xml:space="preserve">Monitoring Immigration Detention: Practical Manual </w:t>
      </w:r>
      <w:r w:rsidRPr="008A4838">
        <w:t>(Geneva, Association for the Prevention of Torture and UNHCR, 2014)</w:t>
      </w:r>
      <w:hyperlink w:history="1"/>
      <w:r w:rsidRPr="008A4838">
        <w:t>.</w:t>
      </w:r>
    </w:p>
  </w:footnote>
  <w:footnote w:id="42">
    <w:p w14:paraId="6D61FC9B" w14:textId="77777777" w:rsidR="00DB3692" w:rsidRPr="00A260F4" w:rsidRDefault="00DB3692" w:rsidP="00CB0813">
      <w:pPr>
        <w:pStyle w:val="FootnoteText"/>
        <w:rPr>
          <w:lang w:val="es-ES"/>
        </w:rPr>
      </w:pPr>
      <w:r w:rsidRPr="006B42E1">
        <w:tab/>
      </w:r>
      <w:r w:rsidRPr="009662BA">
        <w:rPr>
          <w:rStyle w:val="FootnoteReference"/>
        </w:rPr>
        <w:footnoteRef/>
      </w:r>
      <w:r w:rsidRPr="00A260F4">
        <w:tab/>
        <w:t xml:space="preserve">Committee on the Protection of the Rights of All Migrant Workers and Members of Their Families, general comment No. 5 (2021), para. </w:t>
      </w:r>
      <w:r w:rsidRPr="00A260F4">
        <w:rPr>
          <w:lang w:val="es-ES"/>
        </w:rPr>
        <w:t>89.</w:t>
      </w:r>
    </w:p>
  </w:footnote>
  <w:footnote w:id="43">
    <w:p w14:paraId="6324B487" w14:textId="5FB5CFAF" w:rsidR="00DB3692" w:rsidRPr="00A260F4" w:rsidRDefault="00DB3692" w:rsidP="00CB0813">
      <w:pPr>
        <w:pStyle w:val="FootnoteText"/>
        <w:rPr>
          <w:rFonts w:cstheme="minorHAnsi"/>
          <w:szCs w:val="18"/>
          <w:lang w:val="es-ES"/>
        </w:rPr>
      </w:pPr>
      <w:r w:rsidRPr="00A260F4">
        <w:rPr>
          <w:rFonts w:cstheme="minorHAnsi"/>
          <w:szCs w:val="18"/>
          <w:lang w:val="es-ES"/>
        </w:rPr>
        <w:tab/>
      </w:r>
      <w:r w:rsidRPr="009662BA">
        <w:rPr>
          <w:rStyle w:val="FootnoteReference"/>
        </w:rPr>
        <w:footnoteRef/>
      </w:r>
      <w:r w:rsidRPr="00A260F4">
        <w:rPr>
          <w:rFonts w:cstheme="minorHAnsi"/>
          <w:szCs w:val="18"/>
          <w:lang w:val="es-ES"/>
        </w:rPr>
        <w:tab/>
      </w:r>
      <w:hyperlink r:id="rId43" w:history="1">
        <w:r w:rsidRPr="00DB3692">
          <w:rPr>
            <w:rStyle w:val="Hyperlink"/>
            <w:lang w:val="es-ES"/>
          </w:rPr>
          <w:t>CED/C/GRC/CO/1</w:t>
        </w:r>
      </w:hyperlink>
      <w:r w:rsidRPr="00A260F4">
        <w:rPr>
          <w:rFonts w:cstheme="minorHAnsi"/>
          <w:szCs w:val="18"/>
          <w:lang w:val="es-ES"/>
        </w:rPr>
        <w:t>, para. 31 (e).</w:t>
      </w:r>
    </w:p>
  </w:footnote>
  <w:footnote w:id="44">
    <w:p w14:paraId="122E8061" w14:textId="0898238A" w:rsidR="00DB3692" w:rsidRPr="007354CB" w:rsidRDefault="00DB3692" w:rsidP="00CB0813">
      <w:pPr>
        <w:pStyle w:val="FootnoteText"/>
      </w:pPr>
      <w:r w:rsidRPr="00A260F4">
        <w:rPr>
          <w:lang w:val="es-ES"/>
        </w:rPr>
        <w:tab/>
      </w:r>
      <w:r w:rsidRPr="009662BA">
        <w:rPr>
          <w:rStyle w:val="FootnoteReference"/>
        </w:rPr>
        <w:footnoteRef/>
      </w:r>
      <w:r w:rsidRPr="00A260F4">
        <w:rPr>
          <w:lang w:val="es-ES"/>
        </w:rPr>
        <w:tab/>
      </w:r>
      <w:hyperlink r:id="rId44" w:history="1">
        <w:r w:rsidRPr="00DB3692">
          <w:rPr>
            <w:rStyle w:val="Hyperlink"/>
            <w:lang w:val="es-ES"/>
          </w:rPr>
          <w:t>A/HRC/36/39/Add.2</w:t>
        </w:r>
      </w:hyperlink>
      <w:r w:rsidRPr="00A260F4">
        <w:rPr>
          <w:lang w:val="es-ES"/>
        </w:rPr>
        <w:t xml:space="preserve">, para. </w:t>
      </w:r>
      <w:r w:rsidRPr="007354CB">
        <w:t>56</w:t>
      </w:r>
      <w:r>
        <w:t>; and</w:t>
      </w:r>
      <w:r w:rsidRPr="00F0690D">
        <w:t xml:space="preserve"> OHCHR and</w:t>
      </w:r>
      <w:r w:rsidRPr="007354CB">
        <w:t xml:space="preserve"> Global Migration Group, Principles and Guidelines, </w:t>
      </w:r>
      <w:r>
        <w:t>S</w:t>
      </w:r>
      <w:r w:rsidRPr="007354CB">
        <w:t xml:space="preserve">upported by </w:t>
      </w:r>
      <w:r>
        <w:t>P</w:t>
      </w:r>
      <w:r w:rsidRPr="007354CB">
        <w:t xml:space="preserve">ractical </w:t>
      </w:r>
      <w:r>
        <w:t>G</w:t>
      </w:r>
      <w:r w:rsidRPr="007354CB">
        <w:t xml:space="preserve">uidance, on the </w:t>
      </w:r>
      <w:r>
        <w:t>H</w:t>
      </w:r>
      <w:r w:rsidRPr="007354CB">
        <w:t xml:space="preserve">uman </w:t>
      </w:r>
      <w:r>
        <w:t>R</w:t>
      </w:r>
      <w:r w:rsidRPr="007354CB">
        <w:t xml:space="preserve">ights </w:t>
      </w:r>
      <w:r>
        <w:t>P</w:t>
      </w:r>
      <w:r w:rsidRPr="007354CB">
        <w:t xml:space="preserve">rotection of </w:t>
      </w:r>
      <w:r>
        <w:t>M</w:t>
      </w:r>
      <w:r w:rsidRPr="007354CB">
        <w:t xml:space="preserve">igrants in </w:t>
      </w:r>
      <w:r>
        <w:t>V</w:t>
      </w:r>
      <w:r w:rsidRPr="007354CB">
        <w:t xml:space="preserve">ulnerable </w:t>
      </w:r>
      <w:r>
        <w:t>S</w:t>
      </w:r>
      <w:r w:rsidRPr="007354CB">
        <w:t>ituations</w:t>
      </w:r>
      <w:r>
        <w:t xml:space="preserve"> (Geneva, 2018)</w:t>
      </w:r>
      <w:r w:rsidRPr="007354CB">
        <w:t>, pp. 60</w:t>
      </w:r>
      <w:r>
        <w:t xml:space="preserve"> and </w:t>
      </w:r>
      <w:r w:rsidRPr="007354CB">
        <w:t>61.</w:t>
      </w:r>
    </w:p>
  </w:footnote>
  <w:footnote w:id="45">
    <w:p w14:paraId="1CFFBAD8" w14:textId="42595BC8" w:rsidR="00DB3692" w:rsidRPr="00336F05"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A260F4">
        <w:rPr>
          <w:rFonts w:cstheme="minorHAnsi"/>
          <w:szCs w:val="18"/>
          <w:lang w:val="es-ES"/>
        </w:rPr>
        <w:tab/>
      </w:r>
      <w:hyperlink r:id="rId45" w:history="1">
        <w:r w:rsidRPr="00DB3692">
          <w:rPr>
            <w:rStyle w:val="Hyperlink"/>
            <w:lang w:val="es-ES"/>
          </w:rPr>
          <w:t>CED/C/COL/OAI/1</w:t>
        </w:r>
      </w:hyperlink>
      <w:r w:rsidRPr="00A260F4">
        <w:rPr>
          <w:rFonts w:cstheme="minorHAnsi"/>
          <w:szCs w:val="18"/>
          <w:lang w:val="es-ES"/>
        </w:rPr>
        <w:t xml:space="preserve">, para. 17; </w:t>
      </w:r>
      <w:hyperlink r:id="rId46" w:history="1">
        <w:r w:rsidRPr="00DB3692">
          <w:rPr>
            <w:rStyle w:val="Hyperlink"/>
            <w:lang w:val="es-ES"/>
          </w:rPr>
          <w:t>CED/C/IRQ/OAI/1</w:t>
        </w:r>
      </w:hyperlink>
      <w:r w:rsidRPr="00A260F4">
        <w:rPr>
          <w:rFonts w:cstheme="minorHAnsi"/>
          <w:szCs w:val="18"/>
          <w:lang w:val="es-ES"/>
        </w:rPr>
        <w:t xml:space="preserve">, para. </w:t>
      </w:r>
      <w:r w:rsidRPr="007A5A91">
        <w:rPr>
          <w:rFonts w:cstheme="minorHAnsi"/>
          <w:szCs w:val="18"/>
          <w:lang w:val="en-GB"/>
        </w:rPr>
        <w:t xml:space="preserve">5; </w:t>
      </w:r>
      <w:hyperlink r:id="rId47" w:history="1">
        <w:r w:rsidRPr="007A5A91">
          <w:rPr>
            <w:rStyle w:val="Hyperlink"/>
            <w:lang w:val="en-GB"/>
          </w:rPr>
          <w:t>CED/C/BRA/CO/1</w:t>
        </w:r>
      </w:hyperlink>
      <w:r w:rsidRPr="007A5A91">
        <w:rPr>
          <w:rFonts w:cstheme="minorHAnsi"/>
          <w:szCs w:val="18"/>
          <w:lang w:val="en-GB"/>
        </w:rPr>
        <w:t xml:space="preserve">, para. </w:t>
      </w:r>
      <w:r w:rsidRPr="001E261E">
        <w:rPr>
          <w:rFonts w:cstheme="minorHAnsi"/>
          <w:szCs w:val="18"/>
        </w:rPr>
        <w:t xml:space="preserve">13; and </w:t>
      </w:r>
      <w:hyperlink r:id="rId48" w:history="1">
        <w:r w:rsidRPr="00DB3692">
          <w:rPr>
            <w:rStyle w:val="Hyperlink"/>
          </w:rPr>
          <w:t>CED/C/NER/CO/1</w:t>
        </w:r>
      </w:hyperlink>
      <w:r w:rsidRPr="001E261E">
        <w:rPr>
          <w:rFonts w:cstheme="minorHAnsi"/>
          <w:szCs w:val="18"/>
        </w:rPr>
        <w:t>, para. 15.</w:t>
      </w:r>
    </w:p>
  </w:footnote>
  <w:footnote w:id="46">
    <w:p w14:paraId="19AFAD63" w14:textId="5693FF1F" w:rsidR="00DB3692" w:rsidRPr="007354CB" w:rsidRDefault="00DB3692" w:rsidP="00CB0813">
      <w:pPr>
        <w:pStyle w:val="FootnoteText"/>
        <w:rPr>
          <w:rFonts w:cstheme="minorHAnsi"/>
          <w:szCs w:val="18"/>
        </w:rPr>
      </w:pPr>
      <w:r w:rsidRPr="00336F05">
        <w:rPr>
          <w:rFonts w:cstheme="minorHAnsi"/>
          <w:szCs w:val="18"/>
        </w:rPr>
        <w:tab/>
      </w:r>
      <w:r w:rsidRPr="009662BA">
        <w:rPr>
          <w:rStyle w:val="FootnoteReference"/>
        </w:rPr>
        <w:footnoteRef/>
      </w:r>
      <w:r w:rsidRPr="007354CB">
        <w:rPr>
          <w:rFonts w:cstheme="minorHAnsi"/>
          <w:szCs w:val="18"/>
        </w:rPr>
        <w:tab/>
      </w:r>
      <w:hyperlink r:id="rId49" w:history="1">
        <w:r w:rsidRPr="00DB3692">
          <w:rPr>
            <w:rStyle w:val="Hyperlink"/>
          </w:rPr>
          <w:t>CED/C/HND/CO/1</w:t>
        </w:r>
      </w:hyperlink>
      <w:r w:rsidRPr="007354CB">
        <w:rPr>
          <w:rFonts w:cstheme="minorHAnsi"/>
          <w:szCs w:val="18"/>
        </w:rPr>
        <w:t>, para</w:t>
      </w:r>
      <w:r>
        <w:rPr>
          <w:rFonts w:cstheme="minorHAnsi"/>
          <w:szCs w:val="18"/>
        </w:rPr>
        <w:t>.</w:t>
      </w:r>
      <w:r w:rsidRPr="007354CB">
        <w:rPr>
          <w:rFonts w:cstheme="minorHAnsi"/>
          <w:szCs w:val="18"/>
        </w:rPr>
        <w:t xml:space="preserve"> 29.</w:t>
      </w:r>
    </w:p>
  </w:footnote>
  <w:footnote w:id="47">
    <w:p w14:paraId="039B7C4B" w14:textId="7C6CA812" w:rsidR="00DB3692" w:rsidRPr="00A260F4"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hyperlink r:id="rId50" w:history="1"/>
      <w:r w:rsidRPr="007630A7">
        <w:rPr>
          <w:rFonts w:cstheme="minorHAnsi"/>
          <w:szCs w:val="18"/>
        </w:rPr>
        <w:t>Guiding Principles for the Search for Disappeared Persons</w:t>
      </w:r>
      <w:r w:rsidRPr="001C0DC9">
        <w:rPr>
          <w:rFonts w:cstheme="minorHAnsi"/>
          <w:szCs w:val="18"/>
        </w:rPr>
        <w:t xml:space="preserve">, principle 9 </w:t>
      </w:r>
      <w:r>
        <w:rPr>
          <w:rFonts w:cstheme="minorHAnsi"/>
          <w:szCs w:val="18"/>
        </w:rPr>
        <w:t>(</w:t>
      </w:r>
      <w:r w:rsidRPr="001C0DC9">
        <w:rPr>
          <w:rFonts w:cstheme="minorHAnsi"/>
          <w:szCs w:val="18"/>
        </w:rPr>
        <w:t>3</w:t>
      </w:r>
      <w:r>
        <w:rPr>
          <w:rFonts w:cstheme="minorHAnsi"/>
          <w:szCs w:val="18"/>
        </w:rPr>
        <w:t>)</w:t>
      </w:r>
      <w:r w:rsidRPr="001C0DC9">
        <w:rPr>
          <w:rFonts w:cstheme="minorHAnsi"/>
          <w:szCs w:val="18"/>
        </w:rPr>
        <w:t xml:space="preserve">; </w:t>
      </w:r>
      <w:r>
        <w:rPr>
          <w:rFonts w:cstheme="minorHAnsi"/>
          <w:szCs w:val="18"/>
        </w:rPr>
        <w:t>and</w:t>
      </w:r>
      <w:r w:rsidRPr="007354CB">
        <w:rPr>
          <w:rFonts w:cstheme="minorHAnsi"/>
          <w:szCs w:val="18"/>
        </w:rPr>
        <w:t xml:space="preserve"> </w:t>
      </w:r>
      <w:hyperlink r:id="rId51" w:history="1">
        <w:r w:rsidRPr="00DB3692">
          <w:rPr>
            <w:rStyle w:val="Hyperlink"/>
          </w:rPr>
          <w:t>CED/C/19/2</w:t>
        </w:r>
      </w:hyperlink>
      <w:r w:rsidRPr="007354CB">
        <w:rPr>
          <w:rFonts w:cstheme="minorHAnsi"/>
          <w:szCs w:val="18"/>
        </w:rPr>
        <w:t>, para</w:t>
      </w:r>
      <w:r>
        <w:rPr>
          <w:rFonts w:cstheme="minorHAnsi"/>
          <w:szCs w:val="18"/>
        </w:rPr>
        <w:t>.</w:t>
      </w:r>
      <w:r w:rsidR="001304FB">
        <w:rPr>
          <w:rFonts w:cstheme="minorHAnsi"/>
          <w:szCs w:val="18"/>
        </w:rPr>
        <w:t> </w:t>
      </w:r>
      <w:r w:rsidRPr="00A260F4">
        <w:rPr>
          <w:rFonts w:cstheme="minorHAnsi"/>
          <w:szCs w:val="18"/>
        </w:rPr>
        <w:t>14.</w:t>
      </w:r>
    </w:p>
  </w:footnote>
  <w:footnote w:id="48">
    <w:p w14:paraId="7EFC0E1A" w14:textId="3BFAB779" w:rsidR="00DB3692" w:rsidRPr="00A260F4" w:rsidRDefault="00DB3692" w:rsidP="00CB0813">
      <w:pPr>
        <w:pStyle w:val="FootnoteText"/>
        <w:rPr>
          <w:rFonts w:cstheme="minorHAnsi"/>
          <w:szCs w:val="18"/>
        </w:rPr>
      </w:pPr>
      <w:r w:rsidRPr="00A260F4">
        <w:rPr>
          <w:rFonts w:cstheme="minorHAnsi"/>
          <w:szCs w:val="18"/>
        </w:rPr>
        <w:tab/>
      </w:r>
      <w:r w:rsidRPr="009662BA">
        <w:rPr>
          <w:rStyle w:val="FootnoteReference"/>
        </w:rPr>
        <w:footnoteRef/>
      </w:r>
      <w:r w:rsidRPr="00A260F4">
        <w:rPr>
          <w:rFonts w:cstheme="minorHAnsi"/>
          <w:szCs w:val="18"/>
        </w:rPr>
        <w:tab/>
      </w:r>
      <w:hyperlink r:id="rId52" w:history="1">
        <w:r w:rsidRPr="00DB3692">
          <w:rPr>
            <w:rStyle w:val="Hyperlink"/>
          </w:rPr>
          <w:t>CED/C/MEX/CO/1</w:t>
        </w:r>
      </w:hyperlink>
      <w:r w:rsidRPr="00A260F4">
        <w:rPr>
          <w:rFonts w:cstheme="minorHAnsi"/>
          <w:szCs w:val="18"/>
        </w:rPr>
        <w:t>, para. 18.</w:t>
      </w:r>
    </w:p>
  </w:footnote>
  <w:footnote w:id="49">
    <w:p w14:paraId="26B5F8E1" w14:textId="6F78A948" w:rsidR="00DB3692" w:rsidRPr="007354CB" w:rsidRDefault="00DB3692" w:rsidP="00CB0813">
      <w:pPr>
        <w:pStyle w:val="FootnoteText"/>
      </w:pPr>
      <w:r w:rsidRPr="00A260F4">
        <w:tab/>
      </w:r>
      <w:r w:rsidRPr="009662BA">
        <w:rPr>
          <w:rStyle w:val="FootnoteReference"/>
        </w:rPr>
        <w:footnoteRef/>
      </w:r>
      <w:r w:rsidRPr="00A260F4">
        <w:tab/>
      </w:r>
      <w:r w:rsidRPr="00FB6223">
        <w:t>Joint general comment No. 3 of the Committee on the Protection of the Rights of All Migrant Workers and Members of Their Families/No. 22 of the Committee on the Rights of the Child (2017)</w:t>
      </w:r>
      <w:r w:rsidRPr="00A260F4">
        <w:t xml:space="preserve">, para. </w:t>
      </w:r>
      <w:r w:rsidRPr="007354CB">
        <w:t>17.</w:t>
      </w:r>
    </w:p>
  </w:footnote>
  <w:footnote w:id="50">
    <w:p w14:paraId="2E1985EA" w14:textId="77777777" w:rsidR="00DB3692" w:rsidRPr="007354CB" w:rsidRDefault="00DB3692" w:rsidP="00CB0813">
      <w:pPr>
        <w:pStyle w:val="FootnoteText"/>
      </w:pPr>
      <w:r w:rsidRPr="007354CB">
        <w:tab/>
      </w:r>
      <w:r w:rsidRPr="009662BA">
        <w:rPr>
          <w:rStyle w:val="FootnoteReference"/>
        </w:rPr>
        <w:footnoteRef/>
      </w:r>
      <w:r w:rsidRPr="007354CB">
        <w:tab/>
      </w:r>
      <w:r>
        <w:t>See</w:t>
      </w:r>
      <w:r w:rsidRPr="007354CB">
        <w:t xml:space="preserve"> </w:t>
      </w:r>
      <w:r w:rsidRPr="00091585">
        <w:t>ICRC,</w:t>
      </w:r>
      <w:r w:rsidRPr="007354CB">
        <w:t xml:space="preserve"> </w:t>
      </w:r>
      <w:r>
        <w:t>“</w:t>
      </w:r>
      <w:r w:rsidRPr="0066546F">
        <w:t>Core dataset for the search for missing migrants</w:t>
      </w:r>
      <w:r>
        <w:t>” (Geneva, 2021)</w:t>
      </w:r>
      <w:r w:rsidRPr="007354CB">
        <w:t xml:space="preserve">. </w:t>
      </w:r>
      <w:r>
        <w:t>S</w:t>
      </w:r>
      <w:r w:rsidRPr="007354CB">
        <w:t xml:space="preserve">ee </w:t>
      </w:r>
      <w:r w:rsidRPr="00910AE4">
        <w:t xml:space="preserve">also </w:t>
      </w:r>
      <w:r w:rsidRPr="0066546F">
        <w:t>Global Compact for Safe, Orderly and Regular Migration</w:t>
      </w:r>
      <w:r w:rsidRPr="00910AE4">
        <w:t xml:space="preserve">, objective </w:t>
      </w:r>
      <w:proofErr w:type="gramStart"/>
      <w:r w:rsidRPr="00910AE4">
        <w:t>8</w:t>
      </w:r>
      <w:proofErr w:type="gramEnd"/>
      <w:r w:rsidRPr="00910AE4">
        <w:t>.</w:t>
      </w:r>
    </w:p>
  </w:footnote>
  <w:footnote w:id="51">
    <w:p w14:paraId="24332200" w14:textId="03031AFB" w:rsidR="00DB3692" w:rsidRPr="00CA05A5" w:rsidRDefault="00DB3692" w:rsidP="00CB0813">
      <w:pPr>
        <w:pStyle w:val="FootnoteText"/>
      </w:pPr>
      <w:r w:rsidRPr="007354CB">
        <w:tab/>
      </w:r>
      <w:r w:rsidRPr="009662BA">
        <w:rPr>
          <w:rStyle w:val="FootnoteReference"/>
        </w:rPr>
        <w:footnoteRef/>
      </w:r>
      <w:r w:rsidRPr="007354CB">
        <w:tab/>
      </w:r>
      <w:r w:rsidRPr="000E3017">
        <w:t>ICRC</w:t>
      </w:r>
      <w:r>
        <w:t>,</w:t>
      </w:r>
      <w:r w:rsidRPr="007354CB">
        <w:t xml:space="preserve"> </w:t>
      </w:r>
      <w:r>
        <w:t>“</w:t>
      </w:r>
      <w:r w:rsidRPr="0066546F">
        <w:t xml:space="preserve">Guidelines on </w:t>
      </w:r>
      <w:r>
        <w:t>c</w:t>
      </w:r>
      <w:r w:rsidRPr="0066546F">
        <w:t xml:space="preserve">oordination and </w:t>
      </w:r>
      <w:r>
        <w:t>i</w:t>
      </w:r>
      <w:r w:rsidRPr="0066546F">
        <w:t>nformation-</w:t>
      </w:r>
      <w:r>
        <w:t>e</w:t>
      </w:r>
      <w:r w:rsidRPr="0066546F">
        <w:t xml:space="preserve">xchange </w:t>
      </w:r>
      <w:r>
        <w:t>m</w:t>
      </w:r>
      <w:r w:rsidRPr="0066546F">
        <w:t xml:space="preserve">echanisms for the </w:t>
      </w:r>
      <w:r>
        <w:t>s</w:t>
      </w:r>
      <w:r w:rsidRPr="0066546F">
        <w:t xml:space="preserve">earch for </w:t>
      </w:r>
      <w:r>
        <w:t>m</w:t>
      </w:r>
      <w:r w:rsidRPr="0066546F">
        <w:t xml:space="preserve">issing </w:t>
      </w:r>
      <w:r>
        <w:t>m</w:t>
      </w:r>
      <w:r w:rsidRPr="0066546F">
        <w:t>igrants</w:t>
      </w:r>
      <w:r>
        <w:t>” (Geneva, 2021)</w:t>
      </w:r>
      <w:r w:rsidRPr="000E3017">
        <w:t>,</w:t>
      </w:r>
      <w:r w:rsidRPr="007354CB">
        <w:t xml:space="preserve"> p.</w:t>
      </w:r>
      <w:r>
        <w:t xml:space="preserve"> </w:t>
      </w:r>
      <w:r w:rsidRPr="007354CB">
        <w:t>18</w:t>
      </w:r>
      <w:r>
        <w:t>.</w:t>
      </w:r>
      <w:r w:rsidRPr="007354CB">
        <w:t xml:space="preserve"> </w:t>
      </w:r>
      <w:r>
        <w:t xml:space="preserve">See also </w:t>
      </w:r>
      <w:hyperlink r:id="rId53" w:history="1">
        <w:r w:rsidRPr="00DB3692">
          <w:rPr>
            <w:rStyle w:val="Hyperlink"/>
          </w:rPr>
          <w:t>A/77/196</w:t>
        </w:r>
      </w:hyperlink>
      <w:r>
        <w:t xml:space="preserve">; and </w:t>
      </w:r>
      <w:r w:rsidRPr="00B744BC">
        <w:t xml:space="preserve">Christopher Kuner </w:t>
      </w:r>
      <w:r>
        <w:t>a</w:t>
      </w:r>
      <w:r w:rsidRPr="00B744BC">
        <w:t>nd Massimo Marelli</w:t>
      </w:r>
      <w:r>
        <w:t>,</w:t>
      </w:r>
      <w:r w:rsidRPr="007354CB">
        <w:t xml:space="preserve"> </w:t>
      </w:r>
      <w:r>
        <w:t>eds.,</w:t>
      </w:r>
      <w:r w:rsidRPr="007354CB">
        <w:t xml:space="preserve"> </w:t>
      </w:r>
      <w:r w:rsidRPr="0066546F">
        <w:rPr>
          <w:i/>
          <w:iCs/>
        </w:rPr>
        <w:t>Handbook on Data Protection in Humanitarian Action</w:t>
      </w:r>
      <w:r w:rsidRPr="007354CB">
        <w:t>,</w:t>
      </w:r>
      <w:r>
        <w:t xml:space="preserve"> 2nd ed.</w:t>
      </w:r>
      <w:r w:rsidRPr="007354CB">
        <w:t xml:space="preserve"> </w:t>
      </w:r>
      <w:r>
        <w:t>(Geneva, ICRC, 2020)</w:t>
      </w:r>
      <w:hyperlink w:history="1"/>
      <w:r w:rsidRPr="007354CB">
        <w:t>.</w:t>
      </w:r>
    </w:p>
  </w:footnote>
  <w:footnote w:id="52">
    <w:p w14:paraId="58AC121F" w14:textId="292ED159" w:rsidR="00DB3692" w:rsidRPr="00CA05A5" w:rsidRDefault="00DB3692" w:rsidP="00CB0813">
      <w:pPr>
        <w:pStyle w:val="FootnoteText"/>
      </w:pPr>
      <w:r w:rsidRPr="007354CB">
        <w:tab/>
      </w:r>
      <w:r w:rsidRPr="009662BA">
        <w:rPr>
          <w:rStyle w:val="FootnoteReference"/>
        </w:rPr>
        <w:footnoteRef/>
      </w:r>
      <w:r w:rsidRPr="007354CB">
        <w:tab/>
      </w:r>
      <w:hyperlink r:id="rId54" w:history="1">
        <w:r w:rsidRPr="00DB3692">
          <w:rPr>
            <w:rStyle w:val="Hyperlink"/>
          </w:rPr>
          <w:t>A/HRC/36/39/Add.2</w:t>
        </w:r>
      </w:hyperlink>
      <w:r w:rsidRPr="006D29F5">
        <w:t xml:space="preserve">, </w:t>
      </w:r>
      <w:r w:rsidRPr="007354CB">
        <w:t>paras</w:t>
      </w:r>
      <w:r>
        <w:t>.</w:t>
      </w:r>
      <w:r w:rsidRPr="007354CB">
        <w:t xml:space="preserve"> 54 and 88; </w:t>
      </w:r>
      <w:hyperlink r:id="rId55" w:history="1">
        <w:r w:rsidRPr="00DB3692">
          <w:rPr>
            <w:rStyle w:val="Hyperlink"/>
          </w:rPr>
          <w:t>CED/C/GRC/CO/1</w:t>
        </w:r>
      </w:hyperlink>
      <w:r w:rsidRPr="007A4284">
        <w:t xml:space="preserve">, </w:t>
      </w:r>
      <w:r w:rsidRPr="007354CB">
        <w:t>para</w:t>
      </w:r>
      <w:r>
        <w:t>.</w:t>
      </w:r>
      <w:r w:rsidRPr="007354CB">
        <w:t xml:space="preserve"> 30; </w:t>
      </w:r>
      <w:hyperlink r:id="rId56" w:history="1">
        <w:r w:rsidRPr="00DB3692">
          <w:rPr>
            <w:rStyle w:val="Hyperlink"/>
          </w:rPr>
          <w:t>CED/C/MEX/VR/1</w:t>
        </w:r>
      </w:hyperlink>
      <w:r w:rsidRPr="00A260F4">
        <w:t xml:space="preserve"> (Findings)</w:t>
      </w:r>
      <w:r w:rsidRPr="007A4284">
        <w:t>,</w:t>
      </w:r>
      <w:r w:rsidRPr="007354CB">
        <w:t xml:space="preserve"> paras</w:t>
      </w:r>
      <w:r>
        <w:t>.</w:t>
      </w:r>
      <w:r w:rsidRPr="007354CB">
        <w:t xml:space="preserve"> 18</w:t>
      </w:r>
      <w:r>
        <w:t>–</w:t>
      </w:r>
      <w:r w:rsidRPr="007354CB">
        <w:t xml:space="preserve">20; </w:t>
      </w:r>
      <w:r>
        <w:t xml:space="preserve">and European </w:t>
      </w:r>
      <w:r w:rsidRPr="007354CB">
        <w:t xml:space="preserve">Committee </w:t>
      </w:r>
      <w:r>
        <w:t>for</w:t>
      </w:r>
      <w:r w:rsidRPr="007354CB">
        <w:t xml:space="preserve"> the Prevention of Torture </w:t>
      </w:r>
      <w:r>
        <w:t>and Inhuman or Degrading Treatment or Punishment</w:t>
      </w:r>
      <w:r w:rsidRPr="007354CB">
        <w:t xml:space="preserve">, </w:t>
      </w:r>
      <w:r>
        <w:rPr>
          <w:rFonts w:cstheme="minorHAnsi"/>
          <w:szCs w:val="18"/>
        </w:rPr>
        <w:t xml:space="preserve">“12th </w:t>
      </w:r>
      <w:r w:rsidRPr="00CA05A5">
        <w:t>General Report on the CPT’s activities”,</w:t>
      </w:r>
      <w:r>
        <w:t xml:space="preserve"> 3 September</w:t>
      </w:r>
      <w:r w:rsidRPr="00CA05A5">
        <w:t xml:space="preserve"> 2002, paras.</w:t>
      </w:r>
      <w:r w:rsidR="000A17A3">
        <w:t> </w:t>
      </w:r>
      <w:r w:rsidRPr="00CA05A5">
        <w:t>32–50</w:t>
      </w:r>
      <w:r>
        <w:t>;</w:t>
      </w:r>
      <w:r w:rsidRPr="00CA05A5">
        <w:t xml:space="preserve"> and report to the Government of Greece on the visit</w:t>
      </w:r>
      <w:r>
        <w:t xml:space="preserve"> to Greece</w:t>
      </w:r>
      <w:r w:rsidRPr="00CA05A5">
        <w:t xml:space="preserve"> from 17 to 29 September 2009, 17 November 2010, paras</w:t>
      </w:r>
      <w:r>
        <w:t>.</w:t>
      </w:r>
      <w:r w:rsidRPr="00CA05A5">
        <w:t xml:space="preserve"> 39</w:t>
      </w:r>
      <w:r>
        <w:t xml:space="preserve"> and </w:t>
      </w:r>
      <w:r w:rsidRPr="00CA05A5">
        <w:t>40.</w:t>
      </w:r>
    </w:p>
  </w:footnote>
  <w:footnote w:id="53">
    <w:p w14:paraId="5C400AF9" w14:textId="58FAED79" w:rsidR="00DB3692" w:rsidRPr="0066546F" w:rsidRDefault="00DB3692" w:rsidP="00CB0813">
      <w:pPr>
        <w:pStyle w:val="FootnoteText"/>
      </w:pPr>
      <w:r w:rsidRPr="00BE1E1F">
        <w:tab/>
      </w:r>
      <w:r w:rsidRPr="009662BA">
        <w:rPr>
          <w:rStyle w:val="FootnoteReference"/>
        </w:rPr>
        <w:footnoteRef/>
      </w:r>
      <w:r w:rsidRPr="00BE1E1F">
        <w:tab/>
        <w:t xml:space="preserve">European </w:t>
      </w:r>
      <w:r w:rsidRPr="00CA05A5">
        <w:t>Committee for the Prevention of Torture and Inhuman or Degrading Treatment o</w:t>
      </w:r>
      <w:r>
        <w:t>r</w:t>
      </w:r>
      <w:r w:rsidRPr="00CA05A5">
        <w:t xml:space="preserve"> Punishment, report to the Government of Croatia </w:t>
      </w:r>
      <w:r>
        <w:t xml:space="preserve">on the visit to Croatia from 10 to 14 August </w:t>
      </w:r>
      <w:r w:rsidRPr="00CA05A5">
        <w:t>2020</w:t>
      </w:r>
      <w:r>
        <w:t>, 3</w:t>
      </w:r>
      <w:r w:rsidR="00225EE4">
        <w:t> </w:t>
      </w:r>
      <w:r>
        <w:t>December 2021</w:t>
      </w:r>
      <w:r w:rsidRPr="00CA05A5">
        <w:t xml:space="preserve">, para. 22. </w:t>
      </w:r>
      <w:r w:rsidRPr="00BE1E1F">
        <w:t>On</w:t>
      </w:r>
      <w:r w:rsidRPr="007354CB">
        <w:t xml:space="preserve"> the need to keep and review registers, see </w:t>
      </w:r>
      <w:hyperlink r:id="rId57" w:history="1">
        <w:r w:rsidRPr="00DB3692">
          <w:rPr>
            <w:rStyle w:val="Hyperlink"/>
          </w:rPr>
          <w:t>CED/C/GRC/CO/1</w:t>
        </w:r>
      </w:hyperlink>
      <w:r w:rsidRPr="007A4284">
        <w:t>, para.</w:t>
      </w:r>
      <w:r w:rsidR="000079B6">
        <w:t> </w:t>
      </w:r>
      <w:r w:rsidRPr="007A4284">
        <w:t xml:space="preserve">31 (f) and (g); </w:t>
      </w:r>
      <w:hyperlink r:id="rId58" w:history="1">
        <w:r w:rsidRPr="00DB3692">
          <w:rPr>
            <w:rStyle w:val="Hyperlink"/>
          </w:rPr>
          <w:t>CED/C/MEX/CO/1</w:t>
        </w:r>
      </w:hyperlink>
      <w:r w:rsidRPr="007A4284">
        <w:t>, paras</w:t>
      </w:r>
      <w:r>
        <w:t>.</w:t>
      </w:r>
      <w:r w:rsidRPr="007A4284">
        <w:t xml:space="preserve"> 34</w:t>
      </w:r>
      <w:r>
        <w:t xml:space="preserve"> and </w:t>
      </w:r>
      <w:r w:rsidRPr="007A4284">
        <w:t>35</w:t>
      </w:r>
      <w:r>
        <w:t>;</w:t>
      </w:r>
      <w:r w:rsidRPr="007A4284">
        <w:t xml:space="preserve"> </w:t>
      </w:r>
      <w:r>
        <w:t xml:space="preserve">and </w:t>
      </w:r>
      <w:hyperlink r:id="rId59" w:history="1">
        <w:r w:rsidRPr="00DB3692">
          <w:rPr>
            <w:rStyle w:val="Hyperlink"/>
          </w:rPr>
          <w:t>CED/C/MEX/VR/1</w:t>
        </w:r>
      </w:hyperlink>
      <w:r w:rsidRPr="00A260F4">
        <w:t xml:space="preserve"> (Recommendations)</w:t>
      </w:r>
      <w:r w:rsidRPr="007A4284">
        <w:t>, paras. 105–107.</w:t>
      </w:r>
    </w:p>
  </w:footnote>
  <w:footnote w:id="54">
    <w:p w14:paraId="1FF1D8E3" w14:textId="3751F72A" w:rsidR="00DB3692" w:rsidRPr="00CA05A5" w:rsidRDefault="00DB3692" w:rsidP="00CB0813">
      <w:pPr>
        <w:pStyle w:val="FootnoteText"/>
      </w:pPr>
      <w:r w:rsidRPr="007354CB">
        <w:tab/>
      </w:r>
      <w:r w:rsidRPr="009662BA">
        <w:rPr>
          <w:rStyle w:val="FootnoteReference"/>
        </w:rPr>
        <w:footnoteRef/>
      </w:r>
      <w:r>
        <w:tab/>
      </w:r>
      <w:r w:rsidRPr="00CA05A5">
        <w:t>European Committee for the Prevention of Torture and Inhuman or Degrading Treatment o</w:t>
      </w:r>
      <w:r>
        <w:t>r</w:t>
      </w:r>
      <w:r w:rsidRPr="00CA05A5">
        <w:t xml:space="preserve"> Punishment, report to the Government of Greece on the visit to Greece from 13 to 17 March 2020, 19</w:t>
      </w:r>
      <w:r w:rsidR="000E4174">
        <w:t> </w:t>
      </w:r>
      <w:r w:rsidRPr="00CA05A5">
        <w:t>November 2020, para. 57</w:t>
      </w:r>
      <w:r>
        <w:t>;</w:t>
      </w:r>
      <w:r w:rsidRPr="00CA05A5">
        <w:t xml:space="preserve"> and report to the Government of </w:t>
      </w:r>
      <w:r>
        <w:t xml:space="preserve">Croatia </w:t>
      </w:r>
      <w:r w:rsidRPr="00CA05A5">
        <w:t>on the visit to Croatia</w:t>
      </w:r>
      <w:r>
        <w:t xml:space="preserve"> from 10</w:t>
      </w:r>
      <w:r w:rsidR="00722CD5">
        <w:t> </w:t>
      </w:r>
      <w:r>
        <w:t>to 14 August 2020</w:t>
      </w:r>
      <w:r w:rsidRPr="00CA05A5">
        <w:t>, paras. 14 and 22.</w:t>
      </w:r>
    </w:p>
  </w:footnote>
  <w:footnote w:id="55">
    <w:p w14:paraId="1C1A3B8F" w14:textId="19E9E2BF" w:rsidR="00DB3692" w:rsidRPr="00BE1E1F" w:rsidRDefault="00DB3692" w:rsidP="00CB0813">
      <w:pPr>
        <w:pStyle w:val="FootnoteText"/>
        <w:rPr>
          <w:u w:val="single"/>
        </w:rPr>
      </w:pPr>
      <w:r w:rsidRPr="00BE1E1F">
        <w:tab/>
      </w:r>
      <w:r w:rsidRPr="009662BA">
        <w:rPr>
          <w:rStyle w:val="FootnoteReference"/>
        </w:rPr>
        <w:footnoteRef/>
      </w:r>
      <w:r>
        <w:tab/>
      </w:r>
      <w:r w:rsidRPr="00BE1E1F">
        <w:t>European Committee for the Prevention of Torture and Inhuman or Degrading Treatment o</w:t>
      </w:r>
      <w:r>
        <w:t>r</w:t>
      </w:r>
      <w:r w:rsidRPr="00BE1E1F">
        <w:t xml:space="preserve"> </w:t>
      </w:r>
      <w:r w:rsidRPr="00E87254">
        <w:t xml:space="preserve">Punishment, report </w:t>
      </w:r>
      <w:r w:rsidRPr="00CA05A5">
        <w:t xml:space="preserve">to the Government of </w:t>
      </w:r>
      <w:r>
        <w:t xml:space="preserve">Croatia </w:t>
      </w:r>
      <w:r w:rsidRPr="00E87254">
        <w:t>on the visit to Croatia</w:t>
      </w:r>
      <w:r w:rsidRPr="00C127A1">
        <w:t xml:space="preserve"> </w:t>
      </w:r>
      <w:r>
        <w:t>from 10 to 14 August 2020</w:t>
      </w:r>
      <w:r w:rsidRPr="00E87254">
        <w:t>, paras. 5, 9 and 22. On the use of technology as a tool to document cases of enforced disappearance, see Border Violence Monitoring Network, “EU Member States’ use of new technologies”,</w:t>
      </w:r>
      <w:r>
        <w:t xml:space="preserve"> </w:t>
      </w:r>
      <w:r w:rsidR="00EE38D1">
        <w:br/>
      </w:r>
      <w:r w:rsidRPr="00E87254">
        <w:t>paras. 16–28.</w:t>
      </w:r>
    </w:p>
  </w:footnote>
  <w:footnote w:id="56">
    <w:p w14:paraId="356B8E2E" w14:textId="1D6EA360" w:rsidR="00DB3692" w:rsidRPr="004F3C1C" w:rsidRDefault="00DB3692" w:rsidP="00CB0813">
      <w:pPr>
        <w:pStyle w:val="FootnoteText"/>
        <w:rPr>
          <w:rFonts w:cstheme="minorHAnsi"/>
          <w:szCs w:val="18"/>
        </w:rPr>
      </w:pPr>
      <w:r w:rsidRPr="00BE1E1F">
        <w:rPr>
          <w:rFonts w:cstheme="minorHAnsi"/>
          <w:szCs w:val="18"/>
        </w:rPr>
        <w:tab/>
      </w:r>
      <w:r w:rsidRPr="009662BA">
        <w:rPr>
          <w:rStyle w:val="FootnoteReference"/>
        </w:rPr>
        <w:footnoteRef/>
      </w:r>
      <w:r w:rsidRPr="00541A61">
        <w:rPr>
          <w:rFonts w:cstheme="minorHAnsi"/>
          <w:szCs w:val="18"/>
        </w:rPr>
        <w:tab/>
      </w:r>
      <w:hyperlink r:id="rId60" w:history="1">
        <w:r w:rsidRPr="00DB3692">
          <w:rPr>
            <w:rStyle w:val="Hyperlink"/>
          </w:rPr>
          <w:t>CED/C/MEX/VR/1</w:t>
        </w:r>
      </w:hyperlink>
      <w:r w:rsidRPr="00541A61">
        <w:t xml:space="preserve"> (Recommendations)</w:t>
      </w:r>
      <w:r w:rsidRPr="00541A61">
        <w:rPr>
          <w:rFonts w:cstheme="minorHAnsi"/>
          <w:szCs w:val="18"/>
        </w:rPr>
        <w:t xml:space="preserve">, paras. </w:t>
      </w:r>
      <w:r w:rsidRPr="00A260F4">
        <w:rPr>
          <w:rFonts w:cstheme="minorHAnsi"/>
          <w:szCs w:val="18"/>
        </w:rPr>
        <w:t>16 and 17</w:t>
      </w:r>
      <w:r w:rsidRPr="004F3C1C">
        <w:rPr>
          <w:rFonts w:cstheme="minorHAnsi"/>
          <w:szCs w:val="18"/>
        </w:rPr>
        <w:t>.</w:t>
      </w:r>
    </w:p>
  </w:footnote>
  <w:footnote w:id="57">
    <w:p w14:paraId="7A3A3B25" w14:textId="77777777" w:rsidR="00DB3692" w:rsidRPr="00BE1E1F" w:rsidRDefault="00DB3692" w:rsidP="00CB0813">
      <w:pPr>
        <w:pStyle w:val="FootnoteText"/>
        <w:rPr>
          <w:rFonts w:cstheme="minorHAnsi"/>
          <w:szCs w:val="18"/>
        </w:rPr>
      </w:pPr>
      <w:r w:rsidRPr="00BE1E1F">
        <w:rPr>
          <w:rFonts w:cstheme="minorHAnsi"/>
          <w:szCs w:val="18"/>
        </w:rPr>
        <w:tab/>
      </w:r>
      <w:r w:rsidRPr="009662BA">
        <w:rPr>
          <w:rStyle w:val="FootnoteReference"/>
        </w:rPr>
        <w:footnoteRef/>
      </w:r>
      <w:r w:rsidRPr="00BE1E1F">
        <w:rPr>
          <w:rFonts w:cstheme="minorHAnsi"/>
          <w:szCs w:val="18"/>
        </w:rPr>
        <w:tab/>
      </w:r>
      <w:hyperlink r:id="rId61" w:history="1">
        <w:r>
          <w:t xml:space="preserve">See also </w:t>
        </w:r>
        <w:r w:rsidRPr="00A260F4">
          <w:t>Committee on the Rights of the Child, general comment No. 6 (2005)</w:t>
        </w:r>
      </w:hyperlink>
      <w:r w:rsidRPr="00A260F4">
        <w:t>, p</w:t>
      </w:r>
      <w:r w:rsidRPr="00BE1E1F">
        <w:rPr>
          <w:rFonts w:cstheme="minorHAnsi"/>
          <w:szCs w:val="18"/>
        </w:rPr>
        <w:t>ara. 100.</w:t>
      </w:r>
    </w:p>
  </w:footnote>
  <w:footnote w:id="58">
    <w:p w14:paraId="26FC02BD" w14:textId="67037A48" w:rsidR="00DB3692" w:rsidRPr="00BE1E1F" w:rsidRDefault="00DB3692" w:rsidP="00CB0813">
      <w:pPr>
        <w:pStyle w:val="FootnoteText"/>
        <w:rPr>
          <w:rFonts w:cstheme="minorHAnsi"/>
          <w:szCs w:val="18"/>
        </w:rPr>
      </w:pPr>
      <w:r w:rsidRPr="00BE1E1F">
        <w:rPr>
          <w:rFonts w:cstheme="minorHAnsi"/>
          <w:szCs w:val="18"/>
        </w:rPr>
        <w:tab/>
      </w:r>
      <w:r w:rsidRPr="009662BA">
        <w:rPr>
          <w:rStyle w:val="FootnoteReference"/>
        </w:rPr>
        <w:footnoteRef/>
      </w:r>
      <w:r w:rsidRPr="00BE1E1F">
        <w:rPr>
          <w:rFonts w:cstheme="minorHAnsi"/>
          <w:szCs w:val="18"/>
        </w:rPr>
        <w:tab/>
      </w:r>
      <w:hyperlink r:id="rId62" w:history="1"/>
      <w:r w:rsidRPr="00C369E2">
        <w:rPr>
          <w:rFonts w:cstheme="minorHAnsi"/>
          <w:szCs w:val="18"/>
        </w:rPr>
        <w:t>Committee on the Elimination of Discrimination against Women, general recommendation No. 38 (2020)</w:t>
      </w:r>
      <w:r w:rsidRPr="00BE1E1F">
        <w:rPr>
          <w:rFonts w:cstheme="minorHAnsi"/>
          <w:szCs w:val="18"/>
        </w:rPr>
        <w:t>, para. 109.</w:t>
      </w:r>
    </w:p>
  </w:footnote>
  <w:footnote w:id="59">
    <w:p w14:paraId="2D01CFB9" w14:textId="77777777" w:rsidR="00DB3692" w:rsidRPr="007354CB" w:rsidRDefault="00DB3692" w:rsidP="00CB0813">
      <w:pPr>
        <w:pStyle w:val="FootnoteText"/>
      </w:pPr>
      <w:r w:rsidRPr="00BE1E1F">
        <w:tab/>
      </w:r>
      <w:r w:rsidRPr="009662BA">
        <w:rPr>
          <w:rStyle w:val="FootnoteReference"/>
        </w:rPr>
        <w:footnoteRef/>
      </w:r>
      <w:r w:rsidRPr="00BE1E1F">
        <w:tab/>
      </w:r>
      <w:r w:rsidRPr="0066546F">
        <w:t xml:space="preserve">Global Compact for Safe, Orderly and Regular </w:t>
      </w:r>
      <w:r w:rsidRPr="00F112C8">
        <w:t>Migration, objectives</w:t>
      </w:r>
      <w:r w:rsidRPr="00BE1E1F">
        <w:t xml:space="preserve"> 5, 7–11, 13</w:t>
      </w:r>
      <w:r>
        <w:t xml:space="preserve">, </w:t>
      </w:r>
      <w:r w:rsidRPr="00BE1E1F">
        <w:t>14 and 17.</w:t>
      </w:r>
      <w:r w:rsidRPr="00287CC7">
        <w:t xml:space="preserve"> </w:t>
      </w:r>
      <w:r w:rsidRPr="00BE1E1F">
        <w:t>See also Committee on the Elimination of Discrimination against Women, general recommendation No. 38</w:t>
      </w:r>
      <w:r w:rsidRPr="00EB3E7A">
        <w:t xml:space="preserve"> (2020)</w:t>
      </w:r>
      <w:r w:rsidRPr="007354CB">
        <w:t>, paras</w:t>
      </w:r>
      <w:r>
        <w:t>.</w:t>
      </w:r>
      <w:r w:rsidRPr="007354CB">
        <w:t xml:space="preserve"> 56</w:t>
      </w:r>
      <w:r>
        <w:t>–</w:t>
      </w:r>
      <w:r w:rsidRPr="007354CB">
        <w:t>60.</w:t>
      </w:r>
    </w:p>
  </w:footnote>
  <w:footnote w:id="60">
    <w:p w14:paraId="398AB57D" w14:textId="793DDEBD" w:rsidR="00DB3692" w:rsidRPr="007354CB" w:rsidRDefault="00DB3692" w:rsidP="00CB0813">
      <w:pPr>
        <w:pStyle w:val="FootnoteText"/>
      </w:pPr>
      <w:r w:rsidRPr="007354CB">
        <w:tab/>
      </w:r>
      <w:r w:rsidRPr="009662BA">
        <w:rPr>
          <w:rStyle w:val="FootnoteReference"/>
        </w:rPr>
        <w:footnoteRef/>
      </w:r>
      <w:r w:rsidRPr="007354CB">
        <w:tab/>
      </w:r>
      <w:hyperlink r:id="rId63" w:history="1">
        <w:r w:rsidRPr="00DB3692">
          <w:rPr>
            <w:rStyle w:val="Hyperlink"/>
          </w:rPr>
          <w:t>A/HRC/36/39/Add.2</w:t>
        </w:r>
      </w:hyperlink>
      <w:r w:rsidRPr="00C43701">
        <w:t xml:space="preserve">, </w:t>
      </w:r>
      <w:r w:rsidRPr="007354CB">
        <w:t>para</w:t>
      </w:r>
      <w:r>
        <w:t>.</w:t>
      </w:r>
      <w:r w:rsidRPr="007354CB">
        <w:t xml:space="preserve"> 35</w:t>
      </w:r>
      <w:r>
        <w:t xml:space="preserve">; and </w:t>
      </w:r>
      <w:r w:rsidRPr="00C43701">
        <w:t xml:space="preserve">Human Rights Commission of Malaysia and Fortify Rights, </w:t>
      </w:r>
      <w:r w:rsidRPr="0066546F">
        <w:rPr>
          <w:i/>
          <w:iCs/>
        </w:rPr>
        <w:t>“Sold like Fish”</w:t>
      </w:r>
      <w:r w:rsidRPr="007354CB">
        <w:t>.</w:t>
      </w:r>
    </w:p>
  </w:footnote>
  <w:footnote w:id="61">
    <w:p w14:paraId="1961489D" w14:textId="55970394" w:rsidR="00DB3692" w:rsidRPr="00F207EC"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hyperlink r:id="rId64" w:history="1">
        <w:r w:rsidRPr="00DB3692">
          <w:rPr>
            <w:rStyle w:val="Hyperlink"/>
          </w:rPr>
          <w:t>A/HRC/40/59</w:t>
        </w:r>
      </w:hyperlink>
      <w:r>
        <w:t xml:space="preserve">; and </w:t>
      </w:r>
      <w:hyperlink r:id="rId65" w:history="1">
        <w:r w:rsidRPr="00DB3692">
          <w:rPr>
            <w:rStyle w:val="Hyperlink"/>
          </w:rPr>
          <w:t>CED/C/GAB/CO/1</w:t>
        </w:r>
      </w:hyperlink>
      <w:r w:rsidRPr="007354CB">
        <w:rPr>
          <w:rFonts w:cstheme="minorHAnsi"/>
          <w:szCs w:val="18"/>
        </w:rPr>
        <w:t>, para</w:t>
      </w:r>
      <w:r>
        <w:rPr>
          <w:rFonts w:cstheme="minorHAnsi"/>
          <w:szCs w:val="18"/>
        </w:rPr>
        <w:t>.</w:t>
      </w:r>
      <w:r w:rsidRPr="007354CB">
        <w:rPr>
          <w:rFonts w:cstheme="minorHAnsi"/>
          <w:szCs w:val="18"/>
        </w:rPr>
        <w:t xml:space="preserve"> 20</w:t>
      </w:r>
      <w:r w:rsidRPr="00F207EC">
        <w:rPr>
          <w:rFonts w:cstheme="minorHAnsi"/>
          <w:szCs w:val="18"/>
        </w:rPr>
        <w:t>.</w:t>
      </w:r>
    </w:p>
  </w:footnote>
  <w:footnote w:id="62">
    <w:p w14:paraId="442B7E76" w14:textId="2D89E2D9" w:rsidR="00DB3692" w:rsidRPr="007354CB" w:rsidRDefault="00DB3692" w:rsidP="00CB0813">
      <w:pPr>
        <w:pStyle w:val="FootnoteText"/>
      </w:pPr>
      <w:r w:rsidRPr="007354CB">
        <w:tab/>
      </w:r>
      <w:r w:rsidRPr="009662BA">
        <w:rPr>
          <w:rStyle w:val="FootnoteReference"/>
        </w:rPr>
        <w:footnoteRef/>
      </w:r>
      <w:r>
        <w:tab/>
      </w:r>
      <w:hyperlink r:id="rId66" w:history="1">
        <w:r w:rsidRPr="00DB3692">
          <w:rPr>
            <w:rStyle w:val="Hyperlink"/>
          </w:rPr>
          <w:t>CED/C/MEX/CO/1</w:t>
        </w:r>
      </w:hyperlink>
      <w:r w:rsidRPr="00BA0046">
        <w:t xml:space="preserve">, </w:t>
      </w:r>
      <w:r w:rsidRPr="007354CB">
        <w:t>para. 23</w:t>
      </w:r>
      <w:r>
        <w:t xml:space="preserve">. See also </w:t>
      </w:r>
      <w:r w:rsidRPr="00BA0046">
        <w:t>Committee on the Rights of the Child, general comment No. 6 (2005); joint general comment No. 3 of the Committee on the Protection of the Rights of All Migrant Workers and Members of Their Families/No. 22 of the Committee on the Rights of the Child (2017); and joint general comment No. 4 of the Committee on the Protection of the Rights of All Migrant Workers and Members of Their Families/No. 23 of the Committee on the Rights of the Child (2017).</w:t>
      </w:r>
    </w:p>
  </w:footnote>
  <w:footnote w:id="63">
    <w:p w14:paraId="539F3D06" w14:textId="1DD0765A" w:rsidR="00DB3692" w:rsidRPr="007354CB" w:rsidRDefault="00DB3692" w:rsidP="00CB0813">
      <w:pPr>
        <w:pStyle w:val="FootnoteText"/>
      </w:pPr>
      <w:r w:rsidRPr="007354CB">
        <w:tab/>
      </w:r>
      <w:r w:rsidRPr="009662BA">
        <w:rPr>
          <w:rStyle w:val="FootnoteReference"/>
        </w:rPr>
        <w:footnoteRef/>
      </w:r>
      <w:r w:rsidRPr="007354CB">
        <w:tab/>
      </w:r>
      <w:r w:rsidRPr="00BA0046">
        <w:t>Convention on the Rights of the Child, art. 9; Committee on the Rights of the Child, general comment No. 14 (2013); joint general comment No. 3 of the Committee on the Protection of the Rights of All Migrant Workers and Members of Their Families/No. 22 of the Committee on the Rights of the Child (2017), paras. 31</w:t>
      </w:r>
      <w:r>
        <w:t xml:space="preserve"> and </w:t>
      </w:r>
      <w:r w:rsidRPr="00BA0046">
        <w:t>32;</w:t>
      </w:r>
      <w:r>
        <w:t xml:space="preserve"> </w:t>
      </w:r>
      <w:r w:rsidRPr="00BA0046">
        <w:t>joint general comment No. 4 of the Committee on the Protection of the Rights of All Migrant Workers and Members of Their Families/No. 23 of the Committee on the Rights of the Child (2017), paras</w:t>
      </w:r>
      <w:r>
        <w:t>.</w:t>
      </w:r>
      <w:r w:rsidRPr="007354CB">
        <w:t xml:space="preserve"> 27</w:t>
      </w:r>
      <w:r>
        <w:t>–</w:t>
      </w:r>
      <w:r w:rsidRPr="007354CB">
        <w:t xml:space="preserve">31; </w:t>
      </w:r>
      <w:r>
        <w:t>and</w:t>
      </w:r>
      <w:r w:rsidRPr="007354CB">
        <w:t xml:space="preserve"> </w:t>
      </w:r>
      <w:r w:rsidRPr="00BA0046">
        <w:t>OHCHR</w:t>
      </w:r>
      <w:r>
        <w:t>,</w:t>
      </w:r>
      <w:r w:rsidRPr="007354CB">
        <w:t xml:space="preserve"> </w:t>
      </w:r>
      <w:r>
        <w:t>“</w:t>
      </w:r>
      <w:r w:rsidRPr="007354CB">
        <w:t>Recommended principles to guide actions concerning children on the move and other children affected by migration</w:t>
      </w:r>
      <w:r>
        <w:t>”</w:t>
      </w:r>
      <w:r w:rsidRPr="007354CB">
        <w:t xml:space="preserve">, </w:t>
      </w:r>
      <w:r>
        <w:t>June 2016, principle 5</w:t>
      </w:r>
      <w:r w:rsidRPr="007354CB">
        <w:t>.</w:t>
      </w:r>
    </w:p>
  </w:footnote>
  <w:footnote w:id="64">
    <w:p w14:paraId="1EF4E5F3" w14:textId="3CE1F872" w:rsidR="00DB3692" w:rsidRPr="007354CB" w:rsidRDefault="00DB3692" w:rsidP="00CB0813">
      <w:pPr>
        <w:pStyle w:val="FootnoteText"/>
      </w:pPr>
      <w:r w:rsidRPr="007354CB">
        <w:tab/>
      </w:r>
      <w:r w:rsidRPr="009662BA">
        <w:rPr>
          <w:rStyle w:val="FootnoteReference"/>
        </w:rPr>
        <w:footnoteRef/>
      </w:r>
      <w:r w:rsidRPr="007354CB">
        <w:tab/>
        <w:t>Convention of the Rights of the Child</w:t>
      </w:r>
      <w:r>
        <w:t xml:space="preserve">, art. </w:t>
      </w:r>
      <w:r w:rsidRPr="00737AB7">
        <w:t>20;</w:t>
      </w:r>
      <w:r>
        <w:t xml:space="preserve"> </w:t>
      </w:r>
      <w:r w:rsidRPr="00737AB7">
        <w:t>Committee on the Rights of the Child, general comment No. 6 (2005), paras. 50–53;</w:t>
      </w:r>
      <w:r>
        <w:t xml:space="preserve"> </w:t>
      </w:r>
      <w:r w:rsidRPr="00737AB7">
        <w:t>joint general comment No. 4 of the Committee on the Protection of the Rights of All Migrant Workers and Members of Their Families/No. 23 of the Committee on the Rights of the Child (2017), paras. 43</w:t>
      </w:r>
      <w:r>
        <w:t xml:space="preserve"> and </w:t>
      </w:r>
      <w:r w:rsidRPr="00737AB7">
        <w:t xml:space="preserve">44; and </w:t>
      </w:r>
      <w:hyperlink r:id="rId67" w:history="1">
        <w:r w:rsidRPr="00DB3692">
          <w:rPr>
            <w:rStyle w:val="Hyperlink"/>
          </w:rPr>
          <w:t>CED/C/GRC/CO/1</w:t>
        </w:r>
      </w:hyperlink>
      <w:r w:rsidRPr="00737AB7">
        <w:t xml:space="preserve">, </w:t>
      </w:r>
      <w:r w:rsidRPr="007354CB">
        <w:t>para</w:t>
      </w:r>
      <w:r>
        <w:t>.</w:t>
      </w:r>
      <w:r w:rsidRPr="007354CB">
        <w:t xml:space="preserve"> 27 (b).</w:t>
      </w:r>
    </w:p>
  </w:footnote>
  <w:footnote w:id="65">
    <w:p w14:paraId="34265BCB" w14:textId="6C61370C" w:rsidR="00DB3692" w:rsidRPr="00A260F4" w:rsidRDefault="00DB3692" w:rsidP="00CB0813">
      <w:pPr>
        <w:pStyle w:val="FootnoteText"/>
      </w:pPr>
      <w:r w:rsidRPr="007354CB">
        <w:tab/>
      </w:r>
      <w:r w:rsidRPr="009662BA">
        <w:rPr>
          <w:rStyle w:val="FootnoteReference"/>
        </w:rPr>
        <w:footnoteRef/>
      </w:r>
      <w:r w:rsidRPr="00A260F4">
        <w:tab/>
      </w:r>
      <w:r w:rsidRPr="002E086C">
        <w:t>Joint general comment No. 4 of the Committee on the Protection of the Rights of All Migrant Workers and Members of Their Families/No. 23 of the Committee on the Rights of the Child (2017)</w:t>
      </w:r>
      <w:r w:rsidRPr="00A260F4">
        <w:t xml:space="preserve">, paras. </w:t>
      </w:r>
      <w:r w:rsidRPr="001578CF">
        <w:t>20</w:t>
      </w:r>
      <w:r>
        <w:t>–</w:t>
      </w:r>
      <w:r w:rsidRPr="007354CB">
        <w:t>22.</w:t>
      </w:r>
      <w:r>
        <w:t xml:space="preserve"> See</w:t>
      </w:r>
      <w:r w:rsidRPr="007354CB">
        <w:t xml:space="preserve"> </w:t>
      </w:r>
      <w:r>
        <w:t xml:space="preserve">also </w:t>
      </w:r>
      <w:hyperlink r:id="rId68" w:history="1">
        <w:r w:rsidRPr="00DB3692">
          <w:rPr>
            <w:rStyle w:val="Hyperlink"/>
          </w:rPr>
          <w:t>CED/C/ITA/CO/1</w:t>
        </w:r>
      </w:hyperlink>
      <w:r w:rsidRPr="001578CF">
        <w:t xml:space="preserve">, paras. </w:t>
      </w:r>
      <w:r w:rsidRPr="00A260F4">
        <w:t>34</w:t>
      </w:r>
      <w:r>
        <w:t xml:space="preserve"> and </w:t>
      </w:r>
      <w:r w:rsidRPr="00A260F4">
        <w:t xml:space="preserve">35; </w:t>
      </w:r>
      <w:r>
        <w:t xml:space="preserve">and </w:t>
      </w:r>
      <w:hyperlink r:id="rId69" w:history="1">
        <w:r w:rsidRPr="00DB3692">
          <w:rPr>
            <w:rStyle w:val="Hyperlink"/>
          </w:rPr>
          <w:t>CED/C/NLD/CO/1</w:t>
        </w:r>
      </w:hyperlink>
      <w:r w:rsidRPr="00A260F4">
        <w:t>, paras. 32–39.</w:t>
      </w:r>
    </w:p>
  </w:footnote>
  <w:footnote w:id="66">
    <w:p w14:paraId="3E9C3D48" w14:textId="6889B49A" w:rsidR="00DB3692" w:rsidRPr="00C35596" w:rsidRDefault="00DB3692" w:rsidP="00CB0813">
      <w:pPr>
        <w:pStyle w:val="FootnoteText"/>
      </w:pPr>
      <w:r w:rsidRPr="006A1F7A">
        <w:tab/>
      </w:r>
      <w:r>
        <w:rPr>
          <w:rStyle w:val="FootnoteReference"/>
        </w:rPr>
        <w:footnoteRef/>
      </w:r>
      <w:r w:rsidRPr="00C35596">
        <w:t xml:space="preserve"> </w:t>
      </w:r>
      <w:r w:rsidRPr="00C35596">
        <w:tab/>
      </w:r>
      <w:r w:rsidRPr="002E086C">
        <w:t>Joint general comment No. 4 of the Committee on the Protection of the Rights of All Migrant Workers and Members of Their Families/No. 23 of the Committee on the Rights of the Child (2017)</w:t>
      </w:r>
      <w:r w:rsidRPr="00A260F4">
        <w:t>, para</w:t>
      </w:r>
      <w:r>
        <w:t>.</w:t>
      </w:r>
      <w:r w:rsidRPr="00A260F4">
        <w:t xml:space="preserve"> 17 (a).</w:t>
      </w:r>
    </w:p>
  </w:footnote>
  <w:footnote w:id="67">
    <w:p w14:paraId="0AE7D863" w14:textId="05E271DC" w:rsidR="00DB3692" w:rsidRPr="007354CB" w:rsidRDefault="00DB3692" w:rsidP="00CB0813">
      <w:pPr>
        <w:pStyle w:val="FootnoteText"/>
      </w:pPr>
      <w:r w:rsidRPr="00A260F4">
        <w:tab/>
      </w:r>
      <w:r w:rsidRPr="009662BA">
        <w:rPr>
          <w:rStyle w:val="FootnoteReference"/>
        </w:rPr>
        <w:footnoteRef/>
      </w:r>
      <w:r w:rsidRPr="00A260F4">
        <w:tab/>
        <w:t>Committee on the Rights of the Child, general comment No. 6 (2005), paras. 19–22 and 81–83;</w:t>
      </w:r>
      <w:r>
        <w:t xml:space="preserve"> </w:t>
      </w:r>
      <w:r w:rsidRPr="00325824">
        <w:t>joint general comment No. 3 of the Committee on the Protection of the Rights of All Migrant Workers and Members of Their Families/No. 22 of the Committee on the Rights of the Child (2017)</w:t>
      </w:r>
      <w:r w:rsidRPr="00A260F4">
        <w:t>, paras. 27–33;</w:t>
      </w:r>
      <w:r w:rsidRPr="00325824">
        <w:t xml:space="preserve"> and joint general comment No. 4 of the Committee on the Protection of the Rights of All Migrant Workers and Members of Their Families/No. 23 of the Committee on the Rights of the Child (2017)</w:t>
      </w:r>
      <w:r w:rsidRPr="00A260F4">
        <w:t xml:space="preserve">, paras. </w:t>
      </w:r>
      <w:r w:rsidRPr="007354CB">
        <w:t>27</w:t>
      </w:r>
      <w:r>
        <w:t>–</w:t>
      </w:r>
      <w:r w:rsidRPr="007354CB">
        <w:t>38.</w:t>
      </w:r>
    </w:p>
  </w:footnote>
  <w:footnote w:id="68">
    <w:p w14:paraId="7B6510A6" w14:textId="5B36A657"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Pr>
          <w:rFonts w:cstheme="minorHAnsi"/>
          <w:szCs w:val="18"/>
        </w:rPr>
        <w:tab/>
      </w:r>
      <w:hyperlink r:id="rId70" w:history="1">
        <w:r w:rsidRPr="00DB3692">
          <w:rPr>
            <w:rStyle w:val="Hyperlink"/>
          </w:rPr>
          <w:t>CED/C/HND/CO/1</w:t>
        </w:r>
      </w:hyperlink>
      <w:r w:rsidRPr="00171003">
        <w:rPr>
          <w:rFonts w:cstheme="minorHAnsi"/>
          <w:szCs w:val="18"/>
        </w:rPr>
        <w:t>,</w:t>
      </w:r>
      <w:r w:rsidRPr="007354CB">
        <w:rPr>
          <w:rFonts w:cstheme="minorHAnsi"/>
          <w:szCs w:val="18"/>
        </w:rPr>
        <w:t xml:space="preserve"> para</w:t>
      </w:r>
      <w:r>
        <w:rPr>
          <w:rFonts w:cstheme="minorHAnsi"/>
          <w:szCs w:val="18"/>
        </w:rPr>
        <w:t>.</w:t>
      </w:r>
      <w:r w:rsidRPr="007354CB">
        <w:rPr>
          <w:rFonts w:cstheme="minorHAnsi"/>
          <w:szCs w:val="18"/>
        </w:rPr>
        <w:t xml:space="preserve"> 27.</w:t>
      </w:r>
    </w:p>
  </w:footnote>
  <w:footnote w:id="69">
    <w:p w14:paraId="6F3CA378" w14:textId="5A9831E5"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Pr>
          <w:rFonts w:cstheme="minorHAnsi"/>
          <w:szCs w:val="18"/>
        </w:rPr>
        <w:tab/>
      </w:r>
      <w:hyperlink r:id="rId71" w:history="1">
        <w:r w:rsidRPr="00DB3692">
          <w:rPr>
            <w:rStyle w:val="Hyperlink"/>
          </w:rPr>
          <w:t>CED/C/GRC/CO/1</w:t>
        </w:r>
      </w:hyperlink>
      <w:r w:rsidRPr="00171003">
        <w:rPr>
          <w:rFonts w:cstheme="minorHAnsi"/>
          <w:szCs w:val="18"/>
        </w:rPr>
        <w:t>, para. 25 (b). See also OHCHR, “‘Lethal disregard’”, p. 28.</w:t>
      </w:r>
    </w:p>
  </w:footnote>
  <w:footnote w:id="70">
    <w:p w14:paraId="0458137B" w14:textId="3DBA9ADC" w:rsidR="00DB3692" w:rsidRPr="007354CB" w:rsidRDefault="00DB3692" w:rsidP="00CB0813">
      <w:pPr>
        <w:pStyle w:val="FootnoteText"/>
      </w:pPr>
      <w:r w:rsidRPr="007354CB">
        <w:tab/>
      </w:r>
      <w:r w:rsidRPr="009662BA">
        <w:rPr>
          <w:rStyle w:val="FootnoteReference"/>
        </w:rPr>
        <w:footnoteRef/>
      </w:r>
      <w:r w:rsidRPr="007354CB">
        <w:tab/>
      </w:r>
      <w:hyperlink r:id="rId72" w:history="1">
        <w:r w:rsidRPr="00DB3692">
          <w:rPr>
            <w:rStyle w:val="Hyperlink"/>
          </w:rPr>
          <w:t>A/73/314</w:t>
        </w:r>
      </w:hyperlink>
      <w:r w:rsidRPr="007354CB">
        <w:t>, paras</w:t>
      </w:r>
      <w:r>
        <w:t>.</w:t>
      </w:r>
      <w:r w:rsidRPr="007354CB">
        <w:t xml:space="preserve"> 58</w:t>
      </w:r>
      <w:r>
        <w:t>–</w:t>
      </w:r>
      <w:r w:rsidRPr="007354CB">
        <w:t xml:space="preserve">75; </w:t>
      </w:r>
      <w:r>
        <w:t xml:space="preserve">and </w:t>
      </w:r>
      <w:r w:rsidRPr="007354CB">
        <w:t xml:space="preserve">Martha Gionco and Jyothi Kanics, </w:t>
      </w:r>
      <w:r w:rsidRPr="0066546F">
        <w:rPr>
          <w:i/>
          <w:iCs/>
        </w:rPr>
        <w:t>Resilience and Resistance: The Criminalisation of Solidarity across Europe</w:t>
      </w:r>
      <w:r w:rsidRPr="007354CB">
        <w:t xml:space="preserve"> </w:t>
      </w:r>
      <w:r>
        <w:t xml:space="preserve">(Brussels, </w:t>
      </w:r>
      <w:r w:rsidRPr="007354CB">
        <w:t>The Greens/EFA</w:t>
      </w:r>
      <w:r>
        <w:t xml:space="preserve"> in the European Parliament, 2022).</w:t>
      </w:r>
    </w:p>
  </w:footnote>
  <w:footnote w:id="71">
    <w:p w14:paraId="41F003EA" w14:textId="62496FE8"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A260F4">
        <w:rPr>
          <w:rFonts w:cstheme="minorHAnsi"/>
          <w:szCs w:val="18"/>
          <w:lang w:val="es-ES"/>
        </w:rPr>
        <w:tab/>
      </w:r>
      <w:hyperlink r:id="rId73" w:history="1">
        <w:r w:rsidRPr="00DB3692">
          <w:rPr>
            <w:rStyle w:val="Hyperlink"/>
            <w:lang w:val="es-ES"/>
          </w:rPr>
          <w:t>A/AC.96/951</w:t>
        </w:r>
      </w:hyperlink>
      <w:r w:rsidRPr="00A260F4">
        <w:rPr>
          <w:rFonts w:cstheme="minorHAnsi"/>
          <w:szCs w:val="18"/>
          <w:lang w:val="es-ES"/>
        </w:rPr>
        <w:t xml:space="preserve">, para. 16; </w:t>
      </w:r>
      <w:hyperlink r:id="rId74" w:history="1">
        <w:r w:rsidRPr="00DB3692">
          <w:rPr>
            <w:rStyle w:val="Hyperlink"/>
            <w:lang w:val="es-ES"/>
          </w:rPr>
          <w:t>CED/C/NER/CO/1</w:t>
        </w:r>
      </w:hyperlink>
      <w:r w:rsidRPr="00A260F4">
        <w:rPr>
          <w:rFonts w:cstheme="minorHAnsi"/>
          <w:szCs w:val="18"/>
          <w:lang w:val="es-ES"/>
        </w:rPr>
        <w:t xml:space="preserve">, para. </w:t>
      </w:r>
      <w:r w:rsidRPr="007354CB">
        <w:rPr>
          <w:rFonts w:cstheme="minorHAnsi"/>
          <w:szCs w:val="18"/>
        </w:rPr>
        <w:t>27</w:t>
      </w:r>
      <w:r>
        <w:rPr>
          <w:rFonts w:cstheme="minorHAnsi"/>
          <w:szCs w:val="18"/>
        </w:rPr>
        <w:t xml:space="preserve"> </w:t>
      </w:r>
      <w:r w:rsidRPr="007354CB">
        <w:rPr>
          <w:rFonts w:cstheme="minorHAnsi"/>
          <w:szCs w:val="18"/>
        </w:rPr>
        <w:t xml:space="preserve">(a); </w:t>
      </w:r>
      <w:hyperlink r:id="rId75" w:history="1">
        <w:r w:rsidRPr="00DB3692">
          <w:rPr>
            <w:rStyle w:val="Hyperlink"/>
          </w:rPr>
          <w:t>CED/C/MNG/CO/1</w:t>
        </w:r>
      </w:hyperlink>
      <w:r w:rsidRPr="007354CB">
        <w:rPr>
          <w:rFonts w:cstheme="minorHAnsi"/>
          <w:szCs w:val="18"/>
        </w:rPr>
        <w:t>, para</w:t>
      </w:r>
      <w:r>
        <w:rPr>
          <w:rFonts w:cstheme="minorHAnsi"/>
          <w:szCs w:val="18"/>
        </w:rPr>
        <w:t>s.</w:t>
      </w:r>
      <w:r w:rsidRPr="007354CB">
        <w:rPr>
          <w:rFonts w:cstheme="minorHAnsi"/>
          <w:szCs w:val="18"/>
        </w:rPr>
        <w:t xml:space="preserve"> 30</w:t>
      </w:r>
      <w:r>
        <w:rPr>
          <w:rFonts w:cstheme="minorHAnsi"/>
          <w:szCs w:val="18"/>
        </w:rPr>
        <w:t xml:space="preserve"> and </w:t>
      </w:r>
      <w:r w:rsidRPr="007354CB">
        <w:rPr>
          <w:rFonts w:cstheme="minorHAnsi"/>
          <w:szCs w:val="18"/>
        </w:rPr>
        <w:t xml:space="preserve">31; </w:t>
      </w:r>
      <w:hyperlink r:id="rId76" w:history="1">
        <w:r w:rsidRPr="00DB3692">
          <w:rPr>
            <w:rStyle w:val="Hyperlink"/>
          </w:rPr>
          <w:t>CED/C/SVK/CO/1</w:t>
        </w:r>
      </w:hyperlink>
      <w:r w:rsidRPr="007354CB">
        <w:rPr>
          <w:rFonts w:cstheme="minorHAnsi"/>
          <w:szCs w:val="18"/>
        </w:rPr>
        <w:t>, para</w:t>
      </w:r>
      <w:r>
        <w:rPr>
          <w:rFonts w:cstheme="minorHAnsi"/>
          <w:szCs w:val="18"/>
        </w:rPr>
        <w:t>s.</w:t>
      </w:r>
      <w:r w:rsidRPr="007354CB">
        <w:rPr>
          <w:rFonts w:cstheme="minorHAnsi"/>
          <w:szCs w:val="18"/>
        </w:rPr>
        <w:t xml:space="preserve"> 14</w:t>
      </w:r>
      <w:r>
        <w:rPr>
          <w:rFonts w:cstheme="minorHAnsi"/>
          <w:szCs w:val="18"/>
        </w:rPr>
        <w:t xml:space="preserve"> and </w:t>
      </w:r>
      <w:r w:rsidRPr="007354CB">
        <w:rPr>
          <w:rFonts w:cstheme="minorHAnsi"/>
          <w:szCs w:val="18"/>
        </w:rPr>
        <w:t xml:space="preserve">15; </w:t>
      </w:r>
      <w:hyperlink r:id="rId77" w:history="1">
        <w:r w:rsidRPr="00DB3692">
          <w:rPr>
            <w:rStyle w:val="Hyperlink"/>
          </w:rPr>
          <w:t>CED/C/PER/CO/1</w:t>
        </w:r>
      </w:hyperlink>
      <w:r w:rsidRPr="007354CB">
        <w:rPr>
          <w:rFonts w:cstheme="minorHAnsi"/>
          <w:szCs w:val="18"/>
        </w:rPr>
        <w:t>, para</w:t>
      </w:r>
      <w:r>
        <w:rPr>
          <w:rFonts w:cstheme="minorHAnsi"/>
          <w:szCs w:val="18"/>
        </w:rPr>
        <w:t>s.</w:t>
      </w:r>
      <w:r w:rsidRPr="007354CB">
        <w:rPr>
          <w:rFonts w:cstheme="minorHAnsi"/>
          <w:szCs w:val="18"/>
        </w:rPr>
        <w:t xml:space="preserve"> 22</w:t>
      </w:r>
      <w:r>
        <w:rPr>
          <w:rFonts w:cstheme="minorHAnsi"/>
          <w:szCs w:val="18"/>
        </w:rPr>
        <w:t xml:space="preserve"> and </w:t>
      </w:r>
      <w:r w:rsidRPr="007354CB">
        <w:rPr>
          <w:rFonts w:cstheme="minorHAnsi"/>
          <w:szCs w:val="18"/>
        </w:rPr>
        <w:t xml:space="preserve">23; </w:t>
      </w:r>
      <w:hyperlink r:id="rId78" w:history="1">
        <w:r w:rsidRPr="00DB3692">
          <w:rPr>
            <w:rStyle w:val="Hyperlink"/>
          </w:rPr>
          <w:t>CED/C/AUT/CO/1</w:t>
        </w:r>
      </w:hyperlink>
      <w:r w:rsidRPr="007354CB">
        <w:rPr>
          <w:rFonts w:cstheme="minorHAnsi"/>
          <w:szCs w:val="18"/>
        </w:rPr>
        <w:t>, para</w:t>
      </w:r>
      <w:r>
        <w:rPr>
          <w:rFonts w:cstheme="minorHAnsi"/>
          <w:szCs w:val="18"/>
        </w:rPr>
        <w:t>s.</w:t>
      </w:r>
      <w:r w:rsidR="00721792">
        <w:rPr>
          <w:rFonts w:cstheme="minorHAnsi"/>
          <w:szCs w:val="18"/>
        </w:rPr>
        <w:t> </w:t>
      </w:r>
      <w:r w:rsidRPr="007354CB">
        <w:rPr>
          <w:rFonts w:cstheme="minorHAnsi"/>
          <w:szCs w:val="18"/>
        </w:rPr>
        <w:t>20</w:t>
      </w:r>
      <w:r>
        <w:rPr>
          <w:rFonts w:cstheme="minorHAnsi"/>
          <w:szCs w:val="18"/>
        </w:rPr>
        <w:t xml:space="preserve"> and </w:t>
      </w:r>
      <w:r w:rsidRPr="007354CB">
        <w:rPr>
          <w:rFonts w:cstheme="minorHAnsi"/>
          <w:szCs w:val="18"/>
        </w:rPr>
        <w:t>2</w:t>
      </w:r>
      <w:r>
        <w:rPr>
          <w:rFonts w:cstheme="minorHAnsi"/>
          <w:szCs w:val="18"/>
        </w:rPr>
        <w:t>1</w:t>
      </w:r>
      <w:r w:rsidRPr="007354CB">
        <w:rPr>
          <w:rFonts w:cstheme="minorHAnsi"/>
          <w:szCs w:val="18"/>
        </w:rPr>
        <w:t xml:space="preserve">; </w:t>
      </w:r>
      <w:hyperlink r:id="rId79" w:history="1">
        <w:r w:rsidRPr="00DB3692">
          <w:rPr>
            <w:rStyle w:val="Hyperlink"/>
          </w:rPr>
          <w:t>CED/C/GAB/CO/1</w:t>
        </w:r>
      </w:hyperlink>
      <w:r w:rsidRPr="007354CB">
        <w:rPr>
          <w:rFonts w:cstheme="minorHAnsi"/>
          <w:szCs w:val="18"/>
        </w:rPr>
        <w:t>, para</w:t>
      </w:r>
      <w:r>
        <w:rPr>
          <w:rFonts w:cstheme="minorHAnsi"/>
          <w:szCs w:val="18"/>
        </w:rPr>
        <w:t>s.</w:t>
      </w:r>
      <w:r w:rsidRPr="007354CB">
        <w:rPr>
          <w:rFonts w:cstheme="minorHAnsi"/>
          <w:szCs w:val="18"/>
        </w:rPr>
        <w:t xml:space="preserve"> </w:t>
      </w:r>
      <w:r>
        <w:rPr>
          <w:rFonts w:cstheme="minorHAnsi"/>
          <w:szCs w:val="18"/>
        </w:rPr>
        <w:t xml:space="preserve">30 and </w:t>
      </w:r>
      <w:r w:rsidRPr="007354CB">
        <w:rPr>
          <w:rFonts w:cstheme="minorHAnsi"/>
          <w:szCs w:val="18"/>
        </w:rPr>
        <w:t>31</w:t>
      </w:r>
      <w:r>
        <w:rPr>
          <w:rFonts w:cstheme="minorHAnsi"/>
          <w:szCs w:val="18"/>
        </w:rPr>
        <w:t xml:space="preserve">; and </w:t>
      </w:r>
      <w:r w:rsidRPr="007354CB">
        <w:rPr>
          <w:rFonts w:cstheme="minorHAnsi"/>
          <w:szCs w:val="18"/>
        </w:rPr>
        <w:t xml:space="preserve">European Court of Human Rights, </w:t>
      </w:r>
      <w:r w:rsidRPr="007354CB">
        <w:rPr>
          <w:rFonts w:cstheme="minorHAnsi"/>
          <w:i/>
          <w:iCs/>
          <w:szCs w:val="18"/>
        </w:rPr>
        <w:t>Hirsi Jamaa and others v. Italy</w:t>
      </w:r>
      <w:r w:rsidRPr="007354CB">
        <w:rPr>
          <w:rFonts w:cstheme="minorHAnsi"/>
          <w:szCs w:val="18"/>
        </w:rPr>
        <w:t xml:space="preserve">, Application </w:t>
      </w:r>
      <w:r>
        <w:rPr>
          <w:rFonts w:cstheme="minorHAnsi"/>
          <w:szCs w:val="18"/>
        </w:rPr>
        <w:t>N</w:t>
      </w:r>
      <w:r w:rsidRPr="007354CB">
        <w:rPr>
          <w:rFonts w:cstheme="minorHAnsi"/>
          <w:szCs w:val="18"/>
        </w:rPr>
        <w:t>o. 27765/09</w:t>
      </w:r>
      <w:r>
        <w:rPr>
          <w:rFonts w:cstheme="minorHAnsi"/>
          <w:szCs w:val="18"/>
        </w:rPr>
        <w:t>,</w:t>
      </w:r>
      <w:r w:rsidRPr="007354CB">
        <w:rPr>
          <w:rFonts w:cstheme="minorHAnsi"/>
          <w:szCs w:val="18"/>
        </w:rPr>
        <w:t xml:space="preserve"> </w:t>
      </w:r>
      <w:r>
        <w:rPr>
          <w:rFonts w:cstheme="minorHAnsi"/>
          <w:szCs w:val="18"/>
        </w:rPr>
        <w:t xml:space="preserve">Judgment, </w:t>
      </w:r>
      <w:r w:rsidRPr="007354CB">
        <w:rPr>
          <w:rFonts w:cstheme="minorHAnsi"/>
          <w:szCs w:val="18"/>
        </w:rPr>
        <w:t>23 February 2012, para</w:t>
      </w:r>
      <w:r>
        <w:rPr>
          <w:rFonts w:cstheme="minorHAnsi"/>
          <w:szCs w:val="18"/>
        </w:rPr>
        <w:t>.</w:t>
      </w:r>
      <w:r w:rsidRPr="007354CB">
        <w:rPr>
          <w:rFonts w:cstheme="minorHAnsi"/>
          <w:szCs w:val="18"/>
        </w:rPr>
        <w:t xml:space="preserve"> 23.</w:t>
      </w:r>
    </w:p>
  </w:footnote>
  <w:footnote w:id="72">
    <w:p w14:paraId="2FD3049F" w14:textId="67D76B5E"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hyperlink r:id="rId80" w:history="1">
        <w:r w:rsidRPr="00DB3692">
          <w:rPr>
            <w:rStyle w:val="Hyperlink"/>
          </w:rPr>
          <w:t>A/HRC/50/31</w:t>
        </w:r>
      </w:hyperlink>
      <w:r w:rsidRPr="00C46ABE">
        <w:rPr>
          <w:rFonts w:cstheme="minorHAnsi"/>
          <w:szCs w:val="18"/>
        </w:rPr>
        <w:t>, para. 27.</w:t>
      </w:r>
    </w:p>
  </w:footnote>
  <w:footnote w:id="73">
    <w:p w14:paraId="4D650EB8" w14:textId="7A8CE4B7" w:rsidR="00DB3692" w:rsidRPr="00A260F4" w:rsidRDefault="00DB3692" w:rsidP="00CB0813">
      <w:pPr>
        <w:pStyle w:val="FootnoteText"/>
      </w:pPr>
      <w:r w:rsidRPr="007354CB">
        <w:tab/>
      </w:r>
      <w:r w:rsidRPr="009662BA">
        <w:rPr>
          <w:rStyle w:val="FootnoteReference"/>
        </w:rPr>
        <w:footnoteRef/>
      </w:r>
      <w:r w:rsidRPr="007354CB">
        <w:tab/>
      </w:r>
      <w:r w:rsidRPr="00AE2AF4">
        <w:t>Committee on the Protection of the Rights of All Migrant Workers and Members of Their Families, general comment No. 2 (2013</w:t>
      </w:r>
      <w:r>
        <w:t>)</w:t>
      </w:r>
      <w:r w:rsidRPr="00A260F4">
        <w:t>, para</w:t>
      </w:r>
      <w:r>
        <w:t>.</w:t>
      </w:r>
      <w:r w:rsidRPr="00A260F4">
        <w:t xml:space="preserve"> 51; </w:t>
      </w:r>
      <w:r w:rsidRPr="00046AC5">
        <w:t>Human Rights Committee, general comment No. 31 (2004) on the nature of the general legal obligation imposed on States parties to the International Covenant on Civil and Political Rights</w:t>
      </w:r>
      <w:r w:rsidRPr="00A260F4">
        <w:t>, para. 10</w:t>
      </w:r>
      <w:r>
        <w:t xml:space="preserve">; and </w:t>
      </w:r>
      <w:r w:rsidRPr="00C46ABE">
        <w:t xml:space="preserve">European Court of Human Rights, </w:t>
      </w:r>
      <w:r w:rsidRPr="00C46ABE">
        <w:rPr>
          <w:i/>
          <w:iCs/>
        </w:rPr>
        <w:t>Hirsi Jamaa and others</w:t>
      </w:r>
      <w:r w:rsidR="001527C4">
        <w:rPr>
          <w:i/>
          <w:iCs/>
        </w:rPr>
        <w:t> </w:t>
      </w:r>
      <w:r w:rsidRPr="0066546F">
        <w:rPr>
          <w:i/>
          <w:iCs/>
        </w:rPr>
        <w:t xml:space="preserve">v. </w:t>
      </w:r>
      <w:r w:rsidRPr="00C46ABE">
        <w:rPr>
          <w:i/>
          <w:iCs/>
        </w:rPr>
        <w:t>Italy</w:t>
      </w:r>
      <w:r w:rsidRPr="00C46ABE">
        <w:t xml:space="preserve">, paras. </w:t>
      </w:r>
      <w:r w:rsidRPr="00162A85">
        <w:t>76–82</w:t>
      </w:r>
      <w:r w:rsidRPr="00A260F4">
        <w:t>.</w:t>
      </w:r>
    </w:p>
  </w:footnote>
  <w:footnote w:id="74">
    <w:p w14:paraId="38F28335" w14:textId="2E341768" w:rsidR="00DB3692" w:rsidRPr="007354CB" w:rsidRDefault="00DB3692" w:rsidP="00CB0813">
      <w:pPr>
        <w:pStyle w:val="FootnoteText"/>
      </w:pPr>
      <w:r w:rsidRPr="00A260F4">
        <w:tab/>
      </w:r>
      <w:r w:rsidRPr="009662BA">
        <w:rPr>
          <w:rStyle w:val="FootnoteReference"/>
        </w:rPr>
        <w:footnoteRef/>
      </w:r>
      <w:r w:rsidRPr="00A260F4">
        <w:tab/>
      </w:r>
      <w:hyperlink r:id="rId81" w:history="1">
        <w:r w:rsidRPr="00DB3692">
          <w:rPr>
            <w:rStyle w:val="Hyperlink"/>
          </w:rPr>
          <w:t>A/HRC/37/50</w:t>
        </w:r>
      </w:hyperlink>
      <w:r w:rsidRPr="00A260F4">
        <w:t xml:space="preserve">, para. </w:t>
      </w:r>
      <w:r w:rsidRPr="004C3BE5">
        <w:t xml:space="preserve">57; </w:t>
      </w:r>
      <w:r>
        <w:t xml:space="preserve">and </w:t>
      </w:r>
      <w:r w:rsidRPr="004C3BE5">
        <w:t xml:space="preserve">European Court of Human Rights, </w:t>
      </w:r>
      <w:r w:rsidRPr="004C3BE5">
        <w:rPr>
          <w:i/>
          <w:iCs/>
        </w:rPr>
        <w:t xml:space="preserve">Hirsi Jamaa and others </w:t>
      </w:r>
      <w:r w:rsidRPr="0066546F">
        <w:rPr>
          <w:i/>
          <w:iCs/>
        </w:rPr>
        <w:t>v.</w:t>
      </w:r>
      <w:r w:rsidRPr="004C3BE5">
        <w:t xml:space="preserve"> </w:t>
      </w:r>
      <w:r w:rsidRPr="004C3BE5">
        <w:rPr>
          <w:i/>
          <w:iCs/>
        </w:rPr>
        <w:t>Italy</w:t>
      </w:r>
      <w:r w:rsidRPr="004C3BE5">
        <w:t>, para.</w:t>
      </w:r>
      <w:r w:rsidR="00C538E7">
        <w:t> </w:t>
      </w:r>
      <w:r w:rsidRPr="004C3BE5">
        <w:t>129.</w:t>
      </w:r>
    </w:p>
  </w:footnote>
  <w:footnote w:id="75">
    <w:p w14:paraId="4AA06457" w14:textId="78D60528"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r>
        <w:rPr>
          <w:rFonts w:cstheme="minorHAnsi"/>
          <w:szCs w:val="18"/>
        </w:rPr>
        <w:t>See</w:t>
      </w:r>
      <w:r w:rsidRPr="007354CB">
        <w:rPr>
          <w:rFonts w:cstheme="minorHAnsi"/>
          <w:szCs w:val="18"/>
        </w:rPr>
        <w:t xml:space="preserve"> </w:t>
      </w:r>
      <w:r w:rsidRPr="0066546F">
        <w:rPr>
          <w:rFonts w:cstheme="minorHAnsi"/>
          <w:i/>
          <w:iCs/>
          <w:szCs w:val="18"/>
        </w:rPr>
        <w:t>E.L.A. v. France</w:t>
      </w:r>
      <w:r w:rsidRPr="007354CB">
        <w:rPr>
          <w:rFonts w:cstheme="minorHAnsi"/>
          <w:szCs w:val="18"/>
        </w:rPr>
        <w:t xml:space="preserve"> </w:t>
      </w:r>
      <w:r>
        <w:rPr>
          <w:rFonts w:cstheme="minorHAnsi"/>
          <w:szCs w:val="18"/>
        </w:rPr>
        <w:t>(</w:t>
      </w:r>
      <w:hyperlink r:id="rId82" w:history="1">
        <w:r w:rsidRPr="00DB3692">
          <w:rPr>
            <w:rStyle w:val="Hyperlink"/>
          </w:rPr>
          <w:t>CED/C/19/D/3/2019</w:t>
        </w:r>
      </w:hyperlink>
      <w:r>
        <w:rPr>
          <w:rFonts w:cstheme="minorHAnsi"/>
          <w:szCs w:val="18"/>
        </w:rPr>
        <w:t>)</w:t>
      </w:r>
      <w:r w:rsidRPr="007354CB">
        <w:rPr>
          <w:rFonts w:cstheme="minorHAnsi"/>
          <w:szCs w:val="18"/>
        </w:rPr>
        <w:t xml:space="preserve">; </w:t>
      </w:r>
      <w:hyperlink r:id="rId83" w:history="1">
        <w:r w:rsidRPr="00DB3692">
          <w:rPr>
            <w:rStyle w:val="Hyperlink"/>
          </w:rPr>
          <w:t>CED/C/NER/CO/1</w:t>
        </w:r>
      </w:hyperlink>
      <w:r w:rsidRPr="008C0CDD">
        <w:rPr>
          <w:rFonts w:cstheme="minorHAnsi"/>
          <w:szCs w:val="18"/>
        </w:rPr>
        <w:t xml:space="preserve">, </w:t>
      </w:r>
      <w:r w:rsidRPr="007354CB">
        <w:rPr>
          <w:rFonts w:cstheme="minorHAnsi"/>
          <w:szCs w:val="18"/>
        </w:rPr>
        <w:t>para</w:t>
      </w:r>
      <w:r>
        <w:rPr>
          <w:rFonts w:cstheme="minorHAnsi"/>
          <w:szCs w:val="18"/>
        </w:rPr>
        <w:t>.</w:t>
      </w:r>
      <w:r w:rsidRPr="007354CB">
        <w:rPr>
          <w:rFonts w:cstheme="minorHAnsi"/>
          <w:szCs w:val="18"/>
        </w:rPr>
        <w:t xml:space="preserve"> 27</w:t>
      </w:r>
      <w:r>
        <w:rPr>
          <w:rFonts w:cstheme="minorHAnsi"/>
          <w:szCs w:val="18"/>
        </w:rPr>
        <w:t xml:space="preserve"> </w:t>
      </w:r>
      <w:r w:rsidRPr="007354CB">
        <w:rPr>
          <w:rFonts w:cstheme="minorHAnsi"/>
          <w:szCs w:val="18"/>
        </w:rPr>
        <w:t xml:space="preserve">(b); </w:t>
      </w:r>
      <w:hyperlink r:id="rId84" w:history="1">
        <w:r w:rsidRPr="00DB3692">
          <w:rPr>
            <w:rStyle w:val="Hyperlink"/>
          </w:rPr>
          <w:t>CED/C/CHE/CO/1</w:t>
        </w:r>
      </w:hyperlink>
      <w:r w:rsidRPr="007354CB">
        <w:rPr>
          <w:rFonts w:cstheme="minorHAnsi"/>
          <w:szCs w:val="18"/>
        </w:rPr>
        <w:t>, para</w:t>
      </w:r>
      <w:r>
        <w:rPr>
          <w:rFonts w:cstheme="minorHAnsi"/>
          <w:szCs w:val="18"/>
        </w:rPr>
        <w:t>s.</w:t>
      </w:r>
      <w:r w:rsidRPr="007354CB">
        <w:rPr>
          <w:rFonts w:cstheme="minorHAnsi"/>
          <w:szCs w:val="18"/>
        </w:rPr>
        <w:t xml:space="preserve"> 23</w:t>
      </w:r>
      <w:r>
        <w:rPr>
          <w:rFonts w:cstheme="minorHAnsi"/>
          <w:szCs w:val="18"/>
        </w:rPr>
        <w:t xml:space="preserve"> and </w:t>
      </w:r>
      <w:r w:rsidRPr="007354CB">
        <w:rPr>
          <w:rFonts w:cstheme="minorHAnsi"/>
          <w:szCs w:val="18"/>
        </w:rPr>
        <w:t xml:space="preserve">24; </w:t>
      </w:r>
      <w:hyperlink r:id="rId85" w:history="1">
        <w:r w:rsidRPr="00DB3692">
          <w:rPr>
            <w:rStyle w:val="Hyperlink"/>
          </w:rPr>
          <w:t>CED/C/ITA/CO/1</w:t>
        </w:r>
      </w:hyperlink>
      <w:r w:rsidRPr="008C0CDD">
        <w:rPr>
          <w:rFonts w:cstheme="minorHAnsi"/>
          <w:szCs w:val="18"/>
        </w:rPr>
        <w:t xml:space="preserve">, </w:t>
      </w:r>
      <w:r w:rsidRPr="007354CB">
        <w:rPr>
          <w:rFonts w:cstheme="minorHAnsi"/>
          <w:szCs w:val="18"/>
        </w:rPr>
        <w:t>para</w:t>
      </w:r>
      <w:r>
        <w:rPr>
          <w:rFonts w:cstheme="minorHAnsi"/>
          <w:szCs w:val="18"/>
        </w:rPr>
        <w:t>s.</w:t>
      </w:r>
      <w:r w:rsidRPr="007354CB">
        <w:rPr>
          <w:rFonts w:cstheme="minorHAnsi"/>
          <w:szCs w:val="18"/>
        </w:rPr>
        <w:t xml:space="preserve"> 26</w:t>
      </w:r>
      <w:r>
        <w:rPr>
          <w:rFonts w:cstheme="minorHAnsi"/>
          <w:szCs w:val="18"/>
        </w:rPr>
        <w:t xml:space="preserve"> and </w:t>
      </w:r>
      <w:r w:rsidRPr="007354CB">
        <w:rPr>
          <w:rFonts w:cstheme="minorHAnsi"/>
          <w:szCs w:val="18"/>
        </w:rPr>
        <w:t xml:space="preserve">27; </w:t>
      </w:r>
      <w:hyperlink r:id="rId86" w:history="1">
        <w:r w:rsidRPr="00DB3692">
          <w:rPr>
            <w:rStyle w:val="Hyperlink"/>
          </w:rPr>
          <w:t>CED/C/PER/CO/1</w:t>
        </w:r>
      </w:hyperlink>
      <w:r w:rsidRPr="008C0CDD">
        <w:rPr>
          <w:rFonts w:cstheme="minorHAnsi"/>
          <w:szCs w:val="18"/>
        </w:rPr>
        <w:t>,</w:t>
      </w:r>
      <w:r w:rsidRPr="007354CB">
        <w:rPr>
          <w:rFonts w:cstheme="minorHAnsi"/>
          <w:szCs w:val="18"/>
        </w:rPr>
        <w:t xml:space="preserve"> para</w:t>
      </w:r>
      <w:r>
        <w:rPr>
          <w:rFonts w:cstheme="minorHAnsi"/>
          <w:szCs w:val="18"/>
        </w:rPr>
        <w:t>s.</w:t>
      </w:r>
      <w:r w:rsidRPr="007354CB">
        <w:rPr>
          <w:rFonts w:cstheme="minorHAnsi"/>
          <w:szCs w:val="18"/>
        </w:rPr>
        <w:t xml:space="preserve"> 22</w:t>
      </w:r>
      <w:r>
        <w:rPr>
          <w:rFonts w:cstheme="minorHAnsi"/>
          <w:szCs w:val="18"/>
        </w:rPr>
        <w:t xml:space="preserve"> and </w:t>
      </w:r>
      <w:r w:rsidRPr="007354CB">
        <w:rPr>
          <w:rFonts w:cstheme="minorHAnsi"/>
          <w:szCs w:val="18"/>
        </w:rPr>
        <w:t xml:space="preserve">23; </w:t>
      </w:r>
      <w:hyperlink r:id="rId87" w:history="1">
        <w:r w:rsidRPr="00DB3692">
          <w:rPr>
            <w:rStyle w:val="Hyperlink"/>
          </w:rPr>
          <w:t>CED/C/AUT/CO/1</w:t>
        </w:r>
      </w:hyperlink>
      <w:r w:rsidRPr="008C0CDD">
        <w:rPr>
          <w:rFonts w:cstheme="minorHAnsi"/>
          <w:szCs w:val="18"/>
        </w:rPr>
        <w:t xml:space="preserve">, </w:t>
      </w:r>
      <w:r w:rsidRPr="007354CB">
        <w:rPr>
          <w:rFonts w:cstheme="minorHAnsi"/>
          <w:szCs w:val="18"/>
        </w:rPr>
        <w:t>para</w:t>
      </w:r>
      <w:r>
        <w:rPr>
          <w:rFonts w:cstheme="minorHAnsi"/>
          <w:szCs w:val="18"/>
        </w:rPr>
        <w:t>s.</w:t>
      </w:r>
      <w:r w:rsidRPr="007354CB">
        <w:rPr>
          <w:rFonts w:cstheme="minorHAnsi"/>
          <w:szCs w:val="18"/>
        </w:rPr>
        <w:t xml:space="preserve"> 20</w:t>
      </w:r>
      <w:r>
        <w:rPr>
          <w:rFonts w:cstheme="minorHAnsi"/>
          <w:szCs w:val="18"/>
        </w:rPr>
        <w:t xml:space="preserve"> and </w:t>
      </w:r>
      <w:r w:rsidRPr="007354CB">
        <w:rPr>
          <w:rFonts w:cstheme="minorHAnsi"/>
          <w:szCs w:val="18"/>
        </w:rPr>
        <w:t xml:space="preserve">21; </w:t>
      </w:r>
      <w:hyperlink r:id="rId88" w:history="1">
        <w:r w:rsidRPr="00DB3692">
          <w:rPr>
            <w:rStyle w:val="Hyperlink"/>
          </w:rPr>
          <w:t>CED/C/GAB/CO/1</w:t>
        </w:r>
      </w:hyperlink>
      <w:r w:rsidRPr="007354CB">
        <w:rPr>
          <w:rFonts w:cstheme="minorHAnsi"/>
          <w:szCs w:val="18"/>
        </w:rPr>
        <w:t>, para</w:t>
      </w:r>
      <w:r>
        <w:rPr>
          <w:rFonts w:cstheme="minorHAnsi"/>
          <w:szCs w:val="18"/>
        </w:rPr>
        <w:t>s.</w:t>
      </w:r>
      <w:r w:rsidRPr="007354CB">
        <w:rPr>
          <w:rFonts w:cstheme="minorHAnsi"/>
          <w:szCs w:val="18"/>
        </w:rPr>
        <w:t xml:space="preserve"> </w:t>
      </w:r>
      <w:r>
        <w:rPr>
          <w:rFonts w:cstheme="minorHAnsi"/>
          <w:szCs w:val="18"/>
        </w:rPr>
        <w:t xml:space="preserve">30 and </w:t>
      </w:r>
      <w:r w:rsidRPr="007354CB">
        <w:rPr>
          <w:rFonts w:cstheme="minorHAnsi"/>
          <w:szCs w:val="18"/>
        </w:rPr>
        <w:t>31</w:t>
      </w:r>
      <w:r>
        <w:rPr>
          <w:rFonts w:cstheme="minorHAnsi"/>
          <w:szCs w:val="18"/>
        </w:rPr>
        <w:t xml:space="preserve">; and </w:t>
      </w:r>
      <w:r w:rsidRPr="007354CB">
        <w:rPr>
          <w:rFonts w:cstheme="minorHAnsi"/>
          <w:szCs w:val="18"/>
        </w:rPr>
        <w:t xml:space="preserve">European Court of Human Rights, </w:t>
      </w:r>
      <w:r w:rsidRPr="007354CB">
        <w:rPr>
          <w:rFonts w:cstheme="minorHAnsi"/>
          <w:i/>
          <w:iCs/>
          <w:szCs w:val="18"/>
        </w:rPr>
        <w:t>K.I. v. France</w:t>
      </w:r>
      <w:r w:rsidRPr="007354CB">
        <w:rPr>
          <w:rFonts w:cstheme="minorHAnsi"/>
          <w:szCs w:val="18"/>
        </w:rPr>
        <w:t xml:space="preserve">, Application </w:t>
      </w:r>
      <w:r>
        <w:rPr>
          <w:rFonts w:cstheme="minorHAnsi"/>
          <w:szCs w:val="18"/>
        </w:rPr>
        <w:t>N</w:t>
      </w:r>
      <w:r w:rsidRPr="007354CB">
        <w:rPr>
          <w:rFonts w:cstheme="minorHAnsi"/>
          <w:szCs w:val="18"/>
        </w:rPr>
        <w:t>o. 5560/19</w:t>
      </w:r>
      <w:r>
        <w:rPr>
          <w:rFonts w:cstheme="minorHAnsi"/>
          <w:szCs w:val="18"/>
        </w:rPr>
        <w:t>, Judgment,</w:t>
      </w:r>
      <w:r w:rsidRPr="007354CB">
        <w:rPr>
          <w:rFonts w:cstheme="minorHAnsi"/>
          <w:szCs w:val="18"/>
        </w:rPr>
        <w:t xml:space="preserve"> 15 April 2021.</w:t>
      </w:r>
    </w:p>
  </w:footnote>
  <w:footnote w:id="76">
    <w:p w14:paraId="06364084" w14:textId="0A2F446F"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hyperlink r:id="rId89" w:history="1">
        <w:r w:rsidRPr="00DB3692">
          <w:rPr>
            <w:rStyle w:val="Hyperlink"/>
          </w:rPr>
          <w:t>CED/C/GRC/CO/1</w:t>
        </w:r>
      </w:hyperlink>
      <w:r w:rsidRPr="008C0CDD">
        <w:rPr>
          <w:rFonts w:cstheme="minorHAnsi"/>
          <w:szCs w:val="18"/>
        </w:rPr>
        <w:t xml:space="preserve">, </w:t>
      </w:r>
      <w:r w:rsidRPr="007354CB">
        <w:rPr>
          <w:rFonts w:cstheme="minorHAnsi"/>
          <w:szCs w:val="18"/>
        </w:rPr>
        <w:t>para</w:t>
      </w:r>
      <w:r>
        <w:rPr>
          <w:rFonts w:cstheme="minorHAnsi"/>
          <w:szCs w:val="18"/>
        </w:rPr>
        <w:t>.</w:t>
      </w:r>
      <w:r w:rsidRPr="007354CB">
        <w:rPr>
          <w:rFonts w:cstheme="minorHAnsi"/>
          <w:szCs w:val="18"/>
        </w:rPr>
        <w:t xml:space="preserve"> 29</w:t>
      </w:r>
      <w:r>
        <w:rPr>
          <w:rFonts w:cstheme="minorHAnsi"/>
          <w:szCs w:val="18"/>
        </w:rPr>
        <w:t xml:space="preserve"> </w:t>
      </w:r>
      <w:r w:rsidRPr="007354CB">
        <w:rPr>
          <w:rFonts w:cstheme="minorHAnsi"/>
          <w:szCs w:val="18"/>
        </w:rPr>
        <w:t xml:space="preserve">(d); </w:t>
      </w:r>
      <w:hyperlink r:id="rId90" w:history="1">
        <w:r w:rsidRPr="00DB3692">
          <w:rPr>
            <w:rStyle w:val="Hyperlink"/>
          </w:rPr>
          <w:t>CED/C/CHE/CO/1</w:t>
        </w:r>
      </w:hyperlink>
      <w:r w:rsidRPr="008C0CDD">
        <w:rPr>
          <w:rFonts w:cstheme="minorHAnsi"/>
          <w:szCs w:val="18"/>
        </w:rPr>
        <w:t>, paras. 23</w:t>
      </w:r>
      <w:r>
        <w:rPr>
          <w:rFonts w:cstheme="minorHAnsi"/>
          <w:szCs w:val="18"/>
        </w:rPr>
        <w:t xml:space="preserve"> and </w:t>
      </w:r>
      <w:r w:rsidRPr="008C0CDD">
        <w:rPr>
          <w:rFonts w:cstheme="minorHAnsi"/>
          <w:szCs w:val="18"/>
        </w:rPr>
        <w:t>24</w:t>
      </w:r>
      <w:r>
        <w:rPr>
          <w:rFonts w:cstheme="minorHAnsi"/>
          <w:szCs w:val="18"/>
        </w:rPr>
        <w:t xml:space="preserve">; and </w:t>
      </w:r>
      <w:r w:rsidRPr="007354CB">
        <w:rPr>
          <w:rFonts w:cstheme="minorHAnsi"/>
          <w:szCs w:val="18"/>
        </w:rPr>
        <w:t xml:space="preserve">European Court of Human Rights, </w:t>
      </w:r>
      <w:r w:rsidRPr="007354CB">
        <w:rPr>
          <w:rFonts w:cstheme="minorHAnsi"/>
          <w:i/>
          <w:iCs/>
          <w:szCs w:val="18"/>
        </w:rPr>
        <w:t>M.A. and others v. Bulgaria</w:t>
      </w:r>
      <w:r w:rsidRPr="007354CB">
        <w:rPr>
          <w:rFonts w:cstheme="minorHAnsi"/>
          <w:szCs w:val="18"/>
        </w:rPr>
        <w:t xml:space="preserve">, Application </w:t>
      </w:r>
      <w:r>
        <w:rPr>
          <w:rFonts w:cstheme="minorHAnsi"/>
          <w:szCs w:val="18"/>
        </w:rPr>
        <w:t>N</w:t>
      </w:r>
      <w:r w:rsidRPr="007354CB">
        <w:rPr>
          <w:rFonts w:cstheme="minorHAnsi"/>
          <w:szCs w:val="18"/>
        </w:rPr>
        <w:t>o. 5115/18</w:t>
      </w:r>
      <w:r>
        <w:rPr>
          <w:rFonts w:cstheme="minorHAnsi"/>
          <w:szCs w:val="18"/>
        </w:rPr>
        <w:t>, Judgment,</w:t>
      </w:r>
      <w:r w:rsidRPr="007354CB">
        <w:rPr>
          <w:rFonts w:cstheme="minorHAnsi"/>
          <w:szCs w:val="18"/>
        </w:rPr>
        <w:t xml:space="preserve"> 20 February 2020, paras</w:t>
      </w:r>
      <w:r>
        <w:rPr>
          <w:rFonts w:cstheme="minorHAnsi"/>
          <w:szCs w:val="18"/>
        </w:rPr>
        <w:t>.</w:t>
      </w:r>
      <w:r w:rsidRPr="007354CB">
        <w:rPr>
          <w:rFonts w:cstheme="minorHAnsi"/>
          <w:szCs w:val="18"/>
        </w:rPr>
        <w:t xml:space="preserve"> 79</w:t>
      </w:r>
      <w:r>
        <w:rPr>
          <w:rFonts w:cstheme="minorHAnsi"/>
          <w:szCs w:val="18"/>
        </w:rPr>
        <w:t>–</w:t>
      </w:r>
      <w:r w:rsidRPr="007354CB">
        <w:rPr>
          <w:rFonts w:cstheme="minorHAnsi"/>
          <w:szCs w:val="18"/>
        </w:rPr>
        <w:t>84</w:t>
      </w:r>
      <w:r w:rsidRPr="008C0CDD">
        <w:rPr>
          <w:rFonts w:cstheme="minorHAnsi"/>
          <w:szCs w:val="18"/>
        </w:rPr>
        <w:t>. F</w:t>
      </w:r>
      <w:r w:rsidRPr="007354CB">
        <w:rPr>
          <w:rFonts w:cstheme="minorHAnsi"/>
          <w:szCs w:val="18"/>
        </w:rPr>
        <w:t xml:space="preserve">or </w:t>
      </w:r>
      <w:r w:rsidRPr="00903CA6">
        <w:rPr>
          <w:rFonts w:cstheme="minorHAnsi"/>
          <w:szCs w:val="18"/>
        </w:rPr>
        <w:t>examples of chain refoulement,</w:t>
      </w:r>
      <w:r w:rsidRPr="007354CB">
        <w:rPr>
          <w:rFonts w:cstheme="minorHAnsi"/>
          <w:szCs w:val="18"/>
        </w:rPr>
        <w:t xml:space="preserve"> see </w:t>
      </w:r>
      <w:hyperlink r:id="rId91" w:history="1">
        <w:r w:rsidRPr="00DB3692">
          <w:rPr>
            <w:rStyle w:val="Hyperlink"/>
          </w:rPr>
          <w:t>A/HRC/47/30</w:t>
        </w:r>
      </w:hyperlink>
      <w:r w:rsidRPr="007354CB">
        <w:rPr>
          <w:rFonts w:cstheme="minorHAnsi"/>
          <w:szCs w:val="18"/>
        </w:rPr>
        <w:t>, paras</w:t>
      </w:r>
      <w:r>
        <w:rPr>
          <w:rFonts w:cstheme="minorHAnsi"/>
          <w:szCs w:val="18"/>
        </w:rPr>
        <w:t>.</w:t>
      </w:r>
      <w:r w:rsidRPr="007354CB">
        <w:rPr>
          <w:rFonts w:cstheme="minorHAnsi"/>
          <w:szCs w:val="18"/>
        </w:rPr>
        <w:t xml:space="preserve"> 56</w:t>
      </w:r>
      <w:r>
        <w:rPr>
          <w:rFonts w:cstheme="minorHAnsi"/>
          <w:szCs w:val="18"/>
        </w:rPr>
        <w:t>–</w:t>
      </w:r>
      <w:r w:rsidRPr="007354CB">
        <w:rPr>
          <w:rFonts w:cstheme="minorHAnsi"/>
          <w:szCs w:val="18"/>
        </w:rPr>
        <w:t>66.</w:t>
      </w:r>
    </w:p>
  </w:footnote>
  <w:footnote w:id="77">
    <w:p w14:paraId="6A55B26F" w14:textId="254C80BC" w:rsidR="00DB3692" w:rsidRPr="00A260F4"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Pr>
          <w:rFonts w:cstheme="minorHAnsi"/>
          <w:szCs w:val="18"/>
        </w:rPr>
        <w:tab/>
      </w:r>
      <w:hyperlink r:id="rId92" w:history="1">
        <w:r w:rsidRPr="00DB3692">
          <w:rPr>
            <w:rStyle w:val="Hyperlink"/>
          </w:rPr>
          <w:t>CED/C/GRC/CO/1</w:t>
        </w:r>
      </w:hyperlink>
      <w:r w:rsidRPr="00F63AB2">
        <w:rPr>
          <w:rFonts w:cstheme="minorHAnsi"/>
          <w:szCs w:val="18"/>
        </w:rPr>
        <w:t xml:space="preserve">, </w:t>
      </w:r>
      <w:r w:rsidRPr="007354CB">
        <w:rPr>
          <w:rFonts w:cstheme="minorHAnsi"/>
          <w:szCs w:val="18"/>
        </w:rPr>
        <w:t>para</w:t>
      </w:r>
      <w:r>
        <w:rPr>
          <w:rFonts w:cstheme="minorHAnsi"/>
          <w:szCs w:val="18"/>
        </w:rPr>
        <w:t>.</w:t>
      </w:r>
      <w:r w:rsidRPr="007354CB">
        <w:rPr>
          <w:rFonts w:cstheme="minorHAnsi"/>
          <w:szCs w:val="18"/>
        </w:rPr>
        <w:t xml:space="preserve"> </w:t>
      </w:r>
      <w:r w:rsidRPr="00A260F4">
        <w:rPr>
          <w:rFonts w:cstheme="minorHAnsi"/>
          <w:szCs w:val="18"/>
        </w:rPr>
        <w:t>29 (d).</w:t>
      </w:r>
    </w:p>
  </w:footnote>
  <w:footnote w:id="78">
    <w:p w14:paraId="74AB4C26" w14:textId="79AA78F1" w:rsidR="00DB3692" w:rsidRPr="00A260F4" w:rsidRDefault="00DB3692" w:rsidP="00CB0813">
      <w:pPr>
        <w:pStyle w:val="FootnoteText"/>
      </w:pPr>
      <w:r w:rsidRPr="00A260F4">
        <w:tab/>
      </w:r>
      <w:r w:rsidRPr="009662BA">
        <w:rPr>
          <w:rStyle w:val="FootnoteReference"/>
        </w:rPr>
        <w:footnoteRef/>
      </w:r>
      <w:r w:rsidRPr="00A260F4">
        <w:tab/>
      </w:r>
      <w:hyperlink r:id="rId93" w:history="1"/>
      <w:r w:rsidRPr="00A260F4">
        <w:t>Committee against Torture, general comment No. 4 (2017) on the implementation of article 3 in the context of article 22, paras. 19</w:t>
      </w:r>
      <w:r>
        <w:t xml:space="preserve"> and </w:t>
      </w:r>
      <w:r w:rsidRPr="00A260F4">
        <w:t xml:space="preserve">20; </w:t>
      </w:r>
      <w:hyperlink r:id="rId94" w:history="1">
        <w:r w:rsidRPr="00DB3692">
          <w:rPr>
            <w:rStyle w:val="Hyperlink"/>
          </w:rPr>
          <w:t>CED/C/PAN/CO/1</w:t>
        </w:r>
      </w:hyperlink>
      <w:r w:rsidRPr="00A260F4">
        <w:t>, paras. 22</w:t>
      </w:r>
      <w:r>
        <w:t xml:space="preserve"> and </w:t>
      </w:r>
      <w:r w:rsidRPr="00A260F4">
        <w:t xml:space="preserve">23; and </w:t>
      </w:r>
      <w:hyperlink r:id="rId95" w:history="1">
        <w:r w:rsidRPr="00DB3692">
          <w:rPr>
            <w:rStyle w:val="Hyperlink"/>
          </w:rPr>
          <w:t>CED/C/KAZ/CO/1</w:t>
        </w:r>
      </w:hyperlink>
      <w:r w:rsidRPr="00A260F4">
        <w:t>, paras. 17 and 18.</w:t>
      </w:r>
    </w:p>
  </w:footnote>
  <w:footnote w:id="79">
    <w:p w14:paraId="6A95495C" w14:textId="4AB75346" w:rsidR="00DB3692" w:rsidRPr="00A260F4" w:rsidRDefault="00DB3692" w:rsidP="00CB0813">
      <w:pPr>
        <w:pStyle w:val="FootnoteText"/>
      </w:pPr>
      <w:r w:rsidRPr="00A260F4">
        <w:tab/>
      </w:r>
      <w:r w:rsidRPr="009662BA">
        <w:rPr>
          <w:rStyle w:val="FootnoteReference"/>
        </w:rPr>
        <w:footnoteRef/>
      </w:r>
      <w:r w:rsidRPr="00A260F4">
        <w:tab/>
        <w:t>Committee on the Protection of the Rights of All Migrant Workers and Members of Their Families, general comment</w:t>
      </w:r>
      <w:r w:rsidRPr="008B7BFC">
        <w:t xml:space="preserve"> No. 2 (</w:t>
      </w:r>
      <w:r w:rsidRPr="003A522C">
        <w:t>2013)</w:t>
      </w:r>
      <w:r w:rsidRPr="00A260F4">
        <w:t>, para. 52.</w:t>
      </w:r>
    </w:p>
  </w:footnote>
  <w:footnote w:id="80">
    <w:p w14:paraId="7C2C3C7D" w14:textId="4F4E612D" w:rsidR="00DB3692" w:rsidRPr="007354CB" w:rsidRDefault="00DB3692" w:rsidP="00CB0813">
      <w:pPr>
        <w:pStyle w:val="FootnoteText"/>
      </w:pPr>
      <w:r w:rsidRPr="00A260F4">
        <w:tab/>
      </w:r>
      <w:r w:rsidRPr="009662BA">
        <w:rPr>
          <w:rStyle w:val="FootnoteReference"/>
        </w:rPr>
        <w:footnoteRef/>
      </w:r>
      <w:r w:rsidRPr="00A260F4">
        <w:tab/>
      </w:r>
      <w:r w:rsidRPr="003A522C">
        <w:t>Committee on the Protection of the Rights of All Migrant Workers and Members of Their Families, general comment No. 5 (2021)</w:t>
      </w:r>
      <w:r w:rsidRPr="00A260F4">
        <w:t xml:space="preserve">, para. 64; </w:t>
      </w:r>
      <w:hyperlink r:id="rId96" w:history="1">
        <w:r w:rsidRPr="00DB3692">
          <w:rPr>
            <w:rStyle w:val="Hyperlink"/>
          </w:rPr>
          <w:t>CED/C/NER/CO/1</w:t>
        </w:r>
      </w:hyperlink>
      <w:r w:rsidRPr="00A260F4">
        <w:t xml:space="preserve">, para. 27 (c); </w:t>
      </w:r>
      <w:hyperlink r:id="rId97" w:history="1">
        <w:r w:rsidRPr="00DB3692">
          <w:rPr>
            <w:rStyle w:val="Hyperlink"/>
          </w:rPr>
          <w:t>CED/C/FRA/CO/1</w:t>
        </w:r>
      </w:hyperlink>
      <w:r w:rsidRPr="00A260F4">
        <w:t>, para.</w:t>
      </w:r>
      <w:r w:rsidR="002A5EA3">
        <w:t> </w:t>
      </w:r>
      <w:r w:rsidRPr="00A260F4">
        <w:t xml:space="preserve">27; </w:t>
      </w:r>
      <w:hyperlink r:id="rId98" w:history="1">
        <w:r w:rsidRPr="00DB3692">
          <w:rPr>
            <w:rStyle w:val="Hyperlink"/>
          </w:rPr>
          <w:t>CED/C/MNG/CO/1</w:t>
        </w:r>
      </w:hyperlink>
      <w:r w:rsidRPr="00A260F4">
        <w:t>, paras. 30</w:t>
      </w:r>
      <w:r>
        <w:t xml:space="preserve"> and </w:t>
      </w:r>
      <w:r w:rsidRPr="00A260F4">
        <w:t xml:space="preserve">31; </w:t>
      </w:r>
      <w:hyperlink r:id="rId99" w:history="1">
        <w:r w:rsidRPr="00DB3692">
          <w:rPr>
            <w:rStyle w:val="Hyperlink"/>
          </w:rPr>
          <w:t>CED/C/SVK/CO/1</w:t>
        </w:r>
      </w:hyperlink>
      <w:r w:rsidRPr="00A260F4">
        <w:t xml:space="preserve">, paras. </w:t>
      </w:r>
      <w:r w:rsidRPr="007354CB">
        <w:t>14</w:t>
      </w:r>
      <w:r>
        <w:t xml:space="preserve"> and </w:t>
      </w:r>
      <w:r w:rsidRPr="007354CB">
        <w:t xml:space="preserve">15; </w:t>
      </w:r>
      <w:hyperlink r:id="rId100" w:history="1">
        <w:r w:rsidRPr="00DB3692">
          <w:rPr>
            <w:rStyle w:val="Hyperlink"/>
          </w:rPr>
          <w:t>CED/C/PER/CO/1</w:t>
        </w:r>
      </w:hyperlink>
      <w:r w:rsidRPr="00900E58">
        <w:t>, paras. 22</w:t>
      </w:r>
      <w:r>
        <w:t xml:space="preserve"> and </w:t>
      </w:r>
      <w:r w:rsidRPr="00900E58">
        <w:t>23; and</w:t>
      </w:r>
      <w:r w:rsidRPr="007354CB">
        <w:t xml:space="preserve"> </w:t>
      </w:r>
      <w:hyperlink r:id="rId101" w:history="1">
        <w:r w:rsidRPr="00DB3692">
          <w:rPr>
            <w:rStyle w:val="Hyperlink"/>
          </w:rPr>
          <w:t>CED/C/GRC/CO/1</w:t>
        </w:r>
      </w:hyperlink>
      <w:r w:rsidRPr="00900E58">
        <w:t>,</w:t>
      </w:r>
      <w:r w:rsidRPr="007354CB">
        <w:t xml:space="preserve"> para</w:t>
      </w:r>
      <w:r>
        <w:t>.</w:t>
      </w:r>
      <w:r w:rsidRPr="007354CB">
        <w:t xml:space="preserve"> 29 (c).</w:t>
      </w:r>
    </w:p>
  </w:footnote>
  <w:footnote w:id="81">
    <w:p w14:paraId="48198118" w14:textId="01393C0E" w:rsidR="00DB3692" w:rsidRPr="00A260F4" w:rsidRDefault="00DB3692" w:rsidP="00CB0813">
      <w:pPr>
        <w:pStyle w:val="FootnoteText"/>
        <w:rPr>
          <w:szCs w:val="18"/>
        </w:rPr>
      </w:pPr>
      <w:r>
        <w:tab/>
      </w:r>
      <w:r w:rsidRPr="008D2876">
        <w:rPr>
          <w:rStyle w:val="FootnoteReference"/>
        </w:rPr>
        <w:footnoteRef/>
      </w:r>
      <w:r w:rsidRPr="008D2876">
        <w:tab/>
      </w:r>
      <w:r>
        <w:rPr>
          <w:szCs w:val="18"/>
        </w:rPr>
        <w:t xml:space="preserve">See </w:t>
      </w:r>
      <w:r w:rsidRPr="008D2876">
        <w:rPr>
          <w:szCs w:val="18"/>
        </w:rPr>
        <w:t xml:space="preserve">Recommended Principles and Guidelines on Human Rights at International Borders; </w:t>
      </w:r>
      <w:hyperlink r:id="rId102" w:history="1">
        <w:r w:rsidRPr="00DB3692">
          <w:rPr>
            <w:rStyle w:val="Hyperlink"/>
            <w:szCs w:val="18"/>
          </w:rPr>
          <w:t>A/HRC/47/30</w:t>
        </w:r>
      </w:hyperlink>
      <w:r w:rsidRPr="00FA1F73">
        <w:rPr>
          <w:szCs w:val="18"/>
        </w:rPr>
        <w:t xml:space="preserve">; </w:t>
      </w:r>
      <w:hyperlink r:id="rId103" w:history="1">
        <w:r w:rsidRPr="00DB3692">
          <w:rPr>
            <w:rStyle w:val="Hyperlink"/>
            <w:szCs w:val="18"/>
          </w:rPr>
          <w:t>A/HRC/50/31</w:t>
        </w:r>
      </w:hyperlink>
      <w:r w:rsidRPr="004B354F">
        <w:rPr>
          <w:szCs w:val="18"/>
        </w:rPr>
        <w:t xml:space="preserve">; and </w:t>
      </w:r>
      <w:hyperlink r:id="rId104" w:history="1">
        <w:r w:rsidRPr="00DB3692">
          <w:rPr>
            <w:rStyle w:val="Hyperlink"/>
            <w:szCs w:val="18"/>
          </w:rPr>
          <w:t>CRC/C/GRC/CO/4-6</w:t>
        </w:r>
      </w:hyperlink>
      <w:r w:rsidRPr="004B354F">
        <w:rPr>
          <w:szCs w:val="18"/>
        </w:rPr>
        <w:t>.</w:t>
      </w:r>
    </w:p>
  </w:footnote>
  <w:footnote w:id="82">
    <w:p w14:paraId="157A4EF6" w14:textId="16C5FDA6" w:rsidR="00DB3692" w:rsidRPr="00A260F4" w:rsidRDefault="00DB3692" w:rsidP="00CB0813">
      <w:pPr>
        <w:pStyle w:val="FootnoteText"/>
        <w:rPr>
          <w:rFonts w:cstheme="minorHAnsi"/>
          <w:szCs w:val="18"/>
          <w:lang w:val="es-ES"/>
        </w:rPr>
      </w:pPr>
      <w:r w:rsidRPr="007354CB">
        <w:rPr>
          <w:rFonts w:cstheme="minorHAnsi"/>
          <w:szCs w:val="18"/>
        </w:rPr>
        <w:tab/>
      </w:r>
      <w:r w:rsidRPr="009662BA">
        <w:rPr>
          <w:rStyle w:val="FootnoteReference"/>
        </w:rPr>
        <w:footnoteRef/>
      </w:r>
      <w:r w:rsidRPr="007354CB">
        <w:rPr>
          <w:rFonts w:cstheme="minorHAnsi"/>
          <w:szCs w:val="18"/>
        </w:rPr>
        <w:tab/>
      </w:r>
      <w:hyperlink r:id="rId105" w:history="1">
        <w:r w:rsidRPr="00DB3692">
          <w:rPr>
            <w:rStyle w:val="Hyperlink"/>
          </w:rPr>
          <w:t>A/HRC/37/50</w:t>
        </w:r>
      </w:hyperlink>
      <w:r w:rsidRPr="00A260F4">
        <w:rPr>
          <w:rFonts w:cstheme="minorHAnsi"/>
          <w:szCs w:val="18"/>
        </w:rPr>
        <w:t xml:space="preserve">, para. 77; and </w:t>
      </w:r>
      <w:hyperlink r:id="rId106" w:history="1">
        <w:r w:rsidRPr="00DB3692">
          <w:rPr>
            <w:rStyle w:val="Hyperlink"/>
          </w:rPr>
          <w:t>CED/C/GRC/CO/1</w:t>
        </w:r>
      </w:hyperlink>
      <w:r w:rsidRPr="0012629B">
        <w:rPr>
          <w:rFonts w:cstheme="minorHAnsi"/>
          <w:szCs w:val="18"/>
        </w:rPr>
        <w:t xml:space="preserve">, </w:t>
      </w:r>
      <w:r w:rsidRPr="007354CB">
        <w:rPr>
          <w:rFonts w:cstheme="minorHAnsi"/>
          <w:szCs w:val="18"/>
        </w:rPr>
        <w:t>para</w:t>
      </w:r>
      <w:r>
        <w:rPr>
          <w:rFonts w:cstheme="minorHAnsi"/>
          <w:szCs w:val="18"/>
        </w:rPr>
        <w:t>.</w:t>
      </w:r>
      <w:r w:rsidRPr="007354CB">
        <w:rPr>
          <w:rFonts w:cstheme="minorHAnsi"/>
          <w:szCs w:val="18"/>
        </w:rPr>
        <w:t xml:space="preserve"> </w:t>
      </w:r>
      <w:r w:rsidRPr="00A260F4">
        <w:rPr>
          <w:rFonts w:cstheme="minorHAnsi"/>
          <w:szCs w:val="18"/>
          <w:lang w:val="es-ES"/>
        </w:rPr>
        <w:t>29 (e).</w:t>
      </w:r>
    </w:p>
  </w:footnote>
  <w:footnote w:id="83">
    <w:p w14:paraId="1033F3A9" w14:textId="04A45FCE" w:rsidR="00DB3692" w:rsidRPr="00A260F4" w:rsidRDefault="00DB3692" w:rsidP="00CB0813">
      <w:pPr>
        <w:pStyle w:val="FootnoteText"/>
        <w:rPr>
          <w:rFonts w:cstheme="minorHAnsi"/>
          <w:szCs w:val="18"/>
          <w:lang w:val="es-ES"/>
        </w:rPr>
      </w:pPr>
      <w:r w:rsidRPr="00A260F4">
        <w:rPr>
          <w:rFonts w:cstheme="minorHAnsi"/>
          <w:szCs w:val="18"/>
          <w:lang w:val="es-ES"/>
        </w:rPr>
        <w:tab/>
      </w:r>
      <w:r w:rsidRPr="009662BA">
        <w:rPr>
          <w:rStyle w:val="FootnoteReference"/>
        </w:rPr>
        <w:footnoteRef/>
      </w:r>
      <w:r w:rsidRPr="00A260F4">
        <w:rPr>
          <w:rFonts w:cstheme="minorHAnsi"/>
          <w:szCs w:val="18"/>
          <w:lang w:val="es-ES"/>
        </w:rPr>
        <w:tab/>
      </w:r>
      <w:hyperlink r:id="rId107" w:history="1">
        <w:r w:rsidRPr="00DB3692">
          <w:rPr>
            <w:rStyle w:val="Hyperlink"/>
            <w:lang w:val="es-ES"/>
          </w:rPr>
          <w:t>A/HRC/37/50</w:t>
        </w:r>
      </w:hyperlink>
      <w:r w:rsidRPr="00A260F4">
        <w:rPr>
          <w:rFonts w:cstheme="minorHAnsi"/>
          <w:szCs w:val="18"/>
          <w:lang w:val="es-ES"/>
        </w:rPr>
        <w:t>, para. 43.</w:t>
      </w:r>
    </w:p>
  </w:footnote>
  <w:footnote w:id="84">
    <w:p w14:paraId="34174807" w14:textId="4DA19B4B" w:rsidR="00DB3692" w:rsidRPr="007A5A91" w:rsidRDefault="00DB3692" w:rsidP="00CB0813">
      <w:pPr>
        <w:pStyle w:val="FootnoteText"/>
        <w:rPr>
          <w:lang w:val="es-ES"/>
        </w:rPr>
      </w:pPr>
      <w:r w:rsidRPr="00A260F4">
        <w:rPr>
          <w:lang w:val="es-ES"/>
        </w:rPr>
        <w:tab/>
      </w:r>
      <w:r>
        <w:rPr>
          <w:rStyle w:val="FootnoteReference"/>
        </w:rPr>
        <w:footnoteRef/>
      </w:r>
      <w:r w:rsidRPr="00A260F4">
        <w:rPr>
          <w:lang w:val="es-ES"/>
        </w:rPr>
        <w:tab/>
      </w:r>
      <w:hyperlink r:id="rId108" w:history="1">
        <w:r w:rsidRPr="00DB3692">
          <w:rPr>
            <w:rStyle w:val="Hyperlink"/>
            <w:szCs w:val="18"/>
            <w:lang w:val="es-ES"/>
          </w:rPr>
          <w:t>CED/C/CRI/CO/1</w:t>
        </w:r>
      </w:hyperlink>
      <w:r w:rsidRPr="00A260F4">
        <w:rPr>
          <w:szCs w:val="18"/>
          <w:lang w:val="es-ES"/>
        </w:rPr>
        <w:t xml:space="preserve">, paras. </w:t>
      </w:r>
      <w:r w:rsidRPr="007A5A91">
        <w:rPr>
          <w:szCs w:val="18"/>
          <w:lang w:val="es-ES"/>
        </w:rPr>
        <w:t>28 and 29.</w:t>
      </w:r>
    </w:p>
  </w:footnote>
  <w:footnote w:id="85">
    <w:p w14:paraId="7C32FFC5" w14:textId="42CB4908" w:rsidR="00DB3692" w:rsidRPr="007354CB" w:rsidRDefault="00DB3692" w:rsidP="00CB0813">
      <w:pPr>
        <w:pStyle w:val="FootnoteText"/>
      </w:pPr>
      <w:r w:rsidRPr="007A5A91">
        <w:rPr>
          <w:lang w:val="es-ES"/>
        </w:rPr>
        <w:tab/>
      </w:r>
      <w:r w:rsidRPr="009662BA">
        <w:rPr>
          <w:rStyle w:val="FootnoteReference"/>
        </w:rPr>
        <w:footnoteRef/>
      </w:r>
      <w:r w:rsidRPr="007A5A91">
        <w:rPr>
          <w:lang w:val="es-ES"/>
        </w:rPr>
        <w:tab/>
      </w:r>
      <w:hyperlink r:id="rId109" w:history="1">
        <w:r w:rsidRPr="007A5A91">
          <w:rPr>
            <w:rStyle w:val="Hyperlink"/>
            <w:lang w:val="es-ES"/>
          </w:rPr>
          <w:t>A/HRC/47/30</w:t>
        </w:r>
      </w:hyperlink>
      <w:r w:rsidRPr="007A5A91">
        <w:rPr>
          <w:lang w:val="es-ES"/>
        </w:rPr>
        <w:t xml:space="preserve">, para. </w:t>
      </w:r>
      <w:r w:rsidRPr="007354CB">
        <w:t xml:space="preserve">34. See also Council of Europe, </w:t>
      </w:r>
      <w:r w:rsidRPr="0066546F">
        <w:t xml:space="preserve">Pushed </w:t>
      </w:r>
      <w:r>
        <w:t>B</w:t>
      </w:r>
      <w:r w:rsidRPr="0066546F">
        <w:t>eyond the Limit</w:t>
      </w:r>
      <w:r>
        <w:t>s</w:t>
      </w:r>
      <w:r w:rsidRPr="0066546F">
        <w:t>: Four Areas for Urgent Action to End Human Rights Violations at Europe’s Borders – Recommendation by the Council of Europe Commissioner for Human Rights</w:t>
      </w:r>
      <w:r w:rsidRPr="007354CB">
        <w:t xml:space="preserve"> </w:t>
      </w:r>
      <w:r>
        <w:t>(Strasbourg,</w:t>
      </w:r>
      <w:r w:rsidRPr="007354CB">
        <w:t xml:space="preserve"> 2022</w:t>
      </w:r>
      <w:r>
        <w:t>)</w:t>
      </w:r>
      <w:r w:rsidRPr="007354CB">
        <w:t>, p</w:t>
      </w:r>
      <w:r>
        <w:t>.</w:t>
      </w:r>
      <w:r w:rsidRPr="007354CB">
        <w:t xml:space="preserve"> 16.</w:t>
      </w:r>
    </w:p>
  </w:footnote>
  <w:footnote w:id="86">
    <w:p w14:paraId="4B8B107E" w14:textId="7850D2C2" w:rsidR="00DB3692" w:rsidRPr="00BE1E1F"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hyperlink r:id="rId110" w:history="1">
        <w:r w:rsidRPr="00DB3692">
          <w:rPr>
            <w:rStyle w:val="Hyperlink"/>
          </w:rPr>
          <w:t>CED/C/GRC/CO/1</w:t>
        </w:r>
      </w:hyperlink>
      <w:r w:rsidRPr="00950301">
        <w:rPr>
          <w:rFonts w:cstheme="minorHAnsi"/>
          <w:szCs w:val="18"/>
        </w:rPr>
        <w:t xml:space="preserve">, </w:t>
      </w:r>
      <w:r w:rsidRPr="007354CB">
        <w:rPr>
          <w:rFonts w:cstheme="minorHAnsi"/>
          <w:szCs w:val="18"/>
        </w:rPr>
        <w:t>para</w:t>
      </w:r>
      <w:r>
        <w:rPr>
          <w:rFonts w:cstheme="minorHAnsi"/>
          <w:szCs w:val="18"/>
        </w:rPr>
        <w:t>.</w:t>
      </w:r>
      <w:r w:rsidRPr="007354CB">
        <w:rPr>
          <w:rFonts w:cstheme="minorHAnsi"/>
          <w:szCs w:val="18"/>
        </w:rPr>
        <w:t xml:space="preserve"> 28</w:t>
      </w:r>
      <w:r>
        <w:rPr>
          <w:rFonts w:cstheme="minorHAnsi"/>
          <w:szCs w:val="18"/>
        </w:rPr>
        <w:t xml:space="preserve"> </w:t>
      </w:r>
      <w:r w:rsidRPr="007354CB">
        <w:rPr>
          <w:rFonts w:cstheme="minorHAnsi"/>
          <w:szCs w:val="18"/>
        </w:rPr>
        <w:t xml:space="preserve">(a); </w:t>
      </w:r>
      <w:hyperlink r:id="rId111" w:history="1">
        <w:r w:rsidRPr="00DB3692">
          <w:rPr>
            <w:rStyle w:val="Hyperlink"/>
          </w:rPr>
          <w:t>CED/C/MEX/VR/1</w:t>
        </w:r>
      </w:hyperlink>
      <w:r w:rsidRPr="00A260F4">
        <w:t xml:space="preserve"> (Findings)</w:t>
      </w:r>
      <w:r w:rsidRPr="00950301">
        <w:rPr>
          <w:rFonts w:cstheme="minorHAnsi"/>
          <w:szCs w:val="18"/>
        </w:rPr>
        <w:t>, paras. 1</w:t>
      </w:r>
      <w:r w:rsidRPr="007354CB">
        <w:rPr>
          <w:rFonts w:cstheme="minorHAnsi"/>
          <w:szCs w:val="18"/>
        </w:rPr>
        <w:t>9</w:t>
      </w:r>
      <w:r>
        <w:rPr>
          <w:rFonts w:cstheme="minorHAnsi"/>
          <w:szCs w:val="18"/>
        </w:rPr>
        <w:t xml:space="preserve"> and </w:t>
      </w:r>
      <w:r w:rsidRPr="007354CB">
        <w:rPr>
          <w:rFonts w:cstheme="minorHAnsi"/>
          <w:szCs w:val="18"/>
        </w:rPr>
        <w:t>20</w:t>
      </w:r>
      <w:r>
        <w:rPr>
          <w:rFonts w:cstheme="minorHAnsi"/>
          <w:szCs w:val="18"/>
        </w:rPr>
        <w:t xml:space="preserve">; and </w:t>
      </w:r>
      <w:r>
        <w:t xml:space="preserve">European </w:t>
      </w:r>
      <w:r w:rsidRPr="007354CB">
        <w:t xml:space="preserve">Committee </w:t>
      </w:r>
      <w:r>
        <w:t>for</w:t>
      </w:r>
      <w:r w:rsidRPr="007354CB">
        <w:t xml:space="preserve"> the Prevention of Torture </w:t>
      </w:r>
      <w:r>
        <w:t>and Inhuman or Degrading Treatment or Punishment</w:t>
      </w:r>
      <w:r w:rsidRPr="007354CB">
        <w:rPr>
          <w:rFonts w:cstheme="minorHAnsi"/>
          <w:szCs w:val="18"/>
        </w:rPr>
        <w:t xml:space="preserve">, </w:t>
      </w:r>
      <w:r>
        <w:rPr>
          <w:rFonts w:cstheme="minorHAnsi"/>
          <w:szCs w:val="18"/>
        </w:rPr>
        <w:t>r</w:t>
      </w:r>
      <w:r w:rsidRPr="007354CB">
        <w:rPr>
          <w:rFonts w:cstheme="minorHAnsi"/>
          <w:szCs w:val="18"/>
        </w:rPr>
        <w:t>eport to the Government</w:t>
      </w:r>
      <w:r>
        <w:rPr>
          <w:rFonts w:cstheme="minorHAnsi"/>
          <w:szCs w:val="18"/>
        </w:rPr>
        <w:t xml:space="preserve"> of Greece</w:t>
      </w:r>
      <w:r w:rsidRPr="004B354F">
        <w:rPr>
          <w:rFonts w:cstheme="minorHAnsi"/>
          <w:szCs w:val="18"/>
        </w:rPr>
        <w:t xml:space="preserve"> </w:t>
      </w:r>
      <w:r w:rsidRPr="007354CB">
        <w:rPr>
          <w:rFonts w:cstheme="minorHAnsi"/>
          <w:szCs w:val="18"/>
        </w:rPr>
        <w:t>on the visit to Greece from 13 to 17 March 2020, para</w:t>
      </w:r>
      <w:r>
        <w:rPr>
          <w:rFonts w:cstheme="minorHAnsi"/>
          <w:szCs w:val="18"/>
        </w:rPr>
        <w:t>.</w:t>
      </w:r>
      <w:r w:rsidRPr="007354CB">
        <w:rPr>
          <w:rFonts w:cstheme="minorHAnsi"/>
          <w:szCs w:val="18"/>
        </w:rPr>
        <w:t xml:space="preserve"> 56.</w:t>
      </w:r>
    </w:p>
  </w:footnote>
  <w:footnote w:id="87">
    <w:p w14:paraId="31048937" w14:textId="547394AB" w:rsidR="00DB3692" w:rsidRDefault="00DB3692" w:rsidP="00CB0813">
      <w:pPr>
        <w:pStyle w:val="FootnoteText"/>
      </w:pPr>
      <w:r>
        <w:tab/>
      </w:r>
      <w:r>
        <w:rPr>
          <w:rStyle w:val="FootnoteReference"/>
        </w:rPr>
        <w:footnoteRef/>
      </w:r>
      <w:r>
        <w:tab/>
      </w:r>
      <w:r w:rsidRPr="00CA51CB">
        <w:t>Article 4 of Protocol No. 4 to the Convention for the Protection of Human Rights and Fundamental Freedoms (European Convention on Human Rights), securing certain rights and freedoms other than those already included in the Convention and in the first Protocol thereto as amended by Protocol No.</w:t>
      </w:r>
      <w:r w:rsidR="003E0DCC">
        <w:t> </w:t>
      </w:r>
      <w:r w:rsidRPr="00CA51CB">
        <w:t>11; article 22 (9) of the American Convention on Human Rights; article 12 (5) of the African Charter on Human and Peoples’ Rights; and article 26 (2) of the</w:t>
      </w:r>
      <w:r w:rsidRPr="005236CE">
        <w:t xml:space="preserve"> </w:t>
      </w:r>
      <w:r w:rsidRPr="00B70AD6">
        <w:t>Arab Charter on Human Rights</w:t>
      </w:r>
      <w:r w:rsidRPr="005236CE">
        <w:t>.</w:t>
      </w:r>
    </w:p>
  </w:footnote>
  <w:footnote w:id="88">
    <w:p w14:paraId="1610DBD9" w14:textId="3444EFFB" w:rsidR="00DB3692" w:rsidRPr="00BE1E1F" w:rsidRDefault="00DB3692" w:rsidP="00CB0813">
      <w:pPr>
        <w:pStyle w:val="FootnoteText"/>
        <w:rPr>
          <w:rFonts w:cstheme="minorHAnsi"/>
          <w:szCs w:val="18"/>
        </w:rPr>
      </w:pPr>
      <w:r w:rsidRPr="00BE1E1F">
        <w:rPr>
          <w:rFonts w:cstheme="minorHAnsi"/>
          <w:szCs w:val="18"/>
        </w:rPr>
        <w:tab/>
      </w:r>
      <w:r w:rsidRPr="009662BA">
        <w:rPr>
          <w:rStyle w:val="FootnoteReference"/>
        </w:rPr>
        <w:footnoteRef/>
      </w:r>
      <w:r w:rsidRPr="00BE1E1F">
        <w:rPr>
          <w:rFonts w:cstheme="minorHAnsi"/>
          <w:szCs w:val="18"/>
        </w:rPr>
        <w:tab/>
        <w:t>European Court of Human Rights</w:t>
      </w:r>
      <w:r>
        <w:rPr>
          <w:rFonts w:cstheme="minorHAnsi"/>
          <w:szCs w:val="18"/>
        </w:rPr>
        <w:t>,</w:t>
      </w:r>
      <w:r w:rsidRPr="00BE1E1F">
        <w:rPr>
          <w:rFonts w:cstheme="minorHAnsi"/>
          <w:szCs w:val="18"/>
        </w:rPr>
        <w:t xml:space="preserve"> </w:t>
      </w:r>
      <w:r w:rsidRPr="00BE1E1F">
        <w:rPr>
          <w:rFonts w:cstheme="minorHAnsi"/>
          <w:i/>
          <w:iCs/>
          <w:szCs w:val="18"/>
        </w:rPr>
        <w:t xml:space="preserve">Hirsi Jamaa and others </w:t>
      </w:r>
      <w:r w:rsidRPr="0066546F">
        <w:rPr>
          <w:rFonts w:cstheme="minorHAnsi"/>
          <w:i/>
          <w:iCs/>
          <w:szCs w:val="18"/>
        </w:rPr>
        <w:t>v.</w:t>
      </w:r>
      <w:r w:rsidRPr="00BE1E1F">
        <w:rPr>
          <w:rFonts w:cstheme="minorHAnsi"/>
          <w:szCs w:val="18"/>
        </w:rPr>
        <w:t xml:space="preserve"> </w:t>
      </w:r>
      <w:r w:rsidRPr="00BE1E1F">
        <w:rPr>
          <w:rFonts w:cstheme="minorHAnsi"/>
          <w:i/>
          <w:iCs/>
          <w:szCs w:val="18"/>
        </w:rPr>
        <w:t>Italy</w:t>
      </w:r>
      <w:r w:rsidRPr="00BE1E1F">
        <w:rPr>
          <w:rFonts w:cstheme="minorHAnsi"/>
          <w:szCs w:val="18"/>
        </w:rPr>
        <w:t>, paras. 185</w:t>
      </w:r>
      <w:r>
        <w:rPr>
          <w:rFonts w:cstheme="minorHAnsi"/>
          <w:szCs w:val="18"/>
        </w:rPr>
        <w:t xml:space="preserve"> and </w:t>
      </w:r>
      <w:r w:rsidRPr="00BE1E1F">
        <w:rPr>
          <w:rFonts w:cstheme="minorHAnsi"/>
          <w:szCs w:val="18"/>
        </w:rPr>
        <w:t xml:space="preserve">186; </w:t>
      </w:r>
      <w:r w:rsidRPr="00BE1E1F">
        <w:rPr>
          <w:rFonts w:cstheme="minorHAnsi"/>
          <w:i/>
          <w:iCs/>
          <w:szCs w:val="18"/>
        </w:rPr>
        <w:t>N.D. and N.T.</w:t>
      </w:r>
      <w:r w:rsidR="00DF243F">
        <w:rPr>
          <w:rFonts w:cstheme="minorHAnsi"/>
          <w:i/>
          <w:iCs/>
          <w:szCs w:val="18"/>
        </w:rPr>
        <w:t> </w:t>
      </w:r>
      <w:r w:rsidRPr="00BE1E1F">
        <w:rPr>
          <w:rFonts w:cstheme="minorHAnsi"/>
          <w:i/>
          <w:iCs/>
          <w:szCs w:val="18"/>
        </w:rPr>
        <w:t>v. Spain</w:t>
      </w:r>
      <w:r w:rsidRPr="00BE1E1F">
        <w:rPr>
          <w:rFonts w:cstheme="minorHAnsi"/>
          <w:szCs w:val="18"/>
        </w:rPr>
        <w:t xml:space="preserve">, </w:t>
      </w:r>
      <w:r w:rsidRPr="00626DE0">
        <w:t>Applications No.</w:t>
      </w:r>
      <w:r>
        <w:t xml:space="preserve"> </w:t>
      </w:r>
      <w:hyperlink r:id="rId112" w:anchor="{%22appno%22:[%228675/15%22]}" w:tgtFrame="_blank" w:history="1">
        <w:r w:rsidRPr="00626DE0">
          <w:t>8675/15</w:t>
        </w:r>
      </w:hyperlink>
      <w:r>
        <w:t xml:space="preserve"> </w:t>
      </w:r>
      <w:r w:rsidRPr="00626DE0">
        <w:t>and</w:t>
      </w:r>
      <w:r>
        <w:t xml:space="preserve"> </w:t>
      </w:r>
      <w:r w:rsidRPr="00626DE0">
        <w:t xml:space="preserve">No. </w:t>
      </w:r>
      <w:hyperlink r:id="rId113" w:anchor="{%22appno%22:[%228697/15%22]}" w:tgtFrame="_blank" w:history="1">
        <w:r w:rsidRPr="00626DE0">
          <w:t>8697/15</w:t>
        </w:r>
      </w:hyperlink>
      <w:r w:rsidRPr="00626DE0">
        <w:t>, Judgment</w:t>
      </w:r>
      <w:r w:rsidRPr="00BE1E1F">
        <w:rPr>
          <w:rFonts w:cstheme="minorHAnsi"/>
          <w:szCs w:val="18"/>
        </w:rPr>
        <w:t xml:space="preserve">, 13 February 2020; and </w:t>
      </w:r>
      <w:r w:rsidRPr="00BE1E1F">
        <w:rPr>
          <w:rFonts w:cstheme="minorHAnsi"/>
          <w:i/>
          <w:iCs/>
          <w:szCs w:val="18"/>
        </w:rPr>
        <w:t>Shahzad</w:t>
      </w:r>
      <w:r w:rsidR="00DF243F">
        <w:rPr>
          <w:rFonts w:cstheme="minorHAnsi"/>
          <w:i/>
          <w:iCs/>
          <w:szCs w:val="18"/>
        </w:rPr>
        <w:t> </w:t>
      </w:r>
      <w:r w:rsidRPr="00BE1E1F">
        <w:rPr>
          <w:rFonts w:cstheme="minorHAnsi"/>
          <w:i/>
          <w:iCs/>
          <w:szCs w:val="18"/>
        </w:rPr>
        <w:t>v. Hungary</w:t>
      </w:r>
      <w:r w:rsidRPr="00BE1E1F">
        <w:rPr>
          <w:rFonts w:cstheme="minorHAnsi"/>
          <w:szCs w:val="18"/>
        </w:rPr>
        <w:t>, Application No. 12625/17, Judgment, 8 July 2021.</w:t>
      </w:r>
    </w:p>
  </w:footnote>
  <w:footnote w:id="89">
    <w:p w14:paraId="1FCED7A5" w14:textId="31DCAA9A" w:rsidR="00DB3692" w:rsidRPr="00BE1E1F" w:rsidRDefault="00DB3692" w:rsidP="00CB0813">
      <w:pPr>
        <w:pStyle w:val="FootnoteText"/>
      </w:pPr>
      <w:r w:rsidRPr="00BE1E1F">
        <w:tab/>
      </w:r>
      <w:r w:rsidRPr="009662BA">
        <w:rPr>
          <w:rStyle w:val="FootnoteReference"/>
        </w:rPr>
        <w:footnoteRef/>
      </w:r>
      <w:r w:rsidRPr="00BE1E1F">
        <w:tab/>
      </w:r>
      <w:hyperlink r:id="rId114" w:history="1">
        <w:r w:rsidRPr="00DB3692">
          <w:rPr>
            <w:rStyle w:val="Hyperlink"/>
          </w:rPr>
          <w:t>A/HRC/37/50</w:t>
        </w:r>
      </w:hyperlink>
      <w:r w:rsidRPr="00BE1E1F">
        <w:t>, paras. 52</w:t>
      </w:r>
      <w:r>
        <w:t xml:space="preserve"> and </w:t>
      </w:r>
      <w:r w:rsidRPr="00BE1E1F">
        <w:t>53</w:t>
      </w:r>
      <w:r>
        <w:t>; and</w:t>
      </w:r>
      <w:r w:rsidRPr="00B83402">
        <w:rPr>
          <w:rFonts w:cstheme="minorHAnsi"/>
          <w:szCs w:val="18"/>
        </w:rPr>
        <w:t xml:space="preserve"> </w:t>
      </w:r>
      <w:r w:rsidRPr="00BE1E1F">
        <w:rPr>
          <w:rFonts w:cstheme="minorHAnsi"/>
          <w:szCs w:val="18"/>
        </w:rPr>
        <w:t>European Court of Human Rights</w:t>
      </w:r>
      <w:r w:rsidRPr="00BE1E1F">
        <w:t xml:space="preserve">, </w:t>
      </w:r>
      <w:r w:rsidRPr="00BE1E1F">
        <w:rPr>
          <w:i/>
          <w:iCs/>
        </w:rPr>
        <w:t>Hirsi Jamaa and others</w:t>
      </w:r>
      <w:r w:rsidR="00DF243F">
        <w:rPr>
          <w:i/>
          <w:iCs/>
        </w:rPr>
        <w:t> </w:t>
      </w:r>
      <w:r w:rsidRPr="0066546F">
        <w:rPr>
          <w:i/>
          <w:iCs/>
        </w:rPr>
        <w:t>v.</w:t>
      </w:r>
      <w:r w:rsidR="00DF243F">
        <w:rPr>
          <w:i/>
          <w:iCs/>
        </w:rPr>
        <w:t> </w:t>
      </w:r>
      <w:r w:rsidRPr="00BE1E1F">
        <w:rPr>
          <w:i/>
          <w:iCs/>
        </w:rPr>
        <w:t>Italy</w:t>
      </w:r>
      <w:r w:rsidRPr="00BE1E1F">
        <w:t xml:space="preserve">. </w:t>
      </w:r>
    </w:p>
  </w:footnote>
  <w:footnote w:id="90">
    <w:p w14:paraId="5D33972D" w14:textId="77777777" w:rsidR="00DB3692" w:rsidRPr="00BE1E1F" w:rsidRDefault="00DB3692" w:rsidP="00CB0813">
      <w:pPr>
        <w:pStyle w:val="FootnoteText"/>
      </w:pPr>
      <w:r w:rsidRPr="00BE1E1F">
        <w:tab/>
      </w:r>
      <w:r w:rsidRPr="009662BA">
        <w:rPr>
          <w:rStyle w:val="FootnoteReference"/>
        </w:rPr>
        <w:footnoteRef/>
      </w:r>
      <w:r w:rsidRPr="00BE1E1F">
        <w:tab/>
        <w:t xml:space="preserve">Inter-American Commission on Human Rights, </w:t>
      </w:r>
      <w:r w:rsidRPr="00BE1E1F">
        <w:rPr>
          <w:i/>
          <w:iCs/>
        </w:rPr>
        <w:t>Haitian Centre for Human Rights and others v. United States of America</w:t>
      </w:r>
      <w:r w:rsidRPr="0066546F">
        <w:t>,</w:t>
      </w:r>
      <w:r w:rsidRPr="00BE1E1F">
        <w:t xml:space="preserve"> Case No. 10.675, Decision on the Merits, 13 March 1997, para. 169.</w:t>
      </w:r>
    </w:p>
  </w:footnote>
  <w:footnote w:id="91">
    <w:p w14:paraId="1F3B8911" w14:textId="2D3D770B" w:rsidR="00DB3692" w:rsidRPr="00BE1E1F" w:rsidRDefault="00DB3692" w:rsidP="00CB0813">
      <w:pPr>
        <w:pStyle w:val="FootnoteText"/>
      </w:pPr>
      <w:r w:rsidRPr="00BE1E1F">
        <w:tab/>
      </w:r>
      <w:r w:rsidRPr="009662BA">
        <w:rPr>
          <w:rStyle w:val="FootnoteReference"/>
        </w:rPr>
        <w:footnoteRef/>
      </w:r>
      <w:r w:rsidRPr="00BE1E1F">
        <w:tab/>
      </w:r>
      <w:r w:rsidRPr="00BE1E1F">
        <w:rPr>
          <w:rFonts w:cstheme="minorHAnsi"/>
          <w:szCs w:val="18"/>
        </w:rPr>
        <w:t>European Court of Human Rights</w:t>
      </w:r>
      <w:r w:rsidRPr="00BE1E1F">
        <w:t xml:space="preserve">, </w:t>
      </w:r>
      <w:r w:rsidRPr="00BE1E1F">
        <w:rPr>
          <w:i/>
          <w:iCs/>
        </w:rPr>
        <w:t xml:space="preserve">Safi </w:t>
      </w:r>
      <w:r>
        <w:rPr>
          <w:i/>
          <w:iCs/>
        </w:rPr>
        <w:t>and others v</w:t>
      </w:r>
      <w:r w:rsidRPr="00BE1E1F">
        <w:rPr>
          <w:i/>
          <w:iCs/>
        </w:rPr>
        <w:t xml:space="preserve">. </w:t>
      </w:r>
      <w:r>
        <w:rPr>
          <w:i/>
          <w:iCs/>
        </w:rPr>
        <w:t>Greece</w:t>
      </w:r>
      <w:r w:rsidRPr="00BE1E1F">
        <w:t>, Application No. 5418/15, Judgment, 7</w:t>
      </w:r>
      <w:r w:rsidR="0068688C">
        <w:t> </w:t>
      </w:r>
      <w:r w:rsidRPr="00BE1E1F">
        <w:t>July 2022.</w:t>
      </w:r>
    </w:p>
  </w:footnote>
  <w:footnote w:id="92">
    <w:p w14:paraId="4A062459" w14:textId="6D1D6B8A" w:rsidR="00DB3692" w:rsidRPr="00BE1E1F" w:rsidRDefault="00DB3692" w:rsidP="00CB0813">
      <w:pPr>
        <w:pStyle w:val="FootnoteText"/>
        <w:rPr>
          <w:rFonts w:cstheme="minorHAnsi"/>
          <w:szCs w:val="18"/>
        </w:rPr>
      </w:pPr>
      <w:r w:rsidRPr="00BE1E1F">
        <w:rPr>
          <w:rFonts w:cstheme="minorHAnsi"/>
          <w:szCs w:val="18"/>
        </w:rPr>
        <w:tab/>
      </w:r>
      <w:r w:rsidRPr="009662BA">
        <w:rPr>
          <w:rStyle w:val="FootnoteReference"/>
        </w:rPr>
        <w:footnoteRef/>
      </w:r>
      <w:r>
        <w:rPr>
          <w:rFonts w:cstheme="minorHAnsi"/>
          <w:szCs w:val="18"/>
        </w:rPr>
        <w:tab/>
      </w:r>
      <w:hyperlink r:id="rId115" w:history="1">
        <w:r w:rsidRPr="00DB3692">
          <w:rPr>
            <w:rStyle w:val="Hyperlink"/>
          </w:rPr>
          <w:t>A/HRC/47/30</w:t>
        </w:r>
      </w:hyperlink>
      <w:r w:rsidRPr="00BE1E1F">
        <w:rPr>
          <w:rFonts w:cstheme="minorHAnsi"/>
          <w:szCs w:val="18"/>
        </w:rPr>
        <w:t xml:space="preserve">, paras. 72–75. See also OHCHR, “‘Lethal </w:t>
      </w:r>
      <w:r w:rsidRPr="00626DE0">
        <w:t>disregard’”; and Human Rights</w:t>
      </w:r>
      <w:r w:rsidRPr="00BE1E1F">
        <w:rPr>
          <w:rFonts w:cstheme="minorHAnsi"/>
          <w:szCs w:val="18"/>
        </w:rPr>
        <w:t xml:space="preserve"> Committee, </w:t>
      </w:r>
      <w:r w:rsidRPr="00BE1E1F">
        <w:rPr>
          <w:rFonts w:cstheme="minorHAnsi"/>
          <w:i/>
          <w:iCs/>
          <w:szCs w:val="18"/>
        </w:rPr>
        <w:t>A.S. et al. v. Italy</w:t>
      </w:r>
      <w:r w:rsidRPr="00BE1E1F">
        <w:rPr>
          <w:rFonts w:cstheme="minorHAnsi"/>
          <w:szCs w:val="18"/>
        </w:rPr>
        <w:t xml:space="preserve"> (</w:t>
      </w:r>
      <w:hyperlink r:id="rId116" w:history="1">
        <w:r w:rsidRPr="00DB3692">
          <w:rPr>
            <w:rStyle w:val="Hyperlink"/>
          </w:rPr>
          <w:t>CCPR/C/130/D/3042/2017</w:t>
        </w:r>
      </w:hyperlink>
      <w:r w:rsidRPr="00BE1E1F">
        <w:rPr>
          <w:rFonts w:cstheme="minorHAnsi"/>
          <w:szCs w:val="18"/>
        </w:rPr>
        <w:t>).</w:t>
      </w:r>
    </w:p>
  </w:footnote>
  <w:footnote w:id="93">
    <w:p w14:paraId="68AD35A2" w14:textId="0013D996" w:rsidR="00DB3692" w:rsidRPr="00BE1E1F" w:rsidRDefault="00DB3692" w:rsidP="00CB0813">
      <w:pPr>
        <w:pStyle w:val="FootnoteText"/>
        <w:rPr>
          <w:rFonts w:cstheme="minorHAnsi"/>
          <w:szCs w:val="18"/>
        </w:rPr>
      </w:pPr>
      <w:r w:rsidRPr="00BE1E1F">
        <w:rPr>
          <w:rFonts w:cstheme="minorHAnsi"/>
          <w:szCs w:val="18"/>
        </w:rPr>
        <w:tab/>
      </w:r>
      <w:r w:rsidRPr="009662BA">
        <w:rPr>
          <w:rStyle w:val="FootnoteReference"/>
        </w:rPr>
        <w:footnoteRef/>
      </w:r>
      <w:r>
        <w:rPr>
          <w:rFonts w:cstheme="minorHAnsi"/>
          <w:szCs w:val="18"/>
        </w:rPr>
        <w:tab/>
      </w:r>
      <w:hyperlink r:id="rId117" w:history="1">
        <w:r w:rsidRPr="00DB3692">
          <w:rPr>
            <w:rStyle w:val="Hyperlink"/>
          </w:rPr>
          <w:t>CED/C/GRC/CO/1</w:t>
        </w:r>
      </w:hyperlink>
      <w:r w:rsidRPr="00BE1E1F">
        <w:rPr>
          <w:rFonts w:cstheme="minorHAnsi"/>
          <w:szCs w:val="18"/>
        </w:rPr>
        <w:t>, para. 29 (a).</w:t>
      </w:r>
    </w:p>
  </w:footnote>
  <w:footnote w:id="94">
    <w:p w14:paraId="57EF76BF" w14:textId="64BFB6FC" w:rsidR="00DB3692" w:rsidRPr="007354CB" w:rsidRDefault="00DB3692" w:rsidP="00CB0813">
      <w:pPr>
        <w:pStyle w:val="FootnoteText"/>
        <w:rPr>
          <w:szCs w:val="18"/>
        </w:rPr>
      </w:pPr>
      <w:r w:rsidRPr="00BE1E1F">
        <w:rPr>
          <w:szCs w:val="18"/>
        </w:rPr>
        <w:tab/>
      </w:r>
      <w:r w:rsidRPr="009662BA">
        <w:rPr>
          <w:rStyle w:val="FootnoteReference"/>
        </w:rPr>
        <w:footnoteRef/>
      </w:r>
      <w:r>
        <w:rPr>
          <w:szCs w:val="18"/>
        </w:rPr>
        <w:tab/>
      </w:r>
      <w:hyperlink r:id="rId118" w:history="1">
        <w:r w:rsidRPr="00DB3692">
          <w:rPr>
            <w:rStyle w:val="Hyperlink"/>
          </w:rPr>
          <w:t>CED/C/MEX/VR/1</w:t>
        </w:r>
      </w:hyperlink>
      <w:r w:rsidRPr="00A260F4">
        <w:t xml:space="preserve"> (Recommendations)</w:t>
      </w:r>
      <w:r w:rsidRPr="00BE1E1F">
        <w:rPr>
          <w:rFonts w:cstheme="minorHAnsi"/>
          <w:szCs w:val="18"/>
        </w:rPr>
        <w:t>, para. 36.</w:t>
      </w:r>
    </w:p>
  </w:footnote>
  <w:footnote w:id="95">
    <w:p w14:paraId="18AB50A3" w14:textId="4968C421" w:rsidR="00DB3692" w:rsidRPr="007354CB" w:rsidRDefault="00DB3692" w:rsidP="00CB0813">
      <w:pPr>
        <w:pStyle w:val="FootnoteText"/>
      </w:pPr>
      <w:r w:rsidRPr="007354CB">
        <w:tab/>
      </w:r>
      <w:r w:rsidRPr="009662BA">
        <w:rPr>
          <w:rStyle w:val="FootnoteReference"/>
        </w:rPr>
        <w:footnoteRef/>
      </w:r>
      <w:r w:rsidRPr="007354CB">
        <w:tab/>
      </w:r>
      <w:r w:rsidRPr="007630A7">
        <w:t>Guiding Principles for the Search for Disappeared Persons</w:t>
      </w:r>
      <w:r>
        <w:t>,</w:t>
      </w:r>
      <w:r w:rsidRPr="008619AE">
        <w:t xml:space="preserve"> principles 6 and 9; </w:t>
      </w:r>
      <w:hyperlink r:id="rId119" w:history="1">
        <w:r w:rsidRPr="00DB3692">
          <w:rPr>
            <w:rStyle w:val="Hyperlink"/>
          </w:rPr>
          <w:t>A/HRC/36/39/Add.2</w:t>
        </w:r>
      </w:hyperlink>
      <w:r w:rsidRPr="007354CB">
        <w:t>, para</w:t>
      </w:r>
      <w:r>
        <w:t>s.</w:t>
      </w:r>
      <w:r w:rsidRPr="007354CB">
        <w:t xml:space="preserve"> 67</w:t>
      </w:r>
      <w:r>
        <w:t xml:space="preserve"> and</w:t>
      </w:r>
      <w:r w:rsidRPr="007354CB">
        <w:t xml:space="preserve"> </w:t>
      </w:r>
      <w:r w:rsidRPr="008619AE">
        <w:t>70;</w:t>
      </w:r>
      <w:r>
        <w:t xml:space="preserve"> </w:t>
      </w:r>
      <w:r w:rsidRPr="008619AE">
        <w:t>Human Rights Committee, general comment No. 36 (2018), para.</w:t>
      </w:r>
      <w:r w:rsidRPr="007354CB">
        <w:t xml:space="preserve"> 58</w:t>
      </w:r>
      <w:r>
        <w:t>; and</w:t>
      </w:r>
      <w:r w:rsidRPr="003A2B50">
        <w:t xml:space="preserve"> </w:t>
      </w:r>
      <w:hyperlink r:id="rId120" w:history="1">
        <w:r w:rsidRPr="00DB3692">
          <w:rPr>
            <w:rStyle w:val="Hyperlink"/>
          </w:rPr>
          <w:t>CED/C/ITA/CO/1</w:t>
        </w:r>
      </w:hyperlink>
      <w:r w:rsidRPr="008619AE">
        <w:t xml:space="preserve">, </w:t>
      </w:r>
      <w:r w:rsidRPr="007354CB">
        <w:t>para</w:t>
      </w:r>
      <w:r>
        <w:t>.</w:t>
      </w:r>
      <w:r w:rsidRPr="007354CB">
        <w:t xml:space="preserve"> 23.</w:t>
      </w:r>
    </w:p>
  </w:footnote>
  <w:footnote w:id="96">
    <w:p w14:paraId="7F41291F" w14:textId="77777777" w:rsidR="00DB3692" w:rsidRPr="007354CB" w:rsidRDefault="00DB3692" w:rsidP="00CB0813">
      <w:pPr>
        <w:pStyle w:val="FootnoteText"/>
      </w:pPr>
      <w:r w:rsidRPr="007354CB">
        <w:tab/>
      </w:r>
      <w:r w:rsidRPr="009662BA">
        <w:rPr>
          <w:rStyle w:val="FootnoteReference"/>
        </w:rPr>
        <w:footnoteRef/>
      </w:r>
      <w:r w:rsidRPr="007354CB">
        <w:tab/>
      </w:r>
      <w:r w:rsidRPr="008619AE">
        <w:t>Inter-American Court of Human Rights</w:t>
      </w:r>
      <w:r w:rsidRPr="007354CB">
        <w:t xml:space="preserve">, </w:t>
      </w:r>
      <w:r w:rsidRPr="007354CB">
        <w:rPr>
          <w:i/>
          <w:iCs/>
        </w:rPr>
        <w:t>Gómez Palomino v</w:t>
      </w:r>
      <w:r>
        <w:rPr>
          <w:i/>
          <w:iCs/>
        </w:rPr>
        <w:t>.</w:t>
      </w:r>
      <w:r w:rsidRPr="007354CB">
        <w:rPr>
          <w:i/>
          <w:iCs/>
        </w:rPr>
        <w:t xml:space="preserve"> Peru</w:t>
      </w:r>
      <w:r>
        <w:t>,</w:t>
      </w:r>
      <w:r w:rsidRPr="007354CB">
        <w:t xml:space="preserve"> </w:t>
      </w:r>
      <w:r>
        <w:t xml:space="preserve">Judgment on </w:t>
      </w:r>
      <w:r w:rsidRPr="007354CB">
        <w:t xml:space="preserve">Merits, Reparations and Costs, </w:t>
      </w:r>
      <w:r>
        <w:t xml:space="preserve">22 November </w:t>
      </w:r>
      <w:r w:rsidRPr="007354CB">
        <w:t>2005, para</w:t>
      </w:r>
      <w:r>
        <w:t>.</w:t>
      </w:r>
      <w:r w:rsidRPr="007354CB">
        <w:t xml:space="preserve"> 106.</w:t>
      </w:r>
    </w:p>
  </w:footnote>
  <w:footnote w:id="97">
    <w:p w14:paraId="01D3750A" w14:textId="44ACDF3B"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Pr>
          <w:rFonts w:cstheme="minorHAnsi"/>
          <w:szCs w:val="18"/>
        </w:rPr>
        <w:tab/>
      </w:r>
      <w:hyperlink r:id="rId121" w:history="1">
        <w:r w:rsidRPr="00DB3692">
          <w:rPr>
            <w:rStyle w:val="Hyperlink"/>
          </w:rPr>
          <w:t>CED/C/MEX/VR/1</w:t>
        </w:r>
      </w:hyperlink>
      <w:r w:rsidRPr="00A260F4">
        <w:t xml:space="preserve"> (Recommendations)</w:t>
      </w:r>
      <w:r w:rsidRPr="004A2F55">
        <w:rPr>
          <w:rFonts w:cstheme="minorHAnsi"/>
          <w:szCs w:val="18"/>
        </w:rPr>
        <w:t xml:space="preserve">, </w:t>
      </w:r>
      <w:r w:rsidRPr="007354CB">
        <w:rPr>
          <w:rFonts w:cstheme="minorHAnsi"/>
          <w:szCs w:val="18"/>
        </w:rPr>
        <w:t>para</w:t>
      </w:r>
      <w:r>
        <w:rPr>
          <w:rFonts w:cstheme="minorHAnsi"/>
          <w:szCs w:val="18"/>
        </w:rPr>
        <w:t>.</w:t>
      </w:r>
      <w:r w:rsidRPr="007354CB">
        <w:rPr>
          <w:rFonts w:cstheme="minorHAnsi"/>
          <w:szCs w:val="18"/>
        </w:rPr>
        <w:t xml:space="preserve"> 52.</w:t>
      </w:r>
    </w:p>
  </w:footnote>
  <w:footnote w:id="98">
    <w:p w14:paraId="283DADF7" w14:textId="14E3EEB0" w:rsidR="00DB3692" w:rsidRPr="002D1E4E" w:rsidRDefault="00DB3692" w:rsidP="00CB0813">
      <w:pPr>
        <w:pStyle w:val="FootnoteText"/>
      </w:pPr>
      <w:r w:rsidRPr="007354CB">
        <w:tab/>
      </w:r>
      <w:r w:rsidRPr="009662BA">
        <w:rPr>
          <w:rStyle w:val="FootnoteReference"/>
        </w:rPr>
        <w:footnoteRef/>
      </w:r>
      <w:r w:rsidRPr="007354CB">
        <w:tab/>
      </w:r>
      <w:r w:rsidRPr="002D1E4E">
        <w:t xml:space="preserve">Guiding Principles for the Search for Disappeared Persons, </w:t>
      </w:r>
      <w:r>
        <w:t>p</w:t>
      </w:r>
      <w:r w:rsidRPr="007354CB">
        <w:t>rinciple</w:t>
      </w:r>
      <w:r>
        <w:t>s</w:t>
      </w:r>
      <w:r w:rsidRPr="007354CB">
        <w:t xml:space="preserve"> 5 </w:t>
      </w:r>
      <w:r>
        <w:t>and</w:t>
      </w:r>
      <w:r w:rsidRPr="007354CB">
        <w:t xml:space="preserve"> 9; </w:t>
      </w:r>
      <w:hyperlink r:id="rId122" w:history="1">
        <w:r w:rsidRPr="00DB3692">
          <w:rPr>
            <w:rStyle w:val="Hyperlink"/>
          </w:rPr>
          <w:t>A/HRC/36/39/Add.2</w:t>
        </w:r>
      </w:hyperlink>
      <w:r w:rsidRPr="002D1E4E">
        <w:rPr>
          <w:rFonts w:eastAsiaTheme="minorEastAsia"/>
        </w:rPr>
        <w:t>, paras. 51, 54, 67–69</w:t>
      </w:r>
      <w:r>
        <w:rPr>
          <w:rFonts w:eastAsiaTheme="minorEastAsia"/>
        </w:rPr>
        <w:t>,</w:t>
      </w:r>
      <w:r w:rsidRPr="002D1E4E">
        <w:rPr>
          <w:rFonts w:eastAsiaTheme="minorEastAsia"/>
        </w:rPr>
        <w:t xml:space="preserve"> 77</w:t>
      </w:r>
      <w:r>
        <w:rPr>
          <w:rFonts w:eastAsiaTheme="minorEastAsia"/>
        </w:rPr>
        <w:t xml:space="preserve"> and </w:t>
      </w:r>
      <w:r w:rsidRPr="002D1E4E">
        <w:rPr>
          <w:rFonts w:eastAsiaTheme="minorEastAsia"/>
        </w:rPr>
        <w:t xml:space="preserve">78; and </w:t>
      </w:r>
      <w:r w:rsidRPr="002D1E4E">
        <w:t>Human Rights Committee, general comment No. 36 (2018), para. 58.</w:t>
      </w:r>
    </w:p>
  </w:footnote>
  <w:footnote w:id="99">
    <w:p w14:paraId="6147B273" w14:textId="77777777" w:rsidR="00DB3692" w:rsidRPr="007354CB" w:rsidRDefault="00DB3692" w:rsidP="00CB0813">
      <w:pPr>
        <w:pStyle w:val="FootnoteText"/>
      </w:pPr>
      <w:r w:rsidRPr="002D1E4E">
        <w:tab/>
      </w:r>
      <w:r w:rsidRPr="009662BA">
        <w:rPr>
          <w:rStyle w:val="FootnoteReference"/>
        </w:rPr>
        <w:footnoteRef/>
      </w:r>
      <w:r w:rsidRPr="002D1E4E">
        <w:tab/>
      </w:r>
      <w:r>
        <w:t>For example,</w:t>
      </w:r>
      <w:r w:rsidRPr="002D1E4E">
        <w:t xml:space="preserve"> the </w:t>
      </w:r>
      <w:r w:rsidRPr="007354CB">
        <w:t>Minnesota Protocol</w:t>
      </w:r>
      <w:r w:rsidRPr="002D1E4E">
        <w:t xml:space="preserve"> on the Investigation of Potentially Unlawful Death</w:t>
      </w:r>
      <w:r w:rsidRPr="007354CB">
        <w:rPr>
          <w:rStyle w:val="Hyperlink"/>
          <w:rFonts w:cstheme="minorHAnsi"/>
          <w:szCs w:val="18"/>
        </w:rPr>
        <w:t>.</w:t>
      </w:r>
    </w:p>
  </w:footnote>
  <w:footnote w:id="100">
    <w:p w14:paraId="1695CED4" w14:textId="31AEAB0E" w:rsidR="00DB3692" w:rsidRPr="00330995" w:rsidRDefault="00DB3692" w:rsidP="00CB0813">
      <w:pPr>
        <w:pStyle w:val="FootnoteText"/>
        <w:rPr>
          <w:rFonts w:cstheme="minorHAnsi"/>
          <w:szCs w:val="18"/>
        </w:rPr>
      </w:pPr>
      <w:r w:rsidRPr="00A260F4">
        <w:rPr>
          <w:rFonts w:cstheme="minorHAnsi"/>
          <w:szCs w:val="18"/>
        </w:rPr>
        <w:tab/>
      </w:r>
      <w:r w:rsidRPr="00330995">
        <w:rPr>
          <w:rStyle w:val="FootnoteReference"/>
        </w:rPr>
        <w:footnoteRef/>
      </w:r>
      <w:r w:rsidRPr="00A260F4">
        <w:rPr>
          <w:rFonts w:cstheme="minorHAnsi"/>
          <w:szCs w:val="18"/>
        </w:rPr>
        <w:tab/>
      </w:r>
      <w:hyperlink r:id="rId123" w:history="1">
        <w:r w:rsidRPr="00DB3692">
          <w:rPr>
            <w:rStyle w:val="Hyperlink"/>
          </w:rPr>
          <w:t>A/HRC/45/13/Add.3</w:t>
        </w:r>
      </w:hyperlink>
      <w:r w:rsidRPr="00A260F4">
        <w:rPr>
          <w:rFonts w:cstheme="minorHAnsi"/>
          <w:szCs w:val="18"/>
        </w:rPr>
        <w:t>, paras. 87–89</w:t>
      </w:r>
      <w:r w:rsidRPr="00330995">
        <w:rPr>
          <w:rFonts w:cstheme="minorHAnsi"/>
          <w:szCs w:val="18"/>
        </w:rPr>
        <w:t>.</w:t>
      </w:r>
    </w:p>
  </w:footnote>
  <w:footnote w:id="101">
    <w:p w14:paraId="0C2C67D2" w14:textId="51BA7757"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hyperlink r:id="rId124" w:history="1">
        <w:r w:rsidRPr="00DB3692">
          <w:rPr>
            <w:rStyle w:val="Hyperlink"/>
          </w:rPr>
          <w:t>CED/C/GRC/CO/1</w:t>
        </w:r>
      </w:hyperlink>
      <w:r w:rsidRPr="007354CB">
        <w:rPr>
          <w:rFonts w:cstheme="minorHAnsi"/>
          <w:szCs w:val="18"/>
        </w:rPr>
        <w:t>, para</w:t>
      </w:r>
      <w:r>
        <w:rPr>
          <w:rFonts w:cstheme="minorHAnsi"/>
          <w:szCs w:val="18"/>
        </w:rPr>
        <w:t>.</w:t>
      </w:r>
      <w:r w:rsidRPr="007354CB">
        <w:rPr>
          <w:rFonts w:cstheme="minorHAnsi"/>
          <w:szCs w:val="18"/>
        </w:rPr>
        <w:t xml:space="preserve"> 27 (c).</w:t>
      </w:r>
    </w:p>
  </w:footnote>
  <w:footnote w:id="102">
    <w:p w14:paraId="1E979DBC" w14:textId="14E500D8" w:rsidR="00DB3692" w:rsidRPr="007354CB" w:rsidRDefault="00DB3692" w:rsidP="00CB0813">
      <w:pPr>
        <w:pStyle w:val="FootnoteText"/>
      </w:pPr>
      <w:r w:rsidRPr="007354CB">
        <w:tab/>
      </w:r>
      <w:r w:rsidRPr="009662BA">
        <w:rPr>
          <w:rStyle w:val="FootnoteReference"/>
        </w:rPr>
        <w:footnoteRef/>
      </w:r>
      <w:r>
        <w:tab/>
      </w:r>
      <w:r w:rsidRPr="007354CB">
        <w:t>See</w:t>
      </w:r>
      <w:r>
        <w:t>,</w:t>
      </w:r>
      <w:r w:rsidRPr="007354CB">
        <w:t xml:space="preserve"> for </w:t>
      </w:r>
      <w:r w:rsidRPr="00055C7C">
        <w:t>example, ICRC, “</w:t>
      </w:r>
      <w:r w:rsidRPr="0066546F">
        <w:t xml:space="preserve">Core </w:t>
      </w:r>
      <w:r w:rsidRPr="00055C7C">
        <w:t>d</w:t>
      </w:r>
      <w:r w:rsidRPr="0066546F">
        <w:t xml:space="preserve">ataset for the </w:t>
      </w:r>
      <w:r w:rsidRPr="00055C7C">
        <w:t>s</w:t>
      </w:r>
      <w:r w:rsidRPr="0066546F">
        <w:t xml:space="preserve">earch for </w:t>
      </w:r>
      <w:r w:rsidRPr="00055C7C">
        <w:t>m</w:t>
      </w:r>
      <w:r w:rsidRPr="0066546F">
        <w:t xml:space="preserve">issing </w:t>
      </w:r>
      <w:r w:rsidRPr="00055C7C">
        <w:t>m</w:t>
      </w:r>
      <w:r w:rsidRPr="0066546F">
        <w:t>igrants</w:t>
      </w:r>
      <w:r w:rsidRPr="00055C7C">
        <w:t>”.</w:t>
      </w:r>
    </w:p>
  </w:footnote>
  <w:footnote w:id="103">
    <w:p w14:paraId="398B02D9" w14:textId="15FC9E48"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Pr>
          <w:rFonts w:cstheme="minorHAnsi"/>
          <w:szCs w:val="18"/>
        </w:rPr>
        <w:tab/>
      </w:r>
      <w:hyperlink r:id="rId125" w:history="1">
        <w:r w:rsidRPr="00DB3692">
          <w:rPr>
            <w:rStyle w:val="Hyperlink"/>
          </w:rPr>
          <w:t>CED/C/GRC/CO/1</w:t>
        </w:r>
      </w:hyperlink>
      <w:r w:rsidRPr="005D193A">
        <w:rPr>
          <w:rFonts w:cstheme="minorHAnsi"/>
          <w:szCs w:val="18"/>
        </w:rPr>
        <w:t xml:space="preserve">, </w:t>
      </w:r>
      <w:r w:rsidRPr="007354CB">
        <w:rPr>
          <w:rFonts w:cstheme="minorHAnsi"/>
          <w:szCs w:val="18"/>
        </w:rPr>
        <w:t>para</w:t>
      </w:r>
      <w:r>
        <w:rPr>
          <w:rFonts w:cstheme="minorHAnsi"/>
          <w:szCs w:val="18"/>
        </w:rPr>
        <w:t>.</w:t>
      </w:r>
      <w:r w:rsidRPr="007354CB">
        <w:rPr>
          <w:rFonts w:cstheme="minorHAnsi"/>
          <w:szCs w:val="18"/>
        </w:rPr>
        <w:t xml:space="preserve"> 27 (e); </w:t>
      </w:r>
      <w:r>
        <w:rPr>
          <w:rFonts w:cstheme="minorHAnsi"/>
          <w:szCs w:val="18"/>
        </w:rPr>
        <w:t>and</w:t>
      </w:r>
      <w:r w:rsidRPr="0012699F">
        <w:rPr>
          <w:rFonts w:cstheme="minorHAnsi"/>
          <w:szCs w:val="18"/>
        </w:rPr>
        <w:t xml:space="preserve"> </w:t>
      </w:r>
      <w:hyperlink r:id="rId126" w:history="1">
        <w:r w:rsidRPr="00DB3692">
          <w:rPr>
            <w:rStyle w:val="Hyperlink"/>
          </w:rPr>
          <w:t>CED/C/HND/CO/1</w:t>
        </w:r>
      </w:hyperlink>
      <w:r w:rsidRPr="0012699F">
        <w:rPr>
          <w:rFonts w:cstheme="minorHAnsi"/>
          <w:szCs w:val="18"/>
        </w:rPr>
        <w:t xml:space="preserve">, </w:t>
      </w:r>
      <w:r w:rsidRPr="007354CB">
        <w:rPr>
          <w:rFonts w:cstheme="minorHAnsi"/>
          <w:szCs w:val="18"/>
        </w:rPr>
        <w:t>para</w:t>
      </w:r>
      <w:r>
        <w:rPr>
          <w:rFonts w:cstheme="minorHAnsi"/>
          <w:szCs w:val="18"/>
        </w:rPr>
        <w:t>.</w:t>
      </w:r>
      <w:r w:rsidRPr="007354CB">
        <w:rPr>
          <w:rFonts w:cstheme="minorHAnsi"/>
          <w:szCs w:val="18"/>
        </w:rPr>
        <w:t xml:space="preserve"> 25 (c).</w:t>
      </w:r>
    </w:p>
  </w:footnote>
  <w:footnote w:id="104">
    <w:p w14:paraId="24F91899" w14:textId="77777777" w:rsidR="00DB3692" w:rsidRPr="00DF6C5D" w:rsidRDefault="00DB3692" w:rsidP="00CB0813">
      <w:pPr>
        <w:pStyle w:val="FootnoteText"/>
      </w:pPr>
      <w:r w:rsidRPr="007354CB">
        <w:tab/>
      </w:r>
      <w:r w:rsidRPr="009662BA">
        <w:rPr>
          <w:rStyle w:val="FootnoteReference"/>
        </w:rPr>
        <w:footnoteRef/>
      </w:r>
      <w:r>
        <w:tab/>
      </w:r>
      <w:r w:rsidRPr="0012699F">
        <w:t>Border Violence Monitoring Network, “EU Member States’ use of new technologies</w:t>
      </w:r>
      <w:r w:rsidRPr="00DF6C5D">
        <w:t>”, paras. 16–28.</w:t>
      </w:r>
    </w:p>
  </w:footnote>
  <w:footnote w:id="105">
    <w:p w14:paraId="0331704A" w14:textId="52CCC661" w:rsidR="00DB3692" w:rsidRPr="007354CB" w:rsidRDefault="00DB3692" w:rsidP="00CB0813">
      <w:pPr>
        <w:pStyle w:val="FootnoteText"/>
      </w:pPr>
      <w:r w:rsidRPr="007354CB">
        <w:tab/>
      </w:r>
      <w:r w:rsidRPr="009662BA">
        <w:rPr>
          <w:rStyle w:val="FootnoteReference"/>
        </w:rPr>
        <w:footnoteRef/>
      </w:r>
      <w:r>
        <w:tab/>
      </w:r>
      <w:hyperlink r:id="rId127" w:history="1">
        <w:r w:rsidRPr="00DB3692">
          <w:rPr>
            <w:rStyle w:val="Hyperlink"/>
          </w:rPr>
          <w:t>A/HRC/36/39/Add.2</w:t>
        </w:r>
      </w:hyperlink>
      <w:r w:rsidRPr="00272E2E">
        <w:t>, para. 69;</w:t>
      </w:r>
      <w:r w:rsidRPr="007354CB">
        <w:t xml:space="preserve"> </w:t>
      </w:r>
      <w:r>
        <w:t xml:space="preserve">Melanie </w:t>
      </w:r>
      <w:r w:rsidRPr="007354CB">
        <w:t xml:space="preserve">Klinkner and </w:t>
      </w:r>
      <w:r>
        <w:t xml:space="preserve">Ellie </w:t>
      </w:r>
      <w:r w:rsidRPr="007354CB">
        <w:t xml:space="preserve">Smith, </w:t>
      </w:r>
      <w:r w:rsidRPr="0066546F">
        <w:rPr>
          <w:i/>
          <w:iCs/>
        </w:rPr>
        <w:t>The Bournemouth Protocol on Mass Grave Protection and Investigation</w:t>
      </w:r>
      <w:r w:rsidRPr="007354CB">
        <w:t xml:space="preserve"> </w:t>
      </w:r>
      <w:r>
        <w:t xml:space="preserve">(Bournemouth, </w:t>
      </w:r>
      <w:r w:rsidRPr="007354CB">
        <w:t xml:space="preserve">Bournemouth University, </w:t>
      </w:r>
      <w:r>
        <w:t>2020)</w:t>
      </w:r>
      <w:r w:rsidRPr="007354CB">
        <w:t xml:space="preserve">; </w:t>
      </w:r>
      <w:r>
        <w:t xml:space="preserve">and </w:t>
      </w:r>
      <w:r w:rsidRPr="007354CB">
        <w:t xml:space="preserve">International Commission on Missing Persons, </w:t>
      </w:r>
      <w:r>
        <w:t>“</w:t>
      </w:r>
      <w:r w:rsidRPr="007354CB">
        <w:t xml:space="preserve">Investigatory </w:t>
      </w:r>
      <w:r>
        <w:t>s</w:t>
      </w:r>
      <w:r w:rsidRPr="007354CB">
        <w:t>tandards</w:t>
      </w:r>
      <w:r>
        <w:t>”</w:t>
      </w:r>
      <w:r w:rsidRPr="00A26624">
        <w:t>.</w:t>
      </w:r>
    </w:p>
  </w:footnote>
  <w:footnote w:id="106">
    <w:p w14:paraId="1AAD7E08" w14:textId="14E35893" w:rsidR="00DB3692" w:rsidRPr="007354CB" w:rsidRDefault="00DB3692" w:rsidP="00CB0813">
      <w:pPr>
        <w:pStyle w:val="FootnoteText"/>
      </w:pPr>
      <w:r w:rsidRPr="007354CB">
        <w:tab/>
      </w:r>
      <w:r w:rsidRPr="009662BA">
        <w:rPr>
          <w:rStyle w:val="FootnoteReference"/>
        </w:rPr>
        <w:footnoteRef/>
      </w:r>
      <w:r>
        <w:tab/>
      </w:r>
      <w:hyperlink r:id="rId128" w:history="1">
        <w:r w:rsidRPr="00DB3692">
          <w:rPr>
            <w:rStyle w:val="Hyperlink"/>
          </w:rPr>
          <w:t>CED/C/GRC/CO/1</w:t>
        </w:r>
      </w:hyperlink>
      <w:r w:rsidRPr="00353056">
        <w:t xml:space="preserve">, </w:t>
      </w:r>
      <w:r w:rsidRPr="007354CB">
        <w:t>para</w:t>
      </w:r>
      <w:r>
        <w:t>.</w:t>
      </w:r>
      <w:r w:rsidRPr="007354CB">
        <w:t xml:space="preserve"> 27 (d)</w:t>
      </w:r>
      <w:r>
        <w:t>.</w:t>
      </w:r>
      <w:r w:rsidRPr="007354CB">
        <w:t xml:space="preserve"> </w:t>
      </w:r>
      <w:r>
        <w:t>S</w:t>
      </w:r>
      <w:r w:rsidRPr="007354CB">
        <w:t xml:space="preserve">ee also </w:t>
      </w:r>
      <w:r w:rsidRPr="007354CB">
        <w:rPr>
          <w:rFonts w:eastAsiaTheme="minorEastAsia"/>
        </w:rPr>
        <w:t>International Commission on Missing Persons</w:t>
      </w:r>
      <w:r>
        <w:rPr>
          <w:rFonts w:eastAsiaTheme="minorEastAsia"/>
        </w:rPr>
        <w:t>,</w:t>
      </w:r>
      <w:r>
        <w:t xml:space="preserve"> </w:t>
      </w:r>
      <w:r w:rsidRPr="007354CB">
        <w:rPr>
          <w:i/>
          <w:iCs/>
        </w:rPr>
        <w:t xml:space="preserve">The Missing: An Agenda for the </w:t>
      </w:r>
      <w:r w:rsidRPr="0029409C">
        <w:rPr>
          <w:i/>
          <w:iCs/>
        </w:rPr>
        <w:t>Future</w:t>
      </w:r>
      <w:r w:rsidRPr="0066546F">
        <w:rPr>
          <w:i/>
          <w:iCs/>
        </w:rPr>
        <w:t xml:space="preserve"> – Conference Report</w:t>
      </w:r>
      <w:r>
        <w:t xml:space="preserve"> (The Hague, 2014)</w:t>
      </w:r>
      <w:r w:rsidRPr="007354CB">
        <w:rPr>
          <w:rStyle w:val="Hyperlink"/>
          <w:rFonts w:cstheme="minorHAnsi"/>
          <w:szCs w:val="18"/>
        </w:rPr>
        <w:t>.</w:t>
      </w:r>
    </w:p>
  </w:footnote>
  <w:footnote w:id="107">
    <w:p w14:paraId="0CC8C6C3" w14:textId="1CAF66F9"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r>
        <w:rPr>
          <w:rFonts w:cstheme="minorHAnsi"/>
          <w:szCs w:val="18"/>
        </w:rPr>
        <w:t>See also</w:t>
      </w:r>
      <w:r w:rsidRPr="007354CB">
        <w:rPr>
          <w:rFonts w:cstheme="minorHAnsi"/>
          <w:szCs w:val="18"/>
        </w:rPr>
        <w:t xml:space="preserve"> Declaration on the Protection of all Persons from Enforced Disappearance</w:t>
      </w:r>
      <w:r>
        <w:rPr>
          <w:rFonts w:cstheme="minorHAnsi"/>
          <w:szCs w:val="18"/>
        </w:rPr>
        <w:t>,</w:t>
      </w:r>
      <w:r w:rsidRPr="007354CB">
        <w:rPr>
          <w:rFonts w:cstheme="minorHAnsi"/>
          <w:szCs w:val="18"/>
        </w:rPr>
        <w:t xml:space="preserve"> art. 19; </w:t>
      </w:r>
      <w:hyperlink r:id="rId129" w:history="1">
        <w:r w:rsidRPr="00DB3692">
          <w:rPr>
            <w:rStyle w:val="Hyperlink"/>
          </w:rPr>
          <w:t>E/CN.4/1998/43</w:t>
        </w:r>
      </w:hyperlink>
      <w:r w:rsidRPr="007354CB">
        <w:rPr>
          <w:rFonts w:cstheme="minorHAnsi"/>
          <w:szCs w:val="18"/>
        </w:rPr>
        <w:t>, paras</w:t>
      </w:r>
      <w:r>
        <w:rPr>
          <w:rFonts w:cstheme="minorHAnsi"/>
          <w:szCs w:val="18"/>
        </w:rPr>
        <w:t>.</w:t>
      </w:r>
      <w:r w:rsidRPr="007354CB">
        <w:rPr>
          <w:rFonts w:cstheme="minorHAnsi"/>
          <w:szCs w:val="18"/>
        </w:rPr>
        <w:t xml:space="preserve"> 68</w:t>
      </w:r>
      <w:r>
        <w:rPr>
          <w:rFonts w:cstheme="minorHAnsi"/>
          <w:szCs w:val="18"/>
        </w:rPr>
        <w:t>–</w:t>
      </w:r>
      <w:r w:rsidRPr="007354CB">
        <w:rPr>
          <w:rFonts w:cstheme="minorHAnsi"/>
          <w:szCs w:val="18"/>
        </w:rPr>
        <w:t xml:space="preserve">75; </w:t>
      </w:r>
      <w:hyperlink r:id="rId130" w:history="1">
        <w:r w:rsidRPr="00DB3692">
          <w:rPr>
            <w:rStyle w:val="Hyperlink"/>
          </w:rPr>
          <w:t>CED/C/JPN/CO/1</w:t>
        </w:r>
      </w:hyperlink>
      <w:r w:rsidRPr="0032553D">
        <w:rPr>
          <w:rFonts w:cstheme="minorHAnsi"/>
          <w:szCs w:val="18"/>
        </w:rPr>
        <w:t>,</w:t>
      </w:r>
      <w:r w:rsidRPr="007354CB">
        <w:rPr>
          <w:rFonts w:cstheme="minorHAnsi"/>
          <w:szCs w:val="18"/>
        </w:rPr>
        <w:t xml:space="preserve"> paras</w:t>
      </w:r>
      <w:r>
        <w:rPr>
          <w:rFonts w:cstheme="minorHAnsi"/>
          <w:szCs w:val="18"/>
        </w:rPr>
        <w:t>.</w:t>
      </w:r>
      <w:r w:rsidRPr="007354CB">
        <w:rPr>
          <w:rFonts w:cstheme="minorHAnsi"/>
          <w:szCs w:val="18"/>
        </w:rPr>
        <w:t xml:space="preserve"> 25</w:t>
      </w:r>
      <w:r>
        <w:rPr>
          <w:rFonts w:cstheme="minorHAnsi"/>
          <w:szCs w:val="18"/>
        </w:rPr>
        <w:t xml:space="preserve">, </w:t>
      </w:r>
      <w:r w:rsidRPr="007354CB">
        <w:rPr>
          <w:rFonts w:cstheme="minorHAnsi"/>
          <w:szCs w:val="18"/>
        </w:rPr>
        <w:t>26</w:t>
      </w:r>
      <w:r>
        <w:rPr>
          <w:rFonts w:cstheme="minorHAnsi"/>
          <w:szCs w:val="18"/>
        </w:rPr>
        <w:t xml:space="preserve"> and</w:t>
      </w:r>
      <w:r w:rsidRPr="007354CB">
        <w:rPr>
          <w:rFonts w:cstheme="minorHAnsi"/>
          <w:szCs w:val="18"/>
        </w:rPr>
        <w:t xml:space="preserve"> 40; </w:t>
      </w:r>
      <w:hyperlink r:id="rId131" w:history="1">
        <w:r w:rsidRPr="00DB3692">
          <w:rPr>
            <w:rStyle w:val="Hyperlink"/>
          </w:rPr>
          <w:t>CCPR/C/MEX/CO/5</w:t>
        </w:r>
      </w:hyperlink>
      <w:r w:rsidRPr="007354CB">
        <w:rPr>
          <w:rFonts w:cstheme="minorHAnsi"/>
          <w:szCs w:val="18"/>
        </w:rPr>
        <w:t>, para</w:t>
      </w:r>
      <w:r>
        <w:rPr>
          <w:rFonts w:cstheme="minorHAnsi"/>
          <w:szCs w:val="18"/>
        </w:rPr>
        <w:t>.</w:t>
      </w:r>
      <w:r w:rsidR="00B738A7">
        <w:rPr>
          <w:rFonts w:cstheme="minorHAnsi"/>
          <w:szCs w:val="18"/>
        </w:rPr>
        <w:t> </w:t>
      </w:r>
      <w:r w:rsidRPr="007354CB">
        <w:rPr>
          <w:rFonts w:cstheme="minorHAnsi"/>
          <w:szCs w:val="18"/>
        </w:rPr>
        <w:t xml:space="preserve">12; </w:t>
      </w:r>
      <w:r>
        <w:rPr>
          <w:rFonts w:cstheme="minorHAnsi"/>
          <w:szCs w:val="18"/>
        </w:rPr>
        <w:t>and</w:t>
      </w:r>
      <w:r w:rsidRPr="007354CB">
        <w:rPr>
          <w:rFonts w:cstheme="minorHAnsi"/>
          <w:szCs w:val="18"/>
        </w:rPr>
        <w:t xml:space="preserve"> </w:t>
      </w:r>
      <w:hyperlink r:id="rId132" w:history="1">
        <w:r w:rsidRPr="00DB3692">
          <w:rPr>
            <w:rStyle w:val="Hyperlink"/>
          </w:rPr>
          <w:t>CCPR/C/MEX/CO/6</w:t>
        </w:r>
      </w:hyperlink>
      <w:r w:rsidRPr="007354CB">
        <w:rPr>
          <w:rFonts w:cstheme="minorHAnsi"/>
          <w:szCs w:val="18"/>
        </w:rPr>
        <w:t>, paras</w:t>
      </w:r>
      <w:r>
        <w:rPr>
          <w:rFonts w:cstheme="minorHAnsi"/>
          <w:szCs w:val="18"/>
        </w:rPr>
        <w:t>.</w:t>
      </w:r>
      <w:r w:rsidRPr="007354CB">
        <w:rPr>
          <w:rFonts w:cstheme="minorHAnsi"/>
          <w:szCs w:val="18"/>
        </w:rPr>
        <w:t xml:space="preserve"> 29 and 33.</w:t>
      </w:r>
    </w:p>
  </w:footnote>
  <w:footnote w:id="108">
    <w:p w14:paraId="0D7DE6C2" w14:textId="3FA72676"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Pr>
          <w:rFonts w:cstheme="minorHAnsi"/>
          <w:szCs w:val="18"/>
        </w:rPr>
        <w:tab/>
      </w:r>
      <w:hyperlink r:id="rId133" w:history="1">
        <w:r w:rsidRPr="00DB3692">
          <w:rPr>
            <w:rStyle w:val="Hyperlink"/>
          </w:rPr>
          <w:t>CED/C/MEX/VR/1</w:t>
        </w:r>
      </w:hyperlink>
      <w:r w:rsidRPr="00A260F4">
        <w:t xml:space="preserve"> (Recommendations)</w:t>
      </w:r>
      <w:r w:rsidRPr="00FF16D4">
        <w:rPr>
          <w:rFonts w:cstheme="minorHAnsi"/>
          <w:szCs w:val="18"/>
        </w:rPr>
        <w:t>, para. 47.</w:t>
      </w:r>
    </w:p>
  </w:footnote>
  <w:footnote w:id="109">
    <w:p w14:paraId="320A51A1" w14:textId="70C9B101" w:rsidR="00DB3692" w:rsidRPr="004814A5"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Pr>
          <w:rFonts w:cstheme="minorHAnsi"/>
          <w:szCs w:val="18"/>
        </w:rPr>
        <w:tab/>
      </w:r>
      <w:hyperlink r:id="rId134" w:history="1">
        <w:r w:rsidRPr="00DB3692">
          <w:rPr>
            <w:rStyle w:val="Hyperlink"/>
          </w:rPr>
          <w:t>CED/C/HND/CO/1</w:t>
        </w:r>
      </w:hyperlink>
      <w:r w:rsidRPr="006534EE">
        <w:rPr>
          <w:rFonts w:cstheme="minorHAnsi"/>
          <w:szCs w:val="18"/>
        </w:rPr>
        <w:t>,</w:t>
      </w:r>
      <w:r w:rsidRPr="007354CB">
        <w:rPr>
          <w:rFonts w:cstheme="minorHAnsi"/>
          <w:szCs w:val="18"/>
        </w:rPr>
        <w:t xml:space="preserve"> para. 29; </w:t>
      </w:r>
      <w:hyperlink r:id="rId135" w:history="1">
        <w:r w:rsidRPr="00DB3692">
          <w:rPr>
            <w:rStyle w:val="Hyperlink"/>
          </w:rPr>
          <w:t>CED/C/PAN/CO/1</w:t>
        </w:r>
      </w:hyperlink>
      <w:r w:rsidRPr="007354CB">
        <w:rPr>
          <w:rFonts w:cstheme="minorHAnsi"/>
          <w:szCs w:val="18"/>
        </w:rPr>
        <w:t>, para</w:t>
      </w:r>
      <w:r>
        <w:rPr>
          <w:rFonts w:cstheme="minorHAnsi"/>
          <w:szCs w:val="18"/>
        </w:rPr>
        <w:t>.</w:t>
      </w:r>
      <w:r w:rsidRPr="007354CB">
        <w:rPr>
          <w:rFonts w:cstheme="minorHAnsi"/>
          <w:szCs w:val="18"/>
        </w:rPr>
        <w:t xml:space="preserve"> 13; </w:t>
      </w:r>
      <w:r>
        <w:rPr>
          <w:rFonts w:cstheme="minorHAnsi"/>
          <w:szCs w:val="18"/>
        </w:rPr>
        <w:t>and</w:t>
      </w:r>
      <w:r w:rsidRPr="007354CB">
        <w:rPr>
          <w:rFonts w:cstheme="minorHAnsi"/>
          <w:szCs w:val="18"/>
        </w:rPr>
        <w:t xml:space="preserve"> </w:t>
      </w:r>
      <w:hyperlink r:id="rId136" w:history="1">
        <w:r w:rsidRPr="00DB3692">
          <w:rPr>
            <w:rStyle w:val="Hyperlink"/>
          </w:rPr>
          <w:t>CED/C/15/3</w:t>
        </w:r>
      </w:hyperlink>
      <w:r w:rsidRPr="007354CB">
        <w:rPr>
          <w:rFonts w:cstheme="minorHAnsi"/>
          <w:szCs w:val="18"/>
        </w:rPr>
        <w:t>, para</w:t>
      </w:r>
      <w:r>
        <w:rPr>
          <w:rFonts w:cstheme="minorHAnsi"/>
          <w:szCs w:val="18"/>
        </w:rPr>
        <w:t>.</w:t>
      </w:r>
      <w:r w:rsidRPr="007354CB">
        <w:rPr>
          <w:rFonts w:cstheme="minorHAnsi"/>
          <w:szCs w:val="18"/>
        </w:rPr>
        <w:t xml:space="preserve"> 12. </w:t>
      </w:r>
      <w:r w:rsidRPr="004814A5">
        <w:rPr>
          <w:rFonts w:cstheme="minorHAnsi"/>
          <w:szCs w:val="18"/>
        </w:rPr>
        <w:t>See also</w:t>
      </w:r>
      <w:r w:rsidRPr="00A260F4">
        <w:rPr>
          <w:rFonts w:cstheme="minorHAnsi"/>
          <w:szCs w:val="18"/>
        </w:rPr>
        <w:t xml:space="preserve"> </w:t>
      </w:r>
      <w:hyperlink r:id="rId137" w:history="1">
        <w:r w:rsidRPr="00DB3692">
          <w:rPr>
            <w:rStyle w:val="Hyperlink"/>
            <w:rFonts w:cstheme="minorHAnsi"/>
            <w:szCs w:val="18"/>
          </w:rPr>
          <w:t>A/HRC/54/22/Add.5</w:t>
        </w:r>
      </w:hyperlink>
      <w:r w:rsidRPr="004814A5">
        <w:t>.</w:t>
      </w:r>
    </w:p>
  </w:footnote>
  <w:footnote w:id="110">
    <w:p w14:paraId="50EA6D52" w14:textId="460DA8B1" w:rsidR="00DB3692" w:rsidRPr="00593E00" w:rsidRDefault="00DB3692" w:rsidP="00CB0813">
      <w:pPr>
        <w:pStyle w:val="FootnoteText"/>
      </w:pPr>
      <w:r w:rsidRPr="004814A5">
        <w:tab/>
      </w:r>
      <w:r w:rsidRPr="004814A5">
        <w:rPr>
          <w:rStyle w:val="FootnoteReference"/>
        </w:rPr>
        <w:footnoteRef/>
      </w:r>
      <w:r w:rsidRPr="004814A5">
        <w:tab/>
      </w:r>
      <w:hyperlink r:id="rId138" w:history="1">
        <w:r w:rsidRPr="00DB3692">
          <w:rPr>
            <w:rStyle w:val="Hyperlink"/>
          </w:rPr>
          <w:t>CED/C/GAB/CO/1</w:t>
        </w:r>
      </w:hyperlink>
      <w:r w:rsidRPr="004814A5">
        <w:t>, para. 19. See also</w:t>
      </w:r>
      <w:r>
        <w:t xml:space="preserve"> the </w:t>
      </w:r>
      <w:r w:rsidRPr="00593E00">
        <w:t>Protocol to Prevent, Suppress and Punish Trafficking in Persons, Especially Women and Children, supplementing the United Nations Convention against Transnational Organized Crime</w:t>
      </w:r>
      <w:r>
        <w:t xml:space="preserve">; and </w:t>
      </w:r>
      <w:r w:rsidRPr="004814A5">
        <w:t>Committee on the Elimination of Discrimination against Women</w:t>
      </w:r>
      <w:r w:rsidRPr="00593E00">
        <w:t>, general recommendation No. 38 (2020).</w:t>
      </w:r>
    </w:p>
  </w:footnote>
  <w:footnote w:id="111">
    <w:p w14:paraId="4C70C8D7" w14:textId="02CB10A6" w:rsidR="00DB3692" w:rsidRPr="00A260F4" w:rsidRDefault="00DB3692" w:rsidP="00CB0813">
      <w:pPr>
        <w:pStyle w:val="FootnoteText"/>
        <w:rPr>
          <w:rFonts w:cstheme="minorHAnsi"/>
          <w:szCs w:val="18"/>
          <w:lang w:val="es-EC"/>
        </w:rPr>
      </w:pPr>
      <w:r w:rsidRPr="00593E00">
        <w:rPr>
          <w:rFonts w:cstheme="minorHAnsi"/>
          <w:szCs w:val="18"/>
        </w:rPr>
        <w:tab/>
      </w:r>
      <w:r w:rsidRPr="009662BA">
        <w:rPr>
          <w:rStyle w:val="FootnoteReference"/>
        </w:rPr>
        <w:footnoteRef/>
      </w:r>
      <w:r w:rsidRPr="00A260F4">
        <w:rPr>
          <w:rFonts w:cstheme="minorHAnsi"/>
          <w:szCs w:val="18"/>
          <w:lang w:val="es-EC"/>
        </w:rPr>
        <w:tab/>
        <w:t xml:space="preserve">See </w:t>
      </w:r>
      <w:hyperlink r:id="rId139" w:history="1">
        <w:r w:rsidRPr="00DB3692">
          <w:rPr>
            <w:rStyle w:val="Hyperlink"/>
            <w:lang w:val="es-EC"/>
          </w:rPr>
          <w:t>CED/C/9</w:t>
        </w:r>
      </w:hyperlink>
      <w:r w:rsidRPr="00A260F4">
        <w:rPr>
          <w:rFonts w:cstheme="minorHAnsi"/>
          <w:szCs w:val="18"/>
          <w:lang w:val="es-EC"/>
        </w:rPr>
        <w:t>.</w:t>
      </w:r>
    </w:p>
  </w:footnote>
  <w:footnote w:id="112">
    <w:p w14:paraId="1DD5C915" w14:textId="150D6B24" w:rsidR="00DB3692" w:rsidRPr="007A5A91" w:rsidRDefault="00DB3692" w:rsidP="00CB0813">
      <w:pPr>
        <w:pStyle w:val="FootnoteText"/>
        <w:rPr>
          <w:lang w:val="es-ES"/>
        </w:rPr>
      </w:pPr>
      <w:r w:rsidRPr="00A260F4">
        <w:rPr>
          <w:lang w:val="es-EC"/>
        </w:rPr>
        <w:tab/>
      </w:r>
      <w:r w:rsidRPr="009662BA">
        <w:rPr>
          <w:rStyle w:val="FootnoteReference"/>
        </w:rPr>
        <w:footnoteRef/>
      </w:r>
      <w:r w:rsidRPr="00A260F4">
        <w:rPr>
          <w:lang w:val="es-EC"/>
        </w:rPr>
        <w:tab/>
      </w:r>
      <w:r w:rsidRPr="007A5A91">
        <w:rPr>
          <w:lang w:val="es-ES"/>
        </w:rPr>
        <w:t>Equipo de Estudios Comunitarios y Acción Psicosocial, Normas Mínimas desde la Perspectiva Psicosocial para los Procesos de Búsqueda de Personas Migrantes Desaparecidas: Mesa de Discusión en Centroamérica y México 2016–2019 (Guatemala City, 2019), p. 20.</w:t>
      </w:r>
    </w:p>
  </w:footnote>
  <w:footnote w:id="113">
    <w:p w14:paraId="2D8FF077" w14:textId="2CC25116" w:rsidR="00DB3692" w:rsidRPr="007354CB" w:rsidRDefault="00DB3692" w:rsidP="00CB0813">
      <w:pPr>
        <w:pStyle w:val="FootnoteText"/>
        <w:rPr>
          <w:rFonts w:cstheme="minorHAnsi"/>
          <w:szCs w:val="18"/>
        </w:rPr>
      </w:pPr>
      <w:r w:rsidRPr="00A260F4">
        <w:rPr>
          <w:rFonts w:cstheme="minorHAnsi"/>
          <w:szCs w:val="18"/>
          <w:lang w:val="es-ES"/>
        </w:rPr>
        <w:tab/>
      </w:r>
      <w:r w:rsidRPr="009662BA">
        <w:rPr>
          <w:rStyle w:val="FootnoteReference"/>
        </w:rPr>
        <w:footnoteRef/>
      </w:r>
      <w:r w:rsidRPr="00A260F4">
        <w:rPr>
          <w:rFonts w:cstheme="minorHAnsi"/>
          <w:szCs w:val="18"/>
          <w:lang w:val="es-ES"/>
        </w:rPr>
        <w:tab/>
      </w:r>
      <w:hyperlink r:id="rId140" w:history="1">
        <w:r w:rsidRPr="00DB3692">
          <w:rPr>
            <w:rStyle w:val="Hyperlink"/>
            <w:lang w:val="es-ES"/>
          </w:rPr>
          <w:t>A/73/178/Rev.1</w:t>
        </w:r>
      </w:hyperlink>
      <w:r w:rsidRPr="00A260F4">
        <w:rPr>
          <w:rFonts w:cstheme="minorHAnsi"/>
          <w:szCs w:val="18"/>
          <w:lang w:val="es-ES"/>
        </w:rPr>
        <w:t xml:space="preserve">, para. 51; </w:t>
      </w:r>
      <w:hyperlink r:id="rId141" w:history="1">
        <w:r w:rsidRPr="00DB3692">
          <w:rPr>
            <w:rStyle w:val="Hyperlink"/>
            <w:lang w:val="es-ES"/>
          </w:rPr>
          <w:t>CED/C/MEX/CO/1</w:t>
        </w:r>
      </w:hyperlink>
      <w:r w:rsidRPr="00A260F4">
        <w:rPr>
          <w:rFonts w:cstheme="minorHAnsi"/>
          <w:szCs w:val="18"/>
          <w:lang w:val="es-ES"/>
        </w:rPr>
        <w:t xml:space="preserve">, paras. </w:t>
      </w:r>
      <w:r w:rsidRPr="007C3147">
        <w:rPr>
          <w:rFonts w:cstheme="minorHAnsi"/>
          <w:szCs w:val="18"/>
        </w:rPr>
        <w:t>23</w:t>
      </w:r>
      <w:r>
        <w:rPr>
          <w:rFonts w:cstheme="minorHAnsi"/>
          <w:szCs w:val="18"/>
        </w:rPr>
        <w:t xml:space="preserve"> and </w:t>
      </w:r>
      <w:r w:rsidRPr="007C3147">
        <w:rPr>
          <w:rFonts w:cstheme="minorHAnsi"/>
          <w:szCs w:val="18"/>
        </w:rPr>
        <w:t xml:space="preserve">24; </w:t>
      </w:r>
      <w:r>
        <w:rPr>
          <w:rFonts w:cstheme="minorHAnsi"/>
          <w:szCs w:val="18"/>
        </w:rPr>
        <w:t>and</w:t>
      </w:r>
      <w:r w:rsidRPr="007C3147">
        <w:rPr>
          <w:rFonts w:cstheme="minorHAnsi"/>
          <w:szCs w:val="18"/>
        </w:rPr>
        <w:t xml:space="preserve"> </w:t>
      </w:r>
      <w:hyperlink r:id="rId142" w:history="1">
        <w:r w:rsidRPr="00DB3692">
          <w:rPr>
            <w:rStyle w:val="Hyperlink"/>
          </w:rPr>
          <w:t>CED/C/HND/CO/1</w:t>
        </w:r>
      </w:hyperlink>
      <w:r w:rsidRPr="007354CB">
        <w:rPr>
          <w:rFonts w:cstheme="minorHAnsi"/>
          <w:szCs w:val="18"/>
        </w:rPr>
        <w:t>, para</w:t>
      </w:r>
      <w:r>
        <w:rPr>
          <w:rFonts w:cstheme="minorHAnsi"/>
          <w:szCs w:val="18"/>
        </w:rPr>
        <w:t>s.</w:t>
      </w:r>
      <w:r w:rsidRPr="007354CB">
        <w:rPr>
          <w:rFonts w:cstheme="minorHAnsi"/>
          <w:szCs w:val="18"/>
        </w:rPr>
        <w:t xml:space="preserve"> 28</w:t>
      </w:r>
      <w:r>
        <w:rPr>
          <w:rFonts w:cstheme="minorHAnsi"/>
          <w:szCs w:val="18"/>
        </w:rPr>
        <w:t xml:space="preserve"> and 29</w:t>
      </w:r>
      <w:r w:rsidRPr="007354CB">
        <w:rPr>
          <w:rFonts w:cstheme="minorHAnsi"/>
          <w:szCs w:val="18"/>
        </w:rPr>
        <w:t>.</w:t>
      </w:r>
    </w:p>
  </w:footnote>
  <w:footnote w:id="114">
    <w:p w14:paraId="0608C3CD" w14:textId="36365353"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r>
        <w:rPr>
          <w:rFonts w:cstheme="minorHAnsi"/>
          <w:szCs w:val="18"/>
        </w:rPr>
        <w:t>See articles 14 and 15 of the</w:t>
      </w:r>
      <w:r w:rsidRPr="007354CB">
        <w:rPr>
          <w:rFonts w:cstheme="minorHAnsi"/>
          <w:szCs w:val="18"/>
        </w:rPr>
        <w:t xml:space="preserve"> Convention</w:t>
      </w:r>
      <w:r>
        <w:rPr>
          <w:rFonts w:cstheme="minorHAnsi"/>
          <w:szCs w:val="18"/>
        </w:rPr>
        <w:t>.</w:t>
      </w:r>
      <w:r w:rsidRPr="007354CB">
        <w:rPr>
          <w:rFonts w:cstheme="minorHAnsi"/>
          <w:szCs w:val="18"/>
        </w:rPr>
        <w:t xml:space="preserve"> </w:t>
      </w:r>
      <w:r>
        <w:rPr>
          <w:rFonts w:cstheme="minorHAnsi"/>
          <w:szCs w:val="18"/>
        </w:rPr>
        <w:t xml:space="preserve">See also </w:t>
      </w:r>
      <w:hyperlink r:id="rId143" w:history="1">
        <w:r w:rsidRPr="00DB3692">
          <w:rPr>
            <w:rStyle w:val="Hyperlink"/>
          </w:rPr>
          <w:t>CED/C/19/2</w:t>
        </w:r>
      </w:hyperlink>
      <w:r w:rsidRPr="00BA0046">
        <w:rPr>
          <w:rFonts w:cstheme="minorHAnsi"/>
          <w:szCs w:val="18"/>
        </w:rPr>
        <w:t>, para. 14;</w:t>
      </w:r>
      <w:r w:rsidRPr="007354CB">
        <w:rPr>
          <w:rFonts w:eastAsia="Calibri" w:cstheme="minorHAnsi"/>
          <w:szCs w:val="18"/>
        </w:rPr>
        <w:t xml:space="preserve"> </w:t>
      </w:r>
      <w:hyperlink r:id="rId144" w:history="1">
        <w:r w:rsidRPr="00DB3692">
          <w:rPr>
            <w:rStyle w:val="Hyperlink"/>
          </w:rPr>
          <w:t>CED/C/AUT/CO/1</w:t>
        </w:r>
      </w:hyperlink>
      <w:r w:rsidRPr="007354CB">
        <w:rPr>
          <w:rFonts w:cstheme="minorHAnsi"/>
          <w:szCs w:val="18"/>
        </w:rPr>
        <w:t>, para</w:t>
      </w:r>
      <w:r>
        <w:rPr>
          <w:rFonts w:cstheme="minorHAnsi"/>
          <w:szCs w:val="18"/>
        </w:rPr>
        <w:t>.</w:t>
      </w:r>
      <w:r w:rsidR="006157E3">
        <w:rPr>
          <w:rFonts w:cstheme="minorHAnsi"/>
          <w:szCs w:val="18"/>
        </w:rPr>
        <w:t> </w:t>
      </w:r>
      <w:r w:rsidRPr="007354CB">
        <w:rPr>
          <w:rFonts w:cstheme="minorHAnsi"/>
          <w:szCs w:val="18"/>
        </w:rPr>
        <w:t xml:space="preserve">17; </w:t>
      </w:r>
      <w:r>
        <w:rPr>
          <w:rFonts w:cstheme="minorHAnsi"/>
          <w:szCs w:val="18"/>
        </w:rPr>
        <w:t>and</w:t>
      </w:r>
      <w:r w:rsidRPr="007354CB">
        <w:rPr>
          <w:rFonts w:cstheme="minorHAnsi"/>
          <w:szCs w:val="18"/>
        </w:rPr>
        <w:t xml:space="preserve"> </w:t>
      </w:r>
      <w:hyperlink r:id="rId145" w:history="1">
        <w:r w:rsidRPr="00DB3692">
          <w:rPr>
            <w:rStyle w:val="Hyperlink"/>
          </w:rPr>
          <w:t>CED/C/JPN/CO/1</w:t>
        </w:r>
      </w:hyperlink>
      <w:r w:rsidRPr="00901EEB">
        <w:rPr>
          <w:rFonts w:cstheme="minorHAnsi"/>
          <w:szCs w:val="18"/>
        </w:rPr>
        <w:t xml:space="preserve">, </w:t>
      </w:r>
      <w:r w:rsidRPr="007354CB">
        <w:rPr>
          <w:rFonts w:cstheme="minorHAnsi"/>
          <w:szCs w:val="18"/>
        </w:rPr>
        <w:t>para</w:t>
      </w:r>
      <w:r>
        <w:rPr>
          <w:rFonts w:cstheme="minorHAnsi"/>
          <w:szCs w:val="18"/>
        </w:rPr>
        <w:t>s.</w:t>
      </w:r>
      <w:r w:rsidRPr="007354CB">
        <w:rPr>
          <w:rFonts w:cstheme="minorHAnsi"/>
          <w:szCs w:val="18"/>
        </w:rPr>
        <w:t xml:space="preserve"> 27</w:t>
      </w:r>
      <w:r>
        <w:rPr>
          <w:rFonts w:cstheme="minorHAnsi"/>
          <w:szCs w:val="18"/>
        </w:rPr>
        <w:t xml:space="preserve"> and </w:t>
      </w:r>
      <w:r w:rsidRPr="007354CB">
        <w:rPr>
          <w:rFonts w:cstheme="minorHAnsi"/>
          <w:szCs w:val="18"/>
        </w:rPr>
        <w:t>28.</w:t>
      </w:r>
    </w:p>
  </w:footnote>
  <w:footnote w:id="115">
    <w:p w14:paraId="194C364A" w14:textId="05EE52A1" w:rsidR="00DB3692" w:rsidRDefault="00DB3692" w:rsidP="00CB0813">
      <w:pPr>
        <w:pStyle w:val="FootnoteText"/>
      </w:pPr>
      <w:r>
        <w:tab/>
      </w:r>
      <w:r>
        <w:rPr>
          <w:rStyle w:val="FootnoteReference"/>
        </w:rPr>
        <w:footnoteRef/>
      </w:r>
      <w:r>
        <w:tab/>
      </w:r>
      <w:r w:rsidRPr="007630A7">
        <w:t>Guiding Principles for the Search for Disappeared Persons</w:t>
      </w:r>
      <w:r>
        <w:t xml:space="preserve">, </w:t>
      </w:r>
      <w:r>
        <w:rPr>
          <w:szCs w:val="18"/>
        </w:rPr>
        <w:t>p</w:t>
      </w:r>
      <w:r w:rsidRPr="005236CE">
        <w:rPr>
          <w:szCs w:val="18"/>
        </w:rPr>
        <w:t>rinciple 2 (4).</w:t>
      </w:r>
    </w:p>
  </w:footnote>
  <w:footnote w:id="116">
    <w:p w14:paraId="1BCB6BCF" w14:textId="77777777" w:rsidR="00DB3692" w:rsidRPr="007354CB" w:rsidRDefault="00DB3692" w:rsidP="00CB0813">
      <w:pPr>
        <w:pStyle w:val="FootnoteText"/>
      </w:pPr>
      <w:r w:rsidRPr="007354CB">
        <w:rPr>
          <w:rFonts w:asciiTheme="minorHAnsi" w:hAnsiTheme="minorHAnsi" w:cstheme="minorHAnsi"/>
          <w:szCs w:val="18"/>
        </w:rPr>
        <w:tab/>
      </w:r>
      <w:r w:rsidRPr="009662BA">
        <w:rPr>
          <w:rStyle w:val="FootnoteReference"/>
        </w:rPr>
        <w:footnoteRef/>
      </w:r>
      <w:r>
        <w:rPr>
          <w:rFonts w:asciiTheme="minorHAnsi" w:hAnsiTheme="minorHAnsi" w:cstheme="minorHAnsi"/>
          <w:szCs w:val="18"/>
        </w:rPr>
        <w:tab/>
      </w:r>
      <w:r w:rsidRPr="007354CB">
        <w:t xml:space="preserve">Regional Conference on Migration, </w:t>
      </w:r>
      <w:r>
        <w:t>“</w:t>
      </w:r>
      <w:r w:rsidRPr="007354CB">
        <w:t xml:space="preserve">Recommendations on </w:t>
      </w:r>
      <w:r>
        <w:t>r</w:t>
      </w:r>
      <w:r w:rsidRPr="007354CB">
        <w:t xml:space="preserve">egional </w:t>
      </w:r>
      <w:r>
        <w:t>c</w:t>
      </w:r>
      <w:r w:rsidRPr="007354CB">
        <w:t xml:space="preserve">oordination and </w:t>
      </w:r>
      <w:r>
        <w:t>i</w:t>
      </w:r>
      <w:r w:rsidRPr="007354CB">
        <w:t xml:space="preserve">nformation </w:t>
      </w:r>
      <w:r>
        <w:t>e</w:t>
      </w:r>
      <w:r w:rsidRPr="007354CB">
        <w:t xml:space="preserve">xchange </w:t>
      </w:r>
      <w:r>
        <w:t>m</w:t>
      </w:r>
      <w:r w:rsidRPr="007354CB">
        <w:t xml:space="preserve">echanisms in the search for </w:t>
      </w:r>
      <w:r>
        <w:t>m</w:t>
      </w:r>
      <w:r w:rsidRPr="007354CB">
        <w:t xml:space="preserve">issing </w:t>
      </w:r>
      <w:r>
        <w:t>p</w:t>
      </w:r>
      <w:r w:rsidRPr="007354CB">
        <w:t xml:space="preserve">ersons in the </w:t>
      </w:r>
      <w:r>
        <w:t>c</w:t>
      </w:r>
      <w:r w:rsidRPr="007354CB">
        <w:t xml:space="preserve">ontext of </w:t>
      </w:r>
      <w:r>
        <w:t>m</w:t>
      </w:r>
      <w:r w:rsidRPr="007354CB">
        <w:t>igration</w:t>
      </w:r>
      <w:r>
        <w:t>”</w:t>
      </w:r>
      <w:r w:rsidRPr="007354CB">
        <w:t xml:space="preserve"> </w:t>
      </w:r>
      <w:r>
        <w:t xml:space="preserve">(2022), </w:t>
      </w:r>
      <w:r w:rsidRPr="00DF3BD6">
        <w:t>p. 18:</w:t>
      </w:r>
      <w:r w:rsidRPr="007354CB">
        <w:rPr>
          <w:rStyle w:val="Hyperlink"/>
          <w:rFonts w:cstheme="minorHAnsi"/>
          <w:szCs w:val="18"/>
        </w:rPr>
        <w:t xml:space="preserve"> </w:t>
      </w:r>
      <w:r w:rsidRPr="007354CB">
        <w:t xml:space="preserve">“Consular missions, together with relevant authorities from the country where the person disappeared, are responsible for conducting a search for the person reported as missing. To this end, they should establish a network for immediate communication with prosecution authorities, detention centers, shelters, other consular missions, hospitals, communities of migrants abroad, </w:t>
      </w:r>
      <w:proofErr w:type="gramStart"/>
      <w:r w:rsidRPr="007354CB">
        <w:t>etc.</w:t>
      </w:r>
      <w:proofErr w:type="gramEnd"/>
      <w:r w:rsidRPr="007354CB">
        <w:t xml:space="preserve"> in order to activate the search. In addition, it is important to continue with the </w:t>
      </w:r>
      <w:proofErr w:type="gramStart"/>
      <w:r w:rsidRPr="007354CB">
        <w:t>proactive</w:t>
      </w:r>
      <w:proofErr w:type="gramEnd"/>
      <w:r w:rsidRPr="007354CB">
        <w:t xml:space="preserve"> practice of maintaining contact with the instances described above to be able to identify cases that have not been reported at their consular offices.</w:t>
      </w:r>
      <w:r>
        <w:t>” A</w:t>
      </w:r>
      <w:r w:rsidRPr="007354CB">
        <w:t xml:space="preserve">vailable at </w:t>
      </w:r>
      <w:r w:rsidRPr="00A260F4">
        <w:t>https://temas.crmsv.org/sites/default/files/Documentos%20Files/chld8_recomendaciones_</w:t>
      </w:r>
      <w:r w:rsidRPr="00A260F4">
        <w:br/>
        <w:t>busqueda_de_personas_desaparecidas_en_el_contexto_migratorio_eng_0.pdf</w:t>
      </w:r>
      <w:r>
        <w:rPr>
          <w:rStyle w:val="Hyperlink"/>
          <w:rFonts w:cstheme="minorHAnsi"/>
          <w:szCs w:val="18"/>
        </w:rPr>
        <w:t>.</w:t>
      </w:r>
    </w:p>
  </w:footnote>
  <w:footnote w:id="117">
    <w:p w14:paraId="65F39D25" w14:textId="3A4F65E8"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Pr>
          <w:rFonts w:cstheme="minorHAnsi"/>
          <w:szCs w:val="18"/>
        </w:rPr>
        <w:tab/>
      </w:r>
      <w:hyperlink r:id="rId146" w:history="1">
        <w:r w:rsidRPr="00DB3692">
          <w:rPr>
            <w:rStyle w:val="Hyperlink"/>
          </w:rPr>
          <w:t>CED/C/MEX/VR/1</w:t>
        </w:r>
      </w:hyperlink>
      <w:r w:rsidRPr="005E6FF7">
        <w:rPr>
          <w:rFonts w:cstheme="minorHAnsi"/>
          <w:szCs w:val="18"/>
        </w:rPr>
        <w:t xml:space="preserve"> (Recommendations), para. 52.</w:t>
      </w:r>
    </w:p>
  </w:footnote>
  <w:footnote w:id="118">
    <w:p w14:paraId="4DE07014" w14:textId="069FF120" w:rsidR="00DB3692" w:rsidRPr="007354CB" w:rsidRDefault="00DB3692" w:rsidP="00CB0813">
      <w:pPr>
        <w:pStyle w:val="FootnoteText"/>
        <w:rPr>
          <w:rFonts w:cstheme="minorHAnsi"/>
          <w:szCs w:val="18"/>
        </w:rPr>
      </w:pPr>
      <w:r w:rsidRPr="007354CB">
        <w:rPr>
          <w:rFonts w:cstheme="minorHAnsi"/>
          <w:szCs w:val="18"/>
        </w:rPr>
        <w:tab/>
      </w:r>
      <w:r w:rsidRPr="009662BA">
        <w:rPr>
          <w:rStyle w:val="FootnoteReference"/>
        </w:rPr>
        <w:footnoteRef/>
      </w:r>
      <w:r w:rsidRPr="007354CB">
        <w:rPr>
          <w:rFonts w:cstheme="minorHAnsi"/>
          <w:szCs w:val="18"/>
        </w:rPr>
        <w:tab/>
      </w:r>
      <w:r w:rsidRPr="00367323">
        <w:rPr>
          <w:rFonts w:cstheme="minorHAnsi"/>
          <w:szCs w:val="18"/>
        </w:rPr>
        <w:t>Guiding Principles for the Search for Disappeared Persons</w:t>
      </w:r>
      <w:r w:rsidRPr="007354CB">
        <w:rPr>
          <w:rFonts w:cstheme="minorHAnsi"/>
          <w:szCs w:val="18"/>
        </w:rPr>
        <w:t xml:space="preserve">, </w:t>
      </w:r>
      <w:r>
        <w:rPr>
          <w:rFonts w:cstheme="minorHAnsi"/>
          <w:szCs w:val="18"/>
        </w:rPr>
        <w:t>p</w:t>
      </w:r>
      <w:r w:rsidRPr="007354CB">
        <w:rPr>
          <w:rFonts w:cstheme="minorHAnsi"/>
          <w:szCs w:val="18"/>
        </w:rPr>
        <w:t>rinciple</w:t>
      </w:r>
      <w:r>
        <w:rPr>
          <w:rFonts w:cstheme="minorHAnsi"/>
          <w:szCs w:val="18"/>
        </w:rPr>
        <w:t>s</w:t>
      </w:r>
      <w:r w:rsidRPr="007354CB">
        <w:rPr>
          <w:rFonts w:cstheme="minorHAnsi"/>
          <w:szCs w:val="18"/>
        </w:rPr>
        <w:t xml:space="preserve"> 9 </w:t>
      </w:r>
      <w:r>
        <w:rPr>
          <w:rFonts w:cstheme="minorHAnsi"/>
          <w:szCs w:val="18"/>
        </w:rPr>
        <w:t>(</w:t>
      </w:r>
      <w:r w:rsidRPr="007354CB">
        <w:rPr>
          <w:rFonts w:cstheme="minorHAnsi"/>
          <w:szCs w:val="18"/>
        </w:rPr>
        <w:t>3</w:t>
      </w:r>
      <w:r>
        <w:rPr>
          <w:rFonts w:cstheme="minorHAnsi"/>
          <w:szCs w:val="18"/>
        </w:rPr>
        <w:t>) and (</w:t>
      </w:r>
      <w:r w:rsidRPr="007354CB">
        <w:rPr>
          <w:rFonts w:cstheme="minorHAnsi"/>
          <w:szCs w:val="18"/>
        </w:rPr>
        <w:t>4</w:t>
      </w:r>
      <w:r>
        <w:rPr>
          <w:rFonts w:cstheme="minorHAnsi"/>
          <w:szCs w:val="18"/>
        </w:rPr>
        <w:t>)</w:t>
      </w:r>
      <w:r w:rsidRPr="007354CB">
        <w:rPr>
          <w:rFonts w:cstheme="minorHAnsi"/>
          <w:szCs w:val="18"/>
        </w:rPr>
        <w:t xml:space="preserve">, 11 and 12; </w:t>
      </w:r>
      <w:hyperlink r:id="rId147" w:history="1">
        <w:r w:rsidRPr="00DB3692">
          <w:rPr>
            <w:rStyle w:val="Hyperlink"/>
          </w:rPr>
          <w:t>CED/C/MNE/CO/1</w:t>
        </w:r>
      </w:hyperlink>
      <w:r w:rsidRPr="007354CB">
        <w:rPr>
          <w:rFonts w:cstheme="minorHAnsi"/>
          <w:szCs w:val="18"/>
        </w:rPr>
        <w:t>, paras</w:t>
      </w:r>
      <w:r>
        <w:rPr>
          <w:rFonts w:cstheme="minorHAnsi"/>
          <w:szCs w:val="18"/>
        </w:rPr>
        <w:t>.</w:t>
      </w:r>
      <w:r w:rsidRPr="007354CB">
        <w:rPr>
          <w:rFonts w:cstheme="minorHAnsi"/>
          <w:szCs w:val="18"/>
        </w:rPr>
        <w:t xml:space="preserve"> 12</w:t>
      </w:r>
      <w:r>
        <w:rPr>
          <w:rFonts w:cstheme="minorHAnsi"/>
          <w:szCs w:val="18"/>
        </w:rPr>
        <w:t>–</w:t>
      </w:r>
      <w:r w:rsidRPr="007354CB">
        <w:rPr>
          <w:rFonts w:cstheme="minorHAnsi"/>
          <w:szCs w:val="18"/>
        </w:rPr>
        <w:t xml:space="preserve">15; </w:t>
      </w:r>
      <w:r>
        <w:rPr>
          <w:rFonts w:cstheme="minorHAnsi"/>
          <w:szCs w:val="18"/>
        </w:rPr>
        <w:t>and</w:t>
      </w:r>
      <w:r w:rsidRPr="007354CB">
        <w:rPr>
          <w:rFonts w:cstheme="minorHAnsi"/>
          <w:szCs w:val="18"/>
        </w:rPr>
        <w:t xml:space="preserve"> </w:t>
      </w:r>
      <w:hyperlink r:id="rId148" w:history="1">
        <w:r w:rsidRPr="00DB3692">
          <w:rPr>
            <w:rStyle w:val="Hyperlink"/>
          </w:rPr>
          <w:t>CED/C/ITA/CO/1</w:t>
        </w:r>
      </w:hyperlink>
      <w:r w:rsidRPr="007354CB">
        <w:rPr>
          <w:rFonts w:cstheme="minorHAnsi"/>
          <w:szCs w:val="18"/>
        </w:rPr>
        <w:t>, paras</w:t>
      </w:r>
      <w:r>
        <w:rPr>
          <w:rFonts w:cstheme="minorHAnsi"/>
          <w:szCs w:val="18"/>
        </w:rPr>
        <w:t>.</w:t>
      </w:r>
      <w:r w:rsidRPr="007354CB">
        <w:rPr>
          <w:rFonts w:cstheme="minorHAnsi"/>
          <w:szCs w:val="18"/>
        </w:rPr>
        <w:t xml:space="preserve"> 24</w:t>
      </w:r>
      <w:r>
        <w:rPr>
          <w:rFonts w:cstheme="minorHAnsi"/>
          <w:szCs w:val="18"/>
        </w:rPr>
        <w:t xml:space="preserve"> and </w:t>
      </w:r>
      <w:r w:rsidRPr="007354CB">
        <w:rPr>
          <w:rFonts w:cstheme="minorHAnsi"/>
          <w:szCs w:val="18"/>
        </w:rPr>
        <w:t>25.</w:t>
      </w:r>
    </w:p>
  </w:footnote>
  <w:footnote w:id="119">
    <w:p w14:paraId="36388EBA" w14:textId="77777777" w:rsidR="00DB3692" w:rsidRPr="007354CB" w:rsidRDefault="00DB3692" w:rsidP="00CB0813">
      <w:pPr>
        <w:pStyle w:val="FootnoteText"/>
      </w:pPr>
      <w:r w:rsidRPr="007354CB">
        <w:tab/>
      </w:r>
      <w:r w:rsidRPr="009662BA">
        <w:rPr>
          <w:rStyle w:val="FootnoteReference"/>
        </w:rPr>
        <w:footnoteRef/>
      </w:r>
      <w:r w:rsidRPr="007354CB">
        <w:tab/>
      </w:r>
      <w:r w:rsidRPr="00461D31">
        <w:t xml:space="preserve">Global Compact for Safe, Orderly and Regular Migration, </w:t>
      </w:r>
      <w:r w:rsidRPr="001E7FF0">
        <w:t>objective 8 (d). Se</w:t>
      </w:r>
      <w:r>
        <w:t>e also, f</w:t>
      </w:r>
      <w:r w:rsidRPr="007354CB">
        <w:t xml:space="preserve">or example, </w:t>
      </w:r>
      <w:r w:rsidRPr="00A57D34">
        <w:t>ICRC, “</w:t>
      </w:r>
      <w:r w:rsidRPr="0066546F">
        <w:t>Guidelines on coordination and information-exchange mechanisms for the search for missing migrants”</w:t>
      </w:r>
      <w:r w:rsidRPr="00774E2D">
        <w:t xml:space="preserve">. </w:t>
      </w:r>
    </w:p>
  </w:footnote>
  <w:footnote w:id="120">
    <w:p w14:paraId="32C838C8" w14:textId="77777777" w:rsidR="00DB3692" w:rsidRPr="007354CB" w:rsidRDefault="00DB3692" w:rsidP="00CB0813">
      <w:pPr>
        <w:pStyle w:val="FootnoteText"/>
      </w:pPr>
      <w:r w:rsidRPr="007354CB">
        <w:tab/>
      </w:r>
      <w:r w:rsidRPr="009662BA">
        <w:rPr>
          <w:rStyle w:val="FootnoteReference"/>
        </w:rPr>
        <w:footnoteRef/>
      </w:r>
      <w:r w:rsidRPr="007354CB">
        <w:tab/>
      </w:r>
      <w:r w:rsidRPr="0066705B">
        <w:t>ICRC</w:t>
      </w:r>
      <w:r w:rsidRPr="007354CB">
        <w:t xml:space="preserve">, </w:t>
      </w:r>
      <w:r>
        <w:t>“</w:t>
      </w:r>
      <w:r w:rsidRPr="0066546F">
        <w:t xml:space="preserve">Guidelines on </w:t>
      </w:r>
      <w:r>
        <w:t>c</w:t>
      </w:r>
      <w:r w:rsidRPr="0066546F">
        <w:t xml:space="preserve">oordination and </w:t>
      </w:r>
      <w:r>
        <w:t>i</w:t>
      </w:r>
      <w:r w:rsidRPr="0066546F">
        <w:t>nformation-</w:t>
      </w:r>
      <w:r>
        <w:t>e</w:t>
      </w:r>
      <w:r w:rsidRPr="0066546F">
        <w:t xml:space="preserve">xchange </w:t>
      </w:r>
      <w:r>
        <w:t>m</w:t>
      </w:r>
      <w:r w:rsidRPr="0066546F">
        <w:t xml:space="preserve">echanisms for the </w:t>
      </w:r>
      <w:r>
        <w:t>s</w:t>
      </w:r>
      <w:r w:rsidRPr="0066546F">
        <w:t xml:space="preserve">earch for </w:t>
      </w:r>
      <w:r>
        <w:t>m</w:t>
      </w:r>
      <w:r w:rsidRPr="0066546F">
        <w:t xml:space="preserve">issing </w:t>
      </w:r>
      <w:r>
        <w:t>m</w:t>
      </w:r>
      <w:r w:rsidRPr="0066546F">
        <w:t>igrants”</w:t>
      </w:r>
      <w:r w:rsidRPr="007354CB">
        <w:t xml:space="preserve">; </w:t>
      </w:r>
      <w:r w:rsidRPr="00A0306A">
        <w:t>and Regional Conference on Migration, “Recommendations on regional coordination and information exchange mechanisms in the search for missing persons in the context of migration”. The latter recommendations</w:t>
      </w:r>
      <w:r w:rsidRPr="007354CB">
        <w:t xml:space="preserve"> are aimed at supporting </w:t>
      </w:r>
      <w:r>
        <w:t>States m</w:t>
      </w:r>
      <w:r w:rsidRPr="007354CB">
        <w:t>ember</w:t>
      </w:r>
      <w:r>
        <w:t>s</w:t>
      </w:r>
      <w:r w:rsidRPr="007354CB">
        <w:t xml:space="preserve"> </w:t>
      </w:r>
      <w:r>
        <w:t>of the Regional Conference on Migration</w:t>
      </w:r>
      <w:r w:rsidRPr="007354CB">
        <w:t xml:space="preserve"> </w:t>
      </w:r>
      <w:r>
        <w:t>to</w:t>
      </w:r>
      <w:r w:rsidRPr="007354CB">
        <w:t xml:space="preserve"> optimi</w:t>
      </w:r>
      <w:r>
        <w:t>ze</w:t>
      </w:r>
      <w:r w:rsidRPr="007354CB">
        <w:t xml:space="preserve"> existing mechanisms for information exchange as a means of facilitating the search for disappeared migrants. They </w:t>
      </w:r>
      <w:r>
        <w:t>include</w:t>
      </w:r>
      <w:r w:rsidRPr="007354CB">
        <w:t xml:space="preserve"> a set of criteria for the exchange of information</w:t>
      </w:r>
      <w:r>
        <w:t xml:space="preserve"> and </w:t>
      </w:r>
      <w:r w:rsidRPr="007354CB">
        <w:t>standardization</w:t>
      </w:r>
      <w:r>
        <w:t xml:space="preserve"> of processes</w:t>
      </w:r>
      <w:r w:rsidRPr="007354CB">
        <w:t xml:space="preserve">, including criteria </w:t>
      </w:r>
      <w:r>
        <w:t>on</w:t>
      </w:r>
      <w:r w:rsidRPr="007354CB">
        <w:t xml:space="preserve"> the collection of data from </w:t>
      </w:r>
      <w:r>
        <w:t>relatives</w:t>
      </w:r>
      <w:r w:rsidRPr="007354CB">
        <w:t xml:space="preserve"> of disappeared persons, the forensic documentation of unidentified deceased persons, national databases, and data protection (pp.</w:t>
      </w:r>
      <w:r>
        <w:t xml:space="preserve"> </w:t>
      </w:r>
      <w:r w:rsidRPr="007354CB">
        <w:t>8</w:t>
      </w:r>
      <w:r>
        <w:t>–</w:t>
      </w:r>
      <w:r w:rsidRPr="007354CB">
        <w:t xml:space="preserve">10). </w:t>
      </w:r>
      <w:r>
        <w:t>S</w:t>
      </w:r>
      <w:r w:rsidRPr="007354CB">
        <w:t xml:space="preserve">pecific recommendations </w:t>
      </w:r>
      <w:r>
        <w:t>relate to</w:t>
      </w:r>
      <w:r w:rsidRPr="007354CB">
        <w:t xml:space="preserve"> existing information</w:t>
      </w:r>
      <w:r>
        <w:t>-</w:t>
      </w:r>
      <w:r w:rsidRPr="007354CB">
        <w:t>exchange</w:t>
      </w:r>
      <w:r>
        <w:t xml:space="preserve"> mechanisms</w:t>
      </w:r>
      <w:r w:rsidRPr="007354CB">
        <w:t xml:space="preserve"> in the region (</w:t>
      </w:r>
      <w:r>
        <w:t>Mexico, United States of America and</w:t>
      </w:r>
      <w:r w:rsidRPr="007354CB">
        <w:t xml:space="preserve"> Central America</w:t>
      </w:r>
      <w:r>
        <w:t>;</w:t>
      </w:r>
      <w:r w:rsidRPr="007354CB">
        <w:t xml:space="preserve"> pp.</w:t>
      </w:r>
      <w:r>
        <w:t xml:space="preserve"> </w:t>
      </w:r>
      <w:r w:rsidRPr="007354CB">
        <w:t>11</w:t>
      </w:r>
      <w:r>
        <w:t>–</w:t>
      </w:r>
      <w:r w:rsidRPr="007354CB">
        <w:t>17) and</w:t>
      </w:r>
      <w:r>
        <w:t xml:space="preserve"> to</w:t>
      </w:r>
      <w:r w:rsidRPr="007354CB">
        <w:t xml:space="preserve"> the role of consular authorities and ministries of foreign affairs in the search for disappeared migrants.</w:t>
      </w:r>
    </w:p>
  </w:footnote>
  <w:footnote w:id="121">
    <w:p w14:paraId="463727DF" w14:textId="730EAFAF" w:rsidR="00DB3692" w:rsidRPr="007354CB" w:rsidRDefault="00DB3692" w:rsidP="00CB0813">
      <w:pPr>
        <w:pStyle w:val="FootnoteText"/>
      </w:pPr>
      <w:r w:rsidRPr="007354CB">
        <w:tab/>
      </w:r>
      <w:r w:rsidRPr="009662BA">
        <w:rPr>
          <w:rStyle w:val="FootnoteReference"/>
        </w:rPr>
        <w:footnoteRef/>
      </w:r>
      <w:r w:rsidRPr="007354CB">
        <w:tab/>
      </w:r>
      <w:r w:rsidRPr="00D27F19">
        <w:t>Working Group on Enforced or Involuntary Disappearances</w:t>
      </w:r>
      <w:r>
        <w:t>,</w:t>
      </w:r>
      <w:r w:rsidRPr="007354CB">
        <w:t xml:space="preserve"> </w:t>
      </w:r>
      <w:r>
        <w:t>g</w:t>
      </w:r>
      <w:r w:rsidRPr="007354CB">
        <w:t xml:space="preserve">eneral </w:t>
      </w:r>
      <w:r>
        <w:t>c</w:t>
      </w:r>
      <w:r w:rsidRPr="007354CB">
        <w:t>omment on the right to the truth in relation to enforced disappearance</w:t>
      </w:r>
      <w:r>
        <w:t xml:space="preserve"> (2010), para. 9;</w:t>
      </w:r>
      <w:r w:rsidRPr="007354CB">
        <w:t xml:space="preserve"> </w:t>
      </w:r>
      <w:r>
        <w:t>u</w:t>
      </w:r>
      <w:r w:rsidRPr="007354CB">
        <w:t xml:space="preserve">pdated </w:t>
      </w:r>
      <w:r>
        <w:t>s</w:t>
      </w:r>
      <w:r w:rsidRPr="007354CB">
        <w:t>et of principles for the protection and promotion of human rights through action to combat impunity</w:t>
      </w:r>
      <w:r w:rsidRPr="00BE1E1F">
        <w:t xml:space="preserve">, principles 16 and 17; </w:t>
      </w:r>
      <w:r w:rsidRPr="007630A7">
        <w:t>Guiding Principles for the Search for Disappeared Persons</w:t>
      </w:r>
      <w:r w:rsidRPr="007354CB">
        <w:t xml:space="preserve">, </w:t>
      </w:r>
      <w:r>
        <w:t>p</w:t>
      </w:r>
      <w:r w:rsidRPr="007354CB">
        <w:t>rinciple</w:t>
      </w:r>
      <w:r>
        <w:t>s</w:t>
      </w:r>
      <w:r w:rsidRPr="007354CB">
        <w:t xml:space="preserve"> 11 and 12</w:t>
      </w:r>
      <w:r>
        <w:t xml:space="preserve">; and </w:t>
      </w:r>
      <w:hyperlink r:id="rId149" w:history="1">
        <w:r w:rsidRPr="00DB3692">
          <w:rPr>
            <w:rStyle w:val="Hyperlink"/>
          </w:rPr>
          <w:t>CED/C/GAB/CO/1</w:t>
        </w:r>
      </w:hyperlink>
      <w:r w:rsidRPr="00BE1E1F">
        <w:t>, paras. 19</w:t>
      </w:r>
      <w:r>
        <w:t xml:space="preserve"> and </w:t>
      </w:r>
      <w:r w:rsidRPr="00BE1E1F">
        <w:t>20</w:t>
      </w:r>
      <w:r w:rsidRPr="007354CB">
        <w:t>.</w:t>
      </w:r>
    </w:p>
  </w:footnote>
  <w:footnote w:id="122">
    <w:p w14:paraId="4D018056" w14:textId="77777777" w:rsidR="00DB3692" w:rsidRPr="00336F05" w:rsidRDefault="00DB3692" w:rsidP="00CB0813">
      <w:pPr>
        <w:pStyle w:val="FootnoteText"/>
      </w:pPr>
      <w:r w:rsidRPr="007354CB">
        <w:tab/>
      </w:r>
      <w:r w:rsidRPr="009662BA">
        <w:rPr>
          <w:rStyle w:val="FootnoteReference"/>
        </w:rPr>
        <w:footnoteRef/>
      </w:r>
      <w:r w:rsidRPr="007354CB">
        <w:tab/>
      </w:r>
      <w:r>
        <w:t>For example, the</w:t>
      </w:r>
      <w:r w:rsidRPr="007354CB">
        <w:t xml:space="preserve"> </w:t>
      </w:r>
      <w:r w:rsidRPr="00A260F4">
        <w:t>Mecanismo de Apoyo Exterior</w:t>
      </w:r>
      <w:r w:rsidRPr="00FA5E7F">
        <w:t>,</w:t>
      </w:r>
      <w:r w:rsidRPr="007354CB">
        <w:t xml:space="preserve"> </w:t>
      </w:r>
      <w:r>
        <w:t>the m</w:t>
      </w:r>
      <w:r w:rsidRPr="007354CB">
        <w:t xml:space="preserve">echanism for </w:t>
      </w:r>
      <w:r>
        <w:t>Mexican</w:t>
      </w:r>
      <w:r w:rsidRPr="007354CB">
        <w:t xml:space="preserve"> </w:t>
      </w:r>
      <w:r>
        <w:t>s</w:t>
      </w:r>
      <w:r w:rsidRPr="007354CB">
        <w:t>upport</w:t>
      </w:r>
      <w:r>
        <w:t xml:space="preserve"> abroad in search and investigation activities,</w:t>
      </w:r>
      <w:r w:rsidRPr="007354CB">
        <w:t xml:space="preserve"> between Mexico </w:t>
      </w:r>
      <w:r>
        <w:t>and States in</w:t>
      </w:r>
      <w:r w:rsidRPr="007354CB">
        <w:t xml:space="preserve"> Central America.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FF2B" w14:textId="77777777" w:rsidR="00DB3692" w:rsidRDefault="00DB3692" w:rsidP="00DB3692">
    <w:pPr>
      <w:pStyle w:val="Header"/>
    </w:pPr>
    <w:r>
      <w:t>CED/C/GC/1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AEEE" w14:textId="77777777" w:rsidR="00DB3692" w:rsidRDefault="00DB3692" w:rsidP="00DB3692">
    <w:pPr>
      <w:pStyle w:val="Header"/>
      <w:jc w:val="right"/>
    </w:pPr>
    <w:r>
      <w:t>CED/C/GC/1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D24A30"/>
    <w:multiLevelType w:val="hybridMultilevel"/>
    <w:tmpl w:val="2628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FEDE4EC0">
      <w:start w:val="1"/>
      <w:numFmt w:val="decimal"/>
      <w:lvlText w:val="%1."/>
      <w:lvlJc w:val="left"/>
      <w:pPr>
        <w:tabs>
          <w:tab w:val="num" w:pos="1701"/>
        </w:tabs>
        <w:ind w:left="1134" w:firstLine="0"/>
      </w:pPr>
      <w:rPr>
        <w:rFonts w:ascii="Times New Roman" w:hAnsi="Times New Roman" w:hint="default"/>
        <w:b w:val="0"/>
        <w:i w:val="0"/>
        <w:sz w:val="20"/>
      </w:rPr>
    </w:lvl>
    <w:lvl w:ilvl="1" w:tplc="9124BB22" w:tentative="1">
      <w:start w:val="1"/>
      <w:numFmt w:val="lowerLetter"/>
      <w:lvlText w:val="%2."/>
      <w:lvlJc w:val="left"/>
      <w:pPr>
        <w:tabs>
          <w:tab w:val="num" w:pos="1440"/>
        </w:tabs>
        <w:ind w:left="1440" w:hanging="360"/>
      </w:pPr>
    </w:lvl>
    <w:lvl w:ilvl="2" w:tplc="9C7CDB40" w:tentative="1">
      <w:start w:val="1"/>
      <w:numFmt w:val="lowerRoman"/>
      <w:lvlText w:val="%3."/>
      <w:lvlJc w:val="right"/>
      <w:pPr>
        <w:tabs>
          <w:tab w:val="num" w:pos="2160"/>
        </w:tabs>
        <w:ind w:left="2160" w:hanging="180"/>
      </w:pPr>
    </w:lvl>
    <w:lvl w:ilvl="3" w:tplc="D764C3B8" w:tentative="1">
      <w:start w:val="1"/>
      <w:numFmt w:val="decimal"/>
      <w:lvlText w:val="%4."/>
      <w:lvlJc w:val="left"/>
      <w:pPr>
        <w:tabs>
          <w:tab w:val="num" w:pos="2880"/>
        </w:tabs>
        <w:ind w:left="2880" w:hanging="360"/>
      </w:pPr>
    </w:lvl>
    <w:lvl w:ilvl="4" w:tplc="FFFACF18" w:tentative="1">
      <w:start w:val="1"/>
      <w:numFmt w:val="lowerLetter"/>
      <w:lvlText w:val="%5."/>
      <w:lvlJc w:val="left"/>
      <w:pPr>
        <w:tabs>
          <w:tab w:val="num" w:pos="3600"/>
        </w:tabs>
        <w:ind w:left="3600" w:hanging="360"/>
      </w:pPr>
    </w:lvl>
    <w:lvl w:ilvl="5" w:tplc="408A76C2" w:tentative="1">
      <w:start w:val="1"/>
      <w:numFmt w:val="lowerRoman"/>
      <w:lvlText w:val="%6."/>
      <w:lvlJc w:val="right"/>
      <w:pPr>
        <w:tabs>
          <w:tab w:val="num" w:pos="4320"/>
        </w:tabs>
        <w:ind w:left="4320" w:hanging="180"/>
      </w:pPr>
    </w:lvl>
    <w:lvl w:ilvl="6" w:tplc="70AE635C" w:tentative="1">
      <w:start w:val="1"/>
      <w:numFmt w:val="decimal"/>
      <w:lvlText w:val="%7."/>
      <w:lvlJc w:val="left"/>
      <w:pPr>
        <w:tabs>
          <w:tab w:val="num" w:pos="5040"/>
        </w:tabs>
        <w:ind w:left="5040" w:hanging="360"/>
      </w:pPr>
    </w:lvl>
    <w:lvl w:ilvl="7" w:tplc="161C6F3C" w:tentative="1">
      <w:start w:val="1"/>
      <w:numFmt w:val="lowerLetter"/>
      <w:lvlText w:val="%8."/>
      <w:lvlJc w:val="left"/>
      <w:pPr>
        <w:tabs>
          <w:tab w:val="num" w:pos="5760"/>
        </w:tabs>
        <w:ind w:left="5760" w:hanging="360"/>
      </w:pPr>
    </w:lvl>
    <w:lvl w:ilvl="8" w:tplc="E3E2F8DC"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4538E"/>
    <w:multiLevelType w:val="hybridMultilevel"/>
    <w:tmpl w:val="B8C26052"/>
    <w:lvl w:ilvl="0" w:tplc="EB326AA4">
      <w:start w:val="1"/>
      <w:numFmt w:val="upperRoman"/>
      <w:lvlText w:val="%1."/>
      <w:lvlJc w:val="left"/>
      <w:pPr>
        <w:ind w:left="720" w:hanging="720"/>
      </w:pPr>
      <w:rPr>
        <w:rFonts w:hint="default"/>
        <w:b/>
        <w:sz w:val="24"/>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ADBA4BF6">
      <w:start w:val="1"/>
      <w:numFmt w:val="lowerLetter"/>
      <w:lvlText w:val="%4)"/>
      <w:lvlJc w:val="left"/>
      <w:pPr>
        <w:ind w:left="1353"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CF0CC9"/>
    <w:multiLevelType w:val="hybridMultilevel"/>
    <w:tmpl w:val="64DA8386"/>
    <w:lvl w:ilvl="0" w:tplc="3EA4A694">
      <w:start w:val="1"/>
      <w:numFmt w:val="decimal"/>
      <w:lvlText w:val="%1."/>
      <w:lvlJc w:val="left"/>
      <w:pPr>
        <w:ind w:left="360" w:hanging="360"/>
      </w:pPr>
      <w:rPr>
        <w:rFonts w:asciiTheme="minorHAnsi" w:hAnsiTheme="minorHAnsi" w:cstheme="minorHAnsi" w:hint="default"/>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671"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B6C816A"/>
    <w:lvl w:ilvl="0" w:tplc="E6700B8E">
      <w:start w:val="1"/>
      <w:numFmt w:val="bullet"/>
      <w:lvlText w:val="•"/>
      <w:lvlJc w:val="left"/>
      <w:pPr>
        <w:tabs>
          <w:tab w:val="num" w:pos="2268"/>
        </w:tabs>
        <w:ind w:left="2268" w:hanging="170"/>
      </w:pPr>
      <w:rPr>
        <w:rFonts w:ascii="Times New Roman" w:hAnsi="Times New Roman" w:cs="Times New Roman" w:hint="default"/>
      </w:rPr>
    </w:lvl>
    <w:lvl w:ilvl="1" w:tplc="C0C24864" w:tentative="1">
      <w:start w:val="1"/>
      <w:numFmt w:val="bullet"/>
      <w:lvlText w:val="o"/>
      <w:lvlJc w:val="left"/>
      <w:pPr>
        <w:tabs>
          <w:tab w:val="num" w:pos="3708"/>
        </w:tabs>
        <w:ind w:left="3708" w:hanging="360"/>
      </w:pPr>
      <w:rPr>
        <w:rFonts w:ascii="Courier New" w:hAnsi="Courier New" w:hint="default"/>
      </w:rPr>
    </w:lvl>
    <w:lvl w:ilvl="2" w:tplc="9A1CB09E" w:tentative="1">
      <w:start w:val="1"/>
      <w:numFmt w:val="bullet"/>
      <w:lvlText w:val=""/>
      <w:lvlJc w:val="left"/>
      <w:pPr>
        <w:tabs>
          <w:tab w:val="num" w:pos="4428"/>
        </w:tabs>
        <w:ind w:left="4428" w:hanging="360"/>
      </w:pPr>
      <w:rPr>
        <w:rFonts w:ascii="Wingdings" w:hAnsi="Wingdings" w:hint="default"/>
      </w:rPr>
    </w:lvl>
    <w:lvl w:ilvl="3" w:tplc="268E7F06" w:tentative="1">
      <w:start w:val="1"/>
      <w:numFmt w:val="bullet"/>
      <w:lvlText w:val=""/>
      <w:lvlJc w:val="left"/>
      <w:pPr>
        <w:tabs>
          <w:tab w:val="num" w:pos="5148"/>
        </w:tabs>
        <w:ind w:left="5148" w:hanging="360"/>
      </w:pPr>
      <w:rPr>
        <w:rFonts w:ascii="Symbol" w:hAnsi="Symbol" w:hint="default"/>
      </w:rPr>
    </w:lvl>
    <w:lvl w:ilvl="4" w:tplc="97A2C9E0" w:tentative="1">
      <w:start w:val="1"/>
      <w:numFmt w:val="bullet"/>
      <w:lvlText w:val="o"/>
      <w:lvlJc w:val="left"/>
      <w:pPr>
        <w:tabs>
          <w:tab w:val="num" w:pos="5868"/>
        </w:tabs>
        <w:ind w:left="5868" w:hanging="360"/>
      </w:pPr>
      <w:rPr>
        <w:rFonts w:ascii="Courier New" w:hAnsi="Courier New" w:hint="default"/>
      </w:rPr>
    </w:lvl>
    <w:lvl w:ilvl="5" w:tplc="2DD4A748" w:tentative="1">
      <w:start w:val="1"/>
      <w:numFmt w:val="bullet"/>
      <w:lvlText w:val=""/>
      <w:lvlJc w:val="left"/>
      <w:pPr>
        <w:tabs>
          <w:tab w:val="num" w:pos="6588"/>
        </w:tabs>
        <w:ind w:left="6588" w:hanging="360"/>
      </w:pPr>
      <w:rPr>
        <w:rFonts w:ascii="Wingdings" w:hAnsi="Wingdings" w:hint="default"/>
      </w:rPr>
    </w:lvl>
    <w:lvl w:ilvl="6" w:tplc="13ECC0E4" w:tentative="1">
      <w:start w:val="1"/>
      <w:numFmt w:val="bullet"/>
      <w:lvlText w:val=""/>
      <w:lvlJc w:val="left"/>
      <w:pPr>
        <w:tabs>
          <w:tab w:val="num" w:pos="7308"/>
        </w:tabs>
        <w:ind w:left="7308" w:hanging="360"/>
      </w:pPr>
      <w:rPr>
        <w:rFonts w:ascii="Symbol" w:hAnsi="Symbol" w:hint="default"/>
      </w:rPr>
    </w:lvl>
    <w:lvl w:ilvl="7" w:tplc="6442A58E" w:tentative="1">
      <w:start w:val="1"/>
      <w:numFmt w:val="bullet"/>
      <w:lvlText w:val="o"/>
      <w:lvlJc w:val="left"/>
      <w:pPr>
        <w:tabs>
          <w:tab w:val="num" w:pos="8028"/>
        </w:tabs>
        <w:ind w:left="8028" w:hanging="360"/>
      </w:pPr>
      <w:rPr>
        <w:rFonts w:ascii="Courier New" w:hAnsi="Courier New" w:hint="default"/>
      </w:rPr>
    </w:lvl>
    <w:lvl w:ilvl="8" w:tplc="E0C6989C"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F126E5"/>
    <w:multiLevelType w:val="hybridMultilevel"/>
    <w:tmpl w:val="BF1418A0"/>
    <w:lvl w:ilvl="0" w:tplc="406E206C">
      <w:start w:val="1"/>
      <w:numFmt w:val="upperRoman"/>
      <w:lvlText w:val="%1."/>
      <w:lvlJc w:val="right"/>
      <w:pPr>
        <w:ind w:left="180" w:hanging="18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5A0E55"/>
    <w:multiLevelType w:val="hybridMultilevel"/>
    <w:tmpl w:val="44A0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4376703"/>
    <w:multiLevelType w:val="hybridMultilevel"/>
    <w:tmpl w:val="EFEE2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8AD07B2"/>
    <w:multiLevelType w:val="hybridMultilevel"/>
    <w:tmpl w:val="7FEE3222"/>
    <w:lvl w:ilvl="0" w:tplc="3C26C77E">
      <w:start w:val="1"/>
      <w:numFmt w:val="bullet"/>
      <w:lvlText w:val="•"/>
      <w:lvlJc w:val="left"/>
      <w:pPr>
        <w:tabs>
          <w:tab w:val="num" w:pos="1701"/>
        </w:tabs>
        <w:ind w:left="1701" w:hanging="170"/>
      </w:pPr>
      <w:rPr>
        <w:rFonts w:ascii="Times New Roman" w:hAnsi="Times New Roman" w:cs="Times New Roman" w:hint="default"/>
      </w:rPr>
    </w:lvl>
    <w:lvl w:ilvl="1" w:tplc="E82429BC" w:tentative="1">
      <w:start w:val="1"/>
      <w:numFmt w:val="bullet"/>
      <w:lvlText w:val="o"/>
      <w:lvlJc w:val="left"/>
      <w:pPr>
        <w:tabs>
          <w:tab w:val="num" w:pos="3141"/>
        </w:tabs>
        <w:ind w:left="3141" w:hanging="360"/>
      </w:pPr>
      <w:rPr>
        <w:rFonts w:ascii="Courier New" w:hAnsi="Courier New" w:hint="default"/>
      </w:rPr>
    </w:lvl>
    <w:lvl w:ilvl="2" w:tplc="6D90D00C" w:tentative="1">
      <w:start w:val="1"/>
      <w:numFmt w:val="bullet"/>
      <w:lvlText w:val=""/>
      <w:lvlJc w:val="left"/>
      <w:pPr>
        <w:tabs>
          <w:tab w:val="num" w:pos="3861"/>
        </w:tabs>
        <w:ind w:left="3861" w:hanging="360"/>
      </w:pPr>
      <w:rPr>
        <w:rFonts w:ascii="Wingdings" w:hAnsi="Wingdings" w:hint="default"/>
      </w:rPr>
    </w:lvl>
    <w:lvl w:ilvl="3" w:tplc="137E1B4A" w:tentative="1">
      <w:start w:val="1"/>
      <w:numFmt w:val="bullet"/>
      <w:lvlText w:val=""/>
      <w:lvlJc w:val="left"/>
      <w:pPr>
        <w:tabs>
          <w:tab w:val="num" w:pos="4581"/>
        </w:tabs>
        <w:ind w:left="4581" w:hanging="360"/>
      </w:pPr>
      <w:rPr>
        <w:rFonts w:ascii="Symbol" w:hAnsi="Symbol" w:hint="default"/>
      </w:rPr>
    </w:lvl>
    <w:lvl w:ilvl="4" w:tplc="2A2E6DF6" w:tentative="1">
      <w:start w:val="1"/>
      <w:numFmt w:val="bullet"/>
      <w:lvlText w:val="o"/>
      <w:lvlJc w:val="left"/>
      <w:pPr>
        <w:tabs>
          <w:tab w:val="num" w:pos="5301"/>
        </w:tabs>
        <w:ind w:left="5301" w:hanging="360"/>
      </w:pPr>
      <w:rPr>
        <w:rFonts w:ascii="Courier New" w:hAnsi="Courier New" w:hint="default"/>
      </w:rPr>
    </w:lvl>
    <w:lvl w:ilvl="5" w:tplc="DA00C09E" w:tentative="1">
      <w:start w:val="1"/>
      <w:numFmt w:val="bullet"/>
      <w:lvlText w:val=""/>
      <w:lvlJc w:val="left"/>
      <w:pPr>
        <w:tabs>
          <w:tab w:val="num" w:pos="6021"/>
        </w:tabs>
        <w:ind w:left="6021" w:hanging="360"/>
      </w:pPr>
      <w:rPr>
        <w:rFonts w:ascii="Wingdings" w:hAnsi="Wingdings" w:hint="default"/>
      </w:rPr>
    </w:lvl>
    <w:lvl w:ilvl="6" w:tplc="DEA2A00C" w:tentative="1">
      <w:start w:val="1"/>
      <w:numFmt w:val="bullet"/>
      <w:lvlText w:val=""/>
      <w:lvlJc w:val="left"/>
      <w:pPr>
        <w:tabs>
          <w:tab w:val="num" w:pos="6741"/>
        </w:tabs>
        <w:ind w:left="6741" w:hanging="360"/>
      </w:pPr>
      <w:rPr>
        <w:rFonts w:ascii="Symbol" w:hAnsi="Symbol" w:hint="default"/>
      </w:rPr>
    </w:lvl>
    <w:lvl w:ilvl="7" w:tplc="5B3EF532" w:tentative="1">
      <w:start w:val="1"/>
      <w:numFmt w:val="bullet"/>
      <w:lvlText w:val="o"/>
      <w:lvlJc w:val="left"/>
      <w:pPr>
        <w:tabs>
          <w:tab w:val="num" w:pos="7461"/>
        </w:tabs>
        <w:ind w:left="7461" w:hanging="360"/>
      </w:pPr>
      <w:rPr>
        <w:rFonts w:ascii="Courier New" w:hAnsi="Courier New" w:hint="default"/>
      </w:rPr>
    </w:lvl>
    <w:lvl w:ilvl="8" w:tplc="18888FEC"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BC660D2"/>
    <w:multiLevelType w:val="hybridMultilevel"/>
    <w:tmpl w:val="739E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72958085">
    <w:abstractNumId w:val="17"/>
  </w:num>
  <w:num w:numId="2" w16cid:durableId="1003094290">
    <w:abstractNumId w:val="14"/>
  </w:num>
  <w:num w:numId="3" w16cid:durableId="1123428747">
    <w:abstractNumId w:val="10"/>
  </w:num>
  <w:num w:numId="4" w16cid:durableId="328412795">
    <w:abstractNumId w:val="23"/>
  </w:num>
  <w:num w:numId="5" w16cid:durableId="375662793">
    <w:abstractNumId w:val="24"/>
  </w:num>
  <w:num w:numId="6" w16cid:durableId="1600874767">
    <w:abstractNumId w:val="28"/>
  </w:num>
  <w:num w:numId="7" w16cid:durableId="1210537053">
    <w:abstractNumId w:val="13"/>
  </w:num>
  <w:num w:numId="8" w16cid:durableId="645940885">
    <w:abstractNumId w:val="26"/>
  </w:num>
  <w:num w:numId="9" w16cid:durableId="247422911">
    <w:abstractNumId w:val="18"/>
  </w:num>
  <w:num w:numId="10" w16cid:durableId="1928079128">
    <w:abstractNumId w:val="12"/>
  </w:num>
  <w:num w:numId="11" w16cid:durableId="1967468872">
    <w:abstractNumId w:val="8"/>
  </w:num>
  <w:num w:numId="12" w16cid:durableId="1539271473">
    <w:abstractNumId w:val="3"/>
  </w:num>
  <w:num w:numId="13" w16cid:durableId="100993886">
    <w:abstractNumId w:val="2"/>
  </w:num>
  <w:num w:numId="14" w16cid:durableId="1505701963">
    <w:abstractNumId w:val="1"/>
  </w:num>
  <w:num w:numId="15" w16cid:durableId="1742827875">
    <w:abstractNumId w:val="0"/>
  </w:num>
  <w:num w:numId="16" w16cid:durableId="1089159093">
    <w:abstractNumId w:val="9"/>
  </w:num>
  <w:num w:numId="17" w16cid:durableId="1355033370">
    <w:abstractNumId w:val="7"/>
  </w:num>
  <w:num w:numId="18" w16cid:durableId="801964724">
    <w:abstractNumId w:val="6"/>
  </w:num>
  <w:num w:numId="19" w16cid:durableId="1583444776">
    <w:abstractNumId w:val="5"/>
  </w:num>
  <w:num w:numId="20" w16cid:durableId="655912646">
    <w:abstractNumId w:val="4"/>
  </w:num>
  <w:num w:numId="21" w16cid:durableId="1957178748">
    <w:abstractNumId w:val="20"/>
  </w:num>
  <w:num w:numId="22" w16cid:durableId="593244718">
    <w:abstractNumId w:val="22"/>
  </w:num>
  <w:num w:numId="23" w16cid:durableId="1167013832">
    <w:abstractNumId w:val="15"/>
  </w:num>
  <w:num w:numId="24" w16cid:durableId="787504464">
    <w:abstractNumId w:val="16"/>
  </w:num>
  <w:num w:numId="25" w16cid:durableId="110782656">
    <w:abstractNumId w:val="19"/>
  </w:num>
  <w:num w:numId="26" w16cid:durableId="16394563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6379166">
    <w:abstractNumId w:val="27"/>
  </w:num>
  <w:num w:numId="28" w16cid:durableId="1310742199">
    <w:abstractNumId w:val="11"/>
  </w:num>
  <w:num w:numId="29" w16cid:durableId="16637724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AD"/>
    <w:rsid w:val="000079B6"/>
    <w:rsid w:val="00030C37"/>
    <w:rsid w:val="0004116D"/>
    <w:rsid w:val="00046E92"/>
    <w:rsid w:val="000A17A3"/>
    <w:rsid w:val="000E4174"/>
    <w:rsid w:val="001304FB"/>
    <w:rsid w:val="00133506"/>
    <w:rsid w:val="00151FCE"/>
    <w:rsid w:val="001527C4"/>
    <w:rsid w:val="00170237"/>
    <w:rsid w:val="001727E6"/>
    <w:rsid w:val="001F27E3"/>
    <w:rsid w:val="00225EE4"/>
    <w:rsid w:val="00235203"/>
    <w:rsid w:val="00247E2C"/>
    <w:rsid w:val="0026321F"/>
    <w:rsid w:val="002A5EA3"/>
    <w:rsid w:val="002D6C53"/>
    <w:rsid w:val="002E7302"/>
    <w:rsid w:val="002F5595"/>
    <w:rsid w:val="00323851"/>
    <w:rsid w:val="00334F6A"/>
    <w:rsid w:val="00342AC8"/>
    <w:rsid w:val="00355F4A"/>
    <w:rsid w:val="0038777B"/>
    <w:rsid w:val="003B4550"/>
    <w:rsid w:val="003E0DCC"/>
    <w:rsid w:val="003F5B30"/>
    <w:rsid w:val="004172AD"/>
    <w:rsid w:val="00417C1C"/>
    <w:rsid w:val="00461253"/>
    <w:rsid w:val="00462C1F"/>
    <w:rsid w:val="005042C2"/>
    <w:rsid w:val="00557A78"/>
    <w:rsid w:val="005F40D9"/>
    <w:rsid w:val="006157E3"/>
    <w:rsid w:val="00661200"/>
    <w:rsid w:val="00671529"/>
    <w:rsid w:val="0068688C"/>
    <w:rsid w:val="00721792"/>
    <w:rsid w:val="00722CD5"/>
    <w:rsid w:val="007268F9"/>
    <w:rsid w:val="007969F8"/>
    <w:rsid w:val="007A5A91"/>
    <w:rsid w:val="007C52B0"/>
    <w:rsid w:val="007E5112"/>
    <w:rsid w:val="008359DD"/>
    <w:rsid w:val="00844774"/>
    <w:rsid w:val="008C49F2"/>
    <w:rsid w:val="009411B4"/>
    <w:rsid w:val="009723F0"/>
    <w:rsid w:val="00996267"/>
    <w:rsid w:val="009D0139"/>
    <w:rsid w:val="009F5CDC"/>
    <w:rsid w:val="00A03BBA"/>
    <w:rsid w:val="00A126AC"/>
    <w:rsid w:val="00A775CF"/>
    <w:rsid w:val="00A80F41"/>
    <w:rsid w:val="00A823EA"/>
    <w:rsid w:val="00AE4E91"/>
    <w:rsid w:val="00B06045"/>
    <w:rsid w:val="00B124B1"/>
    <w:rsid w:val="00B14D5A"/>
    <w:rsid w:val="00B33CE9"/>
    <w:rsid w:val="00B738A7"/>
    <w:rsid w:val="00B85046"/>
    <w:rsid w:val="00BB167A"/>
    <w:rsid w:val="00C35A27"/>
    <w:rsid w:val="00C538E7"/>
    <w:rsid w:val="00CB0813"/>
    <w:rsid w:val="00CC09FE"/>
    <w:rsid w:val="00CF0089"/>
    <w:rsid w:val="00CF1425"/>
    <w:rsid w:val="00D36840"/>
    <w:rsid w:val="00D65FAC"/>
    <w:rsid w:val="00D83274"/>
    <w:rsid w:val="00DB3692"/>
    <w:rsid w:val="00DB7833"/>
    <w:rsid w:val="00DF243F"/>
    <w:rsid w:val="00DF2F5D"/>
    <w:rsid w:val="00E02C2B"/>
    <w:rsid w:val="00E94B77"/>
    <w:rsid w:val="00E9579E"/>
    <w:rsid w:val="00ED6C48"/>
    <w:rsid w:val="00EE38D1"/>
    <w:rsid w:val="00EE6507"/>
    <w:rsid w:val="00EF0C90"/>
    <w:rsid w:val="00F16859"/>
    <w:rsid w:val="00F65F5D"/>
    <w:rsid w:val="00F86A3A"/>
    <w:rsid w:val="00F90709"/>
    <w:rsid w:val="00F931FD"/>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8160B"/>
  <w15:docId w15:val="{A37C7CE3-2D52-4D9C-B5E8-068B8462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9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CB0813"/>
    <w:pPr>
      <w:tabs>
        <w:tab w:val="right" w:pos="1021"/>
      </w:tabs>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rsid w:val="00CB0813"/>
    <w:rPr>
      <w:rFonts w:ascii="Times New Roman" w:hAnsi="Times New Roman" w:cs="Times New Roman"/>
      <w:sz w:val="18"/>
      <w:szCs w:val="20"/>
      <w:lang w:val="en-US"/>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DB369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semiHidden/>
    <w:rsid w:val="00DB3692"/>
    <w:rPr>
      <w:color w:val="0000FF"/>
      <w:u w:val="none"/>
    </w:rPr>
  </w:style>
  <w:style w:type="character" w:styleId="FollowedHyperlink">
    <w:name w:val="FollowedHyperlink"/>
    <w:basedOn w:val="DefaultParagraphFont"/>
    <w:semiHidden/>
    <w:rsid w:val="00DB3692"/>
    <w:rPr>
      <w:color w:val="0000FF"/>
      <w:u w:val="none"/>
    </w:rPr>
  </w:style>
  <w:style w:type="paragraph" w:styleId="Revision">
    <w:name w:val="Revision"/>
    <w:hidden/>
    <w:uiPriority w:val="99"/>
    <w:semiHidden/>
    <w:rsid w:val="00DB3692"/>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DB3692"/>
    <w:rPr>
      <w:sz w:val="16"/>
      <w:szCs w:val="16"/>
    </w:rPr>
  </w:style>
  <w:style w:type="character" w:styleId="UnresolvedMention">
    <w:name w:val="Unresolved Mention"/>
    <w:basedOn w:val="DefaultParagraphFont"/>
    <w:uiPriority w:val="99"/>
    <w:semiHidden/>
    <w:unhideWhenUsed/>
    <w:rsid w:val="00DB3692"/>
    <w:rPr>
      <w:color w:val="605E5C"/>
      <w:shd w:val="clear" w:color="auto" w:fill="E1DFDD"/>
    </w:rPr>
  </w:style>
  <w:style w:type="paragraph" w:styleId="CommentSubject">
    <w:name w:val="annotation subject"/>
    <w:basedOn w:val="Normal"/>
    <w:next w:val="Normal"/>
    <w:link w:val="CommentSubjectChar"/>
    <w:uiPriority w:val="99"/>
    <w:semiHidden/>
    <w:unhideWhenUsed/>
    <w:rsid w:val="00DB3692"/>
    <w:pPr>
      <w:spacing w:line="240" w:lineRule="auto"/>
    </w:pPr>
    <w:rPr>
      <w:b/>
      <w:bCs/>
    </w:rPr>
  </w:style>
  <w:style w:type="character" w:customStyle="1" w:styleId="CommentSubjectChar">
    <w:name w:val="Comment Subject Char"/>
    <w:basedOn w:val="DefaultParagraphFont"/>
    <w:link w:val="CommentSubject"/>
    <w:uiPriority w:val="99"/>
    <w:semiHidden/>
    <w:rsid w:val="00DB3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undocs.org/en/A/HRC/36/39/Add.2" TargetMode="External"/><Relationship Id="rId117" Type="http://schemas.openxmlformats.org/officeDocument/2006/relationships/hyperlink" Target="http://undocs.org/en/CED/C/GRC/CO/1" TargetMode="External"/><Relationship Id="rId21" Type="http://schemas.openxmlformats.org/officeDocument/2006/relationships/hyperlink" Target="http://undocs.org/en/A/HRC/36/39/Add.2" TargetMode="External"/><Relationship Id="rId42" Type="http://schemas.openxmlformats.org/officeDocument/2006/relationships/hyperlink" Target="http://undocs.org/en/A/HRC/37/50" TargetMode="External"/><Relationship Id="rId47" Type="http://schemas.openxmlformats.org/officeDocument/2006/relationships/hyperlink" Target="http://undocs.org/en/CED/C/BRA/CO/1" TargetMode="External"/><Relationship Id="rId63" Type="http://schemas.openxmlformats.org/officeDocument/2006/relationships/hyperlink" Target="http://undocs.org/en/A/HRC/36/39/Add.2" TargetMode="External"/><Relationship Id="rId68" Type="http://schemas.openxmlformats.org/officeDocument/2006/relationships/hyperlink" Target="http://undocs.org/en/CED/C/ITA/CO/1" TargetMode="External"/><Relationship Id="rId84" Type="http://schemas.openxmlformats.org/officeDocument/2006/relationships/hyperlink" Target="http://undocs.org/en/CED/C/CHE/CO/1" TargetMode="External"/><Relationship Id="rId89" Type="http://schemas.openxmlformats.org/officeDocument/2006/relationships/hyperlink" Target="http://undocs.org/en/CED/C/GRC/CO/1" TargetMode="External"/><Relationship Id="rId112" Type="http://schemas.openxmlformats.org/officeDocument/2006/relationships/hyperlink" Target="https://hudoc.echr.coe.int/eng" TargetMode="External"/><Relationship Id="rId133" Type="http://schemas.openxmlformats.org/officeDocument/2006/relationships/hyperlink" Target="http://undocs.org/en/CED/C/MEX/VR/1" TargetMode="External"/><Relationship Id="rId138" Type="http://schemas.openxmlformats.org/officeDocument/2006/relationships/hyperlink" Target="http://undocs.org/en/CED/C/GAB/CO/1" TargetMode="External"/><Relationship Id="rId16" Type="http://schemas.openxmlformats.org/officeDocument/2006/relationships/hyperlink" Target="http://undocs.org/en/CED/C/MEX/VR/1" TargetMode="External"/><Relationship Id="rId107" Type="http://schemas.openxmlformats.org/officeDocument/2006/relationships/hyperlink" Target="http://undocs.org/en/A/HRC/37/50" TargetMode="External"/><Relationship Id="rId11" Type="http://schemas.openxmlformats.org/officeDocument/2006/relationships/hyperlink" Target="http://undocs.org/en/A/72/335" TargetMode="External"/><Relationship Id="rId32" Type="http://schemas.openxmlformats.org/officeDocument/2006/relationships/hyperlink" Target="http://undocs.org/en/CED/C/GRC/CO/1" TargetMode="External"/><Relationship Id="rId37" Type="http://schemas.openxmlformats.org/officeDocument/2006/relationships/hyperlink" Target="http://undocs.org/en/E/CN.4/1997/34" TargetMode="External"/><Relationship Id="rId53" Type="http://schemas.openxmlformats.org/officeDocument/2006/relationships/hyperlink" Target="http://undocs.org/en/A/77/196" TargetMode="External"/><Relationship Id="rId58" Type="http://schemas.openxmlformats.org/officeDocument/2006/relationships/hyperlink" Target="http://undocs.org/en/CED/C/MEX/CO/1" TargetMode="External"/><Relationship Id="rId74" Type="http://schemas.openxmlformats.org/officeDocument/2006/relationships/hyperlink" Target="http://undocs.org/en/CED/C/NER/CO/1" TargetMode="External"/><Relationship Id="rId79" Type="http://schemas.openxmlformats.org/officeDocument/2006/relationships/hyperlink" Target="http://undocs.org/en/CED/C/GAB/CO/1" TargetMode="External"/><Relationship Id="rId102" Type="http://schemas.openxmlformats.org/officeDocument/2006/relationships/hyperlink" Target="http://undocs.org/en/A/HRC/47/30" TargetMode="External"/><Relationship Id="rId123" Type="http://schemas.openxmlformats.org/officeDocument/2006/relationships/hyperlink" Target="http://undocs.org/en/A/HRC/45/13/Add.3" TargetMode="External"/><Relationship Id="rId128" Type="http://schemas.openxmlformats.org/officeDocument/2006/relationships/hyperlink" Target="http://undocs.org/en/CED/C/GRC/CO/1" TargetMode="External"/><Relationship Id="rId144" Type="http://schemas.openxmlformats.org/officeDocument/2006/relationships/hyperlink" Target="http://undocs.org/en/CED/C/AUT/CO/1" TargetMode="External"/><Relationship Id="rId149" Type="http://schemas.openxmlformats.org/officeDocument/2006/relationships/hyperlink" Target="http://undocs.org/en/CED/C/GAB/CO/1" TargetMode="External"/><Relationship Id="rId5" Type="http://schemas.openxmlformats.org/officeDocument/2006/relationships/hyperlink" Target="http://undocs.org/en/CED/C/GRC/CO/1" TargetMode="External"/><Relationship Id="rId90" Type="http://schemas.openxmlformats.org/officeDocument/2006/relationships/hyperlink" Target="http://undocs.org/en/CED/C/CHE/CO/1" TargetMode="External"/><Relationship Id="rId95" Type="http://schemas.openxmlformats.org/officeDocument/2006/relationships/hyperlink" Target="http://undocs.org/en/CED/C/KAZ/CO/1" TargetMode="External"/><Relationship Id="rId22" Type="http://schemas.openxmlformats.org/officeDocument/2006/relationships/hyperlink" Target="https://www.ohchr.org/sites/default/files/Documents/HRBodies/CED/Guidelines_COVID-19_Enforced_Disappearance.pdf" TargetMode="External"/><Relationship Id="rId27" Type="http://schemas.openxmlformats.org/officeDocument/2006/relationships/hyperlink" Target="http://undocs.org/en/E/CN.4/2003/71" TargetMode="External"/><Relationship Id="rId43" Type="http://schemas.openxmlformats.org/officeDocument/2006/relationships/hyperlink" Target="http://undocs.org/en/CED/C/GRC/CO/1" TargetMode="External"/><Relationship Id="rId48" Type="http://schemas.openxmlformats.org/officeDocument/2006/relationships/hyperlink" Target="http://undocs.org/en/CED/C/NER/CO/1" TargetMode="External"/><Relationship Id="rId64" Type="http://schemas.openxmlformats.org/officeDocument/2006/relationships/hyperlink" Target="http://undocs.org/en/A/HRC/40/59" TargetMode="External"/><Relationship Id="rId69" Type="http://schemas.openxmlformats.org/officeDocument/2006/relationships/hyperlink" Target="http://undocs.org/en/CED/C/NLD/CO/1" TargetMode="External"/><Relationship Id="rId113" Type="http://schemas.openxmlformats.org/officeDocument/2006/relationships/hyperlink" Target="https://hudoc.echr.coe.int/eng" TargetMode="External"/><Relationship Id="rId118" Type="http://schemas.openxmlformats.org/officeDocument/2006/relationships/hyperlink" Target="http://undocs.org/en/CED/C/MEX/VR/1" TargetMode="External"/><Relationship Id="rId134" Type="http://schemas.openxmlformats.org/officeDocument/2006/relationships/hyperlink" Target="http://undocs.org/en/CED/C/HND/CO/1" TargetMode="External"/><Relationship Id="rId139" Type="http://schemas.openxmlformats.org/officeDocument/2006/relationships/hyperlink" Target="http://undocs.org/en/CED/C/9" TargetMode="External"/><Relationship Id="rId80" Type="http://schemas.openxmlformats.org/officeDocument/2006/relationships/hyperlink" Target="http://undocs.org/en/A/HRC/50/31" TargetMode="External"/><Relationship Id="rId85" Type="http://schemas.openxmlformats.org/officeDocument/2006/relationships/hyperlink" Target="http://undocs.org/en/CED/C/ITA/CO/1" TargetMode="External"/><Relationship Id="rId3" Type="http://schemas.openxmlformats.org/officeDocument/2006/relationships/hyperlink" Target="https://tbinternet.ohchr.org/_layouts/15/treatybodyexternal/Download.aspx?symbolno=CEDAW/C/GC/38&amp;Lang=en" TargetMode="External"/><Relationship Id="rId12" Type="http://schemas.openxmlformats.org/officeDocument/2006/relationships/hyperlink" Target="http://undocs.org/en/A/HRC/36/39/Add.2" TargetMode="External"/><Relationship Id="rId17" Type="http://schemas.openxmlformats.org/officeDocument/2006/relationships/hyperlink" Target="http://undocs.org/en/CED/C/9" TargetMode="External"/><Relationship Id="rId25" Type="http://schemas.openxmlformats.org/officeDocument/2006/relationships/hyperlink" Target="http://undocs.org/en/A/HRC/13/42" TargetMode="External"/><Relationship Id="rId33" Type="http://schemas.openxmlformats.org/officeDocument/2006/relationships/hyperlink" Target="http://undocs.org/en/CED/C/MEX/VR/1" TargetMode="External"/><Relationship Id="rId38" Type="http://schemas.openxmlformats.org/officeDocument/2006/relationships/hyperlink" Target="http://undocs.org/en/CED/C/NLD/CO/1" TargetMode="External"/><Relationship Id="rId46" Type="http://schemas.openxmlformats.org/officeDocument/2006/relationships/hyperlink" Target="http://undocs.org/en/CED/C/IRQ/OAI/1" TargetMode="External"/><Relationship Id="rId59" Type="http://schemas.openxmlformats.org/officeDocument/2006/relationships/hyperlink" Target="http://undocs.org/en/CED/C/MEX/VR/1" TargetMode="External"/><Relationship Id="rId67" Type="http://schemas.openxmlformats.org/officeDocument/2006/relationships/hyperlink" Target="http://undocs.org/en/CED/C/GRC/CO/1" TargetMode="External"/><Relationship Id="rId103" Type="http://schemas.openxmlformats.org/officeDocument/2006/relationships/hyperlink" Target="http://undocs.org/en/A/HRC/50/31" TargetMode="External"/><Relationship Id="rId108" Type="http://schemas.openxmlformats.org/officeDocument/2006/relationships/hyperlink" Target="http://undocs.org/en/CED/C/CRI/CO/1" TargetMode="External"/><Relationship Id="rId116" Type="http://schemas.openxmlformats.org/officeDocument/2006/relationships/hyperlink" Target="http://undocs.org/en/CCPR/C/130/D/3042/2017" TargetMode="External"/><Relationship Id="rId124" Type="http://schemas.openxmlformats.org/officeDocument/2006/relationships/hyperlink" Target="http://undocs.org/en/CED/C/GRC/CO/1" TargetMode="External"/><Relationship Id="rId129" Type="http://schemas.openxmlformats.org/officeDocument/2006/relationships/hyperlink" Target="http://undocs.org/en/E/CN.4/1998/43" TargetMode="External"/><Relationship Id="rId137" Type="http://schemas.openxmlformats.org/officeDocument/2006/relationships/hyperlink" Target="http://undocs.org/en/A/HRC/54/22/Add.5" TargetMode="External"/><Relationship Id="rId20" Type="http://schemas.openxmlformats.org/officeDocument/2006/relationships/hyperlink" Target="https://undocs.org/Home/Mobile?FinalSymbol=CMW%2FC%2FGC%2F5&amp;Language=E&amp;DeviceType=Desktop&amp;LangRequested=False" TargetMode="External"/><Relationship Id="rId41" Type="http://schemas.openxmlformats.org/officeDocument/2006/relationships/hyperlink" Target="http://undocs.org/en/A/HRC/36/39/Add.2" TargetMode="External"/><Relationship Id="rId54" Type="http://schemas.openxmlformats.org/officeDocument/2006/relationships/hyperlink" Target="http://undocs.org/en/A/HRC/36/39/Add.2" TargetMode="External"/><Relationship Id="rId62" Type="http://schemas.openxmlformats.org/officeDocument/2006/relationships/hyperlink" Target="https://tbinternet.ohchr.org/_layouts/15/treatybodyexternal/Download.aspx?symbolno=CEDAW/C/GC/38&amp;Lang=en" TargetMode="External"/><Relationship Id="rId70" Type="http://schemas.openxmlformats.org/officeDocument/2006/relationships/hyperlink" Target="http://undocs.org/en/CED/C/HND/CO/1" TargetMode="External"/><Relationship Id="rId75" Type="http://schemas.openxmlformats.org/officeDocument/2006/relationships/hyperlink" Target="http://undocs.org/en/CED/C/MNG/CO/1" TargetMode="External"/><Relationship Id="rId83" Type="http://schemas.openxmlformats.org/officeDocument/2006/relationships/hyperlink" Target="http://undocs.org/en/CED/C/NER/CO/1" TargetMode="External"/><Relationship Id="rId88" Type="http://schemas.openxmlformats.org/officeDocument/2006/relationships/hyperlink" Target="http://undocs.org/en/CED/C/GAB/CO/1" TargetMode="External"/><Relationship Id="rId91" Type="http://schemas.openxmlformats.org/officeDocument/2006/relationships/hyperlink" Target="http://undocs.org/en/A/HRC/47/30" TargetMode="External"/><Relationship Id="rId96" Type="http://schemas.openxmlformats.org/officeDocument/2006/relationships/hyperlink" Target="http://undocs.org/en/CED/C/NER/CO/1" TargetMode="External"/><Relationship Id="rId111" Type="http://schemas.openxmlformats.org/officeDocument/2006/relationships/hyperlink" Target="http://undocs.org/en/CED/C/MEX/VR/1" TargetMode="External"/><Relationship Id="rId132" Type="http://schemas.openxmlformats.org/officeDocument/2006/relationships/hyperlink" Target="http://undocs.org/en/CCPR/C/MEX/CO/6" TargetMode="External"/><Relationship Id="rId140" Type="http://schemas.openxmlformats.org/officeDocument/2006/relationships/hyperlink" Target="http://undocs.org/en/A/73/178/Rev.1" TargetMode="External"/><Relationship Id="rId145" Type="http://schemas.openxmlformats.org/officeDocument/2006/relationships/hyperlink" Target="http://undocs.org/en/CED/C/JPN/CO/1" TargetMode="External"/><Relationship Id="rId1" Type="http://schemas.openxmlformats.org/officeDocument/2006/relationships/hyperlink" Target="http://undocs.org/en/A/76/642" TargetMode="External"/><Relationship Id="rId6" Type="http://schemas.openxmlformats.org/officeDocument/2006/relationships/hyperlink" Target="http://undocs.org/en/CED/C/MEX/VR/1" TargetMode="External"/><Relationship Id="rId15" Type="http://schemas.openxmlformats.org/officeDocument/2006/relationships/hyperlink" Target="http://undocs.org/en/CED/C/BRA/CO/1" TargetMode="External"/><Relationship Id="rId23" Type="http://schemas.openxmlformats.org/officeDocument/2006/relationships/hyperlink" Target="http://undocs.org/en/A/75/183" TargetMode="External"/><Relationship Id="rId28" Type="http://schemas.openxmlformats.org/officeDocument/2006/relationships/hyperlink" Target="http://undocs.org/en/CED/C/10/D/1/2013" TargetMode="External"/><Relationship Id="rId36" Type="http://schemas.openxmlformats.org/officeDocument/2006/relationships/hyperlink" Target="http://undocs.org/en/A/HRC/36/39/Add.2" TargetMode="External"/><Relationship Id="rId49" Type="http://schemas.openxmlformats.org/officeDocument/2006/relationships/hyperlink" Target="http://undocs.org/en/CED/C/HND/CO/1" TargetMode="External"/><Relationship Id="rId57" Type="http://schemas.openxmlformats.org/officeDocument/2006/relationships/hyperlink" Target="http://undocs.org/en/CED/C/GRC/CO/1" TargetMode="External"/><Relationship Id="rId106" Type="http://schemas.openxmlformats.org/officeDocument/2006/relationships/hyperlink" Target="http://undocs.org/en/CED/C/GRC/CO/1" TargetMode="External"/><Relationship Id="rId114" Type="http://schemas.openxmlformats.org/officeDocument/2006/relationships/hyperlink" Target="http://undocs.org/en/A/HRC/37/50" TargetMode="External"/><Relationship Id="rId119" Type="http://schemas.openxmlformats.org/officeDocument/2006/relationships/hyperlink" Target="http://undocs.org/en/A/HRC/36/39/Add.2" TargetMode="External"/><Relationship Id="rId127" Type="http://schemas.openxmlformats.org/officeDocument/2006/relationships/hyperlink" Target="http://undocs.org/en/A/HRC/36/39/Add.2" TargetMode="External"/><Relationship Id="rId10" Type="http://schemas.openxmlformats.org/officeDocument/2006/relationships/hyperlink" Target="http://undocs.org/en/A/HRC/36/39/Add.2" TargetMode="External"/><Relationship Id="rId31" Type="http://schemas.openxmlformats.org/officeDocument/2006/relationships/hyperlink" Target="http://undocs.org/en/A/HRC/37/50" TargetMode="External"/><Relationship Id="rId44" Type="http://schemas.openxmlformats.org/officeDocument/2006/relationships/hyperlink" Target="http://undocs.org/en/A/HRC/36/39/Add.2" TargetMode="External"/><Relationship Id="rId52" Type="http://schemas.openxmlformats.org/officeDocument/2006/relationships/hyperlink" Target="http://undocs.org/en/CED/C/MEX/CO/1" TargetMode="External"/><Relationship Id="rId60" Type="http://schemas.openxmlformats.org/officeDocument/2006/relationships/hyperlink" Target="http://undocs.org/en/CED/C/MEX/VR/1" TargetMode="External"/><Relationship Id="rId65" Type="http://schemas.openxmlformats.org/officeDocument/2006/relationships/hyperlink" Target="http://undocs.org/en/CED/C/GAB/CO/1" TargetMode="External"/><Relationship Id="rId73" Type="http://schemas.openxmlformats.org/officeDocument/2006/relationships/hyperlink" Target="http://undocs.org/en/A/AC.96/951" TargetMode="External"/><Relationship Id="rId78" Type="http://schemas.openxmlformats.org/officeDocument/2006/relationships/hyperlink" Target="http://undocs.org/en/CED/C/AUT/CO/1" TargetMode="External"/><Relationship Id="rId81" Type="http://schemas.openxmlformats.org/officeDocument/2006/relationships/hyperlink" Target="http://undocs.org/en/A/HRC/37/50" TargetMode="External"/><Relationship Id="rId86" Type="http://schemas.openxmlformats.org/officeDocument/2006/relationships/hyperlink" Target="http://undocs.org/en/CED/C/PER/CO/1" TargetMode="External"/><Relationship Id="rId94" Type="http://schemas.openxmlformats.org/officeDocument/2006/relationships/hyperlink" Target="http://undocs.org/en/CED/C/PAN/CO/1" TargetMode="External"/><Relationship Id="rId99" Type="http://schemas.openxmlformats.org/officeDocument/2006/relationships/hyperlink" Target="http://undocs.org/en/CED/C/SVK/CO/1" TargetMode="External"/><Relationship Id="rId101" Type="http://schemas.openxmlformats.org/officeDocument/2006/relationships/hyperlink" Target="http://undocs.org/en/CED/C/GRC/CO/1" TargetMode="External"/><Relationship Id="rId122" Type="http://schemas.openxmlformats.org/officeDocument/2006/relationships/hyperlink" Target="http://undocs.org/en/A/HRC/36/39/Add.2" TargetMode="External"/><Relationship Id="rId130" Type="http://schemas.openxmlformats.org/officeDocument/2006/relationships/hyperlink" Target="http://undocs.org/en/CED/C/JPN/CO/1" TargetMode="External"/><Relationship Id="rId135" Type="http://schemas.openxmlformats.org/officeDocument/2006/relationships/hyperlink" Target="http://undocs.org/en/CED/C/PAN/CO/1" TargetMode="External"/><Relationship Id="rId143" Type="http://schemas.openxmlformats.org/officeDocument/2006/relationships/hyperlink" Target="http://undocs.org/en/CED/C/19/2" TargetMode="External"/><Relationship Id="rId148" Type="http://schemas.openxmlformats.org/officeDocument/2006/relationships/hyperlink" Target="http://undocs.org/en/CED/C/ITA/CO/1" TargetMode="External"/><Relationship Id="rId4" Type="http://schemas.openxmlformats.org/officeDocument/2006/relationships/hyperlink" Target="http://undocs.org/en/A/HRC/50/31" TargetMode="External"/><Relationship Id="rId9" Type="http://schemas.openxmlformats.org/officeDocument/2006/relationships/hyperlink" Target="http://undocs.org/en/A/76/642" TargetMode="External"/><Relationship Id="rId13" Type="http://schemas.openxmlformats.org/officeDocument/2006/relationships/hyperlink" Target="http://undocs.org/en/A/HRC/36/39/Add.2" TargetMode="External"/><Relationship Id="rId18" Type="http://schemas.openxmlformats.org/officeDocument/2006/relationships/hyperlink" Target="http://undocs.org/en/CED/C/10" TargetMode="External"/><Relationship Id="rId39" Type="http://schemas.openxmlformats.org/officeDocument/2006/relationships/hyperlink" Target="http://undocs.org/en/CED/C/NLD/CO/1" TargetMode="External"/><Relationship Id="rId109" Type="http://schemas.openxmlformats.org/officeDocument/2006/relationships/hyperlink" Target="http://undocs.org/en/A/HRC/47/30" TargetMode="External"/><Relationship Id="rId34" Type="http://schemas.openxmlformats.org/officeDocument/2006/relationships/hyperlink" Target="http://undocs.org/en/CED/C/ITA/CO/1" TargetMode="External"/><Relationship Id="rId50" Type="http://schemas.openxmlformats.org/officeDocument/2006/relationships/hyperlink" Target="https://tbinternet.ohchr.org/_layouts/15/TreatyBodyExternal/Download.aspx?symbolno=CED/C/7&amp;Lang=en" TargetMode="External"/><Relationship Id="rId55" Type="http://schemas.openxmlformats.org/officeDocument/2006/relationships/hyperlink" Target="http://undocs.org/en/CED/C/GRC/CO/1" TargetMode="External"/><Relationship Id="rId76" Type="http://schemas.openxmlformats.org/officeDocument/2006/relationships/hyperlink" Target="http://undocs.org/en/CED/C/SVK/CO/1" TargetMode="External"/><Relationship Id="rId97" Type="http://schemas.openxmlformats.org/officeDocument/2006/relationships/hyperlink" Target="http://undocs.org/en/CED/C/FRA/CO/1" TargetMode="External"/><Relationship Id="rId104" Type="http://schemas.openxmlformats.org/officeDocument/2006/relationships/hyperlink" Target="http://undocs.org/en/CRC/C/GRC/CO/4-6" TargetMode="External"/><Relationship Id="rId120" Type="http://schemas.openxmlformats.org/officeDocument/2006/relationships/hyperlink" Target="http://undocs.org/en/CED/C/ITA/CO/1" TargetMode="External"/><Relationship Id="rId125" Type="http://schemas.openxmlformats.org/officeDocument/2006/relationships/hyperlink" Target="http://undocs.org/en/CED/C/GRC/CO/1" TargetMode="External"/><Relationship Id="rId141" Type="http://schemas.openxmlformats.org/officeDocument/2006/relationships/hyperlink" Target="http://undocs.org/en/CED/C/MEX/CO/1" TargetMode="External"/><Relationship Id="rId146" Type="http://schemas.openxmlformats.org/officeDocument/2006/relationships/hyperlink" Target="http://undocs.org/en/CED/C/MEX/VR/1" TargetMode="External"/><Relationship Id="rId7" Type="http://schemas.openxmlformats.org/officeDocument/2006/relationships/hyperlink" Target="http://undocs.org/en/CED/C/MEX/VR/1" TargetMode="External"/><Relationship Id="rId71" Type="http://schemas.openxmlformats.org/officeDocument/2006/relationships/hyperlink" Target="http://undocs.org/en/CED/C/GRC/CO/1" TargetMode="External"/><Relationship Id="rId92" Type="http://schemas.openxmlformats.org/officeDocument/2006/relationships/hyperlink" Target="http://undocs.org/en/CED/C/GRC/CO/1" TargetMode="External"/><Relationship Id="rId2" Type="http://schemas.openxmlformats.org/officeDocument/2006/relationships/hyperlink" Target="http://undocs.org/en/CED/C/7" TargetMode="External"/><Relationship Id="rId29" Type="http://schemas.openxmlformats.org/officeDocument/2006/relationships/hyperlink" Target="http://undocs.org/en/CED/C/GRC/CO/1" TargetMode="External"/><Relationship Id="rId24" Type="http://schemas.openxmlformats.org/officeDocument/2006/relationships/hyperlink" Target="http://undocs.org/en/CED/C/10" TargetMode="External"/><Relationship Id="rId40" Type="http://schemas.openxmlformats.org/officeDocument/2006/relationships/hyperlink" Target="http://undocs.org/en/CED/C/ITA/CO/1" TargetMode="External"/><Relationship Id="rId45" Type="http://schemas.openxmlformats.org/officeDocument/2006/relationships/hyperlink" Target="http://undocs.org/en/CED/C/COL/OAI/1" TargetMode="External"/><Relationship Id="rId66" Type="http://schemas.openxmlformats.org/officeDocument/2006/relationships/hyperlink" Target="http://undocs.org/en/CED/C/MEX/CO/1" TargetMode="External"/><Relationship Id="rId87" Type="http://schemas.openxmlformats.org/officeDocument/2006/relationships/hyperlink" Target="http://undocs.org/en/CED/C/AUT/CO/1" TargetMode="External"/><Relationship Id="rId110" Type="http://schemas.openxmlformats.org/officeDocument/2006/relationships/hyperlink" Target="http://undocs.org/en/CED/C/GRC/CO/1" TargetMode="External"/><Relationship Id="rId115" Type="http://schemas.openxmlformats.org/officeDocument/2006/relationships/hyperlink" Target="http://undocs.org/en/A/HRC/47/30" TargetMode="External"/><Relationship Id="rId131" Type="http://schemas.openxmlformats.org/officeDocument/2006/relationships/hyperlink" Target="http://undocs.org/en/CCPR/C/MEX/CO/5" TargetMode="External"/><Relationship Id="rId136" Type="http://schemas.openxmlformats.org/officeDocument/2006/relationships/hyperlink" Target="http://undocs.org/en/CED/C/15/3" TargetMode="External"/><Relationship Id="rId61" Type="http://schemas.openxmlformats.org/officeDocument/2006/relationships/hyperlink" Target="https://undocs.org/Home/Mobile?FinalSymbol=CRC%2FGC%2F2005%2F6&amp;Language=E&amp;DeviceType=Desktop&amp;LangRequested=False" TargetMode="External"/><Relationship Id="rId82" Type="http://schemas.openxmlformats.org/officeDocument/2006/relationships/hyperlink" Target="http://undocs.org/en/CED/C/19/D/3/2019" TargetMode="External"/><Relationship Id="rId19" Type="http://schemas.openxmlformats.org/officeDocument/2006/relationships/hyperlink" Target="http://undocs.org/en/CED/C/MEX/VR/1" TargetMode="External"/><Relationship Id="rId14" Type="http://schemas.openxmlformats.org/officeDocument/2006/relationships/hyperlink" Target="http://undocs.org/en/A/HRC/36/39/Add.2" TargetMode="External"/><Relationship Id="rId30" Type="http://schemas.openxmlformats.org/officeDocument/2006/relationships/hyperlink" Target="http://undocs.org/en/CED/C/FRA/CO/1" TargetMode="External"/><Relationship Id="rId35" Type="http://schemas.openxmlformats.org/officeDocument/2006/relationships/hyperlink" Target="http://undocs.org/en/CED/C/JPN/CO/1" TargetMode="External"/><Relationship Id="rId56" Type="http://schemas.openxmlformats.org/officeDocument/2006/relationships/hyperlink" Target="http://undocs.org/en/CED/C/MEX/VR/1" TargetMode="External"/><Relationship Id="rId77" Type="http://schemas.openxmlformats.org/officeDocument/2006/relationships/hyperlink" Target="http://undocs.org/en/CED/C/PER/CO/1" TargetMode="External"/><Relationship Id="rId100" Type="http://schemas.openxmlformats.org/officeDocument/2006/relationships/hyperlink" Target="http://undocs.org/en/CED/C/PER/CO/1" TargetMode="External"/><Relationship Id="rId105" Type="http://schemas.openxmlformats.org/officeDocument/2006/relationships/hyperlink" Target="http://undocs.org/en/A/HRC/37/50" TargetMode="External"/><Relationship Id="rId126" Type="http://schemas.openxmlformats.org/officeDocument/2006/relationships/hyperlink" Target="http://undocs.org/en/CED/C/HND/CO/1" TargetMode="External"/><Relationship Id="rId147" Type="http://schemas.openxmlformats.org/officeDocument/2006/relationships/hyperlink" Target="http://undocs.org/en/CED/C/MNE/CO/1" TargetMode="External"/><Relationship Id="rId8" Type="http://schemas.openxmlformats.org/officeDocument/2006/relationships/hyperlink" Target="http://undocs.org/en/A/72/335" TargetMode="External"/><Relationship Id="rId51" Type="http://schemas.openxmlformats.org/officeDocument/2006/relationships/hyperlink" Target="http://undocs.org/en/CED/C/19/2" TargetMode="External"/><Relationship Id="rId72" Type="http://schemas.openxmlformats.org/officeDocument/2006/relationships/hyperlink" Target="http://undocs.org/en/A/73/314" TargetMode="External"/><Relationship Id="rId93" Type="http://schemas.openxmlformats.org/officeDocument/2006/relationships/hyperlink" Target="https://undocs.org/Home/Mobile?FinalSymbol=CAT%2FC%2FGC%2F4&amp;Language=E&amp;DeviceType=Desktop&amp;LangRequested=False" TargetMode="External"/><Relationship Id="rId98" Type="http://schemas.openxmlformats.org/officeDocument/2006/relationships/hyperlink" Target="http://undocs.org/en/CED/C/MNG/CO/1" TargetMode="External"/><Relationship Id="rId121" Type="http://schemas.openxmlformats.org/officeDocument/2006/relationships/hyperlink" Target="http://undocs.org/en/CED/C/MEX/VR/1" TargetMode="External"/><Relationship Id="rId142" Type="http://schemas.openxmlformats.org/officeDocument/2006/relationships/hyperlink" Target="http://undocs.org/en/CED/C/HND/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17</Pages>
  <Words>7049</Words>
  <Characters>41368</Characters>
  <Application>Microsoft Office Word</Application>
  <DocSecurity>0</DocSecurity>
  <Lines>579</Lines>
  <Paragraphs>84</Paragraphs>
  <ScaleCrop>false</ScaleCrop>
  <HeadingPairs>
    <vt:vector size="2" baseType="variant">
      <vt:variant>
        <vt:lpstr>Title</vt:lpstr>
      </vt:variant>
      <vt:variant>
        <vt:i4>1</vt:i4>
      </vt:variant>
    </vt:vector>
  </HeadingPairs>
  <TitlesOfParts>
    <vt:vector size="1" baseType="lpstr">
      <vt:lpstr>CED/C/GC/1</vt:lpstr>
    </vt:vector>
  </TitlesOfParts>
  <Company>DCM</Company>
  <LinksUpToDate>false</LinksUpToDate>
  <CharactersWithSpaces>48397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CED/C/GC/1</dc:title>
  <dc:subject>2319531</dc:subject>
  <dc:creator>cg</dc:creator>
  <cp:keywords/>
  <dc:description/>
  <cp:lastModifiedBy>Ma. Cristina Brigoli</cp:lastModifiedBy>
  <cp:revision>2</cp:revision>
  <dcterms:created xsi:type="dcterms:W3CDTF">2023-10-25T14:02:00Z</dcterms:created>
  <dcterms:modified xsi:type="dcterms:W3CDTF">2023-10-25T14:02:00Z</dcterms:modified>
</cp:coreProperties>
</file>