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DF6E" w14:textId="77777777" w:rsidR="0081043A" w:rsidRPr="009D55E4" w:rsidRDefault="009D55E4" w:rsidP="009D55E4">
      <w:pPr>
        <w:jc w:val="center"/>
        <w:rPr>
          <w:b/>
          <w:sz w:val="24"/>
          <w:szCs w:val="24"/>
          <w:lang w:val="fr-FR"/>
        </w:rPr>
      </w:pPr>
      <w:r w:rsidRPr="009D55E4">
        <w:rPr>
          <w:b/>
          <w:sz w:val="24"/>
          <w:szCs w:val="24"/>
          <w:lang w:val="fr-FR"/>
        </w:rPr>
        <w:t xml:space="preserve">CONSIGNES POUR LA TRADUCTION DES PROCÈS-VERBAUX </w:t>
      </w:r>
      <w:r w:rsidRPr="009D55E4">
        <w:rPr>
          <w:b/>
          <w:sz w:val="24"/>
          <w:szCs w:val="24"/>
          <w:lang w:val="fr-FR"/>
        </w:rPr>
        <w:br/>
        <w:t>DE SÉANCES DE LA CONFÉRENCE DU DÉSARMEMENT</w:t>
      </w:r>
    </w:p>
    <w:p w14:paraId="14E32EB1" w14:textId="77777777" w:rsidR="009D55E4" w:rsidRPr="009D55E4" w:rsidRDefault="009D55E4" w:rsidP="009D55E4">
      <w:pPr>
        <w:jc w:val="center"/>
        <w:rPr>
          <w:b/>
          <w:sz w:val="24"/>
          <w:szCs w:val="24"/>
          <w:lang w:val="fr-FR"/>
        </w:rPr>
      </w:pPr>
      <w:r w:rsidRPr="009D55E4">
        <w:rPr>
          <w:b/>
          <w:sz w:val="24"/>
          <w:szCs w:val="24"/>
          <w:lang w:val="fr-FR"/>
        </w:rPr>
        <w:t>(documents portant la cote CD/PV)</w:t>
      </w:r>
    </w:p>
    <w:p w14:paraId="6A830AD3" w14:textId="77777777" w:rsidR="009D55E4" w:rsidRDefault="009D55E4" w:rsidP="0081043A">
      <w:pPr>
        <w:rPr>
          <w:lang w:val="fr-FR"/>
        </w:rPr>
      </w:pPr>
    </w:p>
    <w:p w14:paraId="40432847" w14:textId="77777777" w:rsidR="009D55E4" w:rsidRDefault="009D55E4" w:rsidP="0081043A">
      <w:pPr>
        <w:rPr>
          <w:lang w:val="fr-FR"/>
        </w:rPr>
      </w:pPr>
    </w:p>
    <w:p w14:paraId="6B6D0DA6" w14:textId="77777777" w:rsidR="009D55E4" w:rsidRPr="00FE678A" w:rsidRDefault="009D55E4" w:rsidP="0081043A">
      <w:pPr>
        <w:rPr>
          <w:b/>
          <w:color w:val="FF0000"/>
          <w:sz w:val="24"/>
          <w:szCs w:val="24"/>
          <w:u w:val="single"/>
          <w:lang w:val="fr-FR"/>
        </w:rPr>
      </w:pPr>
      <w:r w:rsidRPr="00FE678A">
        <w:rPr>
          <w:b/>
          <w:color w:val="FF0000"/>
          <w:sz w:val="24"/>
          <w:szCs w:val="24"/>
          <w:u w:val="single"/>
          <w:lang w:val="fr-FR"/>
        </w:rPr>
        <w:t>I. Informations d’ordre général</w:t>
      </w:r>
    </w:p>
    <w:p w14:paraId="51B17BAF" w14:textId="77777777" w:rsidR="009D55E4" w:rsidRDefault="009D55E4" w:rsidP="0081043A">
      <w:pPr>
        <w:rPr>
          <w:lang w:val="fr-FR"/>
        </w:rPr>
      </w:pPr>
    </w:p>
    <w:p w14:paraId="20E2D572" w14:textId="77777777" w:rsidR="009D55E4" w:rsidRPr="009D55E4" w:rsidRDefault="009D55E4" w:rsidP="0081043A">
      <w:pPr>
        <w:rPr>
          <w:b/>
          <w:color w:val="365F91" w:themeColor="accent1" w:themeShade="BF"/>
          <w:lang w:val="fr-FR"/>
        </w:rPr>
      </w:pPr>
      <w:r w:rsidRPr="009D55E4">
        <w:rPr>
          <w:b/>
          <w:color w:val="365F91" w:themeColor="accent1" w:themeShade="BF"/>
          <w:lang w:val="fr-FR"/>
        </w:rPr>
        <w:t>Le contexte :</w:t>
      </w:r>
    </w:p>
    <w:p w14:paraId="39234D55" w14:textId="77777777" w:rsidR="009D55E4" w:rsidRDefault="009D55E4" w:rsidP="009D55E4">
      <w:pPr>
        <w:rPr>
          <w:lang w:val="fr-FR"/>
        </w:rPr>
      </w:pPr>
    </w:p>
    <w:p w14:paraId="1A5A8455" w14:textId="77777777" w:rsidR="009D55E4" w:rsidRDefault="009D55E4" w:rsidP="00D95F19">
      <w:pPr>
        <w:jc w:val="both"/>
        <w:rPr>
          <w:lang w:val="fr-FR"/>
        </w:rPr>
      </w:pPr>
      <w:r>
        <w:rPr>
          <w:lang w:val="fr-FR"/>
        </w:rPr>
        <w:tab/>
        <w:t xml:space="preserve">La Conférence du désarmement tient sa </w:t>
      </w:r>
      <w:r w:rsidRPr="00FF77B6">
        <w:rPr>
          <w:b/>
          <w:lang w:val="fr-FR"/>
        </w:rPr>
        <w:t>session annuelle en trois parties</w:t>
      </w:r>
      <w:r>
        <w:rPr>
          <w:lang w:val="fr-FR"/>
        </w:rPr>
        <w:t>, la première en début d</w:t>
      </w:r>
      <w:r w:rsidRPr="006F537D">
        <w:rPr>
          <w:lang w:val="fr-FR"/>
        </w:rPr>
        <w:t>’</w:t>
      </w:r>
      <w:r>
        <w:rPr>
          <w:lang w:val="fr-FR"/>
        </w:rPr>
        <w:t>année, la deuxième en milieu d</w:t>
      </w:r>
      <w:r w:rsidRPr="006F537D">
        <w:rPr>
          <w:lang w:val="fr-FR"/>
        </w:rPr>
        <w:t>’</w:t>
      </w:r>
      <w:r>
        <w:rPr>
          <w:lang w:val="fr-FR"/>
        </w:rPr>
        <w:t>année et la troisième vers le mois de septembre.</w:t>
      </w:r>
    </w:p>
    <w:p w14:paraId="1D936B2D" w14:textId="25C98F84" w:rsidR="009D55E4" w:rsidRDefault="009D55E4" w:rsidP="00D95F19">
      <w:pPr>
        <w:jc w:val="both"/>
        <w:rPr>
          <w:lang w:val="fr-FR"/>
        </w:rPr>
      </w:pPr>
      <w:r>
        <w:rPr>
          <w:lang w:val="fr-FR"/>
        </w:rPr>
        <w:tab/>
        <w:t>Pour l</w:t>
      </w:r>
      <w:r w:rsidRPr="006F537D">
        <w:rPr>
          <w:lang w:val="fr-FR"/>
        </w:rPr>
        <w:t>’</w:t>
      </w:r>
      <w:r>
        <w:rPr>
          <w:lang w:val="fr-FR"/>
        </w:rPr>
        <w:t>année 20</w:t>
      </w:r>
      <w:r w:rsidR="000D4DB8">
        <w:rPr>
          <w:lang w:val="fr-FR"/>
        </w:rPr>
        <w:t>20</w:t>
      </w:r>
      <w:r>
        <w:rPr>
          <w:lang w:val="fr-FR"/>
        </w:rPr>
        <w:t xml:space="preserve">, par exemple, les dates sont les suivantes : </w:t>
      </w:r>
    </w:p>
    <w:p w14:paraId="3B835CF6" w14:textId="38EAF22F" w:rsidR="009D55E4" w:rsidRDefault="009D55E4" w:rsidP="00D95F19">
      <w:pPr>
        <w:jc w:val="both"/>
        <w:rPr>
          <w:lang w:val="fr-FR"/>
        </w:rPr>
      </w:pPr>
      <w:r>
        <w:rPr>
          <w:lang w:val="fr-FR"/>
        </w:rPr>
        <w:tab/>
      </w:r>
      <w:r>
        <w:rPr>
          <w:lang w:val="fr-FR"/>
        </w:rPr>
        <w:tab/>
        <w:t xml:space="preserve">Première partie : </w:t>
      </w:r>
      <w:r>
        <w:rPr>
          <w:lang w:val="fr-FR"/>
        </w:rPr>
        <w:tab/>
        <w:t>2</w:t>
      </w:r>
      <w:r w:rsidR="000D4DB8">
        <w:rPr>
          <w:lang w:val="fr-FR"/>
        </w:rPr>
        <w:t>0</w:t>
      </w:r>
      <w:r>
        <w:rPr>
          <w:lang w:val="fr-FR"/>
        </w:rPr>
        <w:t xml:space="preserve"> janvier-</w:t>
      </w:r>
      <w:r w:rsidR="000D4DB8">
        <w:rPr>
          <w:lang w:val="fr-FR"/>
        </w:rPr>
        <w:t>27</w:t>
      </w:r>
      <w:r>
        <w:rPr>
          <w:lang w:val="fr-FR"/>
        </w:rPr>
        <w:t xml:space="preserve"> mars</w:t>
      </w:r>
    </w:p>
    <w:p w14:paraId="39922B60" w14:textId="1C329D07" w:rsidR="009D55E4" w:rsidRDefault="009D55E4" w:rsidP="00D95F19">
      <w:pPr>
        <w:jc w:val="both"/>
        <w:rPr>
          <w:lang w:val="fr-FR"/>
        </w:rPr>
      </w:pPr>
      <w:r>
        <w:rPr>
          <w:lang w:val="fr-FR"/>
        </w:rPr>
        <w:tab/>
      </w:r>
      <w:r>
        <w:rPr>
          <w:lang w:val="fr-FR"/>
        </w:rPr>
        <w:tab/>
        <w:t xml:space="preserve">Deuxième partie : </w:t>
      </w:r>
      <w:r>
        <w:rPr>
          <w:lang w:val="fr-FR"/>
        </w:rPr>
        <w:tab/>
      </w:r>
      <w:r w:rsidR="000D4DB8">
        <w:rPr>
          <w:lang w:val="fr-FR"/>
        </w:rPr>
        <w:t>25</w:t>
      </w:r>
      <w:r>
        <w:rPr>
          <w:lang w:val="fr-FR"/>
        </w:rPr>
        <w:t xml:space="preserve"> mai-</w:t>
      </w:r>
      <w:r w:rsidR="000D4DB8">
        <w:rPr>
          <w:lang w:val="fr-FR"/>
        </w:rPr>
        <w:t>10</w:t>
      </w:r>
      <w:r>
        <w:rPr>
          <w:lang w:val="fr-FR"/>
        </w:rPr>
        <w:t xml:space="preserve"> </w:t>
      </w:r>
      <w:r w:rsidR="000D4DB8">
        <w:rPr>
          <w:lang w:val="fr-FR"/>
        </w:rPr>
        <w:t>juillet</w:t>
      </w:r>
    </w:p>
    <w:p w14:paraId="3796CBD4" w14:textId="628A1BF4" w:rsidR="009D55E4" w:rsidRDefault="009D55E4" w:rsidP="00D95F19">
      <w:pPr>
        <w:jc w:val="both"/>
        <w:rPr>
          <w:lang w:val="fr-FR"/>
        </w:rPr>
      </w:pPr>
      <w:r>
        <w:rPr>
          <w:lang w:val="fr-FR"/>
        </w:rPr>
        <w:tab/>
      </w:r>
      <w:r>
        <w:rPr>
          <w:lang w:val="fr-FR"/>
        </w:rPr>
        <w:tab/>
        <w:t>Troisième partie :</w:t>
      </w:r>
      <w:r>
        <w:rPr>
          <w:lang w:val="fr-FR"/>
        </w:rPr>
        <w:tab/>
        <w:t>3</w:t>
      </w:r>
      <w:r w:rsidR="000D4DB8">
        <w:rPr>
          <w:lang w:val="fr-FR"/>
        </w:rPr>
        <w:t xml:space="preserve"> août </w:t>
      </w:r>
      <w:r>
        <w:rPr>
          <w:lang w:val="fr-FR"/>
        </w:rPr>
        <w:t>-1</w:t>
      </w:r>
      <w:r w:rsidR="000D4DB8">
        <w:rPr>
          <w:lang w:val="fr-FR"/>
        </w:rPr>
        <w:t>8</w:t>
      </w:r>
      <w:r>
        <w:rPr>
          <w:lang w:val="fr-FR"/>
        </w:rPr>
        <w:t xml:space="preserve"> septembre</w:t>
      </w:r>
    </w:p>
    <w:p w14:paraId="2F166892" w14:textId="4E7CB166" w:rsidR="009D55E4" w:rsidRDefault="009D55E4" w:rsidP="00D95F19">
      <w:pPr>
        <w:jc w:val="both"/>
        <w:rPr>
          <w:lang w:val="fr-FR"/>
        </w:rPr>
      </w:pPr>
      <w:r>
        <w:rPr>
          <w:lang w:val="fr-FR"/>
        </w:rPr>
        <w:tab/>
        <w:t>Dans les textes, on parlera donc de « la deuxième partie de la session de 20</w:t>
      </w:r>
      <w:r w:rsidR="000D4DB8">
        <w:rPr>
          <w:lang w:val="fr-FR"/>
        </w:rPr>
        <w:t>20</w:t>
      </w:r>
      <w:r>
        <w:rPr>
          <w:lang w:val="fr-FR"/>
        </w:rPr>
        <w:t> ».</w:t>
      </w:r>
    </w:p>
    <w:p w14:paraId="17ACCA5D" w14:textId="77777777" w:rsidR="00EF74B4" w:rsidRDefault="00EF74B4" w:rsidP="00D95F19">
      <w:pPr>
        <w:jc w:val="both"/>
        <w:rPr>
          <w:lang w:val="fr-FR"/>
        </w:rPr>
      </w:pPr>
    </w:p>
    <w:p w14:paraId="7629B951" w14:textId="6223D736" w:rsidR="00EF74B4" w:rsidRDefault="00EF74B4" w:rsidP="00D95F19">
      <w:pPr>
        <w:jc w:val="both"/>
        <w:rPr>
          <w:lang w:val="fr-FR"/>
        </w:rPr>
      </w:pPr>
      <w:r>
        <w:rPr>
          <w:lang w:val="fr-FR"/>
        </w:rPr>
        <w:tab/>
      </w:r>
      <w:r w:rsidRPr="00FE678A">
        <w:rPr>
          <w:lang w:val="fr-FR"/>
        </w:rPr>
        <w:t xml:space="preserve">Les procès-verbaux de séance sont la retranscription fidèle des séances. Il ne s’agit en aucune façon de comptes rendus analytiques. La </w:t>
      </w:r>
      <w:r w:rsidRPr="00FF77B6">
        <w:rPr>
          <w:b/>
          <w:lang w:val="fr-FR"/>
        </w:rPr>
        <w:t>fidélité à l’original</w:t>
      </w:r>
      <w:r w:rsidRPr="00FE678A">
        <w:rPr>
          <w:u w:val="single"/>
          <w:lang w:val="fr-FR"/>
        </w:rPr>
        <w:t xml:space="preserve"> </w:t>
      </w:r>
      <w:r w:rsidRPr="00FE678A">
        <w:rPr>
          <w:lang w:val="fr-FR"/>
        </w:rPr>
        <w:t xml:space="preserve">est donc primordiale. La </w:t>
      </w:r>
      <w:r w:rsidRPr="00FF77B6">
        <w:rPr>
          <w:b/>
          <w:lang w:val="fr-FR"/>
        </w:rPr>
        <w:t>lisibilité</w:t>
      </w:r>
      <w:r w:rsidRPr="00FE678A">
        <w:rPr>
          <w:lang w:val="fr-FR"/>
        </w:rPr>
        <w:t xml:space="preserve"> et la </w:t>
      </w:r>
      <w:r w:rsidRPr="00FF77B6">
        <w:rPr>
          <w:b/>
          <w:lang w:val="fr-FR"/>
        </w:rPr>
        <w:t>fluidité</w:t>
      </w:r>
      <w:r w:rsidRPr="00FE678A">
        <w:rPr>
          <w:lang w:val="fr-FR"/>
        </w:rPr>
        <w:t xml:space="preserve"> de la version française sont aussi très importantes. </w:t>
      </w:r>
    </w:p>
    <w:p w14:paraId="14042B8E" w14:textId="77777777" w:rsidR="000D4DB8" w:rsidRDefault="000D4DB8" w:rsidP="00D95F19">
      <w:pPr>
        <w:jc w:val="both"/>
        <w:rPr>
          <w:lang w:val="fr-FR"/>
        </w:rPr>
      </w:pPr>
    </w:p>
    <w:p w14:paraId="2CA37739" w14:textId="10285B29" w:rsidR="000D4DB8" w:rsidRDefault="000D4DB8" w:rsidP="00D95F19">
      <w:pPr>
        <w:jc w:val="both"/>
      </w:pPr>
      <w:r>
        <w:tab/>
      </w:r>
      <w:r w:rsidRPr="004733EF">
        <w:t>Les intervenants s’adressent à des participants qui sont des experts des questions abordées. Lorsqu’ils interviennent de façon spontanée, ils procèdent souvent par allusions, à mots couverts, et pratiquent l’ellipse et l’art du raccourci et du sous-entendu avec grand bonheur. Il est donc important, pour traduire, d’essayer de comprendre ce qui n’est pas dit, afin de ne pas surinterpréter ni sous-traduire. En cas de doute, ne pas hésiter à consulter les réviseurs du domaine.</w:t>
      </w:r>
      <w:r>
        <w:t xml:space="preserve"> </w:t>
      </w:r>
    </w:p>
    <w:p w14:paraId="23D5A54B" w14:textId="77777777" w:rsidR="00C93DF9" w:rsidRDefault="00C93DF9" w:rsidP="00D95F19">
      <w:pPr>
        <w:jc w:val="both"/>
      </w:pPr>
    </w:p>
    <w:p w14:paraId="5DDC7145" w14:textId="5EA01A5B" w:rsidR="00C93DF9" w:rsidRDefault="00C93DF9" w:rsidP="00D95F19">
      <w:pPr>
        <w:jc w:val="both"/>
      </w:pPr>
      <w:r>
        <w:rPr>
          <w:lang w:val="fr-FR"/>
        </w:rPr>
        <w:tab/>
        <w:t xml:space="preserve">Dans le fonctionnement de la Conférence, la </w:t>
      </w:r>
      <w:r w:rsidRPr="00FF77B6">
        <w:rPr>
          <w:b/>
          <w:lang w:val="fr-FR"/>
        </w:rPr>
        <w:t>règle du consensus</w:t>
      </w:r>
      <w:r>
        <w:rPr>
          <w:lang w:val="fr-FR"/>
        </w:rPr>
        <w:t xml:space="preserve"> est déterminante. Elle fait l’objet de l’article 18 (</w:t>
      </w:r>
      <w:r w:rsidRPr="00D95F19">
        <w:rPr>
          <w:i/>
          <w:lang w:val="fr-FR"/>
        </w:rPr>
        <w:t>Conduite des travaux et prise de décisions - La Conférence conduit ses travaux et prend ses décisions sur la base du consensus</w:t>
      </w:r>
      <w:r>
        <w:rPr>
          <w:lang w:val="fr-FR"/>
        </w:rPr>
        <w:t xml:space="preserve">) du </w:t>
      </w:r>
      <w:r w:rsidRPr="00D95F19">
        <w:rPr>
          <w:b/>
          <w:lang w:val="fr-FR"/>
        </w:rPr>
        <w:t>Règlement intérieur</w:t>
      </w:r>
      <w:r>
        <w:rPr>
          <w:lang w:val="fr-FR"/>
        </w:rPr>
        <w:t xml:space="preserve">, dont la version la plus récente porte la cote </w:t>
      </w:r>
      <w:r w:rsidRPr="00D95F19">
        <w:rPr>
          <w:b/>
          <w:lang w:val="fr-FR"/>
        </w:rPr>
        <w:t>CD/8/Rev.</w:t>
      </w:r>
      <w:r w:rsidR="003A1E3B">
        <w:rPr>
          <w:b/>
          <w:lang w:val="fr-FR"/>
        </w:rPr>
        <w:t>10</w:t>
      </w:r>
      <w:r>
        <w:rPr>
          <w:lang w:val="fr-FR"/>
        </w:rPr>
        <w:t>.</w:t>
      </w:r>
      <w:r w:rsidRPr="00742370">
        <w:rPr>
          <w:rFonts w:asciiTheme="majorBidi" w:hAnsiTheme="majorBidi" w:cstheme="majorBidi"/>
          <w:i/>
          <w:iCs/>
          <w:color w:val="403152" w:themeColor="accent4" w:themeShade="80"/>
        </w:rPr>
        <w:t xml:space="preserve"> </w:t>
      </w:r>
      <w:r>
        <w:rPr>
          <w:lang w:val="fr-FR"/>
        </w:rPr>
        <w:t>Elle explique en grande partie le blocage dans lequel se trouve la Conférence depuis une vingtaine d</w:t>
      </w:r>
      <w:r w:rsidRPr="0027106C">
        <w:rPr>
          <w:lang w:val="fr-FR"/>
        </w:rPr>
        <w:t>’</w:t>
      </w:r>
      <w:r>
        <w:rPr>
          <w:lang w:val="fr-FR"/>
        </w:rPr>
        <w:t>années.</w:t>
      </w:r>
    </w:p>
    <w:p w14:paraId="700184E2" w14:textId="77777777" w:rsidR="00EF74B4" w:rsidRPr="00FE678A" w:rsidRDefault="00EF74B4" w:rsidP="00D95F19">
      <w:pPr>
        <w:jc w:val="both"/>
        <w:rPr>
          <w:lang w:val="fr-FR"/>
        </w:rPr>
      </w:pPr>
    </w:p>
    <w:p w14:paraId="39B743E0" w14:textId="5DC6A27A" w:rsidR="00EF74B4" w:rsidRDefault="00EF74B4" w:rsidP="00D95F19">
      <w:pPr>
        <w:jc w:val="both"/>
        <w:rPr>
          <w:lang w:val="fr-FR"/>
        </w:rPr>
      </w:pPr>
      <w:r w:rsidRPr="00FE678A">
        <w:rPr>
          <w:lang w:val="fr-FR"/>
        </w:rPr>
        <w:tab/>
        <w:t xml:space="preserve">Le stade de la </w:t>
      </w:r>
      <w:r w:rsidRPr="00FF77B6">
        <w:rPr>
          <w:b/>
          <w:lang w:val="fr-FR"/>
        </w:rPr>
        <w:t>dernière relecture attentive avec l’anglais</w:t>
      </w:r>
      <w:r w:rsidRPr="00FE678A">
        <w:rPr>
          <w:lang w:val="fr-FR"/>
        </w:rPr>
        <w:t xml:space="preserve"> est capital : rien ne doit manquer de ce qui figure dans la version anglaise compilée .</w:t>
      </w:r>
    </w:p>
    <w:p w14:paraId="5823F2E2" w14:textId="77777777" w:rsidR="00EF74B4" w:rsidRDefault="00EF74B4" w:rsidP="00D95F19">
      <w:pPr>
        <w:jc w:val="both"/>
        <w:rPr>
          <w:lang w:val="fr-FR"/>
        </w:rPr>
      </w:pPr>
    </w:p>
    <w:p w14:paraId="38691330" w14:textId="77777777" w:rsidR="009D55E4" w:rsidRPr="009D55E4" w:rsidRDefault="009D55E4" w:rsidP="0081043A">
      <w:pPr>
        <w:rPr>
          <w:b/>
          <w:color w:val="365F91" w:themeColor="accent1" w:themeShade="BF"/>
          <w:lang w:val="fr-FR"/>
        </w:rPr>
      </w:pPr>
      <w:r w:rsidRPr="009D55E4">
        <w:rPr>
          <w:b/>
          <w:color w:val="365F91" w:themeColor="accent1" w:themeShade="BF"/>
          <w:lang w:val="fr-FR"/>
        </w:rPr>
        <w:t>Les étapes qui précèdent la traduction :</w:t>
      </w:r>
    </w:p>
    <w:p w14:paraId="3211F5E0" w14:textId="77777777" w:rsidR="009D55E4" w:rsidRDefault="009D55E4" w:rsidP="0081043A">
      <w:pPr>
        <w:rPr>
          <w:lang w:val="fr-FR"/>
        </w:rPr>
      </w:pPr>
    </w:p>
    <w:p w14:paraId="76125941" w14:textId="77777777" w:rsidR="009D55E4" w:rsidRDefault="009D55E4" w:rsidP="00D95F19">
      <w:pPr>
        <w:jc w:val="both"/>
        <w:rPr>
          <w:lang w:val="fr-FR"/>
        </w:rPr>
      </w:pPr>
      <w:r w:rsidRPr="009D55E4">
        <w:rPr>
          <w:lang w:val="fr-FR"/>
        </w:rPr>
        <w:tab/>
      </w:r>
      <w:r w:rsidRPr="00FF77B6">
        <w:rPr>
          <w:b/>
          <w:lang w:val="fr-FR"/>
        </w:rPr>
        <w:t>Retranscription, par le pool</w:t>
      </w:r>
      <w:r>
        <w:rPr>
          <w:lang w:val="fr-FR"/>
        </w:rPr>
        <w:t xml:space="preserve"> de la section linguistique concernée, des enregistrements sonores des déclarations faites dans chacune des six langues (pour nous, retranscription par le pool français des déclarations faites en français par la France, l</w:t>
      </w:r>
      <w:r w:rsidRPr="006F537D">
        <w:rPr>
          <w:lang w:val="fr-FR"/>
        </w:rPr>
        <w:t>’</w:t>
      </w:r>
      <w:r>
        <w:rPr>
          <w:lang w:val="fr-FR"/>
        </w:rPr>
        <w:t>Algérie, le Maroc, la Tunisie, la Suisse, le Canada et toute autre délégation qui s</w:t>
      </w:r>
      <w:r w:rsidRPr="006F537D">
        <w:rPr>
          <w:lang w:val="fr-FR"/>
        </w:rPr>
        <w:t>’</w:t>
      </w:r>
      <w:r>
        <w:rPr>
          <w:lang w:val="fr-FR"/>
        </w:rPr>
        <w:t>est exprimée, intégralement ou pour partie, en français).</w:t>
      </w:r>
    </w:p>
    <w:p w14:paraId="38F70C5F" w14:textId="77777777" w:rsidR="009D55E4" w:rsidRDefault="009D55E4" w:rsidP="00D95F19">
      <w:pPr>
        <w:jc w:val="both"/>
        <w:rPr>
          <w:lang w:val="fr-FR"/>
        </w:rPr>
      </w:pPr>
    </w:p>
    <w:p w14:paraId="0C00ED40" w14:textId="0F03DBE0" w:rsidR="009D55E4" w:rsidRDefault="009D55E4" w:rsidP="00D95F19">
      <w:pPr>
        <w:jc w:val="both"/>
        <w:rPr>
          <w:lang w:val="fr-FR"/>
        </w:rPr>
      </w:pPr>
      <w:r>
        <w:rPr>
          <w:lang w:val="fr-FR"/>
        </w:rPr>
        <w:tab/>
      </w:r>
      <w:r w:rsidRPr="00FF77B6">
        <w:rPr>
          <w:b/>
          <w:lang w:val="fr-FR"/>
        </w:rPr>
        <w:t>Édition du texte retranscrit</w:t>
      </w:r>
      <w:r>
        <w:rPr>
          <w:lang w:val="fr-FR"/>
        </w:rPr>
        <w:t xml:space="preserve"> - La consultation du site de la Section permet de se faire une idée </w:t>
      </w:r>
      <w:r w:rsidR="0091077A">
        <w:rPr>
          <w:lang w:val="fr-FR"/>
        </w:rPr>
        <w:t>du</w:t>
      </w:r>
      <w:r>
        <w:rPr>
          <w:lang w:val="fr-FR"/>
        </w:rPr>
        <w:t xml:space="preserve"> travail d</w:t>
      </w:r>
      <w:r w:rsidRPr="00FC52C6">
        <w:rPr>
          <w:lang w:val="fr-FR"/>
        </w:rPr>
        <w:t>’</w:t>
      </w:r>
      <w:r>
        <w:rPr>
          <w:lang w:val="fr-FR"/>
        </w:rPr>
        <w:t>édition</w:t>
      </w:r>
      <w:r w:rsidR="00EF74B4">
        <w:rPr>
          <w:lang w:val="fr-FR"/>
        </w:rPr>
        <w:t xml:space="preserve"> </w:t>
      </w:r>
      <w:r w:rsidR="0091077A">
        <w:rPr>
          <w:lang w:val="fr-FR"/>
        </w:rPr>
        <w:t xml:space="preserve">des « Part of » français </w:t>
      </w:r>
      <w:r w:rsidR="00EF74B4">
        <w:rPr>
          <w:lang w:val="fr-FR"/>
        </w:rPr>
        <w:t>(page Désarmement, Consignes, Édition des « Part of » des PV)</w:t>
      </w:r>
      <w:r>
        <w:rPr>
          <w:lang w:val="fr-FR"/>
        </w:rPr>
        <w:t xml:space="preserve">. </w:t>
      </w:r>
    </w:p>
    <w:p w14:paraId="1A9A5A23" w14:textId="77777777" w:rsidR="009D55E4" w:rsidRDefault="009D55E4" w:rsidP="00D95F19">
      <w:pPr>
        <w:jc w:val="both"/>
        <w:rPr>
          <w:lang w:val="fr-FR"/>
        </w:rPr>
      </w:pPr>
    </w:p>
    <w:p w14:paraId="2E80B8CC" w14:textId="1DABB9C6" w:rsidR="009D55E4" w:rsidRDefault="009D55E4" w:rsidP="00D95F19">
      <w:pPr>
        <w:jc w:val="both"/>
        <w:rPr>
          <w:lang w:val="fr-FR"/>
        </w:rPr>
      </w:pPr>
      <w:r>
        <w:rPr>
          <w:lang w:val="fr-FR"/>
        </w:rPr>
        <w:tab/>
        <w:t xml:space="preserve">Une fois toutes les parties </w:t>
      </w:r>
      <w:r w:rsidR="0091077A">
        <w:rPr>
          <w:lang w:val="fr-FR"/>
        </w:rPr>
        <w:t>« </w:t>
      </w:r>
      <w:r>
        <w:rPr>
          <w:lang w:val="fr-FR"/>
        </w:rPr>
        <w:t>Part of</w:t>
      </w:r>
      <w:r w:rsidR="0091077A">
        <w:rPr>
          <w:lang w:val="fr-FR"/>
        </w:rPr>
        <w:t xml:space="preserve"> » </w:t>
      </w:r>
      <w:r>
        <w:rPr>
          <w:lang w:val="fr-FR"/>
        </w:rPr>
        <w:t>éditées, la Section anglaise de traduction traduit</w:t>
      </w:r>
      <w:r w:rsidR="0091077A">
        <w:rPr>
          <w:lang w:val="fr-FR"/>
        </w:rPr>
        <w:t xml:space="preserve"> en anglais</w:t>
      </w:r>
      <w:r>
        <w:rPr>
          <w:lang w:val="fr-FR"/>
        </w:rPr>
        <w:t xml:space="preserve"> les parties </w:t>
      </w:r>
      <w:r w:rsidR="0091077A">
        <w:rPr>
          <w:lang w:val="fr-FR"/>
        </w:rPr>
        <w:t xml:space="preserve">qui sont en </w:t>
      </w:r>
      <w:r>
        <w:rPr>
          <w:lang w:val="fr-FR"/>
        </w:rPr>
        <w:t xml:space="preserve">arabe, chinois, espagnol, français et/ou russe, établit une </w:t>
      </w:r>
      <w:r w:rsidRPr="00FF77B6">
        <w:rPr>
          <w:b/>
          <w:lang w:val="fr-FR"/>
        </w:rPr>
        <w:t>version dite « compilée » en anglais</w:t>
      </w:r>
      <w:r>
        <w:rPr>
          <w:lang w:val="fr-FR"/>
        </w:rPr>
        <w:t xml:space="preserve">, et la soumet pour traduction à toutes les autres sections. </w:t>
      </w:r>
    </w:p>
    <w:p w14:paraId="1B3E39E9" w14:textId="77777777" w:rsidR="009D55E4" w:rsidRDefault="009D55E4" w:rsidP="00D95F19">
      <w:pPr>
        <w:jc w:val="both"/>
        <w:rPr>
          <w:lang w:val="fr-FR"/>
        </w:rPr>
      </w:pPr>
    </w:p>
    <w:p w14:paraId="16C8D770" w14:textId="1A123FDD" w:rsidR="00801CAF" w:rsidRDefault="009D55E4" w:rsidP="00D95F19">
      <w:pPr>
        <w:jc w:val="both"/>
        <w:rPr>
          <w:lang w:val="fr-FR"/>
        </w:rPr>
      </w:pPr>
      <w:r>
        <w:rPr>
          <w:lang w:val="fr-FR"/>
        </w:rPr>
        <w:tab/>
        <w:t>C</w:t>
      </w:r>
      <w:r w:rsidRPr="00FC52C6">
        <w:rPr>
          <w:lang w:val="fr-FR"/>
        </w:rPr>
        <w:t>’</w:t>
      </w:r>
      <w:r>
        <w:rPr>
          <w:lang w:val="fr-FR"/>
        </w:rPr>
        <w:t xml:space="preserve">est à ce stade que nous intervenons. </w:t>
      </w:r>
      <w:r w:rsidRPr="00FF77B6">
        <w:rPr>
          <w:b/>
          <w:lang w:val="fr-FR"/>
        </w:rPr>
        <w:t>Nous traduisons le procès-verbal à partir de la version compilée anglaise</w:t>
      </w:r>
      <w:r>
        <w:rPr>
          <w:lang w:val="fr-FR"/>
        </w:rPr>
        <w:t xml:space="preserve">, </w:t>
      </w:r>
      <w:r w:rsidRPr="00FF77B6">
        <w:rPr>
          <w:b/>
          <w:lang w:val="fr-FR"/>
        </w:rPr>
        <w:t>en reprenant les parties en original français</w:t>
      </w:r>
      <w:r w:rsidR="00801CAF" w:rsidRPr="00FF77B6">
        <w:rPr>
          <w:b/>
          <w:lang w:val="fr-FR"/>
        </w:rPr>
        <w:t xml:space="preserve"> (« Part of »)</w:t>
      </w:r>
      <w:r>
        <w:rPr>
          <w:lang w:val="fr-FR"/>
        </w:rPr>
        <w:t xml:space="preserve">, sous leur forme éditée, </w:t>
      </w:r>
      <w:r w:rsidR="00A502B1" w:rsidRPr="00745F2C">
        <w:rPr>
          <w:lang w:val="fr-FR"/>
        </w:rPr>
        <w:t xml:space="preserve">présentes </w:t>
      </w:r>
      <w:r w:rsidRPr="009A4451">
        <w:rPr>
          <w:lang w:val="fr-FR"/>
        </w:rPr>
        <w:t>dans le Filedesk</w:t>
      </w:r>
      <w:r w:rsidR="00DA6485" w:rsidRPr="00A5610F">
        <w:rPr>
          <w:lang w:val="fr-FR"/>
        </w:rPr>
        <w:t xml:space="preserve"> </w:t>
      </w:r>
      <w:r w:rsidR="00DA6485" w:rsidRPr="00742370">
        <w:rPr>
          <w:lang w:val="fr-FR"/>
        </w:rPr>
        <w:t>(dans l</w:t>
      </w:r>
      <w:r w:rsidR="004007E5" w:rsidRPr="00742370">
        <w:rPr>
          <w:lang w:val="fr-FR"/>
        </w:rPr>
        <w:t>e Document Explorer d</w:t>
      </w:r>
      <w:r w:rsidR="00DA6485" w:rsidRPr="00745F2C">
        <w:rPr>
          <w:lang w:val="fr-FR"/>
        </w:rPr>
        <w:t>e</w:t>
      </w:r>
      <w:r w:rsidR="00DA6485" w:rsidRPr="009A4451">
        <w:rPr>
          <w:lang w:val="fr-FR"/>
        </w:rPr>
        <w:t xml:space="preserve"> CMA pour les traducteurs de la </w:t>
      </w:r>
      <w:r w:rsidR="00DA6485" w:rsidRPr="00A5610F">
        <w:rPr>
          <w:lang w:val="fr-FR"/>
        </w:rPr>
        <w:t>Contractuel</w:t>
      </w:r>
      <w:r w:rsidR="00DA6485" w:rsidRPr="00742370">
        <w:rPr>
          <w:lang w:val="fr-FR"/>
        </w:rPr>
        <w:t>le)</w:t>
      </w:r>
      <w:r w:rsidRPr="00D47F0B">
        <w:rPr>
          <w:lang w:val="fr-FR"/>
        </w:rPr>
        <w:t>.</w:t>
      </w:r>
      <w:r>
        <w:rPr>
          <w:lang w:val="fr-FR"/>
        </w:rPr>
        <w:t xml:space="preserve"> </w:t>
      </w:r>
      <w:r w:rsidR="00801CAF">
        <w:rPr>
          <w:lang w:val="fr-FR"/>
        </w:rPr>
        <w:t xml:space="preserve">Au stade </w:t>
      </w:r>
      <w:r w:rsidR="00C4711D">
        <w:rPr>
          <w:lang w:val="fr-FR"/>
        </w:rPr>
        <w:t xml:space="preserve">de </w:t>
      </w:r>
      <w:r w:rsidR="00801CAF">
        <w:rPr>
          <w:lang w:val="fr-FR"/>
        </w:rPr>
        <w:t xml:space="preserve">la compilation, la structure </w:t>
      </w:r>
      <w:r w:rsidR="00FF77B6">
        <w:rPr>
          <w:lang w:val="fr-FR"/>
        </w:rPr>
        <w:t xml:space="preserve">(organisation des paragraphes) </w:t>
      </w:r>
      <w:r w:rsidR="00801CAF">
        <w:rPr>
          <w:lang w:val="fr-FR"/>
        </w:rPr>
        <w:t xml:space="preserve">du Part of FR peut avoir été modifiée. Il nous faut alors adapter le Part of FR repris à la nouvelle structure. </w:t>
      </w:r>
    </w:p>
    <w:p w14:paraId="68049EC8" w14:textId="77777777" w:rsidR="00801CAF" w:rsidRDefault="00801CAF" w:rsidP="00D95F19">
      <w:pPr>
        <w:jc w:val="both"/>
        <w:rPr>
          <w:lang w:val="fr-FR"/>
        </w:rPr>
      </w:pPr>
    </w:p>
    <w:p w14:paraId="3D406448" w14:textId="4FC1EFC8" w:rsidR="009D55E4" w:rsidRDefault="00FF77B6" w:rsidP="00D95F19">
      <w:pPr>
        <w:jc w:val="both"/>
        <w:rPr>
          <w:lang w:val="fr-FR"/>
        </w:rPr>
      </w:pPr>
      <w:r>
        <w:rPr>
          <w:lang w:val="fr-FR"/>
        </w:rPr>
        <w:tab/>
      </w:r>
      <w:r w:rsidR="00801CAF">
        <w:rPr>
          <w:lang w:val="fr-FR"/>
        </w:rPr>
        <w:t xml:space="preserve">Dans le Filedesk </w:t>
      </w:r>
      <w:r w:rsidR="00011D4C">
        <w:rPr>
          <w:lang w:val="fr-FR"/>
        </w:rPr>
        <w:t xml:space="preserve">(gDoc) ou le Document Explorer (CMA) </w:t>
      </w:r>
      <w:r w:rsidR="00801CAF">
        <w:rPr>
          <w:lang w:val="fr-FR"/>
        </w:rPr>
        <w:t>se trouvent également l</w:t>
      </w:r>
      <w:r w:rsidR="009D55E4">
        <w:rPr>
          <w:lang w:val="fr-FR"/>
        </w:rPr>
        <w:t xml:space="preserve">es </w:t>
      </w:r>
      <w:r>
        <w:rPr>
          <w:lang w:val="fr-FR"/>
        </w:rPr>
        <w:t>fichiers</w:t>
      </w:r>
      <w:r w:rsidR="009D55E4">
        <w:rPr>
          <w:lang w:val="fr-FR"/>
        </w:rPr>
        <w:t xml:space="preserve"> Part of dans les autres langues</w:t>
      </w:r>
      <w:r>
        <w:rPr>
          <w:lang w:val="fr-FR"/>
        </w:rPr>
        <w:t> ; ils peuvent être consultés</w:t>
      </w:r>
      <w:r w:rsidR="009D55E4">
        <w:rPr>
          <w:lang w:val="fr-FR"/>
        </w:rPr>
        <w:t xml:space="preserve"> pour lever les doutes en cas d</w:t>
      </w:r>
      <w:r w:rsidR="009D55E4" w:rsidRPr="00833563">
        <w:rPr>
          <w:lang w:val="fr-FR"/>
        </w:rPr>
        <w:t>’</w:t>
      </w:r>
      <w:r w:rsidR="009D55E4">
        <w:rPr>
          <w:lang w:val="fr-FR"/>
        </w:rPr>
        <w:t xml:space="preserve">ambiguïté en anglais. </w:t>
      </w:r>
    </w:p>
    <w:p w14:paraId="707F8647" w14:textId="2BFFA870" w:rsidR="00FE678A" w:rsidRDefault="00FE678A" w:rsidP="00D95F19">
      <w:pPr>
        <w:jc w:val="both"/>
        <w:rPr>
          <w:lang w:val="fr-FR"/>
        </w:rPr>
      </w:pPr>
      <w:r>
        <w:rPr>
          <w:lang w:val="fr-FR"/>
        </w:rPr>
        <w:tab/>
      </w:r>
    </w:p>
    <w:p w14:paraId="674F39A4" w14:textId="6002A9D5" w:rsidR="00FE678A" w:rsidRDefault="00FE678A" w:rsidP="00D95F19">
      <w:pPr>
        <w:jc w:val="both"/>
        <w:rPr>
          <w:lang w:val="fr-FR"/>
        </w:rPr>
      </w:pPr>
      <w:r>
        <w:rPr>
          <w:lang w:val="fr-FR"/>
        </w:rPr>
        <w:tab/>
        <w:t>Il peut arriver, dans la version compilée, qu</w:t>
      </w:r>
      <w:r w:rsidRPr="00622733">
        <w:rPr>
          <w:lang w:val="fr-FR"/>
        </w:rPr>
        <w:t>’</w:t>
      </w:r>
      <w:r>
        <w:rPr>
          <w:lang w:val="fr-FR"/>
        </w:rPr>
        <w:t xml:space="preserve">un </w:t>
      </w:r>
      <w:r w:rsidRPr="00FF77B6">
        <w:rPr>
          <w:b/>
          <w:lang w:val="fr-FR"/>
        </w:rPr>
        <w:t>sigle</w:t>
      </w:r>
      <w:r>
        <w:rPr>
          <w:lang w:val="fr-FR"/>
        </w:rPr>
        <w:t xml:space="preserve"> (ou </w:t>
      </w:r>
      <w:r w:rsidR="00A502B1">
        <w:rPr>
          <w:lang w:val="fr-FR"/>
        </w:rPr>
        <w:t xml:space="preserve">une </w:t>
      </w:r>
      <w:r>
        <w:rPr>
          <w:lang w:val="fr-FR"/>
        </w:rPr>
        <w:t>abréviation) soit employé sans avoir été développé, ou qu</w:t>
      </w:r>
      <w:r w:rsidRPr="00622733">
        <w:rPr>
          <w:lang w:val="fr-FR"/>
        </w:rPr>
        <w:t>’</w:t>
      </w:r>
      <w:r>
        <w:rPr>
          <w:lang w:val="fr-FR"/>
        </w:rPr>
        <w:t>un titre d</w:t>
      </w:r>
      <w:r w:rsidRPr="00622733">
        <w:rPr>
          <w:lang w:val="fr-FR"/>
        </w:rPr>
        <w:t>’</w:t>
      </w:r>
      <w:r>
        <w:rPr>
          <w:lang w:val="fr-FR"/>
        </w:rPr>
        <w:t>instrument ou autre intitulé officiel soit cité de façon incomplète. Il nous appartient de rétablir le bon intitulé et de développer le sigle une première fois. L</w:t>
      </w:r>
      <w:r w:rsidRPr="005C63B3">
        <w:rPr>
          <w:lang w:val="fr-FR"/>
        </w:rPr>
        <w:t>’</w:t>
      </w:r>
      <w:r>
        <w:rPr>
          <w:lang w:val="fr-FR"/>
        </w:rPr>
        <w:t>abréviation « </w:t>
      </w:r>
      <w:r w:rsidRPr="00FF77B6">
        <w:rPr>
          <w:b/>
          <w:lang w:val="fr-FR"/>
        </w:rPr>
        <w:t>CD</w:t>
      </w:r>
      <w:r>
        <w:rPr>
          <w:lang w:val="fr-FR"/>
        </w:rPr>
        <w:t xml:space="preserve"> » en particulier peut avoir été conservée en anglais. Nous ne pouvons en aucune façon la laisser dans la version française et devons </w:t>
      </w:r>
      <w:r w:rsidR="00A502B1">
        <w:rPr>
          <w:lang w:val="fr-FR"/>
        </w:rPr>
        <w:t xml:space="preserve">la </w:t>
      </w:r>
      <w:r>
        <w:rPr>
          <w:lang w:val="fr-FR"/>
        </w:rPr>
        <w:t xml:space="preserve">remplacer systématiquement par « Conférence du désarmement ». </w:t>
      </w:r>
    </w:p>
    <w:p w14:paraId="5FC2E039" w14:textId="0553D66E" w:rsidR="00FE678A" w:rsidRDefault="00FE678A" w:rsidP="00FE678A">
      <w:pPr>
        <w:rPr>
          <w:lang w:val="fr-FR"/>
        </w:rPr>
      </w:pPr>
    </w:p>
    <w:p w14:paraId="40F9B974" w14:textId="43A1CE8F" w:rsidR="00FE678A" w:rsidRDefault="00FE678A" w:rsidP="00C93DF9">
      <w:r>
        <w:t xml:space="preserve"> </w:t>
      </w:r>
    </w:p>
    <w:p w14:paraId="4390F127" w14:textId="77777777" w:rsidR="00F92C50" w:rsidRPr="00300920" w:rsidRDefault="00F92C50"/>
    <w:p w14:paraId="474C7AB8" w14:textId="77777777" w:rsidR="00FE678A" w:rsidRDefault="00FE678A" w:rsidP="00FE678A"/>
    <w:p w14:paraId="724956BB" w14:textId="77777777" w:rsidR="00FE678A" w:rsidRDefault="00FE678A" w:rsidP="0081043A">
      <w:pPr>
        <w:rPr>
          <w:lang w:val="fr-FR"/>
        </w:rPr>
      </w:pPr>
    </w:p>
    <w:p w14:paraId="19BEE6BD" w14:textId="77777777" w:rsidR="00E8490A" w:rsidRPr="00E8490A" w:rsidRDefault="00E8490A" w:rsidP="0081043A">
      <w:pPr>
        <w:rPr>
          <w:b/>
          <w:color w:val="FF0000"/>
          <w:sz w:val="24"/>
          <w:szCs w:val="24"/>
          <w:u w:val="single"/>
          <w:lang w:val="fr-FR"/>
        </w:rPr>
      </w:pPr>
      <w:r w:rsidRPr="00E8490A">
        <w:rPr>
          <w:b/>
          <w:color w:val="FF0000"/>
          <w:sz w:val="24"/>
          <w:szCs w:val="24"/>
          <w:u w:val="single"/>
          <w:lang w:val="fr-FR"/>
        </w:rPr>
        <w:t>II. La traduction des CD/PV en pratique</w:t>
      </w:r>
    </w:p>
    <w:p w14:paraId="4BA69AF5" w14:textId="77777777" w:rsidR="00E8490A" w:rsidRDefault="00E8490A" w:rsidP="0081043A">
      <w:pPr>
        <w:rPr>
          <w:lang w:val="fr-FR"/>
        </w:rPr>
      </w:pPr>
    </w:p>
    <w:p w14:paraId="2293CFB4" w14:textId="2E946935" w:rsidR="00E8490A" w:rsidRPr="001B5715" w:rsidRDefault="00E8490A" w:rsidP="0081043A">
      <w:pPr>
        <w:rPr>
          <w:b/>
          <w:color w:val="365F91" w:themeColor="accent1" w:themeShade="BF"/>
          <w:lang w:val="fr-FR"/>
        </w:rPr>
      </w:pPr>
      <w:r w:rsidRPr="00E8490A">
        <w:rPr>
          <w:b/>
          <w:color w:val="365F91" w:themeColor="accent1" w:themeShade="BF"/>
          <w:lang w:val="fr-FR"/>
        </w:rPr>
        <w:t>La page de garde </w:t>
      </w:r>
    </w:p>
    <w:p w14:paraId="1B93F72C" w14:textId="088FA5B3" w:rsidR="00E8490A" w:rsidRPr="004B254E" w:rsidRDefault="001B5715" w:rsidP="00D95F19">
      <w:pPr>
        <w:spacing w:before="240"/>
        <w:jc w:val="both"/>
      </w:pPr>
      <w:r>
        <w:tab/>
      </w:r>
      <w:r w:rsidR="00E8490A">
        <w:t xml:space="preserve">Dans l’encadré, </w:t>
      </w:r>
      <w:r w:rsidR="00E8490A" w:rsidRPr="0091529B">
        <w:rPr>
          <w:b/>
        </w:rPr>
        <w:t>ne mentionner que la langue « Français »</w:t>
      </w:r>
      <w:r w:rsidR="00E8490A">
        <w:t xml:space="preserve"> - particularité des documents CD/PV : chaque version linguistique est considérée </w:t>
      </w:r>
      <w:r w:rsidR="00E8490A" w:rsidRPr="004B254E">
        <w:t>comme un original …</w:t>
      </w:r>
    </w:p>
    <w:p w14:paraId="7D62DC2C" w14:textId="2AEE802A" w:rsidR="00E8490A" w:rsidRDefault="001B5715" w:rsidP="00D95F19">
      <w:pPr>
        <w:spacing w:before="240"/>
        <w:jc w:val="both"/>
      </w:pPr>
      <w:r w:rsidRPr="004B254E">
        <w:rPr>
          <w:b/>
        </w:rPr>
        <w:tab/>
      </w:r>
      <w:r w:rsidR="00E8490A" w:rsidRPr="004B254E">
        <w:t xml:space="preserve">Aucune marque de ponctuation après la </w:t>
      </w:r>
      <w:r w:rsidR="00E8490A" w:rsidRPr="0091529B">
        <w:rPr>
          <w:b/>
        </w:rPr>
        <w:t>mention de l’heure</w:t>
      </w:r>
      <w:r w:rsidR="00E8490A" w:rsidRPr="004B254E">
        <w:t xml:space="preserve"> (« Tenue au Palais des Nations, à Genève, le mardi </w:t>
      </w:r>
      <w:r w:rsidR="00915261">
        <w:t>20</w:t>
      </w:r>
      <w:r w:rsidR="00E8490A" w:rsidRPr="004B254E">
        <w:t xml:space="preserve"> mars </w:t>
      </w:r>
      <w:r w:rsidR="00915261">
        <w:t>2019</w:t>
      </w:r>
      <w:r w:rsidR="00E8490A" w:rsidRPr="004B254E">
        <w:t xml:space="preserve">, à </w:t>
      </w:r>
      <w:r w:rsidR="00E8490A" w:rsidRPr="004B254E">
        <w:rPr>
          <w:b/>
        </w:rPr>
        <w:t>10 h 5</w:t>
      </w:r>
      <w:r w:rsidR="00E8490A" w:rsidRPr="004B254E">
        <w:t> »).</w:t>
      </w:r>
      <w:r w:rsidR="004B254E">
        <w:t xml:space="preserve"> </w:t>
      </w:r>
      <w:r w:rsidR="00E8490A" w:rsidRPr="004B254E">
        <w:t xml:space="preserve">En cas de doute sur </w:t>
      </w:r>
      <w:r w:rsidR="00E8490A" w:rsidRPr="006D5933">
        <w:t xml:space="preserve">l'heure, le </w:t>
      </w:r>
      <w:r w:rsidR="00E8490A" w:rsidRPr="004B254E">
        <w:t xml:space="preserve">document « List of speakers » </w:t>
      </w:r>
      <w:r w:rsidR="00A502B1">
        <w:t>à disposition</w:t>
      </w:r>
      <w:r w:rsidR="00A502B1" w:rsidRPr="006D5933">
        <w:t xml:space="preserve"> </w:t>
      </w:r>
      <w:r w:rsidR="00E8490A" w:rsidRPr="006D5933">
        <w:t xml:space="preserve">dans le </w:t>
      </w:r>
      <w:r w:rsidR="00B56E8F">
        <w:t>F</w:t>
      </w:r>
      <w:r w:rsidR="00E8490A" w:rsidRPr="006D5933">
        <w:t>iledesk (g</w:t>
      </w:r>
      <w:r w:rsidR="004854C8">
        <w:t>D</w:t>
      </w:r>
      <w:r w:rsidR="00E8490A" w:rsidRPr="006D5933">
        <w:t xml:space="preserve">oc) </w:t>
      </w:r>
      <w:r w:rsidR="002B2AAE">
        <w:t xml:space="preserve">ou dans le Document Explorer (CMA) </w:t>
      </w:r>
      <w:r w:rsidR="00E8490A" w:rsidRPr="006D5933">
        <w:t>renseigne utilement sur l'heure exacte à laquelle la s</w:t>
      </w:r>
      <w:r w:rsidR="00E8490A">
        <w:t>éance a débuté et s'est achevée.</w:t>
      </w:r>
    </w:p>
    <w:p w14:paraId="54A579FF" w14:textId="77777777" w:rsidR="00E8490A" w:rsidRDefault="00E8490A" w:rsidP="00D95F19">
      <w:pPr>
        <w:spacing w:before="240"/>
        <w:jc w:val="both"/>
      </w:pPr>
      <w:r>
        <w:t>Pour mémoire : [</w:t>
      </w:r>
      <w:r w:rsidRPr="003D2486">
        <w:rPr>
          <w:i/>
        </w:rPr>
        <w:t>extrait de la « bible du pool », page 230</w:t>
      </w:r>
      <w:r>
        <w:t>]</w:t>
      </w:r>
    </w:p>
    <w:p w14:paraId="6B4608C5" w14:textId="77777777" w:rsidR="00E8490A" w:rsidRDefault="00E8490A" w:rsidP="00E849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8"/>
          <w:lang w:val="fr-FR"/>
        </w:rPr>
      </w:pPr>
    </w:p>
    <w:p w14:paraId="78CB654C" w14:textId="45F3C91B" w:rsidR="00E8490A" w:rsidRPr="003D2486" w:rsidRDefault="0091529B" w:rsidP="00E849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834" w:right="1260" w:hanging="1267"/>
        <w:rPr>
          <w:sz w:val="18"/>
          <w:lang w:val="fr-FR"/>
        </w:rPr>
      </w:pPr>
      <w:r>
        <w:rPr>
          <w:sz w:val="18"/>
          <w:lang w:val="fr-FR"/>
        </w:rPr>
        <w:tab/>
      </w:r>
      <w:r>
        <w:rPr>
          <w:sz w:val="18"/>
          <w:lang w:val="fr-FR"/>
        </w:rPr>
        <w:tab/>
      </w:r>
      <w:r w:rsidR="00E8490A" w:rsidRPr="003D2486">
        <w:rPr>
          <w:sz w:val="18"/>
          <w:lang w:val="fr-FR"/>
        </w:rPr>
        <w:t>Heures</w:t>
      </w:r>
    </w:p>
    <w:p w14:paraId="2DFA1F01" w14:textId="77777777" w:rsidR="00E8490A" w:rsidRPr="003D2486" w:rsidRDefault="00E8490A" w:rsidP="00E8490A">
      <w:pPr>
        <w:pStyle w:val="SingleTxt"/>
        <w:spacing w:after="0" w:line="120" w:lineRule="exact"/>
        <w:ind w:left="1834"/>
        <w:jc w:val="left"/>
        <w:rPr>
          <w:b/>
          <w:bCs/>
          <w:szCs w:val="18"/>
          <w:lang w:val="fr-FR"/>
        </w:rPr>
      </w:pPr>
    </w:p>
    <w:p w14:paraId="6F842FB8" w14:textId="77777777" w:rsidR="00E8490A" w:rsidRPr="003D2486" w:rsidRDefault="00E8490A" w:rsidP="00E8490A">
      <w:pPr>
        <w:pStyle w:val="SingleTxt"/>
        <w:spacing w:after="0" w:line="120" w:lineRule="exact"/>
        <w:ind w:left="1831" w:right="1264"/>
        <w:jc w:val="left"/>
        <w:rPr>
          <w:b/>
          <w:bCs/>
          <w:szCs w:val="18"/>
          <w:lang w:val="fr-FR"/>
        </w:rPr>
      </w:pPr>
    </w:p>
    <w:p w14:paraId="3D279530" w14:textId="77777777" w:rsidR="00E8490A" w:rsidRPr="003D2486" w:rsidRDefault="00E8490A" w:rsidP="00E8490A">
      <w:pPr>
        <w:pStyle w:val="SingleTxt"/>
        <w:spacing w:before="40" w:after="40" w:line="220" w:lineRule="exact"/>
        <w:ind w:left="1834"/>
        <w:jc w:val="left"/>
        <w:rPr>
          <w:i/>
          <w:iCs/>
          <w:szCs w:val="18"/>
          <w:lang w:val="fr-FR"/>
        </w:rPr>
      </w:pPr>
      <w:r w:rsidRPr="003D2486">
        <w:rPr>
          <w:i/>
          <w:iCs/>
          <w:szCs w:val="18"/>
          <w:lang w:val="fr-FR"/>
        </w:rPr>
        <w:tab/>
        <w:t>Ce mot ne s’écrit en entier que lorsqu’il n’est pas suivi d’un nombre de minutes </w:t>
      </w:r>
      <w:r w:rsidRPr="003D2486">
        <w:rPr>
          <w:iCs/>
          <w:szCs w:val="18"/>
          <w:lang w:val="fr-FR"/>
        </w:rPr>
        <w:t>:</w:t>
      </w:r>
    </w:p>
    <w:p w14:paraId="32932948" w14:textId="77777777" w:rsidR="00E8490A" w:rsidRPr="003D2486" w:rsidRDefault="00E8490A" w:rsidP="00E84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2372" w:hanging="538"/>
        <w:jc w:val="left"/>
        <w:rPr>
          <w:szCs w:val="18"/>
          <w:lang w:val="fr-FR"/>
        </w:rPr>
      </w:pPr>
      <w:r w:rsidRPr="003D2486">
        <w:rPr>
          <w:szCs w:val="18"/>
          <w:lang w:val="fr-FR"/>
        </w:rPr>
        <w:sym w:font="Webdings" w:char="F034"/>
      </w:r>
      <w:r w:rsidRPr="003D2486">
        <w:rPr>
          <w:szCs w:val="18"/>
          <w:lang w:val="fr-FR"/>
        </w:rPr>
        <w:tab/>
        <w:t>7 heures; 21 heures</w:t>
      </w:r>
    </w:p>
    <w:p w14:paraId="52A376A3" w14:textId="77777777" w:rsidR="00E8490A" w:rsidRPr="003D2486" w:rsidRDefault="00E8490A" w:rsidP="00E84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2372" w:hanging="538"/>
        <w:jc w:val="left"/>
        <w:rPr>
          <w:szCs w:val="18"/>
          <w:lang w:val="fr-FR"/>
        </w:rPr>
      </w:pPr>
      <w:r w:rsidRPr="003D2486">
        <w:rPr>
          <w:szCs w:val="18"/>
          <w:lang w:val="fr-FR"/>
        </w:rPr>
        <w:sym w:font="Webdings" w:char="F034"/>
      </w:r>
      <w:r w:rsidRPr="003D2486">
        <w:rPr>
          <w:szCs w:val="18"/>
          <w:lang w:val="fr-FR"/>
        </w:rPr>
        <w:tab/>
        <w:t xml:space="preserve">de 10 heures à 13 heures </w:t>
      </w:r>
      <w:r w:rsidRPr="003D2486">
        <w:rPr>
          <w:i/>
          <w:szCs w:val="18"/>
          <w:lang w:val="fr-FR"/>
        </w:rPr>
        <w:t>OU</w:t>
      </w:r>
      <w:r w:rsidRPr="003D2486">
        <w:rPr>
          <w:szCs w:val="18"/>
          <w:lang w:val="fr-FR"/>
        </w:rPr>
        <w:t xml:space="preserve"> 10 heures-13 heures (selon le souhait de la traduction)</w:t>
      </w:r>
    </w:p>
    <w:p w14:paraId="640B2FFE" w14:textId="77777777" w:rsidR="00E8490A" w:rsidRPr="003D2486" w:rsidRDefault="00E8490A" w:rsidP="00E84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after="0" w:line="120" w:lineRule="exact"/>
        <w:ind w:left="2372" w:hanging="538"/>
        <w:jc w:val="left"/>
        <w:rPr>
          <w:szCs w:val="18"/>
          <w:lang w:val="fr-FR"/>
        </w:rPr>
      </w:pPr>
    </w:p>
    <w:p w14:paraId="1C3D08E1" w14:textId="77777777" w:rsidR="00E8490A" w:rsidRPr="003D2486" w:rsidRDefault="00E8490A" w:rsidP="00E84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2372" w:hanging="538"/>
        <w:jc w:val="left"/>
        <w:rPr>
          <w:szCs w:val="18"/>
          <w:lang w:val="fr-FR"/>
        </w:rPr>
      </w:pPr>
      <w:r w:rsidRPr="003D2486">
        <w:rPr>
          <w:i/>
          <w:iCs/>
          <w:szCs w:val="18"/>
          <w:lang w:val="fr-FR"/>
        </w:rPr>
        <w:tab/>
        <w:t>Mais</w:t>
      </w:r>
      <w:r w:rsidRPr="003D2486">
        <w:rPr>
          <w:szCs w:val="18"/>
          <w:lang w:val="fr-FR"/>
        </w:rPr>
        <w:t> : 21 h 10</w:t>
      </w:r>
    </w:p>
    <w:p w14:paraId="6C8A5EE7" w14:textId="77777777" w:rsidR="00E8490A" w:rsidRPr="003D2486" w:rsidRDefault="00E8490A" w:rsidP="00E8490A">
      <w:pPr>
        <w:pStyle w:val="SingleTxt"/>
        <w:spacing w:after="0" w:line="120" w:lineRule="exact"/>
        <w:ind w:left="1834"/>
        <w:jc w:val="left"/>
        <w:rPr>
          <w:i/>
          <w:iCs/>
          <w:szCs w:val="18"/>
          <w:lang w:val="fr-FR"/>
        </w:rPr>
      </w:pPr>
    </w:p>
    <w:p w14:paraId="1367A27B" w14:textId="77777777" w:rsidR="00E8490A" w:rsidRPr="003D2486" w:rsidRDefault="00E8490A" w:rsidP="00E8490A">
      <w:pPr>
        <w:pStyle w:val="SingleTxt"/>
        <w:spacing w:before="40" w:after="40" w:line="220" w:lineRule="exact"/>
        <w:ind w:left="1834"/>
        <w:rPr>
          <w:b/>
          <w:i/>
          <w:iCs/>
          <w:color w:val="7030A0"/>
          <w:szCs w:val="18"/>
          <w:lang w:val="fr-FR"/>
        </w:rPr>
      </w:pPr>
      <w:r w:rsidRPr="003D2486">
        <w:rPr>
          <w:i/>
          <w:iCs/>
          <w:szCs w:val="18"/>
          <w:lang w:val="fr-FR"/>
        </w:rPr>
        <w:tab/>
      </w:r>
      <w:r w:rsidRPr="003D2486">
        <w:rPr>
          <w:b/>
          <w:i/>
          <w:iCs/>
          <w:color w:val="7030A0"/>
          <w:szCs w:val="18"/>
          <w:lang w:val="fr-FR"/>
        </w:rPr>
        <w:t>Le système horaire n’étant pas établi d’après le système décimal, le nombre des minutes, lorsqu’il est inférieur à 10, n’est pas précédé d’un zéro </w:t>
      </w:r>
      <w:r w:rsidRPr="003D2486">
        <w:rPr>
          <w:b/>
          <w:iCs/>
          <w:color w:val="7030A0"/>
          <w:szCs w:val="18"/>
          <w:lang w:val="fr-FR"/>
        </w:rPr>
        <w:t>:</w:t>
      </w:r>
    </w:p>
    <w:p w14:paraId="5DB486DF" w14:textId="2E5F15AE" w:rsidR="00E8490A" w:rsidRPr="00EF74B4" w:rsidRDefault="00E8490A" w:rsidP="00EF74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2372" w:hanging="538"/>
        <w:jc w:val="left"/>
        <w:rPr>
          <w:b/>
          <w:color w:val="7030A0"/>
          <w:szCs w:val="18"/>
          <w:lang w:val="fr-FR"/>
        </w:rPr>
      </w:pPr>
      <w:r w:rsidRPr="003D2486">
        <w:rPr>
          <w:b/>
          <w:color w:val="7030A0"/>
          <w:szCs w:val="18"/>
          <w:lang w:val="fr-FR"/>
        </w:rPr>
        <w:sym w:font="Webdings" w:char="F034"/>
      </w:r>
      <w:r w:rsidRPr="003D2486">
        <w:rPr>
          <w:b/>
          <w:color w:val="7030A0"/>
          <w:szCs w:val="18"/>
          <w:lang w:val="fr-FR"/>
        </w:rPr>
        <w:tab/>
        <w:t>9 h 5</w:t>
      </w:r>
      <w:r w:rsidRPr="003D2486">
        <w:rPr>
          <w:szCs w:val="18"/>
          <w:lang w:val="fr-FR"/>
        </w:rPr>
        <w:t xml:space="preserve"> </w:t>
      </w:r>
    </w:p>
    <w:p w14:paraId="71A704AE" w14:textId="77777777" w:rsidR="00E8490A" w:rsidRPr="003D2486" w:rsidRDefault="00E8490A" w:rsidP="00E8490A">
      <w:pPr>
        <w:pStyle w:val="SingleTxt"/>
        <w:spacing w:before="40" w:after="40" w:line="220" w:lineRule="exact"/>
        <w:ind w:left="1834"/>
        <w:rPr>
          <w:i/>
          <w:iCs/>
          <w:szCs w:val="18"/>
          <w:lang w:val="fr-FR"/>
        </w:rPr>
      </w:pPr>
      <w:r w:rsidRPr="003D2486">
        <w:rPr>
          <w:i/>
          <w:iCs/>
          <w:szCs w:val="18"/>
          <w:lang w:val="fr-FR"/>
        </w:rPr>
        <w:tab/>
        <w:t>Dans un texte, « minuit » et « midi » s’écrivent en toutes lettres lorsqu’ils ne sont pas suivis d’un nombre de minutes </w:t>
      </w:r>
      <w:r w:rsidRPr="003D2486">
        <w:rPr>
          <w:iCs/>
          <w:szCs w:val="18"/>
          <w:lang w:val="fr-FR"/>
        </w:rPr>
        <w:t>:</w:t>
      </w:r>
    </w:p>
    <w:p w14:paraId="2F6B8817" w14:textId="77777777" w:rsidR="00E8490A" w:rsidRPr="003D2486" w:rsidRDefault="00E8490A" w:rsidP="00E84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2367" w:hanging="533"/>
        <w:jc w:val="left"/>
        <w:rPr>
          <w:szCs w:val="18"/>
          <w:lang w:val="fr-FR"/>
        </w:rPr>
      </w:pPr>
      <w:r w:rsidRPr="003D2486">
        <w:rPr>
          <w:szCs w:val="18"/>
          <w:lang w:val="fr-FR"/>
        </w:rPr>
        <w:sym w:font="Webdings" w:char="F034"/>
      </w:r>
      <w:r w:rsidRPr="003D2486">
        <w:rPr>
          <w:szCs w:val="18"/>
          <w:lang w:val="fr-FR"/>
        </w:rPr>
        <w:tab/>
        <w:t>la séance est levée à midi; la séance est levée à minuit</w:t>
      </w:r>
    </w:p>
    <w:p w14:paraId="4B509E04" w14:textId="77777777" w:rsidR="00E8490A" w:rsidRPr="003D2486" w:rsidRDefault="00E8490A" w:rsidP="00E8490A">
      <w:pPr>
        <w:pStyle w:val="SingleTxt"/>
        <w:tabs>
          <w:tab w:val="clear" w:pos="1742"/>
          <w:tab w:val="left" w:pos="1539"/>
        </w:tabs>
        <w:spacing w:before="40" w:after="40" w:line="220" w:lineRule="exact"/>
        <w:ind w:left="1834"/>
        <w:jc w:val="left"/>
        <w:rPr>
          <w:szCs w:val="18"/>
          <w:lang w:val="fr-FR"/>
        </w:rPr>
      </w:pPr>
      <w:r w:rsidRPr="003D2486">
        <w:rPr>
          <w:i/>
          <w:iCs/>
          <w:szCs w:val="18"/>
          <w:lang w:val="fr-FR"/>
        </w:rPr>
        <w:tab/>
        <w:t>Mais</w:t>
      </w:r>
      <w:r w:rsidRPr="003D2486">
        <w:rPr>
          <w:szCs w:val="18"/>
          <w:lang w:val="fr-FR"/>
        </w:rPr>
        <w:t> : 0 h 30; 12 h 15</w:t>
      </w:r>
    </w:p>
    <w:p w14:paraId="6ECADA1D" w14:textId="31AA3168" w:rsidR="00E8490A" w:rsidRDefault="00E8490A" w:rsidP="0081043A">
      <w:pPr>
        <w:rPr>
          <w:lang w:val="fr-FR"/>
        </w:rPr>
      </w:pPr>
    </w:p>
    <w:p w14:paraId="5F40CAF9" w14:textId="2A803A70" w:rsidR="00F92C50" w:rsidRDefault="00F92C50" w:rsidP="0081043A">
      <w:pPr>
        <w:rPr>
          <w:b/>
          <w:color w:val="365F91" w:themeColor="accent1" w:themeShade="BF"/>
          <w:lang w:val="fr-FR"/>
        </w:rPr>
      </w:pPr>
    </w:p>
    <w:p w14:paraId="144EA94A" w14:textId="77777777" w:rsidR="00F92C50" w:rsidRDefault="00F92C50" w:rsidP="0081043A">
      <w:pPr>
        <w:rPr>
          <w:b/>
          <w:color w:val="365F91" w:themeColor="accent1" w:themeShade="BF"/>
          <w:lang w:val="fr-FR"/>
        </w:rPr>
      </w:pPr>
    </w:p>
    <w:p w14:paraId="6936343A" w14:textId="69A85DD3" w:rsidR="00300920" w:rsidRDefault="00300920" w:rsidP="0081043A">
      <w:pPr>
        <w:rPr>
          <w:b/>
          <w:color w:val="365F91" w:themeColor="accent1" w:themeShade="BF"/>
          <w:lang w:val="fr-FR"/>
        </w:rPr>
      </w:pPr>
      <w:r w:rsidRPr="00300920">
        <w:rPr>
          <w:b/>
          <w:color w:val="365F91" w:themeColor="accent1" w:themeShade="BF"/>
          <w:lang w:val="fr-FR"/>
        </w:rPr>
        <w:t>Le corps du procès-verbal </w:t>
      </w:r>
    </w:p>
    <w:p w14:paraId="578B1169" w14:textId="77777777" w:rsidR="00300920" w:rsidRPr="00300920" w:rsidRDefault="00300920" w:rsidP="0081043A">
      <w:pPr>
        <w:rPr>
          <w:b/>
          <w:color w:val="365F91" w:themeColor="accent1" w:themeShade="BF"/>
          <w:lang w:val="fr-FR"/>
        </w:rPr>
      </w:pPr>
    </w:p>
    <w:p w14:paraId="60FAF2B2" w14:textId="0AD26322" w:rsidR="00300920" w:rsidRPr="004B254E" w:rsidRDefault="00300920" w:rsidP="00D95F19">
      <w:pPr>
        <w:jc w:val="both"/>
      </w:pPr>
      <w:r>
        <w:tab/>
      </w:r>
      <w:r w:rsidRPr="00D22EEB">
        <w:t xml:space="preserve">Ne pas oublier </w:t>
      </w:r>
      <w:r w:rsidRPr="00D22EEB">
        <w:rPr>
          <w:b/>
        </w:rPr>
        <w:t>de mentionner les faits de séance</w:t>
      </w:r>
      <w:r w:rsidRPr="00D22EEB">
        <w:t xml:space="preserve"> (par ex</w:t>
      </w:r>
      <w:r w:rsidR="00A502B1" w:rsidRPr="00D22EEB">
        <w:t xml:space="preserve">emple, </w:t>
      </w:r>
      <w:r w:rsidRPr="00D22EEB">
        <w:t>« </w:t>
      </w:r>
      <w:r w:rsidRPr="00D22EEB">
        <w:rPr>
          <w:i/>
        </w:rPr>
        <w:t>La séance est levée à 17 h 45</w:t>
      </w:r>
      <w:r w:rsidRPr="00D22EEB">
        <w:t xml:space="preserve"> »). Lorsque le Président suspend la séance </w:t>
      </w:r>
      <w:r w:rsidR="00326449" w:rsidRPr="00D22EEB">
        <w:t xml:space="preserve">pour une courte durée, </w:t>
      </w:r>
      <w:r w:rsidRPr="00D22EEB">
        <w:t xml:space="preserve">le temps de raccompagner un hôte de marque, ou de faire distribuer un texte, ou pour toute autre raison, le fait de séance est mentionné comme suit, quelle que soit la formulation retenue en </w:t>
      </w:r>
      <w:r w:rsidRPr="00D22EEB">
        <w:lastRenderedPageBreak/>
        <w:t xml:space="preserve">anglais : </w:t>
      </w:r>
      <w:r w:rsidR="004B254E" w:rsidRPr="00D22EEB">
        <w:t>« </w:t>
      </w:r>
      <w:r w:rsidRPr="00D22EEB">
        <w:rPr>
          <w:i/>
        </w:rPr>
        <w:t>La séance est brièvement suspendue</w:t>
      </w:r>
      <w:r w:rsidRPr="00D22EEB">
        <w:t>.</w:t>
      </w:r>
      <w:r w:rsidR="004B254E" w:rsidRPr="00D22EEB">
        <w:t> »</w:t>
      </w:r>
      <w:r w:rsidR="00B50735" w:rsidRPr="00D22EEB">
        <w:t xml:space="preserve">. Enfin, lorsqu’il y a suspension de la séance, le fait de séance </w:t>
      </w:r>
      <w:r w:rsidR="0017162A" w:rsidRPr="00D22EEB">
        <w:t>doit être libellé</w:t>
      </w:r>
      <w:r w:rsidR="00B50735" w:rsidRPr="00D22EEB">
        <w:t xml:space="preserve"> comme suit : « </w:t>
      </w:r>
      <w:r w:rsidR="00B50735" w:rsidRPr="00D22EEB">
        <w:rPr>
          <w:i/>
        </w:rPr>
        <w:t>La séance est suspendue à [heure] ; elle est reprise à [heure].</w:t>
      </w:r>
      <w:r w:rsidR="00B50735" w:rsidRPr="00D22EEB">
        <w:t> ».</w:t>
      </w:r>
    </w:p>
    <w:p w14:paraId="43F007FD" w14:textId="3CE539ED" w:rsidR="00300920" w:rsidRDefault="00300920" w:rsidP="00D95F19">
      <w:pPr>
        <w:spacing w:before="240"/>
        <w:jc w:val="both"/>
      </w:pPr>
      <w:r w:rsidRPr="004B254E">
        <w:tab/>
      </w:r>
      <w:r w:rsidRPr="007830BD">
        <w:rPr>
          <w:b/>
        </w:rPr>
        <w:t>Mentionner la langue</w:t>
      </w:r>
      <w:r w:rsidRPr="004B254E">
        <w:t xml:space="preserve"> dans laquelle</w:t>
      </w:r>
      <w:r>
        <w:t xml:space="preserve"> </w:t>
      </w:r>
      <w:r w:rsidRPr="00300920">
        <w:t>s’exprime l’orateur [par ex : (</w:t>
      </w:r>
      <w:r w:rsidRPr="00300920">
        <w:rPr>
          <w:i/>
        </w:rPr>
        <w:t>parle en chinois</w:t>
      </w:r>
      <w:r w:rsidRPr="00300920">
        <w:t xml:space="preserve">)] </w:t>
      </w:r>
      <w:r w:rsidR="00A502B1">
        <w:rPr>
          <w:b/>
        </w:rPr>
        <w:t>excepté</w:t>
      </w:r>
      <w:r w:rsidR="00A502B1" w:rsidRPr="007830BD">
        <w:rPr>
          <w:b/>
        </w:rPr>
        <w:t xml:space="preserve"> </w:t>
      </w:r>
      <w:r w:rsidRPr="007830BD">
        <w:rPr>
          <w:b/>
        </w:rPr>
        <w:t>lorsqu’il s’est exprimé en français</w:t>
      </w:r>
      <w:r w:rsidRPr="00300920">
        <w:t>. Il s’ensuit que toutes les mentions « (</w:t>
      </w:r>
      <w:r w:rsidRPr="00300920">
        <w:rPr>
          <w:i/>
          <w:iCs/>
        </w:rPr>
        <w:t>spoke in French</w:t>
      </w:r>
      <w:r w:rsidRPr="00300920">
        <w:t>) » doivent disparaître et que la mention « (</w:t>
      </w:r>
      <w:r w:rsidRPr="00300920">
        <w:rPr>
          <w:i/>
          <w:iCs/>
        </w:rPr>
        <w:t>parle en anglais</w:t>
      </w:r>
      <w:r w:rsidRPr="00300920">
        <w:t>) » doit être ajoutée après le nom des intervenants qui se sont exprimés en anglais (ceux pour lesquels il n’y a aucune mention de la langue dans la version compilée, y compris pour le Président).</w:t>
      </w:r>
    </w:p>
    <w:p w14:paraId="350D96ED" w14:textId="40EC10B0" w:rsidR="00300920" w:rsidRDefault="00300920" w:rsidP="00D95F19">
      <w:pPr>
        <w:spacing w:before="240"/>
        <w:jc w:val="both"/>
      </w:pPr>
      <w:r>
        <w:tab/>
        <w:t xml:space="preserve">Mentionner </w:t>
      </w:r>
      <w:r w:rsidRPr="007830BD">
        <w:rPr>
          <w:b/>
        </w:rPr>
        <w:t>tout changement de langue</w:t>
      </w:r>
      <w:r>
        <w:t xml:space="preserve"> (« </w:t>
      </w:r>
      <w:r w:rsidR="00307C44">
        <w:t>(</w:t>
      </w:r>
      <w:r w:rsidRPr="00324A09">
        <w:rPr>
          <w:i/>
        </w:rPr>
        <w:t>L’orateur poursuit en arabe</w:t>
      </w:r>
      <w:r w:rsidR="00307C44" w:rsidRPr="00D95F19">
        <w:t>)</w:t>
      </w:r>
      <w:r>
        <w:t> » ; « </w:t>
      </w:r>
      <w:r w:rsidR="00307C44">
        <w:t>(</w:t>
      </w:r>
      <w:r w:rsidRPr="00324A09">
        <w:rPr>
          <w:i/>
        </w:rPr>
        <w:t>L’orateur reprend en français</w:t>
      </w:r>
      <w:r w:rsidR="00307C44" w:rsidRPr="00D95F19">
        <w:t>)</w:t>
      </w:r>
      <w:r>
        <w:t> »).</w:t>
      </w:r>
      <w:r w:rsidR="00307C44">
        <w:t xml:space="preserve"> Attention : pas de point final. </w:t>
      </w:r>
    </w:p>
    <w:p w14:paraId="6563C874" w14:textId="7DFA3297" w:rsidR="00300920" w:rsidRDefault="00300920" w:rsidP="00D95F19">
      <w:pPr>
        <w:pStyle w:val="Commentaire"/>
        <w:spacing w:before="240"/>
        <w:jc w:val="both"/>
      </w:pPr>
      <w:r>
        <w:tab/>
        <w:t xml:space="preserve">En </w:t>
      </w:r>
      <w:r w:rsidRPr="004B254E">
        <w:t xml:space="preserve">cas </w:t>
      </w:r>
      <w:r w:rsidRPr="007830BD">
        <w:rPr>
          <w:b/>
        </w:rPr>
        <w:t>d’énumération</w:t>
      </w:r>
      <w:r w:rsidRPr="004B254E">
        <w:t xml:space="preserve"> d’États ou d’organisations, rétablir l’ordre alphabétique après traduction en français - </w:t>
      </w:r>
      <w:r w:rsidR="00D71970">
        <w:t>T</w:t>
      </w:r>
      <w:r w:rsidRPr="004B254E">
        <w:t>outefois</w:t>
      </w:r>
      <w:r w:rsidR="00F968F5">
        <w:t xml:space="preserve">, </w:t>
      </w:r>
      <w:r w:rsidRPr="004B254E">
        <w:t>lorsqu’il s’agit</w:t>
      </w:r>
      <w:r>
        <w:t xml:space="preserve"> de citer les noms des États assurant </w:t>
      </w:r>
      <w:r w:rsidR="007830BD">
        <w:t xml:space="preserve">successivement </w:t>
      </w:r>
      <w:r>
        <w:t>la présidence de la Conférence, il faut respecter l’ordre chronologique et ne rien bouleverser.</w:t>
      </w:r>
    </w:p>
    <w:p w14:paraId="2E6C691F" w14:textId="2BD517B8" w:rsidR="006421BC" w:rsidRDefault="006421BC" w:rsidP="00D95F19">
      <w:pPr>
        <w:spacing w:before="240"/>
        <w:jc w:val="both"/>
      </w:pPr>
      <w:r>
        <w:tab/>
      </w:r>
      <w:r w:rsidRPr="004B254E">
        <w:t>Lorsque l’orateur s’exprime en français, il</w:t>
      </w:r>
      <w:r>
        <w:t xml:space="preserve"> faut reprendre </w:t>
      </w:r>
      <w:r w:rsidRPr="007830BD">
        <w:rPr>
          <w:b/>
        </w:rPr>
        <w:t>tel quel</w:t>
      </w:r>
      <w:r>
        <w:t xml:space="preserve"> le texte des interventions prononcées en français</w:t>
      </w:r>
      <w:r w:rsidR="00F968F5">
        <w:t>,</w:t>
      </w:r>
      <w:r>
        <w:t xml:space="preserve"> qui est joint aux autres fichiers à l’intention du traducteur. Celui-ci a </w:t>
      </w:r>
      <w:r w:rsidRPr="006421BC">
        <w:t>été édité par la Section française de traduction et ne doit pas être retouché</w:t>
      </w:r>
      <w:r w:rsidR="00F968F5">
        <w:t>.</w:t>
      </w:r>
      <w:r w:rsidRPr="006421BC">
        <w:t xml:space="preserve"> Les seules modifications pouvant </w:t>
      </w:r>
      <w:r w:rsidR="00F968F5">
        <w:t xml:space="preserve">y </w:t>
      </w:r>
      <w:r w:rsidRPr="006421BC">
        <w:t>être apportées au stade</w:t>
      </w:r>
      <w:r>
        <w:t xml:space="preserve"> de la traduction du CD/PV sont </w:t>
      </w:r>
      <w:r w:rsidRPr="006421BC">
        <w:t xml:space="preserve">le </w:t>
      </w:r>
      <w:r w:rsidRPr="007830BD">
        <w:rPr>
          <w:b/>
        </w:rPr>
        <w:t>redécoupage des paragraphes</w:t>
      </w:r>
      <w:r w:rsidRPr="006421BC">
        <w:t xml:space="preserve">, en fonction de celui adopté dans la version compilée anglaise (soumise pour traduction) et la </w:t>
      </w:r>
      <w:r w:rsidRPr="007830BD">
        <w:rPr>
          <w:b/>
        </w:rPr>
        <w:t>correction des coquilles manifestes</w:t>
      </w:r>
      <w:r w:rsidRPr="006421BC">
        <w:t xml:space="preserve"> qui</w:t>
      </w:r>
      <w:r>
        <w:t xml:space="preserve"> auraient échappé au stade de l’édition.  </w:t>
      </w:r>
    </w:p>
    <w:p w14:paraId="3D7454B4" w14:textId="77777777" w:rsidR="004B254E" w:rsidRDefault="004B254E" w:rsidP="004B254E">
      <w:pPr>
        <w:spacing w:before="240"/>
      </w:pPr>
    </w:p>
    <w:p w14:paraId="3279B610" w14:textId="28FBA5BF" w:rsidR="002D6B0F" w:rsidRPr="004B254E" w:rsidRDefault="00482644" w:rsidP="0081043A">
      <w:pPr>
        <w:rPr>
          <w:b/>
          <w:color w:val="365F91" w:themeColor="accent1" w:themeShade="BF"/>
          <w:lang w:val="fr-FR"/>
        </w:rPr>
      </w:pPr>
      <w:r w:rsidRPr="002D6B0F">
        <w:rPr>
          <w:b/>
          <w:color w:val="365F91" w:themeColor="accent1" w:themeShade="BF"/>
          <w:lang w:val="fr-FR"/>
        </w:rPr>
        <w:t>Terminologie propre au désarmement</w:t>
      </w:r>
      <w:r w:rsidR="002D6B0F" w:rsidRPr="002D6B0F">
        <w:rPr>
          <w:b/>
          <w:color w:val="365F91" w:themeColor="accent1" w:themeShade="BF"/>
          <w:lang w:val="fr-FR"/>
        </w:rPr>
        <w:t> </w:t>
      </w:r>
    </w:p>
    <w:p w14:paraId="1442786F" w14:textId="41315778" w:rsidR="009B4DEC" w:rsidRDefault="009B4DEC" w:rsidP="00D95F19">
      <w:pPr>
        <w:spacing w:before="240"/>
        <w:jc w:val="both"/>
      </w:pPr>
      <w:r>
        <w:tab/>
        <w:t xml:space="preserve">Appliquer impérativement la terminologie établie pour les termes propres au domaine du désarmement (base UNTERM - Merci de signaler aux personnes ressources tout terme pour lequel la fiche doit être modifiée, voire créée). </w:t>
      </w:r>
    </w:p>
    <w:p w14:paraId="6CB0D018" w14:textId="4EC5C5CF" w:rsidR="009B4DEC" w:rsidRDefault="009B4DEC" w:rsidP="00D95F19">
      <w:pPr>
        <w:spacing w:before="240"/>
        <w:jc w:val="both"/>
      </w:pPr>
      <w:r>
        <w:t xml:space="preserve">Exemples : </w:t>
      </w:r>
    </w:p>
    <w:p w14:paraId="5D6D0765" w14:textId="7AC401F6" w:rsidR="002D6B0F" w:rsidRPr="002D6B0F" w:rsidRDefault="009B4DEC" w:rsidP="00D95F19">
      <w:pPr>
        <w:spacing w:before="240"/>
        <w:jc w:val="both"/>
      </w:pPr>
      <w:r>
        <w:tab/>
      </w:r>
      <w:r w:rsidR="002D6B0F" w:rsidRPr="002D6B0F">
        <w:t xml:space="preserve">États </w:t>
      </w:r>
      <w:r w:rsidR="002D6B0F" w:rsidRPr="002D6B0F">
        <w:rPr>
          <w:b/>
        </w:rPr>
        <w:t>dotés d’armes</w:t>
      </w:r>
      <w:r w:rsidR="002D6B0F" w:rsidRPr="002D6B0F">
        <w:t xml:space="preserve"> nucléaires (et non pas « </w:t>
      </w:r>
      <w:r w:rsidR="002D6B0F" w:rsidRPr="002D6B0F">
        <w:rPr>
          <w:i/>
        </w:rPr>
        <w:t>dotés de l’arme nucléaire</w:t>
      </w:r>
      <w:r w:rsidR="002D6B0F" w:rsidRPr="002D6B0F">
        <w:t> »)</w:t>
      </w:r>
    </w:p>
    <w:p w14:paraId="3AC1964B" w14:textId="59C8A112" w:rsidR="002D6B0F" w:rsidRPr="002D6B0F" w:rsidRDefault="002D6B0F" w:rsidP="00D95F19">
      <w:pPr>
        <w:spacing w:before="240"/>
        <w:jc w:val="both"/>
      </w:pPr>
      <w:r>
        <w:tab/>
      </w:r>
      <w:r w:rsidR="00AD689C">
        <w:t xml:space="preserve">Assurances/ </w:t>
      </w:r>
      <w:r w:rsidRPr="00BF0F22">
        <w:t xml:space="preserve">Garanties </w:t>
      </w:r>
      <w:r w:rsidR="00AD689C" w:rsidRPr="00742370">
        <w:rPr>
          <w:b/>
          <w:bCs/>
        </w:rPr>
        <w:t>n</w:t>
      </w:r>
      <w:r w:rsidR="007E30CD" w:rsidRPr="00742370">
        <w:rPr>
          <w:b/>
          <w:bCs/>
        </w:rPr>
        <w:t xml:space="preserve">égatives </w:t>
      </w:r>
      <w:r w:rsidRPr="00BF0F22">
        <w:rPr>
          <w:b/>
        </w:rPr>
        <w:t>de sécurité</w:t>
      </w:r>
      <w:r w:rsidRPr="002D6B0F">
        <w:t xml:space="preserve"> (et non pas « </w:t>
      </w:r>
      <w:r w:rsidR="0020016B">
        <w:t>assurances/</w:t>
      </w:r>
      <w:r w:rsidRPr="002D6B0F">
        <w:rPr>
          <w:i/>
        </w:rPr>
        <w:t>garanties de sécurité</w:t>
      </w:r>
      <w:r w:rsidR="0020016B">
        <w:rPr>
          <w:i/>
        </w:rPr>
        <w:t xml:space="preserve"> négatives</w:t>
      </w:r>
      <w:r w:rsidRPr="002D6B0F">
        <w:t> »</w:t>
      </w:r>
      <w:r w:rsidR="0020016B">
        <w:t>, même s’il existe de nombreux précédents</w:t>
      </w:r>
      <w:r w:rsidRPr="002D6B0F">
        <w:t xml:space="preserve">) - </w:t>
      </w:r>
      <w:r w:rsidRPr="00BF0F22">
        <w:t>voir fiche UNTERM</w:t>
      </w:r>
      <w:r w:rsidR="00DA1C87">
        <w:t xml:space="preserve"> </w:t>
      </w:r>
      <w:r w:rsidR="00BF0F22">
        <w:t>(</w:t>
      </w:r>
      <w:r w:rsidR="00C976C4">
        <w:t>r</w:t>
      </w:r>
      <w:r w:rsidR="00A932E8" w:rsidRPr="00A932E8">
        <w:t xml:space="preserve">éserver l'emploi de </w:t>
      </w:r>
      <w:r w:rsidR="00A932E8">
        <w:t>la variante « </w:t>
      </w:r>
      <w:r w:rsidR="00BF0F22">
        <w:t>Garanties négatives de sécurité » au</w:t>
      </w:r>
      <w:r w:rsidR="00A932E8" w:rsidRPr="00A932E8">
        <w:t>x cas où il n'y a pas de confusion possible avec les garanties de l'AIEA</w:t>
      </w:r>
      <w:r w:rsidR="00BF0F22">
        <w:t xml:space="preserve">). </w:t>
      </w:r>
    </w:p>
    <w:p w14:paraId="7B7EDB1D" w14:textId="591247D5" w:rsidR="002D6B0F" w:rsidRPr="002D6B0F" w:rsidRDefault="002D6B0F" w:rsidP="00D95F19">
      <w:pPr>
        <w:jc w:val="both"/>
      </w:pPr>
      <w:r w:rsidRPr="002D6B0F">
        <w:t xml:space="preserve">[Pour information, </w:t>
      </w:r>
      <w:r w:rsidR="009B4DEC">
        <w:t>c</w:t>
      </w:r>
      <w:r w:rsidRPr="002D6B0F">
        <w:t xml:space="preserve">es garanties sont dites « négatives » car elles signifient une obligation de non-recours, à la différence des garanties « positives » qui </w:t>
      </w:r>
      <w:r w:rsidR="00F968F5">
        <w:t>font obligation de</w:t>
      </w:r>
      <w:r w:rsidRPr="002D6B0F">
        <w:t xml:space="preserve"> fournir une assistance] </w:t>
      </w:r>
    </w:p>
    <w:p w14:paraId="4CA8D933" w14:textId="47648A33" w:rsidR="002D6B0F" w:rsidRDefault="002D6B0F" w:rsidP="00D95F19">
      <w:pPr>
        <w:spacing w:before="240"/>
        <w:jc w:val="both"/>
      </w:pPr>
      <w:r>
        <w:tab/>
      </w:r>
      <w:r w:rsidRPr="002D6B0F">
        <w:t xml:space="preserve">Systèmes d’armes </w:t>
      </w:r>
      <w:r w:rsidRPr="002D6B0F">
        <w:rPr>
          <w:b/>
        </w:rPr>
        <w:t>létaux</w:t>
      </w:r>
      <w:r w:rsidRPr="002D6B0F">
        <w:t xml:space="preserve"> autonomes </w:t>
      </w:r>
      <w:r>
        <w:t>(et non pas « </w:t>
      </w:r>
      <w:r w:rsidRPr="00D11AB0">
        <w:rPr>
          <w:i/>
        </w:rPr>
        <w:t>systèmes d’armes létales autonomes</w:t>
      </w:r>
      <w:r>
        <w:t> »)</w:t>
      </w:r>
    </w:p>
    <w:p w14:paraId="42290C76" w14:textId="47F8A125" w:rsidR="006421BC" w:rsidRDefault="006421BC" w:rsidP="00D95F19">
      <w:pPr>
        <w:jc w:val="both"/>
        <w:rPr>
          <w:lang w:val="fr-FR"/>
        </w:rPr>
      </w:pPr>
    </w:p>
    <w:p w14:paraId="195EEA46" w14:textId="77777777" w:rsidR="00F92C50" w:rsidRDefault="00F92C50" w:rsidP="0081043A">
      <w:pPr>
        <w:rPr>
          <w:b/>
          <w:color w:val="365F91" w:themeColor="accent1" w:themeShade="BF"/>
          <w:lang w:val="fr-FR"/>
        </w:rPr>
      </w:pPr>
    </w:p>
    <w:p w14:paraId="7959D08F" w14:textId="77777777" w:rsidR="00F92C50" w:rsidRDefault="00F92C50" w:rsidP="0081043A">
      <w:pPr>
        <w:rPr>
          <w:b/>
          <w:color w:val="365F91" w:themeColor="accent1" w:themeShade="BF"/>
          <w:lang w:val="fr-FR"/>
        </w:rPr>
      </w:pPr>
    </w:p>
    <w:p w14:paraId="7B1CE2AE" w14:textId="2D5AA01B" w:rsidR="004B254E" w:rsidRDefault="004B254E" w:rsidP="0081043A">
      <w:pPr>
        <w:rPr>
          <w:b/>
          <w:color w:val="365F91" w:themeColor="accent1" w:themeShade="BF"/>
          <w:lang w:val="fr-FR"/>
        </w:rPr>
      </w:pPr>
      <w:r w:rsidRPr="004B254E">
        <w:rPr>
          <w:b/>
          <w:color w:val="365F91" w:themeColor="accent1" w:themeShade="BF"/>
          <w:lang w:val="fr-FR"/>
        </w:rPr>
        <w:t>Divers </w:t>
      </w:r>
    </w:p>
    <w:p w14:paraId="1A75E523" w14:textId="77777777" w:rsidR="00C93DF9" w:rsidRDefault="00C93DF9" w:rsidP="0081043A">
      <w:pPr>
        <w:rPr>
          <w:b/>
          <w:color w:val="365F91" w:themeColor="accent1" w:themeShade="BF"/>
          <w:lang w:val="fr-FR"/>
        </w:rPr>
      </w:pPr>
    </w:p>
    <w:p w14:paraId="0B7972E6" w14:textId="7D3A1C45" w:rsidR="00C93DF9" w:rsidRDefault="00C93DF9" w:rsidP="00D95F19">
      <w:pPr>
        <w:jc w:val="both"/>
        <w:rPr>
          <w:lang w:val="fr-FR"/>
        </w:rPr>
      </w:pPr>
      <w:r>
        <w:rPr>
          <w:lang w:val="fr-FR"/>
        </w:rPr>
        <w:tab/>
        <w:t xml:space="preserve">On trouve dans le rapport annuel de la Conférence du désarmement, au paragraphe 4 généralement, la </w:t>
      </w:r>
      <w:r w:rsidRPr="00FF77B6">
        <w:rPr>
          <w:b/>
          <w:lang w:val="fr-FR"/>
        </w:rPr>
        <w:t xml:space="preserve">liste des six États qui se </w:t>
      </w:r>
      <w:r w:rsidR="00E62AA9">
        <w:rPr>
          <w:b/>
          <w:lang w:val="fr-FR"/>
        </w:rPr>
        <w:t xml:space="preserve">succèdent à </w:t>
      </w:r>
      <w:r w:rsidRPr="00FF77B6">
        <w:rPr>
          <w:b/>
          <w:lang w:val="fr-FR"/>
        </w:rPr>
        <w:t xml:space="preserve"> la présidence</w:t>
      </w:r>
      <w:r>
        <w:rPr>
          <w:lang w:val="fr-FR"/>
        </w:rPr>
        <w:t xml:space="preserve"> de la session annuelle, par ordre chronologique</w:t>
      </w:r>
      <w:r w:rsidR="004C598A">
        <w:rPr>
          <w:lang w:val="fr-FR"/>
        </w:rPr>
        <w:t xml:space="preserve"> </w:t>
      </w:r>
      <w:r w:rsidR="00EE71BF">
        <w:rPr>
          <w:lang w:val="fr-FR"/>
        </w:rPr>
        <w:t>(on parle de présidence tournante)</w:t>
      </w:r>
      <w:r>
        <w:rPr>
          <w:lang w:val="fr-FR"/>
        </w:rPr>
        <w:t>. Il s</w:t>
      </w:r>
      <w:r w:rsidRPr="00C373A9">
        <w:rPr>
          <w:lang w:val="fr-FR"/>
        </w:rPr>
        <w:t>’</w:t>
      </w:r>
      <w:r>
        <w:rPr>
          <w:lang w:val="fr-FR"/>
        </w:rPr>
        <w:t>agit du « collège des six Présidents de la session ». Lorsque le Président en exercice se réfère au P5, il évoque ses cinq collègues à la présidence de la session (à ne pas confondre avec les cinq membres permanents du Conseil de sécurité, par exemple).</w:t>
      </w:r>
      <w:r w:rsidR="00DE74E3">
        <w:rPr>
          <w:lang w:val="fr-FR"/>
        </w:rPr>
        <w:t xml:space="preserve"> </w:t>
      </w:r>
      <w:r w:rsidR="00DE74E3" w:rsidRPr="00D94D00">
        <w:rPr>
          <w:lang w:val="fr-FR"/>
        </w:rPr>
        <w:t xml:space="preserve">Lorsque les États ayant </w:t>
      </w:r>
      <w:r w:rsidR="00DE74E3" w:rsidRPr="009A4451">
        <w:rPr>
          <w:lang w:val="fr-FR"/>
        </w:rPr>
        <w:t>exercé la présidence pour une session donné</w:t>
      </w:r>
      <w:r w:rsidR="00466993">
        <w:rPr>
          <w:lang w:val="fr-FR"/>
        </w:rPr>
        <w:t>e</w:t>
      </w:r>
      <w:r w:rsidR="00DE74E3" w:rsidRPr="009A4451">
        <w:rPr>
          <w:lang w:val="fr-FR"/>
        </w:rPr>
        <w:t xml:space="preserve"> sont énumé</w:t>
      </w:r>
      <w:r w:rsidR="00DE74E3" w:rsidRPr="001146A2">
        <w:rPr>
          <w:lang w:val="fr-FR"/>
        </w:rPr>
        <w:t xml:space="preserve">rés, </w:t>
      </w:r>
      <w:r w:rsidR="0044483F" w:rsidRPr="00A5610F">
        <w:rPr>
          <w:lang w:val="fr-FR"/>
        </w:rPr>
        <w:t>ne pas rétablir l’ordre alphabétique en français, puisque l’énumération suit l’ordre chronologique.</w:t>
      </w:r>
    </w:p>
    <w:p w14:paraId="4D3997F4" w14:textId="77777777" w:rsidR="00C93DF9" w:rsidRDefault="00C93DF9" w:rsidP="00D95F19">
      <w:pPr>
        <w:jc w:val="both"/>
        <w:rPr>
          <w:lang w:val="fr-FR"/>
        </w:rPr>
      </w:pPr>
      <w:r>
        <w:rPr>
          <w:lang w:val="fr-FR"/>
        </w:rPr>
        <w:tab/>
        <w:t xml:space="preserve">En fin de rapport annuel se trouvent les </w:t>
      </w:r>
      <w:r w:rsidRPr="00FF77B6">
        <w:rPr>
          <w:b/>
          <w:lang w:val="fr-FR"/>
        </w:rPr>
        <w:t>dates de session pour l’année suivante</w:t>
      </w:r>
      <w:r>
        <w:rPr>
          <w:lang w:val="fr-FR"/>
        </w:rPr>
        <w:t xml:space="preserve">. </w:t>
      </w:r>
    </w:p>
    <w:p w14:paraId="35874089" w14:textId="3913B989" w:rsidR="00C93DF9" w:rsidRDefault="00C93DF9" w:rsidP="00C93DF9">
      <w:pPr>
        <w:rPr>
          <w:lang w:val="fr-FR"/>
        </w:rPr>
      </w:pPr>
      <w:r>
        <w:rPr>
          <w:lang w:val="fr-FR"/>
        </w:rPr>
        <w:tab/>
      </w:r>
    </w:p>
    <w:p w14:paraId="44C17EEE" w14:textId="6A2486A6" w:rsidR="00950E38" w:rsidRDefault="00950E38" w:rsidP="00C93DF9">
      <w:pPr>
        <w:rPr>
          <w:lang w:val="fr-FR"/>
        </w:rPr>
      </w:pPr>
      <w:r>
        <w:rPr>
          <w:lang w:val="fr-FR"/>
        </w:rPr>
        <w:lastRenderedPageBreak/>
        <w:t xml:space="preserve">L’expression « P6 + 2 » désigne les six Présidents de la session + </w:t>
      </w:r>
      <w:r w:rsidR="00883C66">
        <w:rPr>
          <w:lang w:val="fr-FR"/>
        </w:rPr>
        <w:t xml:space="preserve">le </w:t>
      </w:r>
      <w:r w:rsidR="008B577D">
        <w:rPr>
          <w:lang w:val="fr-FR"/>
        </w:rPr>
        <w:t xml:space="preserve">dernier </w:t>
      </w:r>
      <w:r w:rsidR="00883C66">
        <w:rPr>
          <w:lang w:val="fr-FR"/>
        </w:rPr>
        <w:t xml:space="preserve">Président de la session précédente +  le </w:t>
      </w:r>
      <w:r w:rsidR="008B577D">
        <w:rPr>
          <w:lang w:val="fr-FR"/>
        </w:rPr>
        <w:t xml:space="preserve">premier </w:t>
      </w:r>
      <w:r w:rsidR="00883C66">
        <w:rPr>
          <w:lang w:val="fr-FR"/>
        </w:rPr>
        <w:t>Président de la session suivante.</w:t>
      </w:r>
      <w:r w:rsidR="00D94D00">
        <w:rPr>
          <w:lang w:val="fr-FR"/>
        </w:rPr>
        <w:t xml:space="preserve"> Il convient d’expliciter à la première occurrence. On peut ensuite utiliser l’abréviation </w:t>
      </w:r>
      <w:r w:rsidR="00950EA5">
        <w:rPr>
          <w:lang w:val="fr-FR"/>
        </w:rPr>
        <w:t>« P6 + 2 » comme en anglais.</w:t>
      </w:r>
    </w:p>
    <w:p w14:paraId="164E8777" w14:textId="77777777" w:rsidR="00950EA5" w:rsidRDefault="00950EA5" w:rsidP="00C93DF9">
      <w:pPr>
        <w:rPr>
          <w:lang w:val="fr-FR"/>
        </w:rPr>
      </w:pPr>
    </w:p>
    <w:p w14:paraId="0E89E649" w14:textId="59F51A66" w:rsidR="00927122" w:rsidRDefault="00C93DF9" w:rsidP="00C93DF9">
      <w:pPr>
        <w:rPr>
          <w:lang w:val="fr-FR"/>
        </w:rPr>
      </w:pPr>
      <w:r>
        <w:rPr>
          <w:lang w:val="fr-FR"/>
        </w:rPr>
        <w:tab/>
      </w:r>
      <w:r w:rsidR="00AC3AF2">
        <w:rPr>
          <w:lang w:val="fr-FR"/>
        </w:rPr>
        <w:t xml:space="preserve">On trouve </w:t>
      </w:r>
      <w:r w:rsidR="00927122">
        <w:rPr>
          <w:lang w:val="fr-FR"/>
        </w:rPr>
        <w:t xml:space="preserve">des renseignements sur les réunions à l’adresse suivante : </w:t>
      </w:r>
      <w:hyperlink r:id="rId10" w:tgtFrame="_blank" w:tooltip="https://meetings.unoda.org/" w:history="1">
        <w:r w:rsidR="00927122">
          <w:rPr>
            <w:rStyle w:val="Lienhypertexte"/>
            <w:rFonts w:ascii="Segoe UI" w:hAnsi="Segoe UI" w:cs="Segoe UI"/>
            <w:color w:val="4F52B2"/>
            <w:sz w:val="21"/>
            <w:szCs w:val="21"/>
            <w:bdr w:val="none" w:sz="0" w:space="0" w:color="auto" w:frame="1"/>
            <w:shd w:val="clear" w:color="auto" w:fill="FFFFFF"/>
          </w:rPr>
          <w:t>https://meetings.unoda.org/</w:t>
        </w:r>
      </w:hyperlink>
      <w:r w:rsidR="00927122">
        <w:rPr>
          <w:lang w:val="fr-FR"/>
        </w:rPr>
        <w:t xml:space="preserve"> </w:t>
      </w:r>
    </w:p>
    <w:p w14:paraId="2B02AE25" w14:textId="20DF9B48" w:rsidR="00C911C1" w:rsidRDefault="00C911C1" w:rsidP="00C93DF9">
      <w:pPr>
        <w:rPr>
          <w:lang w:val="fr-FR"/>
        </w:rPr>
      </w:pPr>
    </w:p>
    <w:p w14:paraId="3D54EAD4" w14:textId="1DFF82F3" w:rsidR="00C911C1" w:rsidRDefault="00C71943" w:rsidP="00C93DF9">
      <w:pPr>
        <w:rPr>
          <w:lang w:val="fr-FR"/>
        </w:rPr>
      </w:pPr>
      <w:r>
        <w:rPr>
          <w:lang w:val="fr-FR"/>
        </w:rPr>
        <w:tab/>
      </w:r>
      <w:r w:rsidR="00C911C1">
        <w:rPr>
          <w:lang w:val="fr-FR"/>
        </w:rPr>
        <w:t>Pour les années antérieures, cliquer sur l’onglet « Past Meetings ».</w:t>
      </w:r>
    </w:p>
    <w:p w14:paraId="49762524" w14:textId="77777777" w:rsidR="00927122" w:rsidRDefault="00927122" w:rsidP="00C93DF9">
      <w:pPr>
        <w:rPr>
          <w:lang w:val="fr-FR"/>
        </w:rPr>
      </w:pPr>
    </w:p>
    <w:p w14:paraId="2B5196EE" w14:textId="77777777" w:rsidR="00927122" w:rsidRDefault="00927122" w:rsidP="00C93DF9">
      <w:pPr>
        <w:rPr>
          <w:lang w:val="fr-FR"/>
        </w:rPr>
      </w:pPr>
    </w:p>
    <w:p w14:paraId="12EF4EF3" w14:textId="77777777" w:rsidR="00C93DF9" w:rsidRDefault="00C93DF9" w:rsidP="00C93DF9">
      <w:pPr>
        <w:rPr>
          <w:lang w:val="fr-FR"/>
        </w:rPr>
      </w:pPr>
    </w:p>
    <w:p w14:paraId="01B48B52" w14:textId="53253375" w:rsidR="00C93DF9" w:rsidRPr="00300920" w:rsidRDefault="00C93DF9" w:rsidP="00C93DF9">
      <w:r>
        <w:rPr>
          <w:lang w:val="fr-FR"/>
        </w:rPr>
        <w:tab/>
        <w:t xml:space="preserve">Les </w:t>
      </w:r>
      <w:r w:rsidRPr="00FF77B6">
        <w:rPr>
          <w:b/>
          <w:lang w:val="fr-FR"/>
        </w:rPr>
        <w:t>enregistrements sonores</w:t>
      </w:r>
      <w:r>
        <w:rPr>
          <w:lang w:val="fr-FR"/>
        </w:rPr>
        <w:t xml:space="preserve"> des séances sont accessibles à l</w:t>
      </w:r>
      <w:r w:rsidRPr="0027106C">
        <w:rPr>
          <w:lang w:val="fr-FR"/>
        </w:rPr>
        <w:t>’</w:t>
      </w:r>
      <w:r>
        <w:rPr>
          <w:lang w:val="fr-FR"/>
        </w:rPr>
        <w:t xml:space="preserve">adresse : </w:t>
      </w:r>
      <w:hyperlink r:id="rId11" w:history="1">
        <w:r w:rsidRPr="0027106C">
          <w:rPr>
            <w:color w:val="0000FF"/>
            <w:u w:val="single"/>
          </w:rPr>
          <w:t>http://conf.unog.ch/digitalrecordings/</w:t>
        </w:r>
      </w:hyperlink>
      <w:r w:rsidRPr="00E8490A">
        <w:rPr>
          <w:highlight w:val="yellow"/>
        </w:rPr>
        <w:t xml:space="preserve"> </w:t>
      </w:r>
      <w:r>
        <w:t xml:space="preserve"> </w:t>
      </w:r>
    </w:p>
    <w:p w14:paraId="5ED7577E" w14:textId="3DF5567D" w:rsidR="00C728D8" w:rsidRDefault="004B254E" w:rsidP="00D95F19">
      <w:pPr>
        <w:spacing w:before="240"/>
        <w:jc w:val="both"/>
      </w:pPr>
      <w:r>
        <w:tab/>
      </w:r>
      <w:r w:rsidRPr="00C728D8">
        <w:t>Vérifier dans UNTERM</w:t>
      </w:r>
      <w:r w:rsidRPr="004B254E">
        <w:t xml:space="preserve"> les </w:t>
      </w:r>
      <w:r w:rsidRPr="00C728D8">
        <w:rPr>
          <w:b/>
        </w:rPr>
        <w:t>noms de pays/d’États</w:t>
      </w:r>
      <w:r w:rsidRPr="004B254E">
        <w:t>, y compris l’emploi de l’article, l’accord en genre, la monnaie, l’adjectif de nationalité (par ex. « Sri Lanka » ne prend pas l’article et est féminin)</w:t>
      </w:r>
      <w:r w:rsidR="00C728D8">
        <w:t xml:space="preserve">. </w:t>
      </w:r>
      <w:r w:rsidR="00C728D8" w:rsidRPr="00C728D8">
        <w:rPr>
          <w:b/>
        </w:rPr>
        <w:t>Attention</w:t>
      </w:r>
      <w:r w:rsidR="00C728D8">
        <w:t xml:space="preserve"> toutefois à respecter certains choix (à dimension politique) concernant le nom des États : par exemple, lorsque l’orateur désigne la République populaire démocratique de Corée par « Corée du Nord », il faut se garder de rétablir.</w:t>
      </w:r>
      <w:r w:rsidR="00C81570">
        <w:t xml:space="preserve"> </w:t>
      </w:r>
      <w:r w:rsidR="00B16782">
        <w:t>À</w:t>
      </w:r>
      <w:r w:rsidR="00AB463A">
        <w:t xml:space="preserve"> noter que, depuis le 31 mai 2022, </w:t>
      </w:r>
      <w:r w:rsidR="00E84D71">
        <w:t>la République de Turquie est devenue la République de Tür</w:t>
      </w:r>
      <w:r w:rsidR="003067CA">
        <w:t>kiye (voir la fiche UNTERM « Country names</w:t>
      </w:r>
      <w:r w:rsidR="004B1E4B">
        <w:t> »</w:t>
      </w:r>
      <w:r w:rsidR="003067CA">
        <w:t xml:space="preserve">). </w:t>
      </w:r>
    </w:p>
    <w:p w14:paraId="2A8B0241" w14:textId="5280D1AA" w:rsidR="00C728D8" w:rsidRDefault="00C728D8" w:rsidP="00D95F19">
      <w:pPr>
        <w:spacing w:before="240"/>
        <w:jc w:val="both"/>
      </w:pPr>
      <w:r>
        <w:tab/>
        <w:t>Vérifier systématiquement dans UNTERM</w:t>
      </w:r>
      <w:r w:rsidR="004B254E" w:rsidRPr="004B254E">
        <w:t xml:space="preserve"> tous les </w:t>
      </w:r>
      <w:r w:rsidR="004B254E" w:rsidRPr="00C728D8">
        <w:rPr>
          <w:b/>
        </w:rPr>
        <w:t>intitulés officiels</w:t>
      </w:r>
      <w:r w:rsidR="004B254E" w:rsidRPr="004B254E">
        <w:t xml:space="preserve"> (noms de conventions, de traités, d’entités, etc.) (y compris majuscule</w:t>
      </w:r>
      <w:r w:rsidR="00F968F5">
        <w:t>/</w:t>
      </w:r>
      <w:r w:rsidR="004B254E" w:rsidRPr="004B254E">
        <w:t xml:space="preserve">minuscule). </w:t>
      </w:r>
    </w:p>
    <w:p w14:paraId="60DF6119" w14:textId="43FED0B7" w:rsidR="004B254E" w:rsidRDefault="00C728D8" w:rsidP="00D95F19">
      <w:pPr>
        <w:spacing w:before="240"/>
        <w:jc w:val="both"/>
      </w:pPr>
      <w:r>
        <w:tab/>
      </w:r>
      <w:r w:rsidR="004B254E" w:rsidRPr="00C728D8">
        <w:t xml:space="preserve">Consulter </w:t>
      </w:r>
      <w:r w:rsidR="00F968F5">
        <w:t xml:space="preserve">le </w:t>
      </w:r>
      <w:r w:rsidR="009A4451">
        <w:t>Manuel de traduction</w:t>
      </w:r>
      <w:r w:rsidR="00947860">
        <w:t xml:space="preserve"> (l</w:t>
      </w:r>
      <w:r w:rsidR="00E854D7">
        <w:t xml:space="preserve">e plus simple est de </w:t>
      </w:r>
      <w:r w:rsidR="00E149D9">
        <w:t xml:space="preserve">l’ouvrir </w:t>
      </w:r>
      <w:r w:rsidR="00E854D7">
        <w:t>dans dtSearch (https:/conf-dts1.unog.ch)</w:t>
      </w:r>
      <w:r w:rsidR="00947860">
        <w:t>)</w:t>
      </w:r>
      <w:r w:rsidR="001146A2">
        <w:t xml:space="preserve"> pour </w:t>
      </w:r>
      <w:r w:rsidR="00A5610F">
        <w:t>se</w:t>
      </w:r>
      <w:r w:rsidR="001146A2">
        <w:t xml:space="preserve"> renseigner sur les normes en usage à l’ONU, </w:t>
      </w:r>
      <w:r w:rsidR="004B254E" w:rsidRPr="004B254E">
        <w:t>par exemple</w:t>
      </w:r>
      <w:r w:rsidR="001146A2">
        <w:t xml:space="preserve"> en ce qui concerne </w:t>
      </w:r>
      <w:r w:rsidR="00E90BFF">
        <w:t>les titres de civilité, pour savoir s’il faut écrire</w:t>
      </w:r>
      <w:r w:rsidR="004B254E" w:rsidRPr="004B254E">
        <w:t xml:space="preserve"> </w:t>
      </w:r>
      <w:r w:rsidR="00E90BFF">
        <w:t>« </w:t>
      </w:r>
      <w:r w:rsidR="004B254E" w:rsidRPr="004B254E">
        <w:t>Monsieur</w:t>
      </w:r>
      <w:r w:rsidR="00E90BFF">
        <w:t> »</w:t>
      </w:r>
      <w:r w:rsidR="004B254E" w:rsidRPr="004B254E">
        <w:t xml:space="preserve"> ou </w:t>
      </w:r>
      <w:r w:rsidR="00E90BFF">
        <w:t>« </w:t>
      </w:r>
      <w:r w:rsidR="004B254E" w:rsidRPr="004B254E">
        <w:t>M.</w:t>
      </w:r>
      <w:r w:rsidR="00E90BFF">
        <w:t> »</w:t>
      </w:r>
      <w:r w:rsidR="004B254E" w:rsidRPr="004B254E">
        <w:t xml:space="preserve"> </w:t>
      </w:r>
      <w:r w:rsidR="00E90BFF">
        <w:t>(</w:t>
      </w:r>
      <w:r w:rsidR="004B254E" w:rsidRPr="004B254E">
        <w:t>Monsieur</w:t>
      </w:r>
      <w:r w:rsidR="004B254E" w:rsidRPr="004451D7">
        <w:t xml:space="preserve"> ne s’écrit en entier que lorsque l’on s’adresse directement à la personne</w:t>
      </w:r>
      <w:r w:rsidR="00E90BFF">
        <w:t>)</w:t>
      </w:r>
      <w:r w:rsidR="004B254E">
        <w:t>.</w:t>
      </w:r>
      <w:r>
        <w:t xml:space="preserve"> </w:t>
      </w:r>
    </w:p>
    <w:p w14:paraId="529295F4" w14:textId="469181F6" w:rsidR="004B254E" w:rsidRDefault="004B254E" w:rsidP="00D95F19">
      <w:pPr>
        <w:jc w:val="both"/>
        <w:rPr>
          <w:lang w:val="fr-FR"/>
        </w:rPr>
      </w:pPr>
    </w:p>
    <w:p w14:paraId="5733897E" w14:textId="41F1ED05" w:rsidR="004B254E" w:rsidRDefault="004B254E" w:rsidP="00D95F19">
      <w:pPr>
        <w:jc w:val="both"/>
      </w:pPr>
      <w:r>
        <w:rPr>
          <w:lang w:val="fr-FR"/>
        </w:rPr>
        <w:tab/>
      </w:r>
      <w:r>
        <w:t>« </w:t>
      </w:r>
      <w:r w:rsidRPr="004B254E">
        <w:t xml:space="preserve">États </w:t>
      </w:r>
      <w:r w:rsidRPr="004B254E">
        <w:rPr>
          <w:b/>
          <w:u w:val="single"/>
        </w:rPr>
        <w:t>M</w:t>
      </w:r>
      <w:r w:rsidRPr="004B254E">
        <w:t>embres » (de l’ONU)</w:t>
      </w:r>
      <w:r w:rsidR="00D40970">
        <w:t>,</w:t>
      </w:r>
      <w:r w:rsidRPr="004B254E">
        <w:t xml:space="preserve"> mais « États </w:t>
      </w:r>
      <w:r w:rsidRPr="004B254E">
        <w:rPr>
          <w:b/>
          <w:u w:val="single"/>
        </w:rPr>
        <w:t>m</w:t>
      </w:r>
      <w:r w:rsidRPr="004B254E">
        <w:t xml:space="preserve">embres » de la Conférence </w:t>
      </w:r>
      <w:r>
        <w:t>du désarmement.</w:t>
      </w:r>
    </w:p>
    <w:p w14:paraId="1F23445F" w14:textId="2702C316" w:rsidR="004B254E" w:rsidRDefault="004B254E" w:rsidP="00D95F19">
      <w:pPr>
        <w:jc w:val="both"/>
      </w:pPr>
    </w:p>
    <w:p w14:paraId="08FB65B6" w14:textId="1E2E24B2" w:rsidR="004B254E" w:rsidRDefault="004B254E" w:rsidP="00D95F19">
      <w:pPr>
        <w:jc w:val="both"/>
      </w:pPr>
      <w:r>
        <w:tab/>
        <w:t>« </w:t>
      </w:r>
      <w:r w:rsidRPr="00C728D8">
        <w:t>Secrétaire général</w:t>
      </w:r>
      <w:r w:rsidR="002364BA">
        <w:t>e</w:t>
      </w:r>
      <w:r w:rsidRPr="00C728D8">
        <w:t xml:space="preserve"> de la Conférence</w:t>
      </w:r>
      <w:r>
        <w:t> » prend la majuscule (</w:t>
      </w:r>
      <w:r w:rsidR="002364BA">
        <w:t xml:space="preserve">la Directrice générale </w:t>
      </w:r>
      <w:r>
        <w:t>de l’ONUG</w:t>
      </w:r>
      <w:r w:rsidR="00323A0E">
        <w:t>, Tatiana Valovaya,</w:t>
      </w:r>
      <w:r>
        <w:t xml:space="preserve"> est également l</w:t>
      </w:r>
      <w:r w:rsidR="002364BA">
        <w:t>a</w:t>
      </w:r>
      <w:r>
        <w:t xml:space="preserve"> Secrétaire général</w:t>
      </w:r>
      <w:r w:rsidR="002364BA">
        <w:t>e</w:t>
      </w:r>
      <w:r>
        <w:t xml:space="preserve"> de la Conférence du désarmement) - Ne pas confondre avec le</w:t>
      </w:r>
      <w:r w:rsidR="002172E5">
        <w:t xml:space="preserve"> (la)</w:t>
      </w:r>
      <w:r>
        <w:t xml:space="preserve"> secrétaire de la Conférence, qui prend la parole en fin de séance généralement, pour faire des annonces d’ordre logistique ou organisationnel.</w:t>
      </w:r>
    </w:p>
    <w:p w14:paraId="4E6A7729" w14:textId="0F5D27C9" w:rsidR="004B254E" w:rsidRPr="004B254E" w:rsidRDefault="004B254E" w:rsidP="00D95F19">
      <w:pPr>
        <w:spacing w:before="240"/>
        <w:jc w:val="both"/>
      </w:pPr>
      <w:r>
        <w:tab/>
      </w:r>
      <w:r w:rsidR="00266190">
        <w:t>Traduire « </w:t>
      </w:r>
      <w:r w:rsidR="00266190" w:rsidRPr="000D63B4">
        <w:rPr>
          <w:u w:val="single"/>
        </w:rPr>
        <w:t>delegate</w:t>
      </w:r>
      <w:r w:rsidR="00266190">
        <w:t> » par « R/représentant » (</w:t>
      </w:r>
      <w:r w:rsidR="00266190" w:rsidRPr="00D25BF6">
        <w:rPr>
          <w:i/>
        </w:rPr>
        <w:t>ne  pas traduire par « délégué »</w:t>
      </w:r>
      <w:r w:rsidR="00266190">
        <w:t>). On met un</w:t>
      </w:r>
      <w:r w:rsidR="00E520AB">
        <w:t>e</w:t>
      </w:r>
      <w:r w:rsidR="00266190">
        <w:t xml:space="preserve"> m</w:t>
      </w:r>
      <w:r w:rsidRPr="004B254E">
        <w:t>ajuscule à « </w:t>
      </w:r>
      <w:r w:rsidRPr="004B254E">
        <w:rPr>
          <w:b/>
          <w:u w:val="single"/>
        </w:rPr>
        <w:t>R</w:t>
      </w:r>
      <w:r w:rsidRPr="004B254E">
        <w:t>eprésentant » dès lors qu’il s’agit du Représentant (permanent ou non) d’un État, que celui-ci soit expressément désigné ou qu’il soit implicite.</w:t>
      </w:r>
    </w:p>
    <w:p w14:paraId="2B9243E0" w14:textId="61C70718" w:rsidR="000D63B4" w:rsidRDefault="004B254E" w:rsidP="00D95F19">
      <w:pPr>
        <w:spacing w:before="240"/>
        <w:jc w:val="both"/>
      </w:pPr>
      <w:r w:rsidRPr="004B254E">
        <w:tab/>
        <w:t>Majuscule à « </w:t>
      </w:r>
      <w:r w:rsidRPr="004B254E">
        <w:rPr>
          <w:b/>
          <w:u w:val="single"/>
        </w:rPr>
        <w:t>R</w:t>
      </w:r>
      <w:r w:rsidRPr="004B254E">
        <w:t>èglement intérieur » lorsqu’il s’agit du Règlement intérieur de la Conférence (ou d’un règlement intérieur qui a été adopté pour un organe donné), mais minuscule si « son règlement intérieur » ou « un règlement intérieur »</w:t>
      </w:r>
      <w:r>
        <w:t>. Ainsi, on dira : « </w:t>
      </w:r>
      <w:r w:rsidRPr="004B254E">
        <w:t xml:space="preserve">le Règlement intérieur de [nom </w:t>
      </w:r>
      <w:r>
        <w:t>de l’organe ou entité] » mais « son/un/ce règlement</w:t>
      </w:r>
      <w:r w:rsidR="000D63B4">
        <w:t xml:space="preserve"> intérieur</w:t>
      </w:r>
      <w:r>
        <w:t xml:space="preserve"> » </w:t>
      </w:r>
      <w:r w:rsidR="000D63B4">
        <w:t>et « </w:t>
      </w:r>
      <w:r>
        <w:t>projet de règlement intérieur</w:t>
      </w:r>
      <w:r w:rsidR="000D63B4">
        <w:t> »</w:t>
      </w:r>
      <w:r>
        <w:t>.</w:t>
      </w:r>
    </w:p>
    <w:p w14:paraId="2542B70D" w14:textId="2AADBAA4" w:rsidR="000D63B4" w:rsidRDefault="000D63B4" w:rsidP="00D95F19">
      <w:pPr>
        <w:spacing w:before="240"/>
        <w:jc w:val="both"/>
      </w:pPr>
      <w:r>
        <w:tab/>
        <w:t>« La délégation » + adjectif de nationalité (par ex. « la délégation indienne » et non « la délégation de l’Inde »</w:t>
      </w:r>
      <w:r w:rsidR="000D4DB8">
        <w:t>, mais « la délégation des États-Unis d’Amérique » pour des raisons évidentes</w:t>
      </w:r>
      <w:r>
        <w:t>).</w:t>
      </w:r>
    </w:p>
    <w:p w14:paraId="0B753CED" w14:textId="5A633AE0" w:rsidR="000D63B4" w:rsidRDefault="000D63B4" w:rsidP="00D95F19">
      <w:pPr>
        <w:spacing w:before="240"/>
        <w:jc w:val="both"/>
      </w:pPr>
      <w:r>
        <w:tab/>
        <w:t>« L’Ambassadeur d’Inde/de France/d’Allemagne/de Sri Lanka » (et non pas « </w:t>
      </w:r>
      <w:r w:rsidRPr="002462F7">
        <w:rPr>
          <w:i/>
        </w:rPr>
        <w:t>l’Ambassadeur de l’Inde/de la France/de l’Allemagne/du Sri Lanka</w:t>
      </w:r>
      <w:r>
        <w:t> »).</w:t>
      </w:r>
    </w:p>
    <w:p w14:paraId="2BD69857" w14:textId="77777777" w:rsidR="00817258" w:rsidRDefault="00817258" w:rsidP="00D95F19">
      <w:pPr>
        <w:spacing w:before="240"/>
        <w:jc w:val="both"/>
      </w:pPr>
    </w:p>
    <w:p w14:paraId="43B8E3BD" w14:textId="1152AB6F" w:rsidR="009D5BCD" w:rsidRDefault="000D63B4" w:rsidP="00D95F19">
      <w:pPr>
        <w:jc w:val="both"/>
      </w:pPr>
      <w:r>
        <w:tab/>
        <w:t xml:space="preserve">Les attaques de nouveau paragraphe « </w:t>
      </w:r>
      <w:r w:rsidRPr="00C728D8">
        <w:t>Monsieur le Président</w:t>
      </w:r>
      <w:r>
        <w:t xml:space="preserve"> » sont des formules prononcées comme autant de respirations dans le discours. Elles n’ont pas toujours leur utilité et sont davantage des marques de découpage que des formules ayant un sens. Lorsque, dans ce qui suit immédiatement, l’intervenant s’adresse manifestement au Président, il convient de les conserver. Sinon, on peut les supprimer pour alléger (ce même si</w:t>
      </w:r>
      <w:r w:rsidR="00F968F5">
        <w:t>,</w:t>
      </w:r>
      <w:r>
        <w:t xml:space="preserve"> dans la version compilée, la formule a été maintenue)</w:t>
      </w:r>
      <w:r w:rsidRPr="004451D7">
        <w:t>.</w:t>
      </w:r>
    </w:p>
    <w:p w14:paraId="333703A8" w14:textId="52A1D890" w:rsidR="009D5BCD" w:rsidRDefault="009D5BCD" w:rsidP="00D95F19">
      <w:pPr>
        <w:jc w:val="both"/>
      </w:pPr>
    </w:p>
    <w:p w14:paraId="46AA7B50" w14:textId="2C3B334E" w:rsidR="009D5BCD" w:rsidRDefault="009D5BCD" w:rsidP="00D95F19">
      <w:pPr>
        <w:spacing w:before="240"/>
        <w:jc w:val="both"/>
      </w:pPr>
      <w:r>
        <w:tab/>
      </w:r>
      <w:r w:rsidR="000D63B4">
        <w:t>P</w:t>
      </w:r>
      <w:r w:rsidR="000D63B4" w:rsidRPr="00D56711">
        <w:t xml:space="preserve">enser à ajouter systématiquement </w:t>
      </w:r>
      <w:r w:rsidR="000D63B4" w:rsidRPr="00C728D8">
        <w:rPr>
          <w:b/>
        </w:rPr>
        <w:t xml:space="preserve">l'année </w:t>
      </w:r>
      <w:r w:rsidR="000D63B4" w:rsidRPr="00D95F19">
        <w:t>de l'adoption de la résolution</w:t>
      </w:r>
      <w:r w:rsidR="000D63B4" w:rsidRPr="00D56711">
        <w:t xml:space="preserve"> lorsque l'on cite une </w:t>
      </w:r>
      <w:r w:rsidR="000D63B4" w:rsidRPr="00D95F19">
        <w:rPr>
          <w:b/>
        </w:rPr>
        <w:t>résolution du Conseil de sécurité</w:t>
      </w:r>
      <w:r w:rsidR="00F968F5">
        <w:t xml:space="preserve">, et ce </w:t>
      </w:r>
      <w:r w:rsidR="000D63B4" w:rsidRPr="00D56711">
        <w:t>même si la date ne figure pas dans l'original</w:t>
      </w:r>
      <w:r w:rsidR="00F968F5">
        <w:t xml:space="preserve"> anglais (version compilée). Les résolutions et l’année correspondante peuvent être retrouvées à l’adresse : </w:t>
      </w:r>
      <w:r w:rsidR="00F968F5" w:rsidRPr="00F968F5">
        <w:t>https://www.un.org/securitycouncil/fr/content/resolutions</w:t>
      </w:r>
      <w:r w:rsidR="00F968F5">
        <w:t>.</w:t>
      </w:r>
    </w:p>
    <w:p w14:paraId="3F04D337" w14:textId="3727A9FE" w:rsidR="009D5BCD" w:rsidRPr="00D95F19" w:rsidRDefault="009D5BCD" w:rsidP="00D95F19">
      <w:pPr>
        <w:pStyle w:val="SingleTxtG"/>
        <w:spacing w:before="240" w:after="0"/>
        <w:jc w:val="center"/>
        <w:rPr>
          <w:u w:val="single"/>
        </w:rPr>
      </w:pPr>
      <w:r>
        <w:rPr>
          <w:u w:val="single"/>
        </w:rPr>
        <w:tab/>
      </w:r>
      <w:r>
        <w:rPr>
          <w:u w:val="single"/>
        </w:rPr>
        <w:tab/>
      </w:r>
      <w:r>
        <w:rPr>
          <w:u w:val="single"/>
        </w:rPr>
        <w:tab/>
      </w:r>
    </w:p>
    <w:p w14:paraId="41565335" w14:textId="27C2F77D" w:rsidR="004B254E" w:rsidRPr="009D55E4" w:rsidRDefault="004B254E" w:rsidP="00D95F19">
      <w:pPr>
        <w:spacing w:before="240"/>
        <w:rPr>
          <w:lang w:val="fr-FR"/>
        </w:rPr>
      </w:pPr>
    </w:p>
    <w:sectPr w:rsidR="004B254E" w:rsidRPr="009D55E4" w:rsidSect="00B12372">
      <w:footerReference w:type="default" r:id="rId12"/>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574" w14:textId="77777777" w:rsidR="00D22FFF" w:rsidRPr="00927979" w:rsidRDefault="00D22FFF" w:rsidP="00927979">
      <w:pPr>
        <w:pStyle w:val="Pieddepage"/>
      </w:pPr>
    </w:p>
  </w:endnote>
  <w:endnote w:type="continuationSeparator" w:id="0">
    <w:p w14:paraId="2AE54500" w14:textId="77777777" w:rsidR="00D22FFF" w:rsidRPr="00927979" w:rsidRDefault="00D22FFF" w:rsidP="00927979">
      <w:pPr>
        <w:pStyle w:val="Pieddepage"/>
      </w:pPr>
    </w:p>
  </w:endnote>
  <w:endnote w:type="continuationNotice" w:id="1">
    <w:p w14:paraId="430DB6C5" w14:textId="77777777" w:rsidR="00D22FFF" w:rsidRPr="00927979" w:rsidRDefault="00D22FF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13611"/>
      <w:docPartObj>
        <w:docPartGallery w:val="Page Numbers (Bottom of Page)"/>
        <w:docPartUnique/>
      </w:docPartObj>
    </w:sdtPr>
    <w:sdtEndPr/>
    <w:sdtContent>
      <w:p w14:paraId="1E487CA1" w14:textId="3DE3D232" w:rsidR="00C70032" w:rsidRDefault="00C70032">
        <w:pPr>
          <w:pStyle w:val="Pieddepage"/>
          <w:jc w:val="right"/>
        </w:pPr>
        <w:r>
          <w:fldChar w:fldCharType="begin"/>
        </w:r>
        <w:r>
          <w:instrText>PAGE   \* MERGEFORMAT</w:instrText>
        </w:r>
        <w:r>
          <w:fldChar w:fldCharType="separate"/>
        </w:r>
        <w:r>
          <w:rPr>
            <w:lang w:val="fr-FR"/>
          </w:rPr>
          <w:t>2</w:t>
        </w:r>
        <w:r>
          <w:fldChar w:fldCharType="end"/>
        </w:r>
      </w:p>
    </w:sdtContent>
  </w:sdt>
  <w:p w14:paraId="7B62BD36" w14:textId="77777777" w:rsidR="00C70032" w:rsidRDefault="00C700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17E4" w14:textId="77777777" w:rsidR="00D22FFF" w:rsidRPr="00927979" w:rsidRDefault="00D22FFF" w:rsidP="00927979">
      <w:pPr>
        <w:pStyle w:val="Pieddepage"/>
        <w:tabs>
          <w:tab w:val="right" w:pos="2155"/>
        </w:tabs>
        <w:spacing w:after="80" w:line="240" w:lineRule="atLeast"/>
        <w:ind w:left="680"/>
        <w:rPr>
          <w:u w:val="single"/>
        </w:rPr>
      </w:pPr>
      <w:r w:rsidRPr="00927979">
        <w:rPr>
          <w:u w:val="single"/>
        </w:rPr>
        <w:tab/>
      </w:r>
    </w:p>
  </w:footnote>
  <w:footnote w:type="continuationSeparator" w:id="0">
    <w:p w14:paraId="0A924ABA" w14:textId="77777777" w:rsidR="00D22FFF" w:rsidRPr="00927979" w:rsidRDefault="00D22FFF" w:rsidP="00927979">
      <w:pPr>
        <w:pStyle w:val="Pieddepage"/>
        <w:tabs>
          <w:tab w:val="right" w:pos="2155"/>
        </w:tabs>
        <w:spacing w:after="80" w:line="240" w:lineRule="atLeast"/>
        <w:ind w:left="680"/>
        <w:rPr>
          <w:u w:val="single"/>
        </w:rPr>
      </w:pPr>
      <w:r>
        <w:rPr>
          <w:u w:val="single"/>
        </w:rPr>
        <w:tab/>
      </w:r>
    </w:p>
  </w:footnote>
  <w:footnote w:type="continuationNotice" w:id="1">
    <w:p w14:paraId="0296498A" w14:textId="77777777" w:rsidR="00D22FFF" w:rsidRPr="00927979" w:rsidRDefault="00D22FFF">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127082F"/>
    <w:multiLevelType w:val="hybridMultilevel"/>
    <w:tmpl w:val="2690D9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3"/>
  </w:num>
  <w:num w:numId="7">
    <w:abstractNumId w:val="6"/>
  </w:num>
  <w:num w:numId="8">
    <w:abstractNumId w:val="3"/>
  </w:num>
  <w:num w:numId="9">
    <w:abstractNumId w:val="0"/>
  </w:num>
  <w:num w:numId="10">
    <w:abstractNumId w:val="6"/>
  </w:num>
  <w:num w:numId="11">
    <w:abstractNumId w:val="3"/>
  </w:num>
  <w:num w:numId="12">
    <w:abstractNumId w:val="0"/>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E4"/>
    <w:rsid w:val="00011D4C"/>
    <w:rsid w:val="00021B5E"/>
    <w:rsid w:val="00023B43"/>
    <w:rsid w:val="000419F9"/>
    <w:rsid w:val="00042311"/>
    <w:rsid w:val="00063F96"/>
    <w:rsid w:val="000672C4"/>
    <w:rsid w:val="000770C9"/>
    <w:rsid w:val="0008599B"/>
    <w:rsid w:val="00092D7C"/>
    <w:rsid w:val="00097564"/>
    <w:rsid w:val="000D4DB8"/>
    <w:rsid w:val="000D63B4"/>
    <w:rsid w:val="001013D4"/>
    <w:rsid w:val="001146A2"/>
    <w:rsid w:val="00151061"/>
    <w:rsid w:val="0017162A"/>
    <w:rsid w:val="001A0959"/>
    <w:rsid w:val="001B5375"/>
    <w:rsid w:val="001B5715"/>
    <w:rsid w:val="001E1154"/>
    <w:rsid w:val="0020016B"/>
    <w:rsid w:val="002172E5"/>
    <w:rsid w:val="002364BA"/>
    <w:rsid w:val="002509A0"/>
    <w:rsid w:val="00265F32"/>
    <w:rsid w:val="00266190"/>
    <w:rsid w:val="0027216F"/>
    <w:rsid w:val="00286A11"/>
    <w:rsid w:val="002948E5"/>
    <w:rsid w:val="002B2AAE"/>
    <w:rsid w:val="002C4A37"/>
    <w:rsid w:val="002D6B0F"/>
    <w:rsid w:val="002E09B5"/>
    <w:rsid w:val="002F2A3C"/>
    <w:rsid w:val="002F5889"/>
    <w:rsid w:val="002F5F6A"/>
    <w:rsid w:val="002F7E91"/>
    <w:rsid w:val="00300920"/>
    <w:rsid w:val="00304EF5"/>
    <w:rsid w:val="003067CA"/>
    <w:rsid w:val="00307C44"/>
    <w:rsid w:val="00323A01"/>
    <w:rsid w:val="00323A0E"/>
    <w:rsid w:val="00326449"/>
    <w:rsid w:val="003301D2"/>
    <w:rsid w:val="00345FEA"/>
    <w:rsid w:val="003539CE"/>
    <w:rsid w:val="00360972"/>
    <w:rsid w:val="0038728C"/>
    <w:rsid w:val="003A1E3B"/>
    <w:rsid w:val="004007E5"/>
    <w:rsid w:val="004341FD"/>
    <w:rsid w:val="0044483F"/>
    <w:rsid w:val="00455683"/>
    <w:rsid w:val="0045799B"/>
    <w:rsid w:val="00466993"/>
    <w:rsid w:val="00466DB9"/>
    <w:rsid w:val="004733EF"/>
    <w:rsid w:val="00482644"/>
    <w:rsid w:val="004854C8"/>
    <w:rsid w:val="00496A01"/>
    <w:rsid w:val="004A3DD6"/>
    <w:rsid w:val="004A3E6E"/>
    <w:rsid w:val="004B1E4B"/>
    <w:rsid w:val="004B254E"/>
    <w:rsid w:val="004C598A"/>
    <w:rsid w:val="004D7BDB"/>
    <w:rsid w:val="0050022F"/>
    <w:rsid w:val="005222DC"/>
    <w:rsid w:val="00547869"/>
    <w:rsid w:val="00550A7B"/>
    <w:rsid w:val="006421BC"/>
    <w:rsid w:val="006528E0"/>
    <w:rsid w:val="00682AA0"/>
    <w:rsid w:val="006A1CEB"/>
    <w:rsid w:val="006B0EE1"/>
    <w:rsid w:val="006B6852"/>
    <w:rsid w:val="00726242"/>
    <w:rsid w:val="00742370"/>
    <w:rsid w:val="00745F2C"/>
    <w:rsid w:val="00755E2A"/>
    <w:rsid w:val="00780145"/>
    <w:rsid w:val="007830BD"/>
    <w:rsid w:val="007E30CD"/>
    <w:rsid w:val="007E6C7F"/>
    <w:rsid w:val="00801CAF"/>
    <w:rsid w:val="00807E38"/>
    <w:rsid w:val="0081043A"/>
    <w:rsid w:val="0081677C"/>
    <w:rsid w:val="00817258"/>
    <w:rsid w:val="00872593"/>
    <w:rsid w:val="00883C66"/>
    <w:rsid w:val="008A322F"/>
    <w:rsid w:val="008A3263"/>
    <w:rsid w:val="008B577D"/>
    <w:rsid w:val="008E1E90"/>
    <w:rsid w:val="0091077A"/>
    <w:rsid w:val="00915261"/>
    <w:rsid w:val="0091529B"/>
    <w:rsid w:val="00927122"/>
    <w:rsid w:val="00927979"/>
    <w:rsid w:val="00941536"/>
    <w:rsid w:val="009424DB"/>
    <w:rsid w:val="00947860"/>
    <w:rsid w:val="00950E38"/>
    <w:rsid w:val="00950EA5"/>
    <w:rsid w:val="00973FAE"/>
    <w:rsid w:val="00985DCC"/>
    <w:rsid w:val="009909F4"/>
    <w:rsid w:val="009A4451"/>
    <w:rsid w:val="009B0328"/>
    <w:rsid w:val="009B4DEC"/>
    <w:rsid w:val="009C6861"/>
    <w:rsid w:val="009D3700"/>
    <w:rsid w:val="009D55E4"/>
    <w:rsid w:val="009D5BCD"/>
    <w:rsid w:val="009E5394"/>
    <w:rsid w:val="00A00E4B"/>
    <w:rsid w:val="00A04D1E"/>
    <w:rsid w:val="00A16017"/>
    <w:rsid w:val="00A201F2"/>
    <w:rsid w:val="00A478BB"/>
    <w:rsid w:val="00A502B1"/>
    <w:rsid w:val="00A53843"/>
    <w:rsid w:val="00A5540C"/>
    <w:rsid w:val="00A5610F"/>
    <w:rsid w:val="00A66881"/>
    <w:rsid w:val="00A932E8"/>
    <w:rsid w:val="00AA4364"/>
    <w:rsid w:val="00AB463A"/>
    <w:rsid w:val="00AC3AF2"/>
    <w:rsid w:val="00AD689C"/>
    <w:rsid w:val="00AF3B64"/>
    <w:rsid w:val="00B01951"/>
    <w:rsid w:val="00B12372"/>
    <w:rsid w:val="00B16782"/>
    <w:rsid w:val="00B23BF1"/>
    <w:rsid w:val="00B309B1"/>
    <w:rsid w:val="00B50735"/>
    <w:rsid w:val="00B56E8F"/>
    <w:rsid w:val="00B734B0"/>
    <w:rsid w:val="00B90AAE"/>
    <w:rsid w:val="00B93053"/>
    <w:rsid w:val="00BD41C1"/>
    <w:rsid w:val="00BF0F22"/>
    <w:rsid w:val="00BF4D45"/>
    <w:rsid w:val="00C126C2"/>
    <w:rsid w:val="00C2543E"/>
    <w:rsid w:val="00C4711D"/>
    <w:rsid w:val="00C656A4"/>
    <w:rsid w:val="00C671DD"/>
    <w:rsid w:val="00C70032"/>
    <w:rsid w:val="00C71943"/>
    <w:rsid w:val="00C728D8"/>
    <w:rsid w:val="00C73D04"/>
    <w:rsid w:val="00C75821"/>
    <w:rsid w:val="00C81570"/>
    <w:rsid w:val="00C85BB7"/>
    <w:rsid w:val="00C911C1"/>
    <w:rsid w:val="00C9345A"/>
    <w:rsid w:val="00C93DF9"/>
    <w:rsid w:val="00C976C4"/>
    <w:rsid w:val="00CB42D0"/>
    <w:rsid w:val="00CD5628"/>
    <w:rsid w:val="00CE1525"/>
    <w:rsid w:val="00CE502B"/>
    <w:rsid w:val="00D034A8"/>
    <w:rsid w:val="00D22EEB"/>
    <w:rsid w:val="00D22FFF"/>
    <w:rsid w:val="00D40970"/>
    <w:rsid w:val="00D478D1"/>
    <w:rsid w:val="00D47F0B"/>
    <w:rsid w:val="00D51BBF"/>
    <w:rsid w:val="00D55762"/>
    <w:rsid w:val="00D71970"/>
    <w:rsid w:val="00D8052D"/>
    <w:rsid w:val="00D85AD4"/>
    <w:rsid w:val="00D94D00"/>
    <w:rsid w:val="00D95F19"/>
    <w:rsid w:val="00DA1C87"/>
    <w:rsid w:val="00DA6485"/>
    <w:rsid w:val="00DE74E3"/>
    <w:rsid w:val="00DF0725"/>
    <w:rsid w:val="00DF5D16"/>
    <w:rsid w:val="00E149D9"/>
    <w:rsid w:val="00E520AB"/>
    <w:rsid w:val="00E56134"/>
    <w:rsid w:val="00E57748"/>
    <w:rsid w:val="00E62AA9"/>
    <w:rsid w:val="00E66241"/>
    <w:rsid w:val="00E66E56"/>
    <w:rsid w:val="00E812EF"/>
    <w:rsid w:val="00E8490A"/>
    <w:rsid w:val="00E84D71"/>
    <w:rsid w:val="00E854D7"/>
    <w:rsid w:val="00E862D7"/>
    <w:rsid w:val="00E90BFF"/>
    <w:rsid w:val="00EC2942"/>
    <w:rsid w:val="00EE71BF"/>
    <w:rsid w:val="00EF74B4"/>
    <w:rsid w:val="00F02181"/>
    <w:rsid w:val="00F268B8"/>
    <w:rsid w:val="00F27761"/>
    <w:rsid w:val="00F3660C"/>
    <w:rsid w:val="00F6508F"/>
    <w:rsid w:val="00F81F99"/>
    <w:rsid w:val="00F841D8"/>
    <w:rsid w:val="00F92C50"/>
    <w:rsid w:val="00F94129"/>
    <w:rsid w:val="00F968F5"/>
    <w:rsid w:val="00FA39E5"/>
    <w:rsid w:val="00FA45FC"/>
    <w:rsid w:val="00FC2E90"/>
    <w:rsid w:val="00FE678A"/>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D10F299"/>
  <w15:chartTrackingRefBased/>
  <w15:docId w15:val="{197F74E4-37E2-4C00-9572-4F9B4ED9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uiPriority w:val="99"/>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uiPriority w:val="99"/>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paragraph" w:customStyle="1" w:styleId="H1">
    <w:name w:val="_ H_1"/>
    <w:basedOn w:val="Normal"/>
    <w:next w:val="SingleTxt"/>
    <w:rsid w:val="00E8490A"/>
    <w:pPr>
      <w:keepNext/>
      <w:keepLines/>
      <w:kinsoku/>
      <w:overflowPunct/>
      <w:autoSpaceDE/>
      <w:autoSpaceDN/>
      <w:adjustRightInd/>
      <w:snapToGrid/>
      <w:spacing w:line="270" w:lineRule="exact"/>
      <w:jc w:val="both"/>
      <w:outlineLvl w:val="0"/>
    </w:pPr>
    <w:rPr>
      <w:rFonts w:eastAsia="Times New Roman"/>
      <w:b/>
      <w:spacing w:val="4"/>
      <w:w w:val="103"/>
      <w:kern w:val="14"/>
      <w:sz w:val="24"/>
      <w:lang w:val="fr-CA"/>
    </w:rPr>
  </w:style>
  <w:style w:type="paragraph" w:customStyle="1" w:styleId="H23">
    <w:name w:val="_ H_2/3"/>
    <w:basedOn w:val="H1"/>
    <w:next w:val="SingleTxt"/>
    <w:rsid w:val="00E8490A"/>
    <w:pPr>
      <w:spacing w:line="240" w:lineRule="exact"/>
      <w:outlineLvl w:val="1"/>
    </w:pPr>
    <w:rPr>
      <w:spacing w:val="2"/>
      <w:sz w:val="20"/>
    </w:rPr>
  </w:style>
  <w:style w:type="paragraph" w:customStyle="1" w:styleId="SingleTxt">
    <w:name w:val="__Single Txt"/>
    <w:basedOn w:val="Normal"/>
    <w:rsid w:val="00E8490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10" w:lineRule="exact"/>
      <w:ind w:left="1267" w:right="1267"/>
      <w:jc w:val="both"/>
    </w:pPr>
    <w:rPr>
      <w:rFonts w:eastAsia="Times New Roman"/>
      <w:spacing w:val="4"/>
      <w:w w:val="103"/>
      <w:kern w:val="14"/>
      <w:sz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f.unog.ch/digitalrecordings/" TargetMode="External"/><Relationship Id="rId5" Type="http://schemas.openxmlformats.org/officeDocument/2006/relationships/styles" Target="styles.xml"/><Relationship Id="rId10" Type="http://schemas.openxmlformats.org/officeDocument/2006/relationships/hyperlink" Target="https://meetings.unod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FA4F095C4904DBDA36630536BEF14" ma:contentTypeVersion="8" ma:contentTypeDescription="Create a new document." ma:contentTypeScope="" ma:versionID="2d30ba49356cd0e6bd272e979fddf1ee">
  <xsd:schema xmlns:xsd="http://www.w3.org/2001/XMLSchema" xmlns:xs="http://www.w3.org/2001/XMLSchema" xmlns:p="http://schemas.microsoft.com/office/2006/metadata/properties" xmlns:ns3="d11d474f-78e8-4fe7-9834-5da235aca905" targetNamespace="http://schemas.microsoft.com/office/2006/metadata/properties" ma:root="true" ma:fieldsID="ef993a21a513d8d7a2c223ef424c4043" ns3:_="">
    <xsd:import namespace="d11d474f-78e8-4fe7-9834-5da235aca9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474f-78e8-4fe7-9834-5da235ac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FFCF7-8DFB-4F9B-A0AD-F5615CC1FE4D}">
  <ds:schemaRefs>
    <ds:schemaRef ds:uri="http://schemas.microsoft.com/sharepoint/v3/contenttype/forms"/>
  </ds:schemaRefs>
</ds:datastoreItem>
</file>

<file path=customXml/itemProps2.xml><?xml version="1.0" encoding="utf-8"?>
<ds:datastoreItem xmlns:ds="http://schemas.openxmlformats.org/officeDocument/2006/customXml" ds:itemID="{6325128E-E749-4E7D-B7EC-6BB45A86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474f-78e8-4fe7-9834-5da235aca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4DB92-B7C3-4218-A3EA-E41A651CE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1966</Words>
  <Characters>11210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Helene Le Floc'H</dc:creator>
  <cp:keywords/>
  <dc:description/>
  <cp:lastModifiedBy>Isabelle Sakatko</cp:lastModifiedBy>
  <cp:revision>74</cp:revision>
  <cp:lastPrinted>2014-05-15T08:26:00Z</cp:lastPrinted>
  <dcterms:created xsi:type="dcterms:W3CDTF">2023-01-17T13:38:00Z</dcterms:created>
  <dcterms:modified xsi:type="dcterms:W3CDTF">2023-01-18T15:13:00Z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0x010100370FA4F095C4904DBDA36630536BEF14</vt:lpwstr>
  </property>
</Properties>
</file>