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8493" w14:textId="77777777" w:rsidR="00E8140F" w:rsidRDefault="00E8140F" w:rsidP="005A069A">
      <w:pPr>
        <w:jc w:val="center"/>
        <w:rPr>
          <w:b/>
          <w:sz w:val="28"/>
          <w:u w:val="single"/>
        </w:rPr>
      </w:pPr>
      <w:r w:rsidRPr="005A069A">
        <w:rPr>
          <w:b/>
          <w:sz w:val="28"/>
          <w:u w:val="single"/>
        </w:rPr>
        <w:t xml:space="preserve">Publications CNUCED </w:t>
      </w:r>
      <w:r w:rsidRPr="005A069A">
        <w:rPr>
          <w:b/>
          <w:sz w:val="28"/>
          <w:u w:val="single"/>
        </w:rPr>
        <w:noBreakHyphen/>
        <w:t xml:space="preserve"> Consignes</w:t>
      </w:r>
    </w:p>
    <w:p w14:paraId="46B1AA3C" w14:textId="77777777" w:rsidR="00565BB4" w:rsidRPr="005A069A" w:rsidRDefault="00565BB4" w:rsidP="005A069A">
      <w:pPr>
        <w:jc w:val="center"/>
        <w:rPr>
          <w:b/>
          <w:sz w:val="28"/>
          <w:u w:val="single"/>
        </w:rPr>
      </w:pPr>
    </w:p>
    <w:p w14:paraId="09FB61ED" w14:textId="77777777" w:rsidR="00AE418A" w:rsidRDefault="00AE418A" w:rsidP="00AE418A">
      <w:pPr>
        <w:suppressAutoHyphens w:val="0"/>
        <w:kinsoku/>
        <w:overflowPunct/>
        <w:autoSpaceDE/>
        <w:autoSpaceDN/>
        <w:adjustRightInd/>
        <w:snapToGrid/>
        <w:spacing w:line="240" w:lineRule="auto"/>
        <w:rPr>
          <w:rFonts w:asciiTheme="minorHAnsi" w:eastAsiaTheme="minorHAnsi" w:hAnsiTheme="minorHAnsi" w:cstheme="minorHAnsi"/>
          <w:sz w:val="22"/>
          <w:szCs w:val="22"/>
          <w:lang w:val="fr-FR"/>
        </w:rPr>
      </w:pPr>
    </w:p>
    <w:p w14:paraId="48CA5E5E" w14:textId="562CA679" w:rsidR="00AE418A" w:rsidRPr="00AE418A" w:rsidRDefault="00AE418A" w:rsidP="00AE418A">
      <w:pPr>
        <w:suppressAutoHyphens w:val="0"/>
        <w:kinsoku/>
        <w:overflowPunct/>
        <w:autoSpaceDE/>
        <w:autoSpaceDN/>
        <w:adjustRightInd/>
        <w:snapToGrid/>
        <w:spacing w:line="240" w:lineRule="auto"/>
        <w:rPr>
          <w:rFonts w:eastAsiaTheme="minorHAnsi"/>
          <w:b/>
          <w:bCs/>
          <w:sz w:val="24"/>
          <w:szCs w:val="24"/>
          <w:lang w:val="fr-FR"/>
        </w:rPr>
      </w:pPr>
      <w:r w:rsidRPr="00AE418A">
        <w:rPr>
          <w:rFonts w:eastAsiaTheme="minorHAnsi"/>
          <w:b/>
          <w:bCs/>
          <w:sz w:val="24"/>
          <w:szCs w:val="24"/>
          <w:lang w:val="fr-FR"/>
        </w:rPr>
        <w:t>Note introductive</w:t>
      </w:r>
    </w:p>
    <w:p w14:paraId="16930A9A" w14:textId="77777777" w:rsidR="00AE418A" w:rsidRPr="00AE418A" w:rsidRDefault="00AE418A" w:rsidP="00AE418A">
      <w:pPr>
        <w:suppressAutoHyphens w:val="0"/>
        <w:kinsoku/>
        <w:overflowPunct/>
        <w:autoSpaceDE/>
        <w:autoSpaceDN/>
        <w:adjustRightInd/>
        <w:snapToGrid/>
        <w:spacing w:line="240" w:lineRule="auto"/>
        <w:rPr>
          <w:rFonts w:eastAsiaTheme="minorHAnsi"/>
          <w:sz w:val="22"/>
          <w:szCs w:val="22"/>
          <w:lang w:val="fr-FR"/>
        </w:rPr>
      </w:pPr>
    </w:p>
    <w:p w14:paraId="220A703E" w14:textId="77777777" w:rsidR="00AE418A" w:rsidRPr="0041011C" w:rsidRDefault="00AE418A" w:rsidP="00AE418A">
      <w:pPr>
        <w:suppressAutoHyphens w:val="0"/>
        <w:kinsoku/>
        <w:overflowPunct/>
        <w:autoSpaceDE/>
        <w:autoSpaceDN/>
        <w:adjustRightInd/>
        <w:snapToGrid/>
        <w:spacing w:line="240" w:lineRule="auto"/>
        <w:rPr>
          <w:rFonts w:eastAsiaTheme="minorHAnsi"/>
          <w:sz w:val="22"/>
          <w:szCs w:val="22"/>
        </w:rPr>
      </w:pPr>
      <w:r w:rsidRPr="0041011C">
        <w:rPr>
          <w:rFonts w:eastAsiaTheme="minorHAnsi"/>
          <w:sz w:val="22"/>
          <w:szCs w:val="22"/>
          <w:lang w:val="fr-FR"/>
        </w:rPr>
        <w:t>La présente publication est disponible en libre accès sous réserve du respect de la licence Creative Commons créée pour les organisations intergouvernementales, dont les conditions sont énoncées à l’adresse suivante : http://creativecommons.org/licenses/by/3.0/igo/.</w:t>
      </w:r>
    </w:p>
    <w:p w14:paraId="0580BA24" w14:textId="77777777" w:rsidR="00AE418A" w:rsidRPr="0041011C" w:rsidRDefault="00AE418A" w:rsidP="00AE418A">
      <w:pPr>
        <w:suppressAutoHyphens w:val="0"/>
        <w:kinsoku/>
        <w:overflowPunct/>
        <w:autoSpaceDE/>
        <w:autoSpaceDN/>
        <w:adjustRightInd/>
        <w:snapToGrid/>
        <w:spacing w:line="240" w:lineRule="auto"/>
        <w:rPr>
          <w:rFonts w:eastAsiaTheme="minorHAnsi"/>
          <w:sz w:val="22"/>
          <w:szCs w:val="22"/>
          <w:lang w:val="fr-FR"/>
        </w:rPr>
      </w:pPr>
    </w:p>
    <w:p w14:paraId="3671B2B9" w14:textId="77777777" w:rsidR="00AE418A" w:rsidRPr="0041011C" w:rsidRDefault="00AE418A" w:rsidP="00AE418A">
      <w:pPr>
        <w:suppressAutoHyphens w:val="0"/>
        <w:kinsoku/>
        <w:overflowPunct/>
        <w:autoSpaceDE/>
        <w:autoSpaceDN/>
        <w:adjustRightInd/>
        <w:snapToGrid/>
        <w:spacing w:line="240" w:lineRule="auto"/>
        <w:rPr>
          <w:rFonts w:eastAsiaTheme="minorHAnsi"/>
          <w:sz w:val="22"/>
          <w:szCs w:val="22"/>
        </w:rPr>
      </w:pPr>
      <w:r w:rsidRPr="0041011C">
        <w:rPr>
          <w:rFonts w:eastAsiaTheme="minorHAnsi"/>
          <w:sz w:val="22"/>
          <w:szCs w:val="22"/>
          <w:lang w:val="fr-FR"/>
        </w:rPr>
        <w:t>Les appellations employées dans le document et la présentation des données qui figurent sur les cartes n’impliquent de la part de l’Organisation des Nations Unies aucune prise de position quant au statut juridique des pays, territoires, villes ou zones ou de leurs autorités, ni quant au tracé de leurs frontières ou limites.</w:t>
      </w:r>
    </w:p>
    <w:p w14:paraId="42E22D29" w14:textId="77777777" w:rsidR="00AE418A" w:rsidRPr="0041011C" w:rsidRDefault="00AE418A" w:rsidP="00AE418A">
      <w:pPr>
        <w:suppressAutoHyphens w:val="0"/>
        <w:kinsoku/>
        <w:overflowPunct/>
        <w:autoSpaceDE/>
        <w:autoSpaceDN/>
        <w:adjustRightInd/>
        <w:snapToGrid/>
        <w:spacing w:line="240" w:lineRule="auto"/>
        <w:rPr>
          <w:rFonts w:eastAsiaTheme="minorHAnsi"/>
          <w:sz w:val="22"/>
          <w:szCs w:val="22"/>
          <w:lang w:val="fr-FR"/>
        </w:rPr>
      </w:pPr>
    </w:p>
    <w:p w14:paraId="79EB6272" w14:textId="77777777" w:rsidR="00AE418A" w:rsidRPr="0041011C" w:rsidRDefault="00AE418A" w:rsidP="00AE418A">
      <w:pPr>
        <w:suppressAutoHyphens w:val="0"/>
        <w:kinsoku/>
        <w:overflowPunct/>
        <w:autoSpaceDE/>
        <w:autoSpaceDN/>
        <w:adjustRightInd/>
        <w:snapToGrid/>
        <w:spacing w:line="240" w:lineRule="auto"/>
        <w:rPr>
          <w:rFonts w:eastAsiaTheme="minorHAnsi"/>
          <w:sz w:val="22"/>
          <w:szCs w:val="22"/>
        </w:rPr>
      </w:pPr>
      <w:r w:rsidRPr="0041011C">
        <w:rPr>
          <w:rFonts w:eastAsiaTheme="minorHAnsi"/>
          <w:sz w:val="22"/>
          <w:szCs w:val="22"/>
          <w:lang w:val="fr-FR"/>
        </w:rPr>
        <w:t>La photocopie et la reproduction d’extraits sont autorisées à condition que  la source soit indiquée précisément.</w:t>
      </w:r>
    </w:p>
    <w:p w14:paraId="28DC876E" w14:textId="77777777" w:rsidR="00E8140F" w:rsidRDefault="00E8140F" w:rsidP="0081043A"/>
    <w:p w14:paraId="2F445350" w14:textId="77777777" w:rsidR="00E8140F" w:rsidRPr="00182397" w:rsidRDefault="00E8140F" w:rsidP="00565BB4">
      <w:pPr>
        <w:spacing w:after="120" w:line="360" w:lineRule="auto"/>
        <w:rPr>
          <w:b/>
          <w:sz w:val="28"/>
          <w:u w:val="single"/>
        </w:rPr>
      </w:pPr>
      <w:r w:rsidRPr="00182397">
        <w:rPr>
          <w:b/>
          <w:sz w:val="28"/>
          <w:u w:val="single"/>
        </w:rPr>
        <w:t>Rapport sur les PMA</w:t>
      </w:r>
    </w:p>
    <w:p w14:paraId="6B3D016C" w14:textId="77777777" w:rsidR="00E8140F" w:rsidRPr="005A069A" w:rsidRDefault="00D05317" w:rsidP="00AF1CA5">
      <w:pPr>
        <w:numPr>
          <w:ilvl w:val="0"/>
          <w:numId w:val="13"/>
        </w:numPr>
        <w:spacing w:after="120" w:line="360" w:lineRule="auto"/>
        <w:jc w:val="both"/>
        <w:rPr>
          <w:sz w:val="24"/>
        </w:rPr>
      </w:pPr>
      <w:r>
        <w:rPr>
          <w:sz w:val="24"/>
        </w:rPr>
        <w:t>Les passages figurant dans</w:t>
      </w:r>
      <w:r w:rsidR="00E8140F" w:rsidRPr="005A069A">
        <w:rPr>
          <w:sz w:val="24"/>
        </w:rPr>
        <w:t xml:space="preserve"> la version abrégée du rapport </w:t>
      </w:r>
      <w:r w:rsidR="00F74BB5">
        <w:rPr>
          <w:sz w:val="24"/>
        </w:rPr>
        <w:t>(</w:t>
      </w:r>
      <w:r w:rsidR="00B50539">
        <w:rPr>
          <w:sz w:val="24"/>
        </w:rPr>
        <w:t>« </w:t>
      </w:r>
      <w:proofErr w:type="spellStart"/>
      <w:r w:rsidR="00F74BB5">
        <w:rPr>
          <w:sz w:val="24"/>
        </w:rPr>
        <w:t>Overview</w:t>
      </w:r>
      <w:proofErr w:type="spellEnd"/>
      <w:r w:rsidR="00B50539">
        <w:rPr>
          <w:sz w:val="24"/>
        </w:rPr>
        <w:t> »</w:t>
      </w:r>
      <w:r w:rsidR="00F74BB5">
        <w:rPr>
          <w:sz w:val="24"/>
        </w:rPr>
        <w:t>)</w:t>
      </w:r>
      <w:r>
        <w:rPr>
          <w:sz w:val="24"/>
        </w:rPr>
        <w:t xml:space="preserve">, </w:t>
      </w:r>
      <w:r w:rsidR="00E8140F" w:rsidRPr="005A069A">
        <w:rPr>
          <w:sz w:val="24"/>
        </w:rPr>
        <w:t>déjà traduite</w:t>
      </w:r>
      <w:r>
        <w:rPr>
          <w:sz w:val="24"/>
        </w:rPr>
        <w:t>, doivent en principe être repris</w:t>
      </w:r>
      <w:r w:rsidR="00E8140F" w:rsidRPr="005A069A">
        <w:rPr>
          <w:sz w:val="24"/>
        </w:rPr>
        <w:t>.</w:t>
      </w:r>
      <w:r>
        <w:rPr>
          <w:sz w:val="24"/>
        </w:rPr>
        <w:t xml:space="preserve"> Il est conseillé de se familiariser avec l’</w:t>
      </w:r>
      <w:proofErr w:type="spellStart"/>
      <w:r>
        <w:rPr>
          <w:sz w:val="24"/>
        </w:rPr>
        <w:t>Overview</w:t>
      </w:r>
      <w:proofErr w:type="spellEnd"/>
      <w:r>
        <w:rPr>
          <w:sz w:val="24"/>
        </w:rPr>
        <w:t xml:space="preserve"> avant de commencer à traduire.</w:t>
      </w:r>
    </w:p>
    <w:p w14:paraId="1E6C7284" w14:textId="77777777" w:rsidR="00E8140F" w:rsidRPr="005A069A" w:rsidRDefault="00D05317" w:rsidP="0029145D">
      <w:pPr>
        <w:numPr>
          <w:ilvl w:val="0"/>
          <w:numId w:val="13"/>
        </w:numPr>
        <w:spacing w:after="120" w:line="360" w:lineRule="auto"/>
        <w:rPr>
          <w:sz w:val="24"/>
        </w:rPr>
      </w:pPr>
      <w:r>
        <w:rPr>
          <w:sz w:val="24"/>
        </w:rPr>
        <w:t xml:space="preserve">La version Word du document pouvant être incomplète (éléments graphiques ou passages intercalés, en particulier), il </w:t>
      </w:r>
      <w:r w:rsidR="00E8140F" w:rsidRPr="005A069A">
        <w:rPr>
          <w:sz w:val="24"/>
        </w:rPr>
        <w:t>est préférable de traduire à partir du fichier PDF.</w:t>
      </w:r>
    </w:p>
    <w:p w14:paraId="4171E32E" w14:textId="77777777" w:rsidR="00E8140F" w:rsidRPr="005A069A" w:rsidRDefault="00E8140F" w:rsidP="0029145D">
      <w:pPr>
        <w:numPr>
          <w:ilvl w:val="0"/>
          <w:numId w:val="13"/>
        </w:numPr>
        <w:spacing w:after="120" w:line="360" w:lineRule="auto"/>
        <w:jc w:val="both"/>
        <w:rPr>
          <w:sz w:val="24"/>
        </w:rPr>
      </w:pPr>
      <w:r w:rsidRPr="005A069A">
        <w:rPr>
          <w:sz w:val="24"/>
        </w:rPr>
        <w:t>Les annotations qui sont intercalées dans le texte sont à traduire (il arrive que ces annotations n’apparaissent que dans le fichier PDF, et pas dans le fichier Word)</w:t>
      </w:r>
      <w:r w:rsidR="00346F11">
        <w:rPr>
          <w:sz w:val="24"/>
        </w:rPr>
        <w:t>.</w:t>
      </w:r>
    </w:p>
    <w:p w14:paraId="49254283" w14:textId="77777777" w:rsidR="008E369D" w:rsidRPr="00182397" w:rsidRDefault="008732AD" w:rsidP="008E369D">
      <w:pPr>
        <w:spacing w:after="120" w:line="360" w:lineRule="auto"/>
        <w:rPr>
          <w:sz w:val="28"/>
          <w:u w:val="single"/>
          <w:lang w:val="fr-FR"/>
        </w:rPr>
      </w:pPr>
      <w:r w:rsidRPr="00182397">
        <w:rPr>
          <w:b/>
          <w:sz w:val="28"/>
          <w:u w:val="single"/>
        </w:rPr>
        <w:t>Toutes publications</w:t>
      </w:r>
    </w:p>
    <w:p w14:paraId="35757D86" w14:textId="77777777" w:rsidR="008E369D" w:rsidRDefault="008732AD" w:rsidP="008F46DA">
      <w:pPr>
        <w:numPr>
          <w:ilvl w:val="0"/>
          <w:numId w:val="13"/>
        </w:numPr>
        <w:spacing w:after="120" w:line="360" w:lineRule="auto"/>
        <w:jc w:val="both"/>
        <w:rPr>
          <w:sz w:val="24"/>
          <w:lang w:val="fr-FR"/>
        </w:rPr>
      </w:pPr>
      <w:r w:rsidRPr="005A069A">
        <w:rPr>
          <w:rStyle w:val="remaining-body"/>
          <w:sz w:val="24"/>
          <w:lang w:val="fr-FR"/>
        </w:rPr>
        <w:t>Si la partie attribuée contient des appels de note, les notes correspondantes se trouvent à la fin du chapitre concerné. Les notes qui sont « appelées » dans la partie attribuée sont à traduire.</w:t>
      </w:r>
    </w:p>
    <w:p w14:paraId="775D40AA" w14:textId="77777777" w:rsidR="0029145D" w:rsidRDefault="008732AD" w:rsidP="008F46DA">
      <w:pPr>
        <w:numPr>
          <w:ilvl w:val="0"/>
          <w:numId w:val="13"/>
        </w:numPr>
        <w:spacing w:after="120" w:line="360" w:lineRule="auto"/>
        <w:jc w:val="both"/>
        <w:rPr>
          <w:rStyle w:val="remaining-body"/>
          <w:sz w:val="24"/>
          <w:lang w:val="fr-FR"/>
        </w:rPr>
      </w:pPr>
      <w:r w:rsidRPr="005A069A">
        <w:rPr>
          <w:rStyle w:val="remaining-body"/>
          <w:sz w:val="24"/>
          <w:lang w:val="fr-FR"/>
        </w:rPr>
        <w:t>La bibliographie (« </w:t>
      </w:r>
      <w:proofErr w:type="spellStart"/>
      <w:r w:rsidRPr="005A069A">
        <w:rPr>
          <w:rStyle w:val="remaining-body"/>
          <w:sz w:val="24"/>
          <w:lang w:val="fr-FR"/>
        </w:rPr>
        <w:t>References</w:t>
      </w:r>
      <w:proofErr w:type="spellEnd"/>
      <w:r w:rsidRPr="005A069A">
        <w:rPr>
          <w:rStyle w:val="remaining-body"/>
          <w:sz w:val="24"/>
          <w:lang w:val="fr-FR"/>
        </w:rPr>
        <w:t> »), qui se trouve à la fin de la publication, n</w:t>
      </w:r>
      <w:r w:rsidR="008F46DA">
        <w:rPr>
          <w:rStyle w:val="remaining-body"/>
          <w:sz w:val="24"/>
          <w:lang w:val="fr-FR"/>
        </w:rPr>
        <w:t>’</w:t>
      </w:r>
      <w:r w:rsidRPr="005A069A">
        <w:rPr>
          <w:rStyle w:val="remaining-body"/>
          <w:sz w:val="24"/>
          <w:lang w:val="fr-FR"/>
        </w:rPr>
        <w:t xml:space="preserve">est pas à traduire. En conséquence, </w:t>
      </w:r>
      <w:r w:rsidRPr="00182397">
        <w:rPr>
          <w:rStyle w:val="remaining-body"/>
          <w:b/>
          <w:sz w:val="24"/>
          <w:lang w:val="fr-FR"/>
        </w:rPr>
        <w:t>lorsque des références bibliographiques sont indiquées entre parenthèses dans le corps de texte</w:t>
      </w:r>
      <w:r w:rsidRPr="005A069A">
        <w:rPr>
          <w:rStyle w:val="remaining-body"/>
          <w:sz w:val="24"/>
          <w:lang w:val="fr-FR"/>
        </w:rPr>
        <w:t xml:space="preserve">, </w:t>
      </w:r>
      <w:r w:rsidRPr="00182397">
        <w:rPr>
          <w:rStyle w:val="remaining-body"/>
          <w:sz w:val="24"/>
          <w:lang w:val="fr-FR"/>
        </w:rPr>
        <w:t>celles</w:t>
      </w:r>
      <w:r w:rsidRPr="00182397">
        <w:rPr>
          <w:rStyle w:val="remaining-body"/>
          <w:sz w:val="24"/>
          <w:lang w:val="fr-FR"/>
        </w:rPr>
        <w:noBreakHyphen/>
        <w:t>ci ne sont pas non plus à traduire</w:t>
      </w:r>
      <w:r w:rsidRPr="005A069A">
        <w:rPr>
          <w:rStyle w:val="remaining-body"/>
          <w:sz w:val="24"/>
          <w:lang w:val="fr-FR"/>
        </w:rPr>
        <w:t>.</w:t>
      </w:r>
      <w:r w:rsidRPr="005A069A">
        <w:rPr>
          <w:sz w:val="24"/>
          <w:lang w:val="fr-FR"/>
        </w:rPr>
        <w:br/>
      </w:r>
      <w:r w:rsidRPr="005A069A">
        <w:rPr>
          <w:rStyle w:val="remaining-body"/>
          <w:sz w:val="24"/>
          <w:u w:val="single"/>
          <w:lang w:val="fr-FR"/>
        </w:rPr>
        <w:t>Exemple </w:t>
      </w:r>
      <w:r w:rsidRPr="005A069A">
        <w:rPr>
          <w:rStyle w:val="remaining-body"/>
          <w:sz w:val="24"/>
          <w:lang w:val="fr-FR"/>
        </w:rPr>
        <w:t>:</w:t>
      </w:r>
      <w:r w:rsidRPr="005A069A">
        <w:rPr>
          <w:sz w:val="24"/>
          <w:lang w:val="fr-FR"/>
        </w:rPr>
        <w:br/>
      </w:r>
      <w:r w:rsidRPr="005A069A">
        <w:rPr>
          <w:rStyle w:val="remaining-body"/>
          <w:sz w:val="24"/>
          <w:lang w:val="fr-FR"/>
        </w:rPr>
        <w:t>(</w:t>
      </w:r>
      <w:proofErr w:type="spellStart"/>
      <w:r w:rsidRPr="005A069A">
        <w:rPr>
          <w:rStyle w:val="remaining-body"/>
          <w:sz w:val="24"/>
          <w:lang w:val="fr-FR"/>
        </w:rPr>
        <w:t>UNCTAD</w:t>
      </w:r>
      <w:proofErr w:type="spellEnd"/>
      <w:r w:rsidRPr="005A069A">
        <w:rPr>
          <w:rStyle w:val="remaining-body"/>
          <w:sz w:val="24"/>
          <w:lang w:val="fr-FR"/>
        </w:rPr>
        <w:t xml:space="preserve">, 20XX:YY, </w:t>
      </w:r>
      <w:proofErr w:type="spellStart"/>
      <w:r w:rsidRPr="005A069A">
        <w:rPr>
          <w:rStyle w:val="remaining-body"/>
          <w:sz w:val="24"/>
          <w:lang w:val="fr-FR"/>
        </w:rPr>
        <w:t>chapter</w:t>
      </w:r>
      <w:proofErr w:type="spellEnd"/>
      <w:r w:rsidRPr="005A069A">
        <w:rPr>
          <w:rStyle w:val="remaining-body"/>
          <w:sz w:val="24"/>
          <w:lang w:val="fr-FR"/>
        </w:rPr>
        <w:t xml:space="preserve"> 3). = (UNCTAD, 20XX:YY, chap.3).</w:t>
      </w:r>
    </w:p>
    <w:p w14:paraId="4F86A26F" w14:textId="77777777" w:rsidR="008F46DA" w:rsidRPr="0074177A" w:rsidRDefault="00860E0E" w:rsidP="008F46DA">
      <w:pPr>
        <w:numPr>
          <w:ilvl w:val="0"/>
          <w:numId w:val="13"/>
        </w:numPr>
        <w:spacing w:after="120" w:line="360" w:lineRule="auto"/>
        <w:jc w:val="both"/>
        <w:rPr>
          <w:rStyle w:val="remaining-body"/>
        </w:rPr>
      </w:pPr>
      <w:r>
        <w:rPr>
          <w:rStyle w:val="remaining-body"/>
          <w:sz w:val="24"/>
          <w:lang w:val="fr-FR"/>
        </w:rPr>
        <w:t>Cas où</w:t>
      </w:r>
      <w:r w:rsidR="0074177A" w:rsidRPr="0074177A">
        <w:rPr>
          <w:rStyle w:val="remaining-body"/>
          <w:sz w:val="24"/>
          <w:lang w:val="fr-FR"/>
        </w:rPr>
        <w:t xml:space="preserve"> </w:t>
      </w:r>
      <w:r w:rsidR="0074177A" w:rsidRPr="00182397">
        <w:rPr>
          <w:rStyle w:val="remaining-body"/>
          <w:b/>
          <w:sz w:val="24"/>
          <w:lang w:val="fr-FR"/>
        </w:rPr>
        <w:t>la référence bibliographique est dans le corps de texte et a valeur de sujet ou figure dans une incise</w:t>
      </w:r>
      <w:r w:rsidR="00346F11">
        <w:rPr>
          <w:rStyle w:val="remaining-body"/>
          <w:sz w:val="24"/>
          <w:lang w:val="fr-FR"/>
        </w:rPr>
        <w:t>,</w:t>
      </w:r>
    </w:p>
    <w:p w14:paraId="7B124CB8" w14:textId="77777777" w:rsidR="0074177A" w:rsidRPr="003B45DF" w:rsidRDefault="0074177A" w:rsidP="0074177A">
      <w:pPr>
        <w:spacing w:after="120" w:line="360" w:lineRule="auto"/>
        <w:ind w:left="720"/>
        <w:jc w:val="both"/>
        <w:rPr>
          <w:rStyle w:val="remaining-body"/>
          <w:sz w:val="24"/>
          <w:lang w:val="en-AU"/>
        </w:rPr>
      </w:pPr>
      <w:proofErr w:type="spellStart"/>
      <w:r w:rsidRPr="003B45DF">
        <w:rPr>
          <w:rStyle w:val="remaining-body"/>
          <w:sz w:val="24"/>
          <w:u w:val="single"/>
          <w:lang w:val="en-AU"/>
        </w:rPr>
        <w:lastRenderedPageBreak/>
        <w:t>Exemple</w:t>
      </w:r>
      <w:proofErr w:type="spellEnd"/>
      <w:r w:rsidRPr="003B45DF">
        <w:rPr>
          <w:rStyle w:val="remaining-body"/>
          <w:sz w:val="24"/>
          <w:lang w:val="en-AU"/>
        </w:rPr>
        <w:t> :</w:t>
      </w:r>
    </w:p>
    <w:p w14:paraId="08162B3A" w14:textId="77777777" w:rsidR="0074177A" w:rsidRPr="003B45DF" w:rsidRDefault="0074177A" w:rsidP="0074177A">
      <w:pPr>
        <w:spacing w:after="120" w:line="360" w:lineRule="auto"/>
        <w:ind w:left="720"/>
        <w:jc w:val="both"/>
        <w:rPr>
          <w:sz w:val="24"/>
          <w:szCs w:val="24"/>
          <w:lang w:val="en-AU"/>
        </w:rPr>
      </w:pPr>
      <w:r w:rsidRPr="003B45DF">
        <w:rPr>
          <w:b/>
          <w:bCs/>
          <w:sz w:val="24"/>
          <w:szCs w:val="24"/>
          <w:lang w:val="en-AU"/>
        </w:rPr>
        <w:t>UNCTAD (2006a; 2014a)</w:t>
      </w:r>
      <w:r w:rsidRPr="003B45DF">
        <w:rPr>
          <w:sz w:val="24"/>
          <w:szCs w:val="24"/>
          <w:lang w:val="en-AU"/>
        </w:rPr>
        <w:t xml:space="preserve"> has long emphasized the importance of economic structural transformation for poverty eradication and long-term development in the LDCs.</w:t>
      </w:r>
    </w:p>
    <w:p w14:paraId="558517A0" w14:textId="77777777" w:rsidR="0074177A" w:rsidRPr="003B45DF" w:rsidRDefault="0074177A" w:rsidP="0074177A">
      <w:pPr>
        <w:spacing w:after="120" w:line="360" w:lineRule="auto"/>
        <w:ind w:left="720"/>
        <w:jc w:val="both"/>
        <w:rPr>
          <w:sz w:val="24"/>
          <w:szCs w:val="24"/>
          <w:lang w:val="en-AU"/>
        </w:rPr>
      </w:pPr>
      <w:r w:rsidRPr="003B45DF">
        <w:rPr>
          <w:sz w:val="24"/>
          <w:szCs w:val="24"/>
          <w:lang w:val="en-AU"/>
        </w:rPr>
        <w:t xml:space="preserve">On </w:t>
      </w:r>
      <w:proofErr w:type="spellStart"/>
      <w:r w:rsidRPr="003B45DF">
        <w:rPr>
          <w:sz w:val="24"/>
          <w:szCs w:val="24"/>
          <w:lang w:val="en-AU"/>
        </w:rPr>
        <w:t>écrira</w:t>
      </w:r>
      <w:proofErr w:type="spellEnd"/>
      <w:r w:rsidRPr="003B45DF">
        <w:rPr>
          <w:sz w:val="24"/>
          <w:szCs w:val="24"/>
          <w:lang w:val="en-AU"/>
        </w:rPr>
        <w:t xml:space="preserve"> : </w:t>
      </w:r>
      <w:r w:rsidRPr="003B45DF">
        <w:rPr>
          <w:b/>
          <w:sz w:val="24"/>
          <w:szCs w:val="24"/>
          <w:lang w:val="en-AU"/>
        </w:rPr>
        <w:t>La CNUCED (</w:t>
      </w:r>
      <w:proofErr w:type="spellStart"/>
      <w:r w:rsidRPr="003B45DF">
        <w:rPr>
          <w:b/>
          <w:sz w:val="24"/>
          <w:szCs w:val="24"/>
          <w:lang w:val="en-AU"/>
        </w:rPr>
        <w:t>UNCTAD</w:t>
      </w:r>
      <w:proofErr w:type="spellEnd"/>
      <w:r w:rsidRPr="003B45DF">
        <w:rPr>
          <w:b/>
          <w:sz w:val="24"/>
          <w:szCs w:val="24"/>
          <w:lang w:val="en-AU"/>
        </w:rPr>
        <w:t>, 2006a ; UNCTAD, 2014a)</w:t>
      </w:r>
      <w:r w:rsidRPr="003B45DF">
        <w:rPr>
          <w:sz w:val="24"/>
          <w:szCs w:val="24"/>
          <w:lang w:val="en-AU"/>
        </w:rPr>
        <w:t> […]</w:t>
      </w:r>
    </w:p>
    <w:p w14:paraId="6DE840DF" w14:textId="77777777" w:rsidR="004475A9" w:rsidRPr="003B45DF" w:rsidRDefault="004475A9" w:rsidP="0074177A">
      <w:pPr>
        <w:spacing w:after="120" w:line="360" w:lineRule="auto"/>
        <w:ind w:left="720"/>
        <w:jc w:val="both"/>
        <w:rPr>
          <w:color w:val="000000"/>
          <w:sz w:val="24"/>
          <w:szCs w:val="24"/>
          <w:lang w:val="en-AU"/>
        </w:rPr>
      </w:pPr>
      <w:proofErr w:type="spellStart"/>
      <w:r w:rsidRPr="003B45DF">
        <w:rPr>
          <w:color w:val="000000"/>
          <w:sz w:val="24"/>
          <w:szCs w:val="24"/>
          <w:u w:val="single"/>
          <w:lang w:val="en-AU"/>
        </w:rPr>
        <w:t>Exemple</w:t>
      </w:r>
      <w:proofErr w:type="spellEnd"/>
      <w:r w:rsidRPr="003B45DF">
        <w:rPr>
          <w:color w:val="000000"/>
          <w:sz w:val="24"/>
          <w:szCs w:val="24"/>
          <w:lang w:val="en-AU"/>
        </w:rPr>
        <w:t> :</w:t>
      </w:r>
    </w:p>
    <w:p w14:paraId="020D8C7F" w14:textId="77777777" w:rsidR="004475A9" w:rsidRPr="003B45DF" w:rsidRDefault="002937E4" w:rsidP="0074177A">
      <w:pPr>
        <w:spacing w:after="120" w:line="360" w:lineRule="auto"/>
        <w:ind w:left="720"/>
        <w:jc w:val="both"/>
        <w:rPr>
          <w:color w:val="000000"/>
          <w:sz w:val="24"/>
          <w:szCs w:val="24"/>
          <w:lang w:val="en-AU"/>
        </w:rPr>
      </w:pPr>
      <w:r w:rsidRPr="003B45DF">
        <w:rPr>
          <w:color w:val="000000"/>
          <w:sz w:val="24"/>
          <w:szCs w:val="24"/>
          <w:lang w:val="en-AU"/>
        </w:rPr>
        <w:t xml:space="preserve">For example, </w:t>
      </w:r>
      <w:proofErr w:type="spellStart"/>
      <w:r w:rsidRPr="003B45DF">
        <w:rPr>
          <w:b/>
          <w:color w:val="000000"/>
          <w:sz w:val="24"/>
          <w:szCs w:val="24"/>
          <w:lang w:val="en-AU"/>
        </w:rPr>
        <w:t>Staritz</w:t>
      </w:r>
      <w:proofErr w:type="spellEnd"/>
      <w:r w:rsidRPr="003B45DF">
        <w:rPr>
          <w:b/>
          <w:color w:val="000000"/>
          <w:sz w:val="24"/>
          <w:szCs w:val="24"/>
          <w:lang w:val="en-AU"/>
        </w:rPr>
        <w:t xml:space="preserve"> et al.</w:t>
      </w:r>
      <w:r w:rsidRPr="003B45DF">
        <w:rPr>
          <w:color w:val="000000"/>
          <w:sz w:val="24"/>
          <w:szCs w:val="24"/>
          <w:lang w:val="en-AU"/>
        </w:rPr>
        <w:t xml:space="preserve"> (2016) identify different strategies adopted by firms in Lesotho and Madagascar to fulfil end-market and buyer requirements.</w:t>
      </w:r>
    </w:p>
    <w:p w14:paraId="5CD3A3C0" w14:textId="77777777" w:rsidR="002937E4" w:rsidRDefault="002937E4" w:rsidP="0074177A">
      <w:pPr>
        <w:spacing w:after="120" w:line="360" w:lineRule="auto"/>
        <w:ind w:left="720"/>
        <w:jc w:val="both"/>
        <w:rPr>
          <w:color w:val="000000"/>
          <w:sz w:val="24"/>
          <w:szCs w:val="24"/>
          <w:lang w:val="fr-FR"/>
        </w:rPr>
      </w:pPr>
      <w:r>
        <w:rPr>
          <w:color w:val="000000"/>
          <w:sz w:val="24"/>
          <w:szCs w:val="24"/>
          <w:lang w:val="fr-FR"/>
        </w:rPr>
        <w:t xml:space="preserve">On écrira : Par exemple, </w:t>
      </w:r>
      <w:proofErr w:type="spellStart"/>
      <w:r w:rsidRPr="002937E4">
        <w:rPr>
          <w:b/>
          <w:color w:val="000000"/>
          <w:sz w:val="24"/>
          <w:szCs w:val="24"/>
          <w:lang w:val="fr-FR"/>
        </w:rPr>
        <w:t>Staritz</w:t>
      </w:r>
      <w:proofErr w:type="spellEnd"/>
      <w:r w:rsidRPr="002937E4">
        <w:rPr>
          <w:b/>
          <w:color w:val="000000"/>
          <w:sz w:val="24"/>
          <w:szCs w:val="24"/>
          <w:lang w:val="fr-FR"/>
        </w:rPr>
        <w:t xml:space="preserve"> </w:t>
      </w:r>
      <w:r w:rsidRPr="002937E4">
        <w:rPr>
          <w:b/>
          <w:i/>
          <w:color w:val="000000"/>
          <w:sz w:val="24"/>
          <w:szCs w:val="24"/>
          <w:lang w:val="fr-FR"/>
        </w:rPr>
        <w:t>et al</w:t>
      </w:r>
      <w:r w:rsidRPr="002937E4">
        <w:rPr>
          <w:b/>
          <w:color w:val="000000"/>
          <w:sz w:val="24"/>
          <w:szCs w:val="24"/>
          <w:lang w:val="fr-FR"/>
        </w:rPr>
        <w:t>. (</w:t>
      </w:r>
      <w:proofErr w:type="spellStart"/>
      <w:r w:rsidRPr="002937E4">
        <w:rPr>
          <w:b/>
          <w:color w:val="000000"/>
          <w:sz w:val="24"/>
          <w:szCs w:val="24"/>
          <w:lang w:val="fr-FR"/>
        </w:rPr>
        <w:t>Staritz</w:t>
      </w:r>
      <w:proofErr w:type="spellEnd"/>
      <w:r w:rsidRPr="002937E4">
        <w:rPr>
          <w:b/>
          <w:color w:val="000000"/>
          <w:sz w:val="24"/>
          <w:szCs w:val="24"/>
          <w:lang w:val="fr-FR"/>
        </w:rPr>
        <w:t xml:space="preserve"> </w:t>
      </w:r>
      <w:r w:rsidRPr="003B45DF">
        <w:rPr>
          <w:b/>
          <w:color w:val="000000"/>
          <w:sz w:val="24"/>
          <w:szCs w:val="24"/>
          <w:lang w:val="fr-FR"/>
        </w:rPr>
        <w:t>et al</w:t>
      </w:r>
      <w:r w:rsidRPr="00F22CF8">
        <w:rPr>
          <w:b/>
          <w:color w:val="000000"/>
          <w:sz w:val="24"/>
          <w:szCs w:val="24"/>
          <w:lang w:val="fr-FR"/>
        </w:rPr>
        <w:t>.</w:t>
      </w:r>
      <w:r w:rsidRPr="002937E4">
        <w:rPr>
          <w:b/>
          <w:color w:val="000000"/>
          <w:sz w:val="24"/>
          <w:szCs w:val="24"/>
          <w:lang w:val="fr-FR"/>
        </w:rPr>
        <w:t>, 2016)</w:t>
      </w:r>
      <w:r>
        <w:rPr>
          <w:color w:val="000000"/>
          <w:sz w:val="24"/>
          <w:szCs w:val="24"/>
          <w:lang w:val="fr-FR"/>
        </w:rPr>
        <w:t xml:space="preserve"> […]</w:t>
      </w:r>
    </w:p>
    <w:p w14:paraId="3E3DDEC2" w14:textId="77777777" w:rsidR="00346F11" w:rsidRDefault="00346F11" w:rsidP="00346F11">
      <w:pPr>
        <w:spacing w:after="120" w:line="360" w:lineRule="auto"/>
        <w:ind w:left="720"/>
        <w:jc w:val="both"/>
        <w:rPr>
          <w:sz w:val="24"/>
          <w:szCs w:val="24"/>
        </w:rPr>
      </w:pPr>
      <w:r w:rsidRPr="004475A9">
        <w:rPr>
          <w:sz w:val="24"/>
          <w:szCs w:val="24"/>
          <w:u w:val="single"/>
        </w:rPr>
        <w:t>Exemple </w:t>
      </w:r>
      <w:r>
        <w:rPr>
          <w:sz w:val="24"/>
          <w:szCs w:val="24"/>
        </w:rPr>
        <w:t>:</w:t>
      </w:r>
    </w:p>
    <w:p w14:paraId="6697996F" w14:textId="77777777" w:rsidR="00346F11" w:rsidRPr="0069372F" w:rsidRDefault="00346F11" w:rsidP="0069372F">
      <w:pPr>
        <w:spacing w:after="240" w:line="480" w:lineRule="auto"/>
        <w:ind w:left="720"/>
        <w:jc w:val="both"/>
        <w:rPr>
          <w:color w:val="000000"/>
          <w:sz w:val="24"/>
          <w:szCs w:val="24"/>
          <w:lang w:val="fr-FR"/>
        </w:rPr>
      </w:pPr>
      <w:r w:rsidRPr="004475A9">
        <w:rPr>
          <w:color w:val="000000"/>
          <w:sz w:val="24"/>
          <w:szCs w:val="24"/>
          <w:lang w:val="fr-FR"/>
        </w:rPr>
        <w:t>Le paradoxe qui a été souligné</w:t>
      </w:r>
      <w:r w:rsidRPr="004475A9">
        <w:rPr>
          <w:i/>
          <w:iCs/>
          <w:color w:val="000000"/>
          <w:sz w:val="24"/>
          <w:szCs w:val="24"/>
          <w:lang w:val="fr-FR"/>
        </w:rPr>
        <w:t xml:space="preserve"> </w:t>
      </w:r>
      <w:r>
        <w:rPr>
          <w:color w:val="000000"/>
          <w:sz w:val="24"/>
          <w:szCs w:val="24"/>
          <w:lang w:val="fr-FR"/>
        </w:rPr>
        <w:t xml:space="preserve">dans </w:t>
      </w:r>
      <w:proofErr w:type="spellStart"/>
      <w:r w:rsidRPr="00182397">
        <w:rPr>
          <w:b/>
          <w:color w:val="000000"/>
          <w:sz w:val="24"/>
          <w:szCs w:val="24"/>
          <w:lang w:val="fr-FR"/>
        </w:rPr>
        <w:t>Hessels</w:t>
      </w:r>
      <w:proofErr w:type="spellEnd"/>
      <w:r w:rsidRPr="00182397">
        <w:rPr>
          <w:b/>
          <w:color w:val="000000"/>
          <w:sz w:val="24"/>
          <w:szCs w:val="24"/>
          <w:lang w:val="fr-FR"/>
        </w:rPr>
        <w:t xml:space="preserve"> et </w:t>
      </w:r>
      <w:proofErr w:type="spellStart"/>
      <w:r w:rsidRPr="00182397">
        <w:rPr>
          <w:b/>
          <w:color w:val="000000"/>
          <w:sz w:val="24"/>
          <w:szCs w:val="24"/>
          <w:lang w:val="fr-FR"/>
        </w:rPr>
        <w:t>Nandé</w:t>
      </w:r>
      <w:proofErr w:type="spellEnd"/>
      <w:r w:rsidRPr="00182397">
        <w:rPr>
          <w:b/>
          <w:color w:val="000000"/>
          <w:sz w:val="24"/>
          <w:szCs w:val="24"/>
          <w:lang w:val="fr-FR"/>
        </w:rPr>
        <w:t xml:space="preserve"> (</w:t>
      </w:r>
      <w:proofErr w:type="spellStart"/>
      <w:r w:rsidRPr="00182397">
        <w:rPr>
          <w:b/>
          <w:color w:val="000000"/>
          <w:sz w:val="24"/>
          <w:szCs w:val="24"/>
          <w:lang w:val="fr-FR"/>
        </w:rPr>
        <w:t>Hessels</w:t>
      </w:r>
      <w:proofErr w:type="spellEnd"/>
      <w:r w:rsidRPr="00182397">
        <w:rPr>
          <w:b/>
          <w:color w:val="000000"/>
          <w:sz w:val="24"/>
          <w:szCs w:val="24"/>
          <w:lang w:val="fr-FR"/>
        </w:rPr>
        <w:t xml:space="preserve"> and </w:t>
      </w:r>
      <w:proofErr w:type="spellStart"/>
      <w:r w:rsidRPr="00182397">
        <w:rPr>
          <w:b/>
          <w:color w:val="000000"/>
          <w:sz w:val="24"/>
          <w:szCs w:val="24"/>
          <w:lang w:val="fr-FR"/>
        </w:rPr>
        <w:t>Nandé</w:t>
      </w:r>
      <w:proofErr w:type="spellEnd"/>
      <w:r w:rsidRPr="00182397">
        <w:rPr>
          <w:b/>
          <w:color w:val="000000"/>
          <w:sz w:val="24"/>
          <w:szCs w:val="24"/>
          <w:lang w:val="fr-FR"/>
        </w:rPr>
        <w:t>, 2017)</w:t>
      </w:r>
      <w:r w:rsidR="00BD28FA">
        <w:rPr>
          <w:color w:val="000000"/>
          <w:sz w:val="24"/>
          <w:szCs w:val="24"/>
          <w:lang w:val="fr-FR"/>
        </w:rPr>
        <w:t xml:space="preserve"> […]</w:t>
      </w:r>
    </w:p>
    <w:p w14:paraId="60E612CF" w14:textId="77777777" w:rsidR="001E0CDD" w:rsidRPr="001E0CDD" w:rsidRDefault="008732AD" w:rsidP="00565BB4">
      <w:pPr>
        <w:spacing w:after="120" w:line="360" w:lineRule="auto"/>
        <w:rPr>
          <w:rStyle w:val="remaining-body"/>
          <w:b/>
          <w:sz w:val="24"/>
          <w:lang w:val="fr-FR"/>
        </w:rPr>
      </w:pPr>
      <w:r w:rsidRPr="001E0CDD">
        <w:rPr>
          <w:rStyle w:val="remaining-body"/>
          <w:b/>
          <w:sz w:val="24"/>
          <w:lang w:val="fr-FR"/>
        </w:rPr>
        <w:t xml:space="preserve">Expressions </w:t>
      </w:r>
      <w:r w:rsidR="001E0CDD" w:rsidRPr="001E0CDD">
        <w:rPr>
          <w:rStyle w:val="remaining-body"/>
          <w:b/>
          <w:sz w:val="24"/>
          <w:lang w:val="fr-FR"/>
        </w:rPr>
        <w:t>récurrentes</w:t>
      </w:r>
    </w:p>
    <w:p w14:paraId="756C8715" w14:textId="77777777" w:rsidR="001E0CDD" w:rsidRPr="001E0CDD" w:rsidRDefault="008732AD" w:rsidP="00565BB4">
      <w:pPr>
        <w:spacing w:after="120" w:line="360" w:lineRule="auto"/>
        <w:rPr>
          <w:b/>
          <w:sz w:val="24"/>
          <w:lang w:val="fr-FR"/>
        </w:rPr>
      </w:pPr>
      <w:r w:rsidRPr="001E0CDD">
        <w:rPr>
          <w:rStyle w:val="remaining-body"/>
          <w:b/>
          <w:sz w:val="24"/>
          <w:lang w:val="fr-FR"/>
        </w:rPr>
        <w:t>Dans les tableaux, figures, etc.</w:t>
      </w:r>
    </w:p>
    <w:tbl>
      <w:tblPr>
        <w:tblStyle w:val="Grilledutableau"/>
        <w:tblW w:w="0" w:type="auto"/>
        <w:tblLook w:val="04A0" w:firstRow="1" w:lastRow="0" w:firstColumn="1" w:lastColumn="0" w:noHBand="0" w:noVBand="1"/>
      </w:tblPr>
      <w:tblGrid>
        <w:gridCol w:w="9629"/>
      </w:tblGrid>
      <w:tr w:rsidR="00346F11" w:rsidRPr="00D05317" w14:paraId="5E4145F4" w14:textId="77777777" w:rsidTr="00346F11">
        <w:tc>
          <w:tcPr>
            <w:tcW w:w="9779" w:type="dxa"/>
          </w:tcPr>
          <w:p w14:paraId="5F872272" w14:textId="77777777" w:rsidR="00346F11" w:rsidRPr="003B45DF" w:rsidRDefault="00346F11" w:rsidP="00346F11">
            <w:pPr>
              <w:spacing w:line="480" w:lineRule="auto"/>
              <w:rPr>
                <w:rStyle w:val="remaining-body"/>
                <w:sz w:val="24"/>
                <w:lang w:val="en-AU"/>
              </w:rPr>
            </w:pPr>
            <w:r w:rsidRPr="003B45DF">
              <w:rPr>
                <w:rStyle w:val="remaining-body"/>
                <w:sz w:val="24"/>
                <w:lang w:val="en-AU"/>
              </w:rPr>
              <w:t xml:space="preserve">Source : UNCTAD secretariat estimates, based on data from World Bank, World Development Indicators database and World Bank, </w:t>
            </w:r>
            <w:proofErr w:type="spellStart"/>
            <w:r w:rsidRPr="003B45DF">
              <w:rPr>
                <w:rStyle w:val="remaining-body"/>
                <w:sz w:val="24"/>
                <w:lang w:val="en-AU"/>
              </w:rPr>
              <w:t>PovcalNet</w:t>
            </w:r>
            <w:proofErr w:type="spellEnd"/>
            <w:r w:rsidRPr="003B45DF">
              <w:rPr>
                <w:rStyle w:val="remaining-body"/>
                <w:sz w:val="24"/>
                <w:lang w:val="en-AU"/>
              </w:rPr>
              <w:t xml:space="preserve"> database (both accessed April 2016).</w:t>
            </w:r>
          </w:p>
        </w:tc>
      </w:tr>
      <w:tr w:rsidR="00346F11" w14:paraId="0290DAB9" w14:textId="77777777" w:rsidTr="00346F11">
        <w:tc>
          <w:tcPr>
            <w:tcW w:w="9779" w:type="dxa"/>
          </w:tcPr>
          <w:p w14:paraId="092599FB" w14:textId="77777777" w:rsidR="00346F11" w:rsidRDefault="00346F11" w:rsidP="00346F11">
            <w:pPr>
              <w:spacing w:line="480" w:lineRule="auto"/>
              <w:rPr>
                <w:rStyle w:val="remaining-body"/>
                <w:sz w:val="24"/>
                <w:lang w:val="fr-FR"/>
              </w:rPr>
            </w:pPr>
            <w:r w:rsidRPr="005A069A">
              <w:rPr>
                <w:rStyle w:val="remaining-body"/>
                <w:sz w:val="24"/>
                <w:lang w:val="fr-FR"/>
              </w:rPr>
              <w:t xml:space="preserve">Source : Estimations du secrétariat de la CNUCED, d’après les bases de données Indicateurs du développement dans le monde et </w:t>
            </w:r>
            <w:proofErr w:type="spellStart"/>
            <w:r w:rsidRPr="005A069A">
              <w:rPr>
                <w:rStyle w:val="remaining-body"/>
                <w:sz w:val="24"/>
                <w:lang w:val="fr-FR"/>
              </w:rPr>
              <w:t>PovcalNet</w:t>
            </w:r>
            <w:proofErr w:type="spellEnd"/>
            <w:r w:rsidRPr="005A069A">
              <w:rPr>
                <w:rStyle w:val="remaining-body"/>
                <w:sz w:val="24"/>
                <w:lang w:val="fr-FR"/>
              </w:rPr>
              <w:t xml:space="preserve"> de la Banque mondiale (date de consultation : avril 2016).</w:t>
            </w:r>
          </w:p>
        </w:tc>
      </w:tr>
    </w:tbl>
    <w:p w14:paraId="0A23A8F4" w14:textId="77777777" w:rsidR="00346F11" w:rsidRDefault="00346F11" w:rsidP="0069372F">
      <w:pPr>
        <w:spacing w:line="360" w:lineRule="auto"/>
        <w:rPr>
          <w:rStyle w:val="remaining-body"/>
          <w:sz w:val="24"/>
          <w:lang w:val="fr-FR"/>
        </w:rPr>
      </w:pPr>
    </w:p>
    <w:tbl>
      <w:tblPr>
        <w:tblStyle w:val="Grilledutableau"/>
        <w:tblW w:w="0" w:type="auto"/>
        <w:tblLook w:val="04A0" w:firstRow="1" w:lastRow="0" w:firstColumn="1" w:lastColumn="0" w:noHBand="0" w:noVBand="1"/>
      </w:tblPr>
      <w:tblGrid>
        <w:gridCol w:w="9629"/>
      </w:tblGrid>
      <w:tr w:rsidR="00346F11" w:rsidRPr="00D05317" w14:paraId="6B33194A" w14:textId="77777777" w:rsidTr="00346F11">
        <w:tc>
          <w:tcPr>
            <w:tcW w:w="9779" w:type="dxa"/>
          </w:tcPr>
          <w:p w14:paraId="15153F89" w14:textId="77777777" w:rsidR="00346F11" w:rsidRPr="003B45DF" w:rsidRDefault="00346F11" w:rsidP="00346F11">
            <w:pPr>
              <w:spacing w:line="480" w:lineRule="auto"/>
              <w:rPr>
                <w:rStyle w:val="remaining-body"/>
                <w:sz w:val="24"/>
                <w:lang w:val="en-AU"/>
              </w:rPr>
            </w:pPr>
            <w:r w:rsidRPr="003B45DF">
              <w:rPr>
                <w:rStyle w:val="remaining-body"/>
                <w:sz w:val="24"/>
                <w:lang w:val="en-AU"/>
              </w:rPr>
              <w:t>Source: UNCTAD secretariat calculations, based on data from World Bank, World Development Indicators database (accessed May 2016).</w:t>
            </w:r>
          </w:p>
        </w:tc>
      </w:tr>
      <w:tr w:rsidR="00346F11" w14:paraId="0E5D116B" w14:textId="77777777" w:rsidTr="00346F11">
        <w:tc>
          <w:tcPr>
            <w:tcW w:w="9779" w:type="dxa"/>
          </w:tcPr>
          <w:p w14:paraId="225E151F" w14:textId="77777777" w:rsidR="00346F11" w:rsidRDefault="00346F11" w:rsidP="00346F11">
            <w:pPr>
              <w:spacing w:line="480" w:lineRule="auto"/>
              <w:rPr>
                <w:rStyle w:val="remaining-body"/>
                <w:sz w:val="24"/>
                <w:lang w:val="fr-FR"/>
              </w:rPr>
            </w:pPr>
            <w:r w:rsidRPr="005A069A">
              <w:rPr>
                <w:rStyle w:val="remaining-body"/>
                <w:sz w:val="24"/>
                <w:lang w:val="fr-FR"/>
              </w:rPr>
              <w:t>Source : Calculs du secrétariat de la CNUCED, d’après la base de données Indicateurs du développement dans le monde de la Banque mondiale (date de consultation : mai 2016).</w:t>
            </w:r>
          </w:p>
        </w:tc>
      </w:tr>
    </w:tbl>
    <w:p w14:paraId="2371F078" w14:textId="77777777" w:rsidR="00346F11" w:rsidRDefault="00346F11" w:rsidP="0069372F">
      <w:pPr>
        <w:spacing w:line="360" w:lineRule="auto"/>
        <w:rPr>
          <w:rStyle w:val="remaining-body"/>
          <w:sz w:val="24"/>
          <w:lang w:val="fr-FR"/>
        </w:rPr>
      </w:pPr>
    </w:p>
    <w:tbl>
      <w:tblPr>
        <w:tblStyle w:val="Grilledutableau"/>
        <w:tblW w:w="0" w:type="auto"/>
        <w:tblLook w:val="04A0" w:firstRow="1" w:lastRow="0" w:firstColumn="1" w:lastColumn="0" w:noHBand="0" w:noVBand="1"/>
      </w:tblPr>
      <w:tblGrid>
        <w:gridCol w:w="4814"/>
        <w:gridCol w:w="4815"/>
      </w:tblGrid>
      <w:tr w:rsidR="00346F11" w14:paraId="3F61159A" w14:textId="77777777" w:rsidTr="00346F11">
        <w:tc>
          <w:tcPr>
            <w:tcW w:w="4889" w:type="dxa"/>
          </w:tcPr>
          <w:p w14:paraId="6522E0B7" w14:textId="77777777" w:rsidR="00346F11" w:rsidRDefault="00346F11" w:rsidP="00346F11">
            <w:pPr>
              <w:spacing w:line="480" w:lineRule="auto"/>
              <w:rPr>
                <w:rStyle w:val="remaining-body"/>
                <w:sz w:val="24"/>
                <w:lang w:val="fr-FR"/>
              </w:rPr>
            </w:pPr>
            <w:r>
              <w:rPr>
                <w:rStyle w:val="remaining-body"/>
                <w:sz w:val="24"/>
                <w:lang w:val="fr-FR"/>
              </w:rPr>
              <w:t>(</w:t>
            </w:r>
            <w:r w:rsidRPr="005A069A">
              <w:rPr>
                <w:rStyle w:val="remaining-body"/>
                <w:sz w:val="24"/>
                <w:lang w:val="fr-FR"/>
              </w:rPr>
              <w:t>Percentage)</w:t>
            </w:r>
          </w:p>
        </w:tc>
        <w:tc>
          <w:tcPr>
            <w:tcW w:w="4890" w:type="dxa"/>
          </w:tcPr>
          <w:p w14:paraId="0613C45F" w14:textId="77777777" w:rsidR="00346F11" w:rsidRDefault="00346F11" w:rsidP="00346F11">
            <w:pPr>
              <w:spacing w:line="480" w:lineRule="auto"/>
              <w:rPr>
                <w:rStyle w:val="remaining-body"/>
                <w:sz w:val="24"/>
                <w:lang w:val="fr-FR"/>
              </w:rPr>
            </w:pPr>
            <w:r w:rsidRPr="005A069A">
              <w:rPr>
                <w:rStyle w:val="remaining-body"/>
                <w:sz w:val="24"/>
                <w:lang w:val="fr-FR"/>
              </w:rPr>
              <w:t>(En pourcentage)</w:t>
            </w:r>
          </w:p>
        </w:tc>
      </w:tr>
    </w:tbl>
    <w:p w14:paraId="0A868B6B" w14:textId="77777777" w:rsidR="00346F11" w:rsidRDefault="00346F11" w:rsidP="0069372F">
      <w:pPr>
        <w:spacing w:line="360" w:lineRule="auto"/>
        <w:rPr>
          <w:sz w:val="24"/>
          <w:lang w:val="fr-FR"/>
        </w:rPr>
      </w:pPr>
    </w:p>
    <w:tbl>
      <w:tblPr>
        <w:tblStyle w:val="Grilledutableau"/>
        <w:tblW w:w="0" w:type="auto"/>
        <w:tblLook w:val="04A0" w:firstRow="1" w:lastRow="0" w:firstColumn="1" w:lastColumn="0" w:noHBand="0" w:noVBand="1"/>
      </w:tblPr>
      <w:tblGrid>
        <w:gridCol w:w="4814"/>
        <w:gridCol w:w="4815"/>
      </w:tblGrid>
      <w:tr w:rsidR="00346F11" w14:paraId="319BF467" w14:textId="77777777" w:rsidTr="001243C7">
        <w:tc>
          <w:tcPr>
            <w:tcW w:w="4889" w:type="dxa"/>
          </w:tcPr>
          <w:p w14:paraId="669F2C82" w14:textId="77777777" w:rsidR="00346F11" w:rsidRDefault="00346F11" w:rsidP="001243C7">
            <w:pPr>
              <w:spacing w:line="480" w:lineRule="auto"/>
              <w:rPr>
                <w:rStyle w:val="remaining-body"/>
                <w:sz w:val="24"/>
                <w:lang w:val="fr-FR"/>
              </w:rPr>
            </w:pPr>
            <w:r w:rsidRPr="005A069A">
              <w:rPr>
                <w:rStyle w:val="remaining-body"/>
                <w:sz w:val="24"/>
                <w:lang w:val="fr-FR"/>
              </w:rPr>
              <w:t>(Billions of dollars)</w:t>
            </w:r>
          </w:p>
        </w:tc>
        <w:tc>
          <w:tcPr>
            <w:tcW w:w="4890" w:type="dxa"/>
          </w:tcPr>
          <w:p w14:paraId="037B709D" w14:textId="77777777" w:rsidR="00346F11" w:rsidRDefault="00346F11" w:rsidP="001243C7">
            <w:pPr>
              <w:spacing w:line="480" w:lineRule="auto"/>
              <w:rPr>
                <w:rStyle w:val="remaining-body"/>
                <w:sz w:val="24"/>
                <w:lang w:val="fr-FR"/>
              </w:rPr>
            </w:pPr>
            <w:r w:rsidRPr="005A069A">
              <w:rPr>
                <w:rStyle w:val="remaining-body"/>
                <w:sz w:val="24"/>
                <w:lang w:val="fr-FR"/>
              </w:rPr>
              <w:t>(En milliards de dollars)</w:t>
            </w:r>
          </w:p>
        </w:tc>
      </w:tr>
    </w:tbl>
    <w:p w14:paraId="659073F9" w14:textId="77777777" w:rsidR="00E81EB4" w:rsidRDefault="00E81EB4" w:rsidP="0069372F">
      <w:pPr>
        <w:spacing w:after="120" w:line="240" w:lineRule="auto"/>
        <w:rPr>
          <w:rStyle w:val="remaining-body"/>
          <w:sz w:val="24"/>
          <w:lang w:val="fr-FR"/>
        </w:rPr>
      </w:pPr>
    </w:p>
    <w:p w14:paraId="486DFE4C" w14:textId="77777777" w:rsidR="00BE69F3" w:rsidRPr="00BE69F3" w:rsidRDefault="00BE69F3" w:rsidP="00BE69F3">
      <w:pPr>
        <w:spacing w:after="120" w:line="360" w:lineRule="auto"/>
        <w:rPr>
          <w:rStyle w:val="remaining-body"/>
          <w:b/>
          <w:sz w:val="24"/>
          <w:lang w:val="fr-FR"/>
        </w:rPr>
      </w:pPr>
      <w:r w:rsidRPr="00BE69F3">
        <w:rPr>
          <w:rStyle w:val="remaining-body"/>
          <w:b/>
          <w:sz w:val="24"/>
          <w:lang w:val="fr-FR"/>
        </w:rPr>
        <w:t>Dans le texte</w:t>
      </w:r>
    </w:p>
    <w:tbl>
      <w:tblPr>
        <w:tblStyle w:val="Grilledutableau"/>
        <w:tblW w:w="0" w:type="auto"/>
        <w:tblLook w:val="04A0" w:firstRow="1" w:lastRow="0" w:firstColumn="1" w:lastColumn="0" w:noHBand="0" w:noVBand="1"/>
      </w:tblPr>
      <w:tblGrid>
        <w:gridCol w:w="4816"/>
        <w:gridCol w:w="4813"/>
      </w:tblGrid>
      <w:tr w:rsidR="009F2B54" w14:paraId="47B0C3EF" w14:textId="77777777" w:rsidTr="009F2B54">
        <w:tc>
          <w:tcPr>
            <w:tcW w:w="4826" w:type="dxa"/>
          </w:tcPr>
          <w:p w14:paraId="3EC182ED" w14:textId="77777777" w:rsidR="009F2B54" w:rsidRDefault="009F2B54" w:rsidP="001243C7">
            <w:pPr>
              <w:spacing w:line="480" w:lineRule="auto"/>
              <w:rPr>
                <w:rStyle w:val="remaining-body"/>
                <w:sz w:val="24"/>
                <w:lang w:val="fr-FR"/>
              </w:rPr>
            </w:pPr>
            <w:r w:rsidRPr="005A069A">
              <w:rPr>
                <w:rStyle w:val="remaining-body"/>
                <w:sz w:val="24"/>
                <w:lang w:val="fr-FR"/>
              </w:rPr>
              <w:t>(figure 1.5)</w:t>
            </w:r>
          </w:p>
        </w:tc>
        <w:tc>
          <w:tcPr>
            <w:tcW w:w="4823" w:type="dxa"/>
          </w:tcPr>
          <w:p w14:paraId="20C8855B" w14:textId="77777777" w:rsidR="009F2B54" w:rsidRDefault="009F2B54" w:rsidP="009F2B54">
            <w:pPr>
              <w:spacing w:line="480" w:lineRule="auto"/>
              <w:rPr>
                <w:rStyle w:val="remaining-body"/>
                <w:sz w:val="24"/>
                <w:lang w:val="fr-FR"/>
              </w:rPr>
            </w:pPr>
            <w:r w:rsidRPr="005A069A">
              <w:rPr>
                <w:rStyle w:val="remaining-body"/>
                <w:sz w:val="24"/>
                <w:lang w:val="fr-FR"/>
              </w:rPr>
              <w:t>(fig. 1.5)</w:t>
            </w:r>
          </w:p>
        </w:tc>
      </w:tr>
      <w:tr w:rsidR="009F2B54" w14:paraId="23694620" w14:textId="77777777" w:rsidTr="009F2B54">
        <w:tc>
          <w:tcPr>
            <w:tcW w:w="4826" w:type="dxa"/>
          </w:tcPr>
          <w:p w14:paraId="6359736D" w14:textId="77777777" w:rsidR="009F2B54" w:rsidRDefault="009F2B54" w:rsidP="009F2B54">
            <w:pPr>
              <w:spacing w:line="480" w:lineRule="auto"/>
              <w:rPr>
                <w:rStyle w:val="remaining-body"/>
                <w:sz w:val="24"/>
                <w:lang w:val="fr-FR"/>
              </w:rPr>
            </w:pPr>
            <w:r w:rsidRPr="005A069A">
              <w:rPr>
                <w:rStyle w:val="remaining-body"/>
                <w:sz w:val="24"/>
                <w:lang w:val="fr-FR"/>
              </w:rPr>
              <w:t>(</w:t>
            </w:r>
            <w:proofErr w:type="spellStart"/>
            <w:r w:rsidRPr="005A069A">
              <w:rPr>
                <w:rStyle w:val="remaining-body"/>
                <w:sz w:val="24"/>
                <w:lang w:val="fr-FR"/>
              </w:rPr>
              <w:t>see</w:t>
            </w:r>
            <w:proofErr w:type="spellEnd"/>
            <w:r w:rsidRPr="005A069A">
              <w:rPr>
                <w:rStyle w:val="remaining-body"/>
                <w:sz w:val="24"/>
                <w:lang w:val="fr-FR"/>
              </w:rPr>
              <w:t xml:space="preserve"> figure 1.5)</w:t>
            </w:r>
          </w:p>
        </w:tc>
        <w:tc>
          <w:tcPr>
            <w:tcW w:w="4823" w:type="dxa"/>
          </w:tcPr>
          <w:p w14:paraId="79AE0100" w14:textId="77777777" w:rsidR="009F2B54" w:rsidRDefault="009F2B54" w:rsidP="009F2B54">
            <w:pPr>
              <w:spacing w:line="480" w:lineRule="auto"/>
              <w:rPr>
                <w:rStyle w:val="remaining-body"/>
                <w:sz w:val="24"/>
                <w:lang w:val="fr-FR"/>
              </w:rPr>
            </w:pPr>
            <w:r w:rsidRPr="005A069A">
              <w:rPr>
                <w:rStyle w:val="remaining-body"/>
                <w:sz w:val="24"/>
                <w:lang w:val="fr-FR"/>
              </w:rPr>
              <w:t>(voir la figure 1.5)</w:t>
            </w:r>
          </w:p>
        </w:tc>
      </w:tr>
    </w:tbl>
    <w:p w14:paraId="18B40D79" w14:textId="265927F4" w:rsidR="0069372F" w:rsidRPr="0036417B" w:rsidRDefault="0069372F" w:rsidP="0036417B">
      <w:pPr>
        <w:spacing w:after="120" w:line="240" w:lineRule="auto"/>
        <w:rPr>
          <w:rStyle w:val="remaining-body"/>
        </w:rPr>
      </w:pPr>
    </w:p>
    <w:tbl>
      <w:tblPr>
        <w:tblStyle w:val="Grilledutableau"/>
        <w:tblW w:w="0" w:type="auto"/>
        <w:tblLook w:val="04A0" w:firstRow="1" w:lastRow="0" w:firstColumn="1" w:lastColumn="0" w:noHBand="0" w:noVBand="1"/>
      </w:tblPr>
      <w:tblGrid>
        <w:gridCol w:w="4811"/>
        <w:gridCol w:w="4818"/>
      </w:tblGrid>
      <w:tr w:rsidR="0036417B" w14:paraId="2B3DD8EC" w14:textId="77777777" w:rsidTr="00D67020">
        <w:tc>
          <w:tcPr>
            <w:tcW w:w="4889" w:type="dxa"/>
          </w:tcPr>
          <w:p w14:paraId="5843253C" w14:textId="77777777" w:rsidR="0036417B" w:rsidRDefault="0036417B" w:rsidP="00D67020">
            <w:pPr>
              <w:spacing w:line="480" w:lineRule="auto"/>
              <w:rPr>
                <w:rStyle w:val="remaining-body"/>
                <w:sz w:val="24"/>
                <w:lang w:val="fr-FR"/>
              </w:rPr>
            </w:pPr>
            <w:r>
              <w:rPr>
                <w:rStyle w:val="remaining-body"/>
                <w:sz w:val="24"/>
                <w:lang w:val="fr-FR"/>
              </w:rPr>
              <w:t>box figure</w:t>
            </w:r>
          </w:p>
        </w:tc>
        <w:tc>
          <w:tcPr>
            <w:tcW w:w="4890" w:type="dxa"/>
          </w:tcPr>
          <w:p w14:paraId="22F850BB" w14:textId="77777777" w:rsidR="0036417B" w:rsidRDefault="0036417B" w:rsidP="00D67020">
            <w:pPr>
              <w:spacing w:line="480" w:lineRule="auto"/>
              <w:rPr>
                <w:rStyle w:val="remaining-body"/>
                <w:sz w:val="24"/>
                <w:lang w:val="fr-FR"/>
              </w:rPr>
            </w:pPr>
            <w:r>
              <w:rPr>
                <w:rStyle w:val="remaining-body"/>
                <w:sz w:val="24"/>
                <w:lang w:val="fr-FR"/>
              </w:rPr>
              <w:t>figure de l’encadré</w:t>
            </w:r>
          </w:p>
        </w:tc>
      </w:tr>
    </w:tbl>
    <w:p w14:paraId="7EB7980B" w14:textId="77777777" w:rsidR="0036417B" w:rsidRDefault="0036417B" w:rsidP="0036417B">
      <w:pPr>
        <w:spacing w:after="120" w:line="240" w:lineRule="auto"/>
        <w:rPr>
          <w:rStyle w:val="remaining-body"/>
          <w:sz w:val="24"/>
          <w:lang w:val="fr-FR"/>
        </w:rPr>
      </w:pPr>
    </w:p>
    <w:tbl>
      <w:tblPr>
        <w:tblStyle w:val="Grilledutableau"/>
        <w:tblW w:w="0" w:type="auto"/>
        <w:tblLook w:val="04A0" w:firstRow="1" w:lastRow="0" w:firstColumn="1" w:lastColumn="0" w:noHBand="0" w:noVBand="1"/>
      </w:tblPr>
      <w:tblGrid>
        <w:gridCol w:w="4810"/>
        <w:gridCol w:w="4819"/>
      </w:tblGrid>
      <w:tr w:rsidR="0036417B" w14:paraId="5F7D21CD" w14:textId="77777777" w:rsidTr="00D67020">
        <w:tc>
          <w:tcPr>
            <w:tcW w:w="4889" w:type="dxa"/>
          </w:tcPr>
          <w:p w14:paraId="6450D4AE" w14:textId="77777777" w:rsidR="0036417B" w:rsidRDefault="0036417B" w:rsidP="00D67020">
            <w:pPr>
              <w:spacing w:line="480" w:lineRule="auto"/>
              <w:rPr>
                <w:rStyle w:val="remaining-body"/>
                <w:sz w:val="24"/>
                <w:lang w:val="fr-FR"/>
              </w:rPr>
            </w:pPr>
            <w:r>
              <w:rPr>
                <w:rStyle w:val="remaining-body"/>
                <w:sz w:val="24"/>
                <w:lang w:val="fr-FR"/>
              </w:rPr>
              <w:t>box table</w:t>
            </w:r>
          </w:p>
        </w:tc>
        <w:tc>
          <w:tcPr>
            <w:tcW w:w="4890" w:type="dxa"/>
          </w:tcPr>
          <w:p w14:paraId="0BFC0CA1" w14:textId="77777777" w:rsidR="0036417B" w:rsidRDefault="0036417B" w:rsidP="00D67020">
            <w:pPr>
              <w:spacing w:line="480" w:lineRule="auto"/>
              <w:rPr>
                <w:rStyle w:val="remaining-body"/>
                <w:sz w:val="24"/>
                <w:lang w:val="fr-FR"/>
              </w:rPr>
            </w:pPr>
            <w:r>
              <w:rPr>
                <w:rStyle w:val="remaining-body"/>
                <w:sz w:val="24"/>
                <w:lang w:val="fr-FR"/>
              </w:rPr>
              <w:t>tableau de l’encadré</w:t>
            </w:r>
          </w:p>
        </w:tc>
      </w:tr>
    </w:tbl>
    <w:p w14:paraId="19445C23" w14:textId="77777777" w:rsidR="0041011C" w:rsidRPr="008A69AD" w:rsidRDefault="0041011C" w:rsidP="0069372F">
      <w:pPr>
        <w:spacing w:after="240" w:line="480" w:lineRule="auto"/>
        <w:rPr>
          <w:sz w:val="24"/>
          <w:lang w:val="fr-FR"/>
        </w:rPr>
      </w:pPr>
    </w:p>
    <w:sectPr w:rsidR="0041011C" w:rsidRPr="008A69AD" w:rsidSect="00B12372">
      <w:headerReference w:type="default" r:id="rId10"/>
      <w:footerReference w:type="default" r:id="rId11"/>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9E20" w14:textId="77777777" w:rsidR="00946BDE" w:rsidRPr="00927979" w:rsidRDefault="00946BDE" w:rsidP="00927979">
      <w:pPr>
        <w:pStyle w:val="Pieddepage"/>
      </w:pPr>
    </w:p>
  </w:endnote>
  <w:endnote w:type="continuationSeparator" w:id="0">
    <w:p w14:paraId="5DE10D88" w14:textId="77777777" w:rsidR="00946BDE" w:rsidRPr="00927979" w:rsidRDefault="00946BDE" w:rsidP="00927979">
      <w:pPr>
        <w:pStyle w:val="Pieddepage"/>
      </w:pPr>
    </w:p>
  </w:endnote>
  <w:endnote w:type="continuationNotice" w:id="1">
    <w:p w14:paraId="7616F0F5" w14:textId="77777777" w:rsidR="00946BDE" w:rsidRPr="00927979" w:rsidRDefault="00946BD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62487"/>
      <w:docPartObj>
        <w:docPartGallery w:val="Page Numbers (Bottom of Page)"/>
        <w:docPartUnique/>
      </w:docPartObj>
    </w:sdtPr>
    <w:sdtEndPr/>
    <w:sdtContent>
      <w:p w14:paraId="2A0A68A1" w14:textId="77777777" w:rsidR="00B97C0D" w:rsidRDefault="00B97C0D">
        <w:pPr>
          <w:pStyle w:val="Pieddepage"/>
          <w:jc w:val="right"/>
        </w:pPr>
        <w:r>
          <w:fldChar w:fldCharType="begin"/>
        </w:r>
        <w:r>
          <w:instrText>PAGE   \* MERGEFORMAT</w:instrText>
        </w:r>
        <w:r>
          <w:fldChar w:fldCharType="separate"/>
        </w:r>
        <w:r w:rsidR="00F22CF8" w:rsidRPr="00F22CF8">
          <w:rPr>
            <w:noProof/>
            <w:lang w:val="fr-FR"/>
          </w:rPr>
          <w:t>1</w:t>
        </w:r>
        <w:r>
          <w:fldChar w:fldCharType="end"/>
        </w:r>
      </w:p>
    </w:sdtContent>
  </w:sdt>
  <w:p w14:paraId="6C5CA28E" w14:textId="77777777" w:rsidR="00B97C0D" w:rsidRDefault="00B97C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22E4" w14:textId="77777777" w:rsidR="00946BDE" w:rsidRPr="00927979" w:rsidRDefault="00946BDE" w:rsidP="00927979">
      <w:pPr>
        <w:pStyle w:val="Pieddepage"/>
        <w:tabs>
          <w:tab w:val="right" w:pos="2155"/>
        </w:tabs>
        <w:spacing w:after="80" w:line="240" w:lineRule="atLeast"/>
        <w:ind w:left="680"/>
        <w:rPr>
          <w:u w:val="single"/>
        </w:rPr>
      </w:pPr>
      <w:r w:rsidRPr="00927979">
        <w:rPr>
          <w:u w:val="single"/>
        </w:rPr>
        <w:tab/>
      </w:r>
    </w:p>
  </w:footnote>
  <w:footnote w:type="continuationSeparator" w:id="0">
    <w:p w14:paraId="059060F6" w14:textId="77777777" w:rsidR="00946BDE" w:rsidRPr="00927979" w:rsidRDefault="00946BDE" w:rsidP="00927979">
      <w:pPr>
        <w:pStyle w:val="Pieddepage"/>
        <w:tabs>
          <w:tab w:val="right" w:pos="2155"/>
        </w:tabs>
        <w:spacing w:after="80" w:line="240" w:lineRule="atLeast"/>
        <w:ind w:left="680"/>
        <w:rPr>
          <w:u w:val="single"/>
        </w:rPr>
      </w:pPr>
      <w:r>
        <w:rPr>
          <w:u w:val="single"/>
        </w:rPr>
        <w:tab/>
      </w:r>
    </w:p>
  </w:footnote>
  <w:footnote w:type="continuationNotice" w:id="1">
    <w:p w14:paraId="6F5942A7" w14:textId="77777777" w:rsidR="00946BDE" w:rsidRPr="00927979" w:rsidRDefault="00946BD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673" w14:textId="50A8D6D2" w:rsidR="003C7993" w:rsidRPr="003C7993" w:rsidRDefault="003C7993">
    <w:pPr>
      <w:pStyle w:val="En-tte"/>
      <w:rPr>
        <w:lang w:val="fr-FR"/>
      </w:rPr>
    </w:pPr>
    <w:r>
      <w:rPr>
        <w:lang w:val="fr-FR"/>
      </w:rPr>
      <w:t>Dernière mise à jour : 5 décembre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86D36ED"/>
    <w:multiLevelType w:val="hybridMultilevel"/>
    <w:tmpl w:val="01F0B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5"/>
  </w:num>
  <w:num w:numId="8">
    <w:abstractNumId w:val="3"/>
  </w:num>
  <w:num w:numId="9">
    <w:abstractNumId w:val="0"/>
  </w:num>
  <w:num w:numId="10">
    <w:abstractNumId w:val="5"/>
  </w:num>
  <w:num w:numId="11">
    <w:abstractNumId w:val="3"/>
  </w:num>
  <w:num w:numId="12">
    <w:abstractNumId w:val="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fr-FR" w:vendorID="9" w:dllVersion="512"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0F"/>
    <w:rsid w:val="00021B5E"/>
    <w:rsid w:val="00023B43"/>
    <w:rsid w:val="000419F9"/>
    <w:rsid w:val="00042311"/>
    <w:rsid w:val="00063F96"/>
    <w:rsid w:val="000672C4"/>
    <w:rsid w:val="000770C9"/>
    <w:rsid w:val="00092D7C"/>
    <w:rsid w:val="00097564"/>
    <w:rsid w:val="00151061"/>
    <w:rsid w:val="00182397"/>
    <w:rsid w:val="001A0959"/>
    <w:rsid w:val="001B5375"/>
    <w:rsid w:val="001E0CDD"/>
    <w:rsid w:val="001E1154"/>
    <w:rsid w:val="002509A0"/>
    <w:rsid w:val="00263D84"/>
    <w:rsid w:val="0027216F"/>
    <w:rsid w:val="0029145D"/>
    <w:rsid w:val="002937E4"/>
    <w:rsid w:val="002948E5"/>
    <w:rsid w:val="002C4A37"/>
    <w:rsid w:val="002E09B5"/>
    <w:rsid w:val="002F2A3C"/>
    <w:rsid w:val="002F5889"/>
    <w:rsid w:val="002F7E91"/>
    <w:rsid w:val="00323A01"/>
    <w:rsid w:val="003301D2"/>
    <w:rsid w:val="00345FEA"/>
    <w:rsid w:val="00346F11"/>
    <w:rsid w:val="003539CE"/>
    <w:rsid w:val="00360972"/>
    <w:rsid w:val="0036417B"/>
    <w:rsid w:val="0038728C"/>
    <w:rsid w:val="003B45DF"/>
    <w:rsid w:val="003C7993"/>
    <w:rsid w:val="003D5928"/>
    <w:rsid w:val="0041011C"/>
    <w:rsid w:val="004341FD"/>
    <w:rsid w:val="004475A9"/>
    <w:rsid w:val="00455683"/>
    <w:rsid w:val="0045799B"/>
    <w:rsid w:val="00466DB9"/>
    <w:rsid w:val="00496A01"/>
    <w:rsid w:val="004A3DD6"/>
    <w:rsid w:val="004D7BDB"/>
    <w:rsid w:val="0050022F"/>
    <w:rsid w:val="005222DC"/>
    <w:rsid w:val="00550A7B"/>
    <w:rsid w:val="00565BB4"/>
    <w:rsid w:val="005A069A"/>
    <w:rsid w:val="005D589A"/>
    <w:rsid w:val="006528E0"/>
    <w:rsid w:val="00682AA0"/>
    <w:rsid w:val="0069372F"/>
    <w:rsid w:val="006A1CEB"/>
    <w:rsid w:val="006B0EE1"/>
    <w:rsid w:val="006B6852"/>
    <w:rsid w:val="0074177A"/>
    <w:rsid w:val="00755E2A"/>
    <w:rsid w:val="007E6C7F"/>
    <w:rsid w:val="00807E38"/>
    <w:rsid w:val="0081043A"/>
    <w:rsid w:val="0081677C"/>
    <w:rsid w:val="00860E0E"/>
    <w:rsid w:val="00872593"/>
    <w:rsid w:val="008732AD"/>
    <w:rsid w:val="008A322F"/>
    <w:rsid w:val="008A3263"/>
    <w:rsid w:val="008A69AD"/>
    <w:rsid w:val="008E369D"/>
    <w:rsid w:val="008F46DA"/>
    <w:rsid w:val="00927979"/>
    <w:rsid w:val="00941536"/>
    <w:rsid w:val="00946BDE"/>
    <w:rsid w:val="00973FAE"/>
    <w:rsid w:val="009B0328"/>
    <w:rsid w:val="009C6861"/>
    <w:rsid w:val="009D3700"/>
    <w:rsid w:val="009E5394"/>
    <w:rsid w:val="009F2B54"/>
    <w:rsid w:val="00A00E4B"/>
    <w:rsid w:val="00A16017"/>
    <w:rsid w:val="00A201F2"/>
    <w:rsid w:val="00A478BB"/>
    <w:rsid w:val="00A53843"/>
    <w:rsid w:val="00A5540C"/>
    <w:rsid w:val="00A66881"/>
    <w:rsid w:val="00AA4364"/>
    <w:rsid w:val="00AE418A"/>
    <w:rsid w:val="00AF1CA5"/>
    <w:rsid w:val="00AF3B64"/>
    <w:rsid w:val="00B12372"/>
    <w:rsid w:val="00B23BF1"/>
    <w:rsid w:val="00B309B1"/>
    <w:rsid w:val="00B50539"/>
    <w:rsid w:val="00B734B0"/>
    <w:rsid w:val="00B93053"/>
    <w:rsid w:val="00B97C0D"/>
    <w:rsid w:val="00BD28FA"/>
    <w:rsid w:val="00BD41C1"/>
    <w:rsid w:val="00BE69F3"/>
    <w:rsid w:val="00BF4D45"/>
    <w:rsid w:val="00C126C2"/>
    <w:rsid w:val="00C656A4"/>
    <w:rsid w:val="00C73D04"/>
    <w:rsid w:val="00C75821"/>
    <w:rsid w:val="00C85BB7"/>
    <w:rsid w:val="00C9345A"/>
    <w:rsid w:val="00CB42D0"/>
    <w:rsid w:val="00CD5628"/>
    <w:rsid w:val="00CE1525"/>
    <w:rsid w:val="00CF77BF"/>
    <w:rsid w:val="00D034A8"/>
    <w:rsid w:val="00D05317"/>
    <w:rsid w:val="00D16A9F"/>
    <w:rsid w:val="00D478D1"/>
    <w:rsid w:val="00D51BBF"/>
    <w:rsid w:val="00D55762"/>
    <w:rsid w:val="00D70574"/>
    <w:rsid w:val="00D84AE7"/>
    <w:rsid w:val="00D85AD4"/>
    <w:rsid w:val="00D96144"/>
    <w:rsid w:val="00DF5D16"/>
    <w:rsid w:val="00E57748"/>
    <w:rsid w:val="00E66241"/>
    <w:rsid w:val="00E66E56"/>
    <w:rsid w:val="00E812EF"/>
    <w:rsid w:val="00E8140F"/>
    <w:rsid w:val="00E81EB4"/>
    <w:rsid w:val="00E862D7"/>
    <w:rsid w:val="00F22CF8"/>
    <w:rsid w:val="00F268B8"/>
    <w:rsid w:val="00F27761"/>
    <w:rsid w:val="00F3660C"/>
    <w:rsid w:val="00F6508F"/>
    <w:rsid w:val="00F74BB5"/>
    <w:rsid w:val="00F81F99"/>
    <w:rsid w:val="00F841D8"/>
    <w:rsid w:val="00F94129"/>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E6E09B"/>
  <w15:chartTrackingRefBased/>
  <w15:docId w15:val="{BEE56D56-3782-4B9E-B9EA-AFE222D3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uiPriority w:val="99"/>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uiPriority w:val="99"/>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character" w:customStyle="1" w:styleId="remaining-body">
    <w:name w:val="remaining-body"/>
    <w:basedOn w:val="Policepardfaut"/>
    <w:rsid w:val="008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217DC8A5B3542BB613CD21D7D5172" ma:contentTypeVersion="11" ma:contentTypeDescription="Crée un document." ma:contentTypeScope="" ma:versionID="255781b48612496fd923992b09139336">
  <xsd:schema xmlns:xsd="http://www.w3.org/2001/XMLSchema" xmlns:xs="http://www.w3.org/2001/XMLSchema" xmlns:p="http://schemas.microsoft.com/office/2006/metadata/properties" xmlns:ns2="2e3072f2-beca-4ad0-b310-4a5f75c5b3d3" xmlns:ns3="2ea017b6-54da-4c69-806e-88fe69318899" targetNamespace="http://schemas.microsoft.com/office/2006/metadata/properties" ma:root="true" ma:fieldsID="4da120128f50772901a9582db7d17cc2" ns2:_="" ns3:_="">
    <xsd:import namespace="2e3072f2-beca-4ad0-b310-4a5f75c5b3d3"/>
    <xsd:import namespace="2ea017b6-54da-4c69-806e-88fe693188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072f2-beca-4ad0-b310-4a5f75c5b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017b6-54da-4c69-806e-88fe693188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53BD5-0A97-45FC-998F-CE85C48219AD}">
  <ds:schemaRefs>
    <ds:schemaRef ds:uri="http://schemas.microsoft.com/sharepoint/v3/contenttype/forms"/>
  </ds:schemaRefs>
</ds:datastoreItem>
</file>

<file path=customXml/itemProps2.xml><?xml version="1.0" encoding="utf-8"?>
<ds:datastoreItem xmlns:ds="http://schemas.openxmlformats.org/officeDocument/2006/customXml" ds:itemID="{10E04D22-31CC-484A-8086-561D7DEF4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62185-A36E-4B4B-ABE6-5434E120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072f2-beca-4ad0-b310-4a5f75c5b3d3"/>
    <ds:schemaRef ds:uri="2ea017b6-54da-4c69-806e-88fe69318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Bonard</dc:creator>
  <cp:keywords/>
  <dc:description/>
  <cp:lastModifiedBy>David Pelerins</cp:lastModifiedBy>
  <cp:revision>2</cp:revision>
  <cp:lastPrinted>2014-05-15T08:26:00Z</cp:lastPrinted>
  <dcterms:created xsi:type="dcterms:W3CDTF">2022-12-05T14:51:00Z</dcterms:created>
  <dcterms:modified xsi:type="dcterms:W3CDTF">2022-12-05T14:51:00Z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0x010100196217DC8A5B3542BB613CD21D7D5172</vt:lpwstr>
  </property>
</Properties>
</file>