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6E9C" w14:textId="6069F703" w:rsidR="002D7139" w:rsidRPr="00B42CA2" w:rsidRDefault="002D7139" w:rsidP="002D7139">
      <w:pPr>
        <w:rPr>
          <w:b/>
          <w:bCs/>
          <w:sz w:val="28"/>
          <w:szCs w:val="28"/>
        </w:rPr>
      </w:pPr>
      <w:r w:rsidRPr="00B42CA2">
        <w:rPr>
          <w:b/>
          <w:bCs/>
          <w:sz w:val="28"/>
          <w:szCs w:val="28"/>
        </w:rPr>
        <w:t>Consigne</w:t>
      </w:r>
      <w:r w:rsidR="00FC7FCF" w:rsidRPr="00B42CA2">
        <w:rPr>
          <w:b/>
          <w:bCs/>
          <w:sz w:val="28"/>
          <w:szCs w:val="28"/>
        </w:rPr>
        <w:t>s</w:t>
      </w:r>
      <w:r w:rsidRPr="00B42CA2">
        <w:rPr>
          <w:b/>
          <w:bCs/>
          <w:sz w:val="28"/>
          <w:szCs w:val="28"/>
        </w:rPr>
        <w:t xml:space="preserve"> pour l’harmonisation des pratiques concernant la citation des articles </w:t>
      </w:r>
    </w:p>
    <w:p w14:paraId="71A0EEC5" w14:textId="77777777" w:rsidR="00B42CA2" w:rsidRPr="006240A5" w:rsidRDefault="00B42CA2" w:rsidP="002D7139">
      <w:pPr>
        <w:rPr>
          <w:b/>
          <w:bCs/>
        </w:rPr>
      </w:pPr>
    </w:p>
    <w:p w14:paraId="5BA70281" w14:textId="26AE3802" w:rsidR="002D7139" w:rsidRDefault="002D7139" w:rsidP="002D7139"/>
    <w:p w14:paraId="04A760D3" w14:textId="77777777" w:rsidR="00B42CA2" w:rsidRDefault="00B42CA2" w:rsidP="002D7139"/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91630" w14:paraId="29CDFA99" w14:textId="77777777" w:rsidTr="00B42CA2">
        <w:trPr>
          <w:jc w:val="center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E24DC2" w14:textId="2E3F5C24" w:rsidR="00E91630" w:rsidRPr="00394CDD" w:rsidRDefault="00A20784" w:rsidP="00E91630">
            <w:pPr>
              <w:spacing w:before="240" w:after="120"/>
              <w:ind w:left="255"/>
              <w:rPr>
                <w:iCs/>
                <w:sz w:val="24"/>
              </w:rPr>
            </w:pPr>
            <w:r w:rsidRPr="00394CDD">
              <w:rPr>
                <w:iCs/>
                <w:sz w:val="24"/>
              </w:rPr>
              <w:t>Attention</w:t>
            </w:r>
          </w:p>
        </w:tc>
      </w:tr>
      <w:tr w:rsidR="00E91630" w14:paraId="2D56DF6C" w14:textId="77777777" w:rsidTr="00B42CA2">
        <w:trPr>
          <w:jc w:val="center"/>
        </w:trPr>
        <w:tc>
          <w:tcPr>
            <w:tcW w:w="96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A94B11" w14:textId="77777777" w:rsidR="00E91630" w:rsidRPr="00394CDD" w:rsidRDefault="00A20784" w:rsidP="00E91630">
            <w:pPr>
              <w:pStyle w:val="SingleTxtG"/>
            </w:pPr>
            <w:r w:rsidRPr="00394CDD">
              <w:t>Les présentes consignes ne s’appliquent pas :</w:t>
            </w:r>
          </w:p>
          <w:p w14:paraId="78AE02E9" w14:textId="77777777" w:rsidR="00A20784" w:rsidRPr="00394CDD" w:rsidRDefault="00A20784" w:rsidP="00A20784">
            <w:pPr>
              <w:pStyle w:val="SingleTxtG"/>
              <w:numPr>
                <w:ilvl w:val="0"/>
                <w:numId w:val="13"/>
              </w:numPr>
            </w:pPr>
            <w:proofErr w:type="gramStart"/>
            <w:r w:rsidRPr="00394CDD">
              <w:t>aux</w:t>
            </w:r>
            <w:proofErr w:type="gramEnd"/>
            <w:r w:rsidRPr="00394CDD">
              <w:t xml:space="preserve"> documents des transports ;</w:t>
            </w:r>
          </w:p>
          <w:p w14:paraId="5E13815E" w14:textId="21E0CF7F" w:rsidR="00A20784" w:rsidRPr="00394CDD" w:rsidRDefault="00A20784" w:rsidP="00A20784">
            <w:pPr>
              <w:pStyle w:val="SingleTxtG"/>
              <w:numPr>
                <w:ilvl w:val="0"/>
                <w:numId w:val="13"/>
              </w:numPr>
            </w:pPr>
            <w:proofErr w:type="gramStart"/>
            <w:r w:rsidRPr="00394CDD">
              <w:t>aux</w:t>
            </w:r>
            <w:proofErr w:type="gramEnd"/>
            <w:r w:rsidRPr="00394CDD">
              <w:t xml:space="preserve"> documents de la CDI</w:t>
            </w:r>
            <w:r w:rsidR="00A704BC">
              <w:t>.</w:t>
            </w:r>
          </w:p>
        </w:tc>
      </w:tr>
      <w:tr w:rsidR="00E91630" w14:paraId="5DBF099F" w14:textId="77777777" w:rsidTr="00B42CA2">
        <w:trPr>
          <w:jc w:val="center"/>
        </w:trPr>
        <w:tc>
          <w:tcPr>
            <w:tcW w:w="9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5F7C4" w14:textId="77777777" w:rsidR="00E91630" w:rsidRPr="00394CDD" w:rsidRDefault="00E91630" w:rsidP="00E91630"/>
        </w:tc>
      </w:tr>
    </w:tbl>
    <w:p w14:paraId="3CF3939C" w14:textId="77777777" w:rsidR="00346448" w:rsidRDefault="00346448" w:rsidP="00E91630"/>
    <w:p w14:paraId="7FF5F9D5" w14:textId="12C3DD3C" w:rsidR="00D44448" w:rsidRPr="006240A5" w:rsidRDefault="00D44448" w:rsidP="002D7139"/>
    <w:p w14:paraId="3117F2AC" w14:textId="202F7BA4" w:rsidR="002D7139" w:rsidRPr="006240A5" w:rsidRDefault="00A20784" w:rsidP="002D7139">
      <w:r>
        <w:t>Par souci de simplification et d’harmonisation, il a été déci</w:t>
      </w:r>
      <w:r w:rsidR="00633193">
        <w:t>dé d’adopter la</w:t>
      </w:r>
      <w:r w:rsidR="002D7139" w:rsidRPr="006240A5">
        <w:t xml:space="preserve"> présentation suivante</w:t>
      </w:r>
      <w:r w:rsidR="004E5178">
        <w:t xml:space="preserve"> pour la citation des articles d’instruments ou de lois :</w:t>
      </w:r>
      <w:r w:rsidR="002D7139" w:rsidRPr="006240A5">
        <w:t xml:space="preserve"> </w:t>
      </w:r>
    </w:p>
    <w:p w14:paraId="7EC578DD" w14:textId="77777777" w:rsidR="002D7139" w:rsidRPr="006240A5" w:rsidRDefault="002D7139" w:rsidP="002D7139"/>
    <w:p w14:paraId="78BAA1F4" w14:textId="77777777" w:rsidR="002D7139" w:rsidRPr="006240A5" w:rsidRDefault="002D7139" w:rsidP="002D7139">
      <w:r w:rsidRPr="006240A5">
        <w:tab/>
      </w:r>
      <w:r w:rsidRPr="006240A5">
        <w:tab/>
      </w:r>
      <w:r w:rsidRPr="006240A5">
        <w:tab/>
      </w:r>
      <w:proofErr w:type="gramStart"/>
      <w:r w:rsidRPr="006240A5">
        <w:t>l’article</w:t>
      </w:r>
      <w:proofErr w:type="gramEnd"/>
      <w:r w:rsidRPr="006240A5">
        <w:t xml:space="preserve"> 22 (par. 4 b))</w:t>
      </w:r>
    </w:p>
    <w:p w14:paraId="2AE40E98" w14:textId="77777777" w:rsidR="002D7139" w:rsidRPr="006240A5" w:rsidRDefault="002D7139" w:rsidP="002D7139">
      <w:r w:rsidRPr="006240A5">
        <w:tab/>
      </w:r>
      <w:r w:rsidRPr="006240A5">
        <w:tab/>
      </w:r>
      <w:r w:rsidRPr="006240A5">
        <w:tab/>
      </w:r>
      <w:proofErr w:type="gramStart"/>
      <w:r w:rsidRPr="006240A5">
        <w:t>l’article</w:t>
      </w:r>
      <w:proofErr w:type="gramEnd"/>
      <w:r w:rsidRPr="006240A5">
        <w:t xml:space="preserve"> 6 (al. </w:t>
      </w:r>
      <w:proofErr w:type="gramStart"/>
      <w:r w:rsidRPr="006240A5">
        <w:t>b</w:t>
      </w:r>
      <w:proofErr w:type="gramEnd"/>
      <w:r w:rsidRPr="006240A5">
        <w:t>))</w:t>
      </w:r>
    </w:p>
    <w:p w14:paraId="0A10A7ED" w14:textId="77777777" w:rsidR="002D7139" w:rsidRPr="006240A5" w:rsidRDefault="002D7139" w:rsidP="002D7139"/>
    <w:p w14:paraId="3C06E63F" w14:textId="77777777" w:rsidR="002D7139" w:rsidRPr="006240A5" w:rsidRDefault="002D7139" w:rsidP="002D7139">
      <w:r w:rsidRPr="006240A5">
        <w:t xml:space="preserve">On nommera uniquement la première subdivision de l’article (par. </w:t>
      </w:r>
      <w:proofErr w:type="gramStart"/>
      <w:r w:rsidRPr="006240A5">
        <w:t>ou</w:t>
      </w:r>
      <w:proofErr w:type="gramEnd"/>
      <w:r w:rsidRPr="006240A5">
        <w:t xml:space="preserve"> al.) en accolant simplement les lettres ou chiffres suivants, ce qui donne :</w:t>
      </w:r>
    </w:p>
    <w:p w14:paraId="6FBBCCBC" w14:textId="6D1DD9E5" w:rsidR="002D7139" w:rsidRPr="006240A5" w:rsidRDefault="002D7139" w:rsidP="002D7139">
      <w:r w:rsidRPr="006240A5">
        <w:t xml:space="preserve"> - lorsque l’article se compose de paragraphes :  l’article 7 (par. 2)</w:t>
      </w:r>
      <w:r w:rsidR="00B1383F">
        <w:t> ;</w:t>
      </w:r>
      <w:r w:rsidRPr="006240A5">
        <w:t xml:space="preserve"> l’article 7 (par. 2 b))</w:t>
      </w:r>
    </w:p>
    <w:p w14:paraId="12AA3DF0" w14:textId="356066E8" w:rsidR="002D7139" w:rsidRDefault="002D7139" w:rsidP="002D7139">
      <w:r w:rsidRPr="006240A5">
        <w:t xml:space="preserve"> - lorsque l’article se compose d’alinéas : l’article 7 (al. c))</w:t>
      </w:r>
      <w:r w:rsidR="00B1383F">
        <w:t> ;</w:t>
      </w:r>
      <w:r w:rsidRPr="006240A5">
        <w:t xml:space="preserve"> l’article 7 (al. c) vii))</w:t>
      </w:r>
    </w:p>
    <w:p w14:paraId="2816DA8F" w14:textId="77777777" w:rsidR="002D7139" w:rsidRPr="006240A5" w:rsidRDefault="002D7139" w:rsidP="002D7139"/>
    <w:p w14:paraId="48E1FB09" w14:textId="77777777" w:rsidR="00CF0F49" w:rsidRDefault="002D7139" w:rsidP="002D7139">
      <w:r w:rsidRPr="006240A5">
        <w:t xml:space="preserve">Cette consigne est à appliquer </w:t>
      </w:r>
      <w:r w:rsidRPr="004E5178">
        <w:rPr>
          <w:b/>
          <w:bCs/>
          <w:u w:val="single"/>
        </w:rPr>
        <w:t>dans la mesure du possible</w:t>
      </w:r>
      <w:r w:rsidRPr="006240A5">
        <w:t xml:space="preserve">. La formule longue peut s’imposer dans certains cas, par exemple lorsque plusieurs paragraphes d’un même article sont évoqués à la suite (« Le paragraphe 2 de l'article 7 </w:t>
      </w:r>
      <w:proofErr w:type="gramStart"/>
      <w:r w:rsidRPr="006240A5">
        <w:t>dispose</w:t>
      </w:r>
      <w:proofErr w:type="gramEnd"/>
      <w:r w:rsidRPr="006240A5">
        <w:t xml:space="preserve"> que.... Le paragraphe 3 dudit article dispose que</w:t>
      </w:r>
      <w:r w:rsidR="00207ED9" w:rsidRPr="006240A5">
        <w:t xml:space="preserve">… </w:t>
      </w:r>
      <w:r w:rsidRPr="006240A5">
        <w:t xml:space="preserve">»). </w:t>
      </w:r>
      <w:r w:rsidRPr="00CF0F49">
        <w:rPr>
          <w:b/>
          <w:bCs/>
        </w:rPr>
        <w:t>Il appartient au traducteur/réviseur d’exercer son jugement.</w:t>
      </w:r>
      <w:r w:rsidRPr="006240A5">
        <w:t xml:space="preserve"> </w:t>
      </w:r>
    </w:p>
    <w:p w14:paraId="0FCB6689" w14:textId="251A52B6" w:rsidR="0081043A" w:rsidRDefault="0081043A" w:rsidP="002D7139"/>
    <w:p w14:paraId="7DE3D81F" w14:textId="509A7618" w:rsidR="00D01119" w:rsidRDefault="00D01119" w:rsidP="002D7139"/>
    <w:p w14:paraId="50B15773" w14:textId="3B03D01B" w:rsidR="00470479" w:rsidRPr="00AD3163" w:rsidRDefault="00470479" w:rsidP="002D7139">
      <w:r w:rsidRPr="00016747">
        <w:rPr>
          <w:b/>
          <w:bCs/>
          <w:u w:val="single"/>
        </w:rPr>
        <w:t>Pour résumer</w:t>
      </w:r>
      <w:r w:rsidRPr="00AD3163">
        <w:t> :</w:t>
      </w:r>
    </w:p>
    <w:p w14:paraId="1C5378CC" w14:textId="77777777" w:rsidR="000D26F3" w:rsidRPr="00AD3163" w:rsidRDefault="000D26F3" w:rsidP="002D71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3"/>
        <w:gridCol w:w="4826"/>
      </w:tblGrid>
      <w:tr w:rsidR="0025434F" w:rsidRPr="00AD3163" w14:paraId="437C14F1" w14:textId="77777777" w:rsidTr="00DD288E">
        <w:tc>
          <w:tcPr>
            <w:tcW w:w="4823" w:type="dxa"/>
          </w:tcPr>
          <w:p w14:paraId="1EBC1C02" w14:textId="683883F6" w:rsidR="0025434F" w:rsidRPr="0025434F" w:rsidRDefault="0025434F" w:rsidP="0025434F">
            <w:pPr>
              <w:spacing w:line="360" w:lineRule="auto"/>
              <w:rPr>
                <w:b/>
                <w:bCs/>
              </w:rPr>
            </w:pPr>
            <w:r w:rsidRPr="0025434F">
              <w:rPr>
                <w:b/>
                <w:bCs/>
              </w:rPr>
              <w:t>En anglais</w:t>
            </w:r>
          </w:p>
        </w:tc>
        <w:tc>
          <w:tcPr>
            <w:tcW w:w="4826" w:type="dxa"/>
          </w:tcPr>
          <w:p w14:paraId="318B2E4D" w14:textId="6A752935" w:rsidR="0025434F" w:rsidRPr="0025434F" w:rsidRDefault="0025434F" w:rsidP="0025434F">
            <w:pPr>
              <w:spacing w:line="360" w:lineRule="auto"/>
              <w:rPr>
                <w:b/>
                <w:bCs/>
              </w:rPr>
            </w:pPr>
            <w:r w:rsidRPr="0025434F">
              <w:rPr>
                <w:b/>
                <w:bCs/>
              </w:rPr>
              <w:t>En français</w:t>
            </w:r>
          </w:p>
        </w:tc>
      </w:tr>
      <w:tr w:rsidR="00BC244E" w:rsidRPr="00AD3163" w14:paraId="4EEE318E" w14:textId="77777777" w:rsidTr="00DD288E">
        <w:tc>
          <w:tcPr>
            <w:tcW w:w="4823" w:type="dxa"/>
          </w:tcPr>
          <w:p w14:paraId="0A28625D" w14:textId="284DAAF6" w:rsidR="00BC244E" w:rsidRPr="00AD3163" w:rsidRDefault="00ED15C5" w:rsidP="0025434F">
            <w:pPr>
              <w:spacing w:line="360" w:lineRule="auto"/>
            </w:pPr>
            <w:proofErr w:type="gramStart"/>
            <w:r w:rsidRPr="00AD3163">
              <w:t>article</w:t>
            </w:r>
            <w:proofErr w:type="gramEnd"/>
            <w:r w:rsidRPr="00AD3163">
              <w:t xml:space="preserve"> 35 (2)</w:t>
            </w:r>
          </w:p>
        </w:tc>
        <w:tc>
          <w:tcPr>
            <w:tcW w:w="4826" w:type="dxa"/>
          </w:tcPr>
          <w:p w14:paraId="4A5235FE" w14:textId="5845BB12" w:rsidR="00BC244E" w:rsidRPr="00AD3163" w:rsidRDefault="00ED15C5" w:rsidP="0025434F">
            <w:pPr>
              <w:spacing w:line="360" w:lineRule="auto"/>
            </w:pPr>
            <w:proofErr w:type="gramStart"/>
            <w:r w:rsidRPr="00AD3163">
              <w:t>l’article</w:t>
            </w:r>
            <w:proofErr w:type="gramEnd"/>
            <w:r w:rsidRPr="00AD3163">
              <w:t xml:space="preserve"> 35 (par. 2)</w:t>
            </w:r>
          </w:p>
        </w:tc>
      </w:tr>
      <w:tr w:rsidR="000D26F3" w:rsidRPr="00AD3163" w14:paraId="3FFC6D0D" w14:textId="77777777" w:rsidTr="00DD288E">
        <w:tc>
          <w:tcPr>
            <w:tcW w:w="4823" w:type="dxa"/>
          </w:tcPr>
          <w:p w14:paraId="3BDB5572" w14:textId="5BB3B2B1" w:rsidR="000D26F3" w:rsidRPr="00AD3163" w:rsidRDefault="00093B01" w:rsidP="0025434F">
            <w:pPr>
              <w:spacing w:line="360" w:lineRule="auto"/>
            </w:pPr>
            <w:proofErr w:type="gramStart"/>
            <w:r w:rsidRPr="00AD3163">
              <w:t>article</w:t>
            </w:r>
            <w:proofErr w:type="gramEnd"/>
            <w:r w:rsidRPr="00AD3163">
              <w:t xml:space="preserve"> 35 (2) (a) and (b)</w:t>
            </w:r>
          </w:p>
        </w:tc>
        <w:tc>
          <w:tcPr>
            <w:tcW w:w="4826" w:type="dxa"/>
          </w:tcPr>
          <w:p w14:paraId="6869DAD1" w14:textId="14ED9A8F" w:rsidR="000D26F3" w:rsidRPr="00AD3163" w:rsidRDefault="00240A23" w:rsidP="0025434F">
            <w:pPr>
              <w:spacing w:line="360" w:lineRule="auto"/>
            </w:pPr>
            <w:proofErr w:type="gramStart"/>
            <w:r w:rsidRPr="00AD3163">
              <w:t>l’article</w:t>
            </w:r>
            <w:proofErr w:type="gramEnd"/>
            <w:r w:rsidRPr="00AD3163">
              <w:t xml:space="preserve"> 35 (par. 2 a) et b))</w:t>
            </w:r>
          </w:p>
        </w:tc>
      </w:tr>
      <w:tr w:rsidR="000D26F3" w:rsidRPr="00AD3163" w14:paraId="58B819CB" w14:textId="77777777" w:rsidTr="00DD288E">
        <w:tc>
          <w:tcPr>
            <w:tcW w:w="4823" w:type="dxa"/>
          </w:tcPr>
          <w:p w14:paraId="51F05F7E" w14:textId="0AC32B6A" w:rsidR="000D26F3" w:rsidRPr="00AD3163" w:rsidRDefault="008F4352" w:rsidP="0025434F">
            <w:pPr>
              <w:spacing w:line="360" w:lineRule="auto"/>
            </w:pPr>
            <w:proofErr w:type="gramStart"/>
            <w:r w:rsidRPr="00AD3163">
              <w:t>article</w:t>
            </w:r>
            <w:proofErr w:type="gramEnd"/>
            <w:r w:rsidRPr="00AD3163">
              <w:t xml:space="preserve"> </w:t>
            </w:r>
            <w:r w:rsidR="00807839" w:rsidRPr="00AD3163">
              <w:t>2 (b)</w:t>
            </w:r>
          </w:p>
        </w:tc>
        <w:tc>
          <w:tcPr>
            <w:tcW w:w="4826" w:type="dxa"/>
          </w:tcPr>
          <w:p w14:paraId="0D8C4177" w14:textId="1E3A7836" w:rsidR="000D26F3" w:rsidRPr="00AD3163" w:rsidRDefault="00807839" w:rsidP="0025434F">
            <w:pPr>
              <w:spacing w:line="360" w:lineRule="auto"/>
            </w:pPr>
            <w:proofErr w:type="gramStart"/>
            <w:r w:rsidRPr="00AD3163">
              <w:t>l’article</w:t>
            </w:r>
            <w:proofErr w:type="gramEnd"/>
            <w:r w:rsidRPr="00AD3163">
              <w:t xml:space="preserve"> 2 (al. </w:t>
            </w:r>
            <w:proofErr w:type="gramStart"/>
            <w:r w:rsidRPr="00AD3163">
              <w:t>b</w:t>
            </w:r>
            <w:proofErr w:type="gramEnd"/>
            <w:r w:rsidRPr="00AD3163">
              <w:t>))</w:t>
            </w:r>
          </w:p>
        </w:tc>
      </w:tr>
      <w:tr w:rsidR="000D26F3" w:rsidRPr="00AD3163" w14:paraId="73048FE5" w14:textId="77777777" w:rsidTr="00DD288E">
        <w:tc>
          <w:tcPr>
            <w:tcW w:w="4823" w:type="dxa"/>
          </w:tcPr>
          <w:p w14:paraId="29C256FE" w14:textId="3CABFFED" w:rsidR="000D26F3" w:rsidRPr="00AD3163" w:rsidRDefault="009D0FC8" w:rsidP="0025434F">
            <w:pPr>
              <w:spacing w:line="360" w:lineRule="auto"/>
            </w:pPr>
            <w:proofErr w:type="gramStart"/>
            <w:r w:rsidRPr="00AD3163">
              <w:t>article</w:t>
            </w:r>
            <w:proofErr w:type="gramEnd"/>
            <w:r w:rsidRPr="00AD3163">
              <w:t xml:space="preserve"> 2 (b) (</w:t>
            </w:r>
            <w:r w:rsidR="00E42FF3">
              <w:t>v</w:t>
            </w:r>
            <w:r w:rsidR="00C92145" w:rsidRPr="00AD3163">
              <w:t>i)</w:t>
            </w:r>
          </w:p>
        </w:tc>
        <w:tc>
          <w:tcPr>
            <w:tcW w:w="4826" w:type="dxa"/>
          </w:tcPr>
          <w:p w14:paraId="1F900460" w14:textId="2C401FD7" w:rsidR="000D26F3" w:rsidRPr="00AD3163" w:rsidRDefault="00C92145" w:rsidP="0025434F">
            <w:pPr>
              <w:spacing w:line="360" w:lineRule="auto"/>
            </w:pPr>
            <w:proofErr w:type="gramStart"/>
            <w:r w:rsidRPr="00AD3163">
              <w:t>l’article</w:t>
            </w:r>
            <w:proofErr w:type="gramEnd"/>
            <w:r w:rsidRPr="00AD3163">
              <w:t xml:space="preserve"> 2 (al. b) </w:t>
            </w:r>
            <w:r w:rsidR="00212BB3">
              <w:t>v</w:t>
            </w:r>
            <w:r w:rsidRPr="00AD3163">
              <w:t>i))</w:t>
            </w:r>
          </w:p>
        </w:tc>
      </w:tr>
    </w:tbl>
    <w:p w14:paraId="765B18E5" w14:textId="77777777" w:rsidR="000D26F3" w:rsidRPr="00892855" w:rsidRDefault="000D26F3" w:rsidP="002D7139">
      <w:pPr>
        <w:rPr>
          <w:b/>
          <w:bCs/>
        </w:rPr>
      </w:pPr>
    </w:p>
    <w:sectPr w:rsidR="000D26F3" w:rsidRPr="00892855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D51" w14:textId="77777777" w:rsidR="00AA046D" w:rsidRPr="00927979" w:rsidRDefault="00AA046D" w:rsidP="00927979">
      <w:pPr>
        <w:pStyle w:val="Pieddepage"/>
      </w:pPr>
    </w:p>
  </w:endnote>
  <w:endnote w:type="continuationSeparator" w:id="0">
    <w:p w14:paraId="72AFF420" w14:textId="77777777" w:rsidR="00AA046D" w:rsidRPr="00927979" w:rsidRDefault="00AA046D" w:rsidP="00927979">
      <w:pPr>
        <w:pStyle w:val="Pieddepage"/>
      </w:pPr>
    </w:p>
  </w:endnote>
  <w:endnote w:type="continuationNotice" w:id="1">
    <w:p w14:paraId="1520FD8E" w14:textId="77777777" w:rsidR="00AA046D" w:rsidRPr="00927979" w:rsidRDefault="00AA046D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CE39" w14:textId="77777777" w:rsidR="00AA046D" w:rsidRPr="00927979" w:rsidRDefault="00AA046D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1D02A3A3" w14:textId="77777777" w:rsidR="00AA046D" w:rsidRPr="00927979" w:rsidRDefault="00AA046D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DE06B0" w14:textId="77777777" w:rsidR="00AA046D" w:rsidRPr="00927979" w:rsidRDefault="00AA046D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EA"/>
    <w:multiLevelType w:val="hybridMultilevel"/>
    <w:tmpl w:val="1FE025C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1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9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7139"/>
    <w:rsid w:val="00016747"/>
    <w:rsid w:val="00021B5E"/>
    <w:rsid w:val="00023B43"/>
    <w:rsid w:val="000419F9"/>
    <w:rsid w:val="00042311"/>
    <w:rsid w:val="000571D4"/>
    <w:rsid w:val="000575BD"/>
    <w:rsid w:val="00063F96"/>
    <w:rsid w:val="000672C4"/>
    <w:rsid w:val="000770C9"/>
    <w:rsid w:val="00092D7C"/>
    <w:rsid w:val="00093B01"/>
    <w:rsid w:val="00097564"/>
    <w:rsid w:val="000B08AC"/>
    <w:rsid w:val="000D26F3"/>
    <w:rsid w:val="00151061"/>
    <w:rsid w:val="001A0959"/>
    <w:rsid w:val="001B5375"/>
    <w:rsid w:val="001E1154"/>
    <w:rsid w:val="00207ED9"/>
    <w:rsid w:val="00212BB3"/>
    <w:rsid w:val="00240A23"/>
    <w:rsid w:val="002509A0"/>
    <w:rsid w:val="0025434F"/>
    <w:rsid w:val="0027216F"/>
    <w:rsid w:val="002948E5"/>
    <w:rsid w:val="002C4A37"/>
    <w:rsid w:val="002D4132"/>
    <w:rsid w:val="002D7139"/>
    <w:rsid w:val="002E09B5"/>
    <w:rsid w:val="002F2A3C"/>
    <w:rsid w:val="002F5889"/>
    <w:rsid w:val="002F7E91"/>
    <w:rsid w:val="00323A01"/>
    <w:rsid w:val="003301D2"/>
    <w:rsid w:val="00345FEA"/>
    <w:rsid w:val="00346448"/>
    <w:rsid w:val="003539CE"/>
    <w:rsid w:val="00360972"/>
    <w:rsid w:val="0038728C"/>
    <w:rsid w:val="00394CDD"/>
    <w:rsid w:val="003A739E"/>
    <w:rsid w:val="004341FD"/>
    <w:rsid w:val="00455683"/>
    <w:rsid w:val="0045799B"/>
    <w:rsid w:val="00466DB9"/>
    <w:rsid w:val="00470479"/>
    <w:rsid w:val="00496A01"/>
    <w:rsid w:val="004A3DD6"/>
    <w:rsid w:val="004C0072"/>
    <w:rsid w:val="004D7BDB"/>
    <w:rsid w:val="004E5178"/>
    <w:rsid w:val="0050022F"/>
    <w:rsid w:val="005222DC"/>
    <w:rsid w:val="00550A7B"/>
    <w:rsid w:val="005F1A2C"/>
    <w:rsid w:val="006240A5"/>
    <w:rsid w:val="00633193"/>
    <w:rsid w:val="006528E0"/>
    <w:rsid w:val="00677652"/>
    <w:rsid w:val="00682AA0"/>
    <w:rsid w:val="006A1CEB"/>
    <w:rsid w:val="006B0EE1"/>
    <w:rsid w:val="006B6852"/>
    <w:rsid w:val="0074535D"/>
    <w:rsid w:val="00755E2A"/>
    <w:rsid w:val="0076698B"/>
    <w:rsid w:val="00780482"/>
    <w:rsid w:val="007B4497"/>
    <w:rsid w:val="007E6C7F"/>
    <w:rsid w:val="00807839"/>
    <w:rsid w:val="00807E38"/>
    <w:rsid w:val="0081043A"/>
    <w:rsid w:val="0081677C"/>
    <w:rsid w:val="00872593"/>
    <w:rsid w:val="00892855"/>
    <w:rsid w:val="00896585"/>
    <w:rsid w:val="008A322F"/>
    <w:rsid w:val="008A3263"/>
    <w:rsid w:val="008F4352"/>
    <w:rsid w:val="00920102"/>
    <w:rsid w:val="009247BF"/>
    <w:rsid w:val="00927979"/>
    <w:rsid w:val="00941536"/>
    <w:rsid w:val="00973FAE"/>
    <w:rsid w:val="009A0F62"/>
    <w:rsid w:val="009B0328"/>
    <w:rsid w:val="009C6861"/>
    <w:rsid w:val="009D0FC8"/>
    <w:rsid w:val="009D3700"/>
    <w:rsid w:val="009E5394"/>
    <w:rsid w:val="00A00E4B"/>
    <w:rsid w:val="00A16017"/>
    <w:rsid w:val="00A201F2"/>
    <w:rsid w:val="00A20784"/>
    <w:rsid w:val="00A478BB"/>
    <w:rsid w:val="00A53843"/>
    <w:rsid w:val="00A5540C"/>
    <w:rsid w:val="00A66881"/>
    <w:rsid w:val="00A704BC"/>
    <w:rsid w:val="00AA046D"/>
    <w:rsid w:val="00AA4364"/>
    <w:rsid w:val="00AD3163"/>
    <w:rsid w:val="00AF3B64"/>
    <w:rsid w:val="00B12372"/>
    <w:rsid w:val="00B1383F"/>
    <w:rsid w:val="00B23BF1"/>
    <w:rsid w:val="00B309B1"/>
    <w:rsid w:val="00B42CA2"/>
    <w:rsid w:val="00B734B0"/>
    <w:rsid w:val="00B93053"/>
    <w:rsid w:val="00BC244E"/>
    <w:rsid w:val="00BD41C1"/>
    <w:rsid w:val="00BF4D45"/>
    <w:rsid w:val="00C126C2"/>
    <w:rsid w:val="00C656A4"/>
    <w:rsid w:val="00C73D04"/>
    <w:rsid w:val="00C75821"/>
    <w:rsid w:val="00C85BB7"/>
    <w:rsid w:val="00C92145"/>
    <w:rsid w:val="00C9345A"/>
    <w:rsid w:val="00CB42D0"/>
    <w:rsid w:val="00CD5628"/>
    <w:rsid w:val="00CE1525"/>
    <w:rsid w:val="00CF0F49"/>
    <w:rsid w:val="00D01119"/>
    <w:rsid w:val="00D034A8"/>
    <w:rsid w:val="00D44448"/>
    <w:rsid w:val="00D478D1"/>
    <w:rsid w:val="00D51BBF"/>
    <w:rsid w:val="00D55762"/>
    <w:rsid w:val="00D85AD4"/>
    <w:rsid w:val="00DA5B1E"/>
    <w:rsid w:val="00DD288E"/>
    <w:rsid w:val="00DF5D16"/>
    <w:rsid w:val="00E01266"/>
    <w:rsid w:val="00E42FF3"/>
    <w:rsid w:val="00E57748"/>
    <w:rsid w:val="00E66241"/>
    <w:rsid w:val="00E66E56"/>
    <w:rsid w:val="00E812EF"/>
    <w:rsid w:val="00E862D7"/>
    <w:rsid w:val="00E91630"/>
    <w:rsid w:val="00ED15C5"/>
    <w:rsid w:val="00F268B8"/>
    <w:rsid w:val="00F27761"/>
    <w:rsid w:val="00F3660C"/>
    <w:rsid w:val="00F6508F"/>
    <w:rsid w:val="00F81F99"/>
    <w:rsid w:val="00F841D8"/>
    <w:rsid w:val="00F94129"/>
    <w:rsid w:val="00FA39E5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04D2C7"/>
  <w15:chartTrackingRefBased/>
  <w15:docId w15:val="{D5C2E99A-9EBC-4225-B403-5905EB9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139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Policepardfaut"/>
    <w:rsid w:val="002D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Haggar</dc:creator>
  <cp:keywords/>
  <dc:description/>
  <cp:lastModifiedBy>Nathalie Haggar</cp:lastModifiedBy>
  <cp:revision>2</cp:revision>
  <cp:lastPrinted>2014-05-15T08:26:00Z</cp:lastPrinted>
  <dcterms:created xsi:type="dcterms:W3CDTF">2022-02-11T13:10:00Z</dcterms:created>
  <dcterms:modified xsi:type="dcterms:W3CDTF">2022-02-11T13:10:00Z</dcterms:modified>
</cp:coreProperties>
</file>