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191" w:rsidRDefault="005C7191" w:rsidP="005C7191">
      <w:pPr>
        <w:spacing w:after="240"/>
        <w:ind w:left="3544" w:hanging="3544"/>
        <w:rPr>
          <w:rStyle w:val="HCh"/>
        </w:rPr>
      </w:pPr>
      <w:r>
        <w:rPr>
          <w:rStyle w:val="HCh"/>
        </w:rPr>
        <w:t>CAT</w:t>
      </w:r>
    </w:p>
    <w:p w:rsidR="005C7191" w:rsidRPr="004C1A39" w:rsidRDefault="005C7191" w:rsidP="005C7191">
      <w:pPr>
        <w:spacing w:after="240"/>
        <w:ind w:left="3544" w:hanging="3544"/>
        <w:rPr>
          <w:rStyle w:val="HCh"/>
        </w:rPr>
      </w:pPr>
      <w:r w:rsidRPr="004C1A39">
        <w:rPr>
          <w:rStyle w:val="HCh"/>
        </w:rPr>
        <w:t>Observación general Nº 1</w:t>
      </w:r>
    </w:p>
    <w:p w:rsidR="005C7191" w:rsidRDefault="005C7191" w:rsidP="005C7191">
      <w:pPr>
        <w:spacing w:after="240"/>
        <w:rPr>
          <w:rStyle w:val="HCh"/>
          <w:bCs/>
        </w:rPr>
      </w:pPr>
      <w:r w:rsidRPr="004C1A39">
        <w:rPr>
          <w:rStyle w:val="HCh"/>
          <w:bCs/>
        </w:rPr>
        <w:t>Aplicación del artículo 3 en relación con</w:t>
      </w:r>
      <w:r w:rsidRPr="004C1A39">
        <w:rPr>
          <w:rStyle w:val="HCh"/>
          <w:bCs/>
        </w:rPr>
        <w:br/>
        <w:t>el artículo 22 de la Convención</w:t>
      </w:r>
    </w:p>
    <w:p w:rsidR="005C7191" w:rsidRPr="004C1A39" w:rsidRDefault="005C7191" w:rsidP="005C7191">
      <w:pPr>
        <w:spacing w:after="240"/>
        <w:ind w:left="3544" w:hanging="3544"/>
        <w:rPr>
          <w:rStyle w:val="HCh"/>
          <w:b w:val="0"/>
          <w:u w:val="single"/>
        </w:rPr>
      </w:pPr>
      <w:r w:rsidRPr="004C1A39">
        <w:rPr>
          <w:rStyle w:val="HCh"/>
          <w:bCs/>
        </w:rPr>
        <w:t>16º período de sesiones (1996)</w:t>
      </w:r>
      <w:r>
        <w:rPr>
          <w:rStyle w:val="EndnoteReference"/>
          <w:b/>
          <w:bCs/>
          <w:kern w:val="2"/>
        </w:rPr>
        <w:endnoteReference w:customMarkFollows="1" w:id="1"/>
        <w:t>*</w:t>
      </w:r>
    </w:p>
    <w:p w:rsidR="005C7191" w:rsidRPr="004C1A39" w:rsidRDefault="005C7191" w:rsidP="005C7191">
      <w:pPr>
        <w:spacing w:after="240"/>
        <w:rPr>
          <w:rStyle w:val="HCh"/>
          <w:bCs/>
        </w:rPr>
      </w:pPr>
      <w:bookmarkStart w:id="0" w:name="_GoBack"/>
      <w:bookmarkEnd w:id="0"/>
    </w:p>
    <w:p w:rsidR="005C7191" w:rsidRPr="004C1A39" w:rsidRDefault="005C7191" w:rsidP="005C7191">
      <w:pPr>
        <w:spacing w:after="240"/>
      </w:pPr>
      <w:r w:rsidRPr="004C1A39">
        <w:tab/>
        <w:t>En vista de que el párrafo 4 del artículo 22 de la Convención contra la Tortura y Otros Tratos o Penas Crueles, Inhumanos o Degradantes establece que el Comité contra la Tortura "examinará las comunicaciones recibidas de conformidad con el artículo 22 a la luz de toda la información puesta a su disposición por la persona de que se trate, o en su nombre, y por el Estado Parte interesado", y</w:t>
      </w:r>
    </w:p>
    <w:p w:rsidR="005C7191" w:rsidRPr="004C1A39" w:rsidRDefault="005C7191" w:rsidP="005C7191">
      <w:pPr>
        <w:spacing w:after="240"/>
      </w:pPr>
      <w:r w:rsidRPr="004C1A39">
        <w:tab/>
        <w:t>En vista de la obligación dimanante del párrafo 3 del artículo 111 del reglamento del Comité (CAT/C/3/Rev.2), y</w:t>
      </w:r>
    </w:p>
    <w:p w:rsidR="005C7191" w:rsidRPr="004C1A39" w:rsidRDefault="005C7191" w:rsidP="005C7191">
      <w:pPr>
        <w:spacing w:after="240"/>
      </w:pPr>
      <w:r w:rsidRPr="004C1A39">
        <w:tab/>
        <w:t>En vista de la necesidad de establecer directrices para la aplicación del artículo 3 en el contexto del procedimiento del artículo 22,</w:t>
      </w:r>
    </w:p>
    <w:p w:rsidR="005C7191" w:rsidRPr="004C1A39" w:rsidRDefault="005C7191" w:rsidP="005C7191">
      <w:pPr>
        <w:spacing w:after="240"/>
      </w:pPr>
      <w:r w:rsidRPr="004C1A39">
        <w:tab/>
        <w:t>El Comité contra la Tortura, en su 317ª sesión del 19º período de sesiones, celebrada el 21 de noviembre de 1997, aprobó la siguiente Observación general para la orientación de los Estados Partes y los autores:</w:t>
      </w:r>
    </w:p>
    <w:p w:rsidR="005C7191" w:rsidRPr="004C1A39" w:rsidRDefault="005C7191" w:rsidP="005C7191">
      <w:pPr>
        <w:spacing w:after="240"/>
        <w:ind w:firstLine="567"/>
      </w:pPr>
      <w:r w:rsidRPr="004C1A39">
        <w:t>1.</w:t>
      </w:r>
      <w:r w:rsidRPr="004C1A39">
        <w:tab/>
        <w:t>La aplicación del artículo 3 se limita a los casos en que existen razones fundadas para creer que el autor estaría en peligro de ser sometido a tortura tal como se define en el artículo 1 de la Convención.</w:t>
      </w:r>
    </w:p>
    <w:p w:rsidR="005C7191" w:rsidRPr="004C1A39" w:rsidRDefault="005C7191" w:rsidP="005C7191">
      <w:pPr>
        <w:keepNext/>
        <w:keepLines/>
        <w:spacing w:after="240"/>
        <w:ind w:firstLine="567"/>
      </w:pPr>
      <w:r w:rsidRPr="004C1A39">
        <w:t>2.</w:t>
      </w:r>
      <w:r w:rsidRPr="004C1A39">
        <w:tab/>
        <w:t>El Comité opina que la expresión "otro Estado", que figura en el artículo 3, puede entenderse referida al Estado al cual se expulsa, devuelve o extradita a la persona afectada.  No obstante, también puede entenderse referida a cualquier Estado al cual se pueda a su vez expulsar, devolver o extraditar posteriormente al autor.</w:t>
      </w:r>
    </w:p>
    <w:p w:rsidR="005C7191" w:rsidRPr="004C1A39" w:rsidRDefault="005C7191" w:rsidP="005C7191">
      <w:pPr>
        <w:spacing w:after="240"/>
        <w:ind w:firstLine="567"/>
      </w:pPr>
      <w:r w:rsidRPr="004C1A39">
        <w:t>3.</w:t>
      </w:r>
      <w:r w:rsidRPr="004C1A39">
        <w:tab/>
        <w:t>De conformidad con el artículo 1, el criterio enunciado en el párrafo 2 del artículo 3, es decir, "un cuadro persistente de violaciones manifiestas, patentes o masivas de los derechos humanos", sólo puede entenderse referido a las violaciones cometidas por un funcionario público u otra persona en el ejercicio de funciones públicas, a instigación suya, o con su consentimiento o aquiescencia.</w:t>
      </w:r>
    </w:p>
    <w:p w:rsidR="005C7191" w:rsidRPr="004C1A39" w:rsidRDefault="005C7191" w:rsidP="005C7191">
      <w:pPr>
        <w:spacing w:after="240"/>
        <w:rPr>
          <w:rStyle w:val="H23"/>
          <w:bCs/>
        </w:rPr>
      </w:pPr>
      <w:r w:rsidRPr="004C1A39">
        <w:rPr>
          <w:rStyle w:val="H23"/>
          <w:bCs/>
        </w:rPr>
        <w:t>Admisibilidad</w:t>
      </w:r>
    </w:p>
    <w:p w:rsidR="005C7191" w:rsidRPr="004C1A39" w:rsidRDefault="005C7191" w:rsidP="005C7191">
      <w:pPr>
        <w:spacing w:after="240"/>
        <w:ind w:firstLine="567"/>
      </w:pPr>
      <w:r w:rsidRPr="004C1A39">
        <w:t>4.</w:t>
      </w:r>
      <w:r w:rsidRPr="004C1A39">
        <w:tab/>
        <w:t xml:space="preserve">El Comité opina que incumbe al autor establecer la existencia </w:t>
      </w:r>
      <w:r w:rsidRPr="004C1A39">
        <w:rPr>
          <w:i/>
          <w:iCs/>
        </w:rPr>
        <w:t>prima facie</w:t>
      </w:r>
      <w:r w:rsidRPr="004C1A39">
        <w:t xml:space="preserve"> de fundamento suficiente para la admisibilidad de su comunicación de conformidad con el </w:t>
      </w:r>
      <w:r w:rsidRPr="004C1A39">
        <w:lastRenderedPageBreak/>
        <w:t>artículo 22 de la Convención dando cumplimiento a todos los requisitos del artículo 107 del reglamento.</w:t>
      </w:r>
    </w:p>
    <w:p w:rsidR="005C7191" w:rsidRPr="004C1A39" w:rsidRDefault="005C7191" w:rsidP="005C7191">
      <w:pPr>
        <w:spacing w:after="240"/>
        <w:rPr>
          <w:rStyle w:val="H23"/>
          <w:bCs/>
        </w:rPr>
      </w:pPr>
      <w:r w:rsidRPr="004C1A39">
        <w:rPr>
          <w:rStyle w:val="H23"/>
          <w:bCs/>
        </w:rPr>
        <w:t>Cuestiones de fondo</w:t>
      </w:r>
    </w:p>
    <w:p w:rsidR="005C7191" w:rsidRPr="004C1A39" w:rsidRDefault="005C7191" w:rsidP="005C7191">
      <w:pPr>
        <w:spacing w:after="240"/>
        <w:ind w:firstLine="567"/>
      </w:pPr>
      <w:r w:rsidRPr="004C1A39">
        <w:t>5.</w:t>
      </w:r>
      <w:r w:rsidRPr="004C1A39">
        <w:tab/>
        <w:t>Con respecto a la aplicación del artículo 3 de la Convención a las cuestiones de fondo de un caso, incumbe al autor presentar un caso defendible.  Esto significa que la alegación del autor debe tener suficiente fundamento de hecho para requerir una respuesta del Estado Parte.</w:t>
      </w:r>
    </w:p>
    <w:p w:rsidR="005C7191" w:rsidRPr="004C1A39" w:rsidRDefault="005C7191" w:rsidP="005C7191">
      <w:pPr>
        <w:spacing w:after="240"/>
        <w:ind w:firstLine="567"/>
      </w:pPr>
      <w:r w:rsidRPr="004C1A39">
        <w:t>6.</w:t>
      </w:r>
      <w:r w:rsidRPr="004C1A39">
        <w:tab/>
        <w:t>Teniendo en cuenta que el Estado Parte y el Comité están obligados a evaluar si hay razones fundadas para creer que el autor estaría en peligro de ser sometido a tortura si se procediese a su expulsión, devolución o extradición a otro Estado, el riesgo de tortura debe fundarse en razones que vayan más allá de la pura teoría o sospecha.  De todos modos, no es necesario demostrar que el riesgo es muy probable.</w:t>
      </w:r>
    </w:p>
    <w:p w:rsidR="005C7191" w:rsidRPr="004C1A39" w:rsidRDefault="005C7191" w:rsidP="005C7191">
      <w:pPr>
        <w:spacing w:after="240"/>
        <w:ind w:firstLine="567"/>
      </w:pPr>
      <w:r w:rsidRPr="004C1A39">
        <w:t>7.</w:t>
      </w:r>
      <w:r w:rsidRPr="004C1A39">
        <w:tab/>
        <w:t>El autor debe probar que se encuentra en peligro de ser sometido a tortura, que la existencia de ese peligro es fundada, de  la manera en que el Comité ha señalado, y que el peligro es personal y presente.  Cualquiera de las partes puede presentar toda la información pertinente para que se tenga en cuenta a ese respecto.</w:t>
      </w:r>
    </w:p>
    <w:p w:rsidR="005C7191" w:rsidRPr="004C1A39" w:rsidRDefault="005C7191" w:rsidP="005C7191">
      <w:pPr>
        <w:spacing w:after="240"/>
        <w:ind w:firstLine="567"/>
      </w:pPr>
      <w:r w:rsidRPr="004C1A39">
        <w:t>8.</w:t>
      </w:r>
      <w:r w:rsidRPr="004C1A39">
        <w:tab/>
        <w:t>Aunque no es exhaustiva, convendría presentar la siguiente información:</w:t>
      </w:r>
    </w:p>
    <w:p w:rsidR="005C7191" w:rsidRPr="004C1A39" w:rsidRDefault="005C7191" w:rsidP="005C7191">
      <w:pPr>
        <w:spacing w:after="240"/>
        <w:ind w:left="1134" w:hanging="567"/>
      </w:pPr>
      <w:r w:rsidRPr="004C1A39">
        <w:t>a)</w:t>
      </w:r>
      <w:r w:rsidRPr="004C1A39">
        <w:tab/>
        <w:t>¿Hay pruebas de que en el Estado de que se trata existe un cuadro persistente de violaciones manifiestas, patentes o masivas de los derechos humanos?  (Véase el párrafo 2 del artículo 3.)</w:t>
      </w:r>
    </w:p>
    <w:p w:rsidR="005C7191" w:rsidRPr="004C1A39" w:rsidRDefault="005C7191" w:rsidP="005C7191">
      <w:pPr>
        <w:spacing w:after="240"/>
        <w:ind w:left="1134" w:hanging="567"/>
      </w:pPr>
      <w:r w:rsidRPr="004C1A39">
        <w:t>b)</w:t>
      </w:r>
      <w:r w:rsidRPr="004C1A39">
        <w:tab/>
        <w:t>¿Ha sido en el pasado torturado o maltratado el autor por un funcionario público u otra persona en el ejercicio de funciones públicas, a instigación suya, o con su consentimiento o aquiescencia?  De ser así, ¿se trata de hechos recientes?</w:t>
      </w:r>
    </w:p>
    <w:p w:rsidR="005C7191" w:rsidRPr="004C1A39" w:rsidRDefault="005C7191" w:rsidP="005C7191">
      <w:pPr>
        <w:spacing w:after="240"/>
        <w:ind w:left="1134" w:hanging="567"/>
      </w:pPr>
      <w:r w:rsidRPr="004C1A39">
        <w:t>c)</w:t>
      </w:r>
      <w:r w:rsidRPr="004C1A39">
        <w:tab/>
        <w:t>¿Hay testimonios médicos u otros testimonios independientes que corroboren las alegaciones del autor de que ha sido torturado o maltratado en el pasado y ha tenido secuelas la tortura?</w:t>
      </w:r>
    </w:p>
    <w:p w:rsidR="005C7191" w:rsidRPr="004C1A39" w:rsidRDefault="005C7191" w:rsidP="005C7191">
      <w:pPr>
        <w:spacing w:after="240"/>
        <w:ind w:left="1134" w:hanging="567"/>
      </w:pPr>
      <w:r w:rsidRPr="004C1A39">
        <w:t>d)</w:t>
      </w:r>
      <w:r w:rsidRPr="004C1A39">
        <w:tab/>
        <w:t>¿Ha cambiado la situación a que se hace referencia en el apartado a)?  En todo caso, ¿ha cambiado la situación interna con respecto a los derechos humanos?</w:t>
      </w:r>
    </w:p>
    <w:p w:rsidR="005C7191" w:rsidRPr="004C1A39" w:rsidRDefault="005C7191" w:rsidP="005C7191">
      <w:pPr>
        <w:spacing w:after="240"/>
        <w:ind w:left="1134" w:hanging="567"/>
      </w:pPr>
      <w:r w:rsidRPr="004C1A39">
        <w:t>e)</w:t>
      </w:r>
      <w:r w:rsidRPr="004C1A39">
        <w:tab/>
        <w:t>¿Ha participado el autor dentro o fuera del Estado de que se trata en actividades políticas o de otra índole que pudieran hacerle particularmente vulnerable al riesgo de ser sometido a tortura si se le expulsa, devuelve o extradita a ese Estado?</w:t>
      </w:r>
    </w:p>
    <w:p w:rsidR="005C7191" w:rsidRPr="004C1A39" w:rsidRDefault="005C7191" w:rsidP="005C7191">
      <w:pPr>
        <w:spacing w:after="240"/>
        <w:ind w:firstLine="567"/>
      </w:pPr>
      <w:r w:rsidRPr="004C1A39">
        <w:t>f)</w:t>
      </w:r>
      <w:r w:rsidRPr="004C1A39">
        <w:tab/>
        <w:t>¿Hay alguna prueba de la credibilidad del autor?</w:t>
      </w:r>
    </w:p>
    <w:p w:rsidR="005C7191" w:rsidRPr="004C1A39" w:rsidRDefault="005C7191" w:rsidP="005C7191">
      <w:pPr>
        <w:spacing w:after="240"/>
        <w:ind w:left="1134" w:hanging="567"/>
      </w:pPr>
      <w:r w:rsidRPr="004C1A39">
        <w:t>g)</w:t>
      </w:r>
      <w:r w:rsidRPr="004C1A39">
        <w:tab/>
        <w:t>¿Hay contradicciones de hecho en las alegaciones del autor?  De ser así, ¿son ellas pertinentes o no?</w:t>
      </w:r>
    </w:p>
    <w:p w:rsidR="005C7191" w:rsidRPr="004C1A39" w:rsidRDefault="005C7191" w:rsidP="005C7191">
      <w:pPr>
        <w:spacing w:after="240"/>
        <w:ind w:firstLine="567"/>
      </w:pPr>
      <w:r w:rsidRPr="004C1A39">
        <w:lastRenderedPageBreak/>
        <w:t>9.</w:t>
      </w:r>
      <w:r w:rsidRPr="004C1A39">
        <w:tab/>
        <w:t xml:space="preserve">Habida cuenta de que el Comité contra la Tortura no es un órgano ni de apelación, ni </w:t>
      </w:r>
      <w:proofErr w:type="spellStart"/>
      <w:r w:rsidRPr="004C1A39">
        <w:t>cuasijudicial</w:t>
      </w:r>
      <w:proofErr w:type="spellEnd"/>
      <w:r w:rsidRPr="004C1A39">
        <w:t xml:space="preserve"> o administrativo, sino que se trata de un órgano de control creado por los propios Estados Partes y que sólo tiene potestad declaratoria, el Comité concluye lo siguiente:</w:t>
      </w:r>
    </w:p>
    <w:p w:rsidR="005C7191" w:rsidRPr="004C1A39" w:rsidRDefault="005C7191" w:rsidP="005C7191">
      <w:pPr>
        <w:spacing w:after="240"/>
        <w:ind w:left="1134" w:hanging="567"/>
      </w:pPr>
      <w:r w:rsidRPr="004C1A39">
        <w:t>a)</w:t>
      </w:r>
      <w:r w:rsidRPr="004C1A39">
        <w:tab/>
        <w:t>En el ejercicio de su jurisdicción, en virtud del artículo 3 de la Convención, el Comité dará un peso considerable a la determinación de los hechos dimanante de los órganos del Estado Parte de que se trate;</w:t>
      </w:r>
    </w:p>
    <w:p w:rsidR="005C7191" w:rsidRDefault="005C7191" w:rsidP="005C7191">
      <w:pPr>
        <w:spacing w:after="480"/>
        <w:ind w:left="1134" w:hanging="567"/>
      </w:pPr>
      <w:r w:rsidRPr="004C1A39">
        <w:t>b)</w:t>
      </w:r>
      <w:r w:rsidRPr="004C1A39">
        <w:tab/>
        <w:t>No obstante, el Comité no está obligado por esa determinación de los hechos sino que está facultado, de conformidad con el párrafo 4 del artículo 22 de la Convención, para evaluar libremente los hechos teniendo en cuenta todas las circunstancias de cada caso.</w:t>
      </w:r>
    </w:p>
    <w:p w:rsidR="00517B10" w:rsidRDefault="00517B10"/>
    <w:sectPr w:rsidR="00517B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191" w:rsidRDefault="005C7191" w:rsidP="005C7191">
      <w:r>
        <w:separator/>
      </w:r>
    </w:p>
  </w:endnote>
  <w:endnote w:type="continuationSeparator" w:id="0">
    <w:p w:rsidR="005C7191" w:rsidRDefault="005C7191" w:rsidP="005C7191">
      <w:r>
        <w:continuationSeparator/>
      </w:r>
    </w:p>
  </w:endnote>
  <w:endnote w:id="1">
    <w:p w:rsidR="005C7191" w:rsidRDefault="005C7191" w:rsidP="005C7191">
      <w:pPr>
        <w:pStyle w:val="EndnoteText"/>
      </w:pPr>
      <w:r>
        <w:rPr>
          <w:rStyle w:val="EndnoteReference"/>
        </w:rPr>
        <w:t>*</w:t>
      </w:r>
      <w:r>
        <w:t xml:space="preserve"> Figura en el documento A/53/44, anexo IX.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191" w:rsidRDefault="005C7191" w:rsidP="005C7191">
      <w:r>
        <w:separator/>
      </w:r>
    </w:p>
  </w:footnote>
  <w:footnote w:type="continuationSeparator" w:id="0">
    <w:p w:rsidR="005C7191" w:rsidRDefault="005C7191" w:rsidP="005C7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191"/>
    <w:rsid w:val="00517B10"/>
    <w:rsid w:val="005C71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191"/>
    <w:pPr>
      <w:spacing w:after="0" w:line="240" w:lineRule="auto"/>
    </w:pPr>
    <w:rPr>
      <w:rFonts w:ascii="Times New Roman" w:eastAsia="Times New Roman" w:hAnsi="Times New Roman" w:cs="Times New Roman"/>
      <w:sz w:val="24"/>
      <w:szCs w:val="24"/>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C7191"/>
    <w:rPr>
      <w:rFonts w:ascii="Times New Roman" w:hAnsi="Times New Roman"/>
      <w:b/>
      <w:sz w:val="24"/>
      <w:vertAlign w:val="superscript"/>
    </w:rPr>
  </w:style>
  <w:style w:type="paragraph" w:styleId="FootnoteText">
    <w:name w:val="footnote text"/>
    <w:basedOn w:val="Normal"/>
    <w:link w:val="FootnoteTextChar"/>
    <w:semiHidden/>
    <w:rsid w:val="005C7191"/>
    <w:pPr>
      <w:spacing w:after="240" w:line="840" w:lineRule="auto"/>
    </w:pPr>
    <w:rPr>
      <w:szCs w:val="20"/>
    </w:rPr>
  </w:style>
  <w:style w:type="character" w:customStyle="1" w:styleId="FootnoteTextChar">
    <w:name w:val="Footnote Text Char"/>
    <w:basedOn w:val="DefaultParagraphFont"/>
    <w:link w:val="FootnoteText"/>
    <w:semiHidden/>
    <w:rsid w:val="005C7191"/>
    <w:rPr>
      <w:rFonts w:ascii="Times New Roman" w:eastAsia="Times New Roman" w:hAnsi="Times New Roman" w:cs="Times New Roman"/>
      <w:sz w:val="24"/>
      <w:szCs w:val="20"/>
      <w:lang w:val="es-ES" w:eastAsia="en-US"/>
    </w:rPr>
  </w:style>
  <w:style w:type="character" w:customStyle="1" w:styleId="HCh">
    <w:name w:val="_ H _Ch"/>
    <w:rsid w:val="005C7191"/>
    <w:rPr>
      <w:rFonts w:ascii="Times New Roman" w:hAnsi="Times New Roman"/>
      <w:b/>
      <w:kern w:val="2"/>
      <w:sz w:val="28"/>
    </w:rPr>
  </w:style>
  <w:style w:type="character" w:customStyle="1" w:styleId="H23">
    <w:name w:val="_ H_2/3"/>
    <w:rsid w:val="005C7191"/>
    <w:rPr>
      <w:rFonts w:ascii="Times New Roman" w:hAnsi="Times New Roman"/>
      <w:b/>
      <w:kern w:val="2"/>
    </w:rPr>
  </w:style>
  <w:style w:type="paragraph" w:styleId="EndnoteText">
    <w:name w:val="endnote text"/>
    <w:basedOn w:val="Normal"/>
    <w:link w:val="EndnoteTextChar"/>
    <w:uiPriority w:val="99"/>
    <w:semiHidden/>
    <w:unhideWhenUsed/>
    <w:rsid w:val="005C7191"/>
    <w:rPr>
      <w:sz w:val="20"/>
      <w:szCs w:val="20"/>
    </w:rPr>
  </w:style>
  <w:style w:type="character" w:customStyle="1" w:styleId="EndnoteTextChar">
    <w:name w:val="Endnote Text Char"/>
    <w:basedOn w:val="DefaultParagraphFont"/>
    <w:link w:val="EndnoteText"/>
    <w:uiPriority w:val="99"/>
    <w:semiHidden/>
    <w:rsid w:val="005C7191"/>
    <w:rPr>
      <w:rFonts w:ascii="Times New Roman" w:eastAsia="Times New Roman" w:hAnsi="Times New Roman" w:cs="Times New Roman"/>
      <w:sz w:val="20"/>
      <w:szCs w:val="20"/>
      <w:lang w:val="es-ES" w:eastAsia="en-US"/>
    </w:rPr>
  </w:style>
  <w:style w:type="character" w:styleId="EndnoteReference">
    <w:name w:val="endnote reference"/>
    <w:basedOn w:val="DefaultParagraphFont"/>
    <w:uiPriority w:val="99"/>
    <w:semiHidden/>
    <w:unhideWhenUsed/>
    <w:rsid w:val="005C71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191"/>
    <w:pPr>
      <w:spacing w:after="0" w:line="240" w:lineRule="auto"/>
    </w:pPr>
    <w:rPr>
      <w:rFonts w:ascii="Times New Roman" w:eastAsia="Times New Roman" w:hAnsi="Times New Roman" w:cs="Times New Roman"/>
      <w:sz w:val="24"/>
      <w:szCs w:val="24"/>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C7191"/>
    <w:rPr>
      <w:rFonts w:ascii="Times New Roman" w:hAnsi="Times New Roman"/>
      <w:b/>
      <w:sz w:val="24"/>
      <w:vertAlign w:val="superscript"/>
    </w:rPr>
  </w:style>
  <w:style w:type="paragraph" w:styleId="FootnoteText">
    <w:name w:val="footnote text"/>
    <w:basedOn w:val="Normal"/>
    <w:link w:val="FootnoteTextChar"/>
    <w:semiHidden/>
    <w:rsid w:val="005C7191"/>
    <w:pPr>
      <w:spacing w:after="240" w:line="840" w:lineRule="auto"/>
    </w:pPr>
    <w:rPr>
      <w:szCs w:val="20"/>
    </w:rPr>
  </w:style>
  <w:style w:type="character" w:customStyle="1" w:styleId="FootnoteTextChar">
    <w:name w:val="Footnote Text Char"/>
    <w:basedOn w:val="DefaultParagraphFont"/>
    <w:link w:val="FootnoteText"/>
    <w:semiHidden/>
    <w:rsid w:val="005C7191"/>
    <w:rPr>
      <w:rFonts w:ascii="Times New Roman" w:eastAsia="Times New Roman" w:hAnsi="Times New Roman" w:cs="Times New Roman"/>
      <w:sz w:val="24"/>
      <w:szCs w:val="20"/>
      <w:lang w:val="es-ES" w:eastAsia="en-US"/>
    </w:rPr>
  </w:style>
  <w:style w:type="character" w:customStyle="1" w:styleId="HCh">
    <w:name w:val="_ H _Ch"/>
    <w:rsid w:val="005C7191"/>
    <w:rPr>
      <w:rFonts w:ascii="Times New Roman" w:hAnsi="Times New Roman"/>
      <w:b/>
      <w:kern w:val="2"/>
      <w:sz w:val="28"/>
    </w:rPr>
  </w:style>
  <w:style w:type="character" w:customStyle="1" w:styleId="H23">
    <w:name w:val="_ H_2/3"/>
    <w:rsid w:val="005C7191"/>
    <w:rPr>
      <w:rFonts w:ascii="Times New Roman" w:hAnsi="Times New Roman"/>
      <w:b/>
      <w:kern w:val="2"/>
    </w:rPr>
  </w:style>
  <w:style w:type="paragraph" w:styleId="EndnoteText">
    <w:name w:val="endnote text"/>
    <w:basedOn w:val="Normal"/>
    <w:link w:val="EndnoteTextChar"/>
    <w:uiPriority w:val="99"/>
    <w:semiHidden/>
    <w:unhideWhenUsed/>
    <w:rsid w:val="005C7191"/>
    <w:rPr>
      <w:sz w:val="20"/>
      <w:szCs w:val="20"/>
    </w:rPr>
  </w:style>
  <w:style w:type="character" w:customStyle="1" w:styleId="EndnoteTextChar">
    <w:name w:val="Endnote Text Char"/>
    <w:basedOn w:val="DefaultParagraphFont"/>
    <w:link w:val="EndnoteText"/>
    <w:uiPriority w:val="99"/>
    <w:semiHidden/>
    <w:rsid w:val="005C7191"/>
    <w:rPr>
      <w:rFonts w:ascii="Times New Roman" w:eastAsia="Times New Roman" w:hAnsi="Times New Roman" w:cs="Times New Roman"/>
      <w:sz w:val="20"/>
      <w:szCs w:val="20"/>
      <w:lang w:val="es-ES" w:eastAsia="en-US"/>
    </w:rPr>
  </w:style>
  <w:style w:type="character" w:styleId="EndnoteReference">
    <w:name w:val="endnote reference"/>
    <w:basedOn w:val="DefaultParagraphFont"/>
    <w:uiPriority w:val="99"/>
    <w:semiHidden/>
    <w:unhideWhenUsed/>
    <w:rsid w:val="005C71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1A0A8-EEF0-49F0-89DC-0614AA889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Mikhail Kuzmenko</dc:creator>
  <cp:lastModifiedBy>Mikhail Kuzmenko</cp:lastModifiedBy>
  <cp:revision>1</cp:revision>
  <dcterms:created xsi:type="dcterms:W3CDTF">2014-10-28T08:33:00Z</dcterms:created>
  <dcterms:modified xsi:type="dcterms:W3CDTF">2014-10-28T08:33:00Z</dcterms:modified>
</cp:coreProperties>
</file>