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rPr>
                <w:rFonts w:hint="cs"/>
                <w:rtl/>
              </w:rPr>
            </w:pPr>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806A25" w:rsidP="00EE77FD">
            <w:pPr>
              <w:bidi w:val="0"/>
              <w:spacing w:after="20"/>
              <w:jc w:val="left"/>
              <w:rPr>
                <w:szCs w:val="20"/>
              </w:rPr>
            </w:pPr>
            <w:r w:rsidRPr="00806A25">
              <w:rPr>
                <w:sz w:val="40"/>
                <w:szCs w:val="20"/>
              </w:rPr>
              <w:t>CAT</w:t>
            </w:r>
            <w:r>
              <w:rPr>
                <w:szCs w:val="20"/>
              </w:rPr>
              <w:t>/C/GC/4</w:t>
            </w:r>
          </w:p>
        </w:tc>
      </w:tr>
      <w:tr w:rsidR="00DC1D29" w:rsidRPr="00DB7679" w:rsidTr="005A3015">
        <w:trPr>
          <w:trHeight w:hRule="exact" w:val="45"/>
        </w:trPr>
        <w:tc>
          <w:tcPr>
            <w:tcW w:w="1266" w:type="dxa"/>
            <w:tcBorders>
              <w:top w:val="single" w:sz="4" w:space="0" w:color="auto"/>
              <w:bottom w:val="nil"/>
            </w:tcBorders>
          </w:tcPr>
          <w:p w:rsidR="00DC1D29" w:rsidRPr="00983870" w:rsidRDefault="00DC1D29" w:rsidP="005A3015">
            <w:pPr>
              <w:bidi w:val="0"/>
              <w:jc w:val="right"/>
            </w:pPr>
          </w:p>
        </w:tc>
        <w:tc>
          <w:tcPr>
            <w:tcW w:w="4767" w:type="dxa"/>
            <w:tcBorders>
              <w:top w:val="single" w:sz="4" w:space="0" w:color="auto"/>
              <w:bottom w:val="nil"/>
            </w:tcBorders>
            <w:vAlign w:val="bottom"/>
          </w:tcPr>
          <w:p w:rsidR="00DC1D29" w:rsidRPr="00DB7679" w:rsidRDefault="00DC1D29" w:rsidP="005A3015">
            <w:pPr>
              <w:spacing w:after="80" w:line="480" w:lineRule="exact"/>
              <w:jc w:val="left"/>
              <w:rPr>
                <w:szCs w:val="40"/>
                <w:rtl/>
              </w:rPr>
            </w:pPr>
          </w:p>
        </w:tc>
        <w:tc>
          <w:tcPr>
            <w:tcW w:w="3598" w:type="dxa"/>
            <w:tcBorders>
              <w:top w:val="single" w:sz="4" w:space="0" w:color="auto"/>
              <w:bottom w:val="nil"/>
            </w:tcBorders>
            <w:vAlign w:val="bottom"/>
          </w:tcPr>
          <w:p w:rsidR="00EE77FD" w:rsidRPr="00243C8A" w:rsidRDefault="00EE77FD" w:rsidP="00EE77FD">
            <w:pPr>
              <w:bidi w:val="0"/>
              <w:jc w:val="left"/>
              <w:rPr>
                <w:szCs w:val="20"/>
              </w:rPr>
            </w:pPr>
          </w:p>
        </w:tc>
      </w:tr>
    </w:tbl>
    <w:p w:rsidR="00EE77FD" w:rsidRPr="00EE77FD" w:rsidRDefault="00EE77FD" w:rsidP="00EE77FD">
      <w:pPr>
        <w:spacing w:before="120" w:line="380" w:lineRule="exact"/>
        <w:rPr>
          <w:sz w:val="26"/>
          <w:szCs w:val="36"/>
        </w:rPr>
      </w:pPr>
      <w:r w:rsidRPr="00EE77FD">
        <w:rPr>
          <w:b/>
          <w:bCs/>
          <w:sz w:val="28"/>
          <w:szCs w:val="36"/>
          <w:rtl/>
          <w:lang w:eastAsia="zh-TW"/>
        </w:rPr>
        <w:t>لجنة مناهضة التعذيب</w:t>
      </w:r>
    </w:p>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2835"/>
        </w:trPr>
        <w:tc>
          <w:tcPr>
            <w:tcW w:w="1266" w:type="dxa"/>
            <w:tcBorders>
              <w:top w:val="nil"/>
              <w:bottom w:val="single" w:sz="12" w:space="0" w:color="auto"/>
            </w:tcBorders>
          </w:tcPr>
          <w:p w:rsidR="006B3E27" w:rsidRPr="00DB7679" w:rsidRDefault="0059622A" w:rsidP="005A3015">
            <w:pPr>
              <w:jc w:val="center"/>
              <w:rPr>
                <w:rtl/>
              </w:rPr>
            </w:pPr>
            <w:r>
              <w:rPr>
                <w:noProof/>
              </w:rPr>
              <w:drawing>
                <wp:anchor distT="0" distB="0" distL="114300" distR="114300" simplePos="0" relativeHeight="251658240" behindDoc="1" locked="0" layoutInCell="1" allowOverlap="1" wp14:anchorId="1F1C1B28" wp14:editId="144A970A">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A67AF5" w:rsidRPr="00817373" w:rsidRDefault="00817373" w:rsidP="005A3015">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EE77FD" w:rsidRDefault="00EE77FD" w:rsidP="00EE77FD">
            <w:pPr>
              <w:bidi w:val="0"/>
              <w:spacing w:before="240" w:after="20"/>
              <w:jc w:val="left"/>
              <w:rPr>
                <w:szCs w:val="20"/>
              </w:rPr>
            </w:pPr>
            <w:r>
              <w:rPr>
                <w:szCs w:val="20"/>
              </w:rPr>
              <w:t>Distr.: General</w:t>
            </w:r>
          </w:p>
          <w:p w:rsidR="00EE77FD" w:rsidRDefault="00EE77FD" w:rsidP="00EE77FD">
            <w:pPr>
              <w:bidi w:val="0"/>
              <w:jc w:val="left"/>
              <w:rPr>
                <w:szCs w:val="20"/>
              </w:rPr>
            </w:pPr>
            <w:r>
              <w:rPr>
                <w:szCs w:val="20"/>
              </w:rPr>
              <w:t>4 September 2018</w:t>
            </w:r>
          </w:p>
          <w:p w:rsidR="00EE77FD" w:rsidRDefault="00EE77FD" w:rsidP="00EE77FD">
            <w:pPr>
              <w:bidi w:val="0"/>
              <w:jc w:val="left"/>
              <w:rPr>
                <w:szCs w:val="20"/>
              </w:rPr>
            </w:pPr>
            <w:r>
              <w:rPr>
                <w:szCs w:val="20"/>
              </w:rPr>
              <w:t>Arabic</w:t>
            </w:r>
          </w:p>
          <w:p w:rsidR="006B3E27" w:rsidRPr="00EE77FD" w:rsidRDefault="00EE77FD" w:rsidP="00EE77FD">
            <w:pPr>
              <w:bidi w:val="0"/>
              <w:jc w:val="left"/>
              <w:rPr>
                <w:szCs w:val="20"/>
              </w:rPr>
            </w:pPr>
            <w:r>
              <w:rPr>
                <w:szCs w:val="20"/>
              </w:rPr>
              <w:t>Original: English</w:t>
            </w:r>
          </w:p>
        </w:tc>
      </w:tr>
    </w:tbl>
    <w:p w:rsidR="00EE77FD" w:rsidRPr="000B40D1" w:rsidRDefault="00EE77FD" w:rsidP="00EE77FD">
      <w:pPr>
        <w:pStyle w:val="HChGA"/>
        <w:rPr>
          <w:rtl/>
          <w:lang w:eastAsia="zh-TW"/>
        </w:rPr>
      </w:pPr>
      <w:r>
        <w:rPr>
          <w:rtl/>
          <w:lang w:eastAsia="zh-TW"/>
        </w:rPr>
        <w:tab/>
      </w:r>
      <w:r>
        <w:rPr>
          <w:rtl/>
          <w:lang w:eastAsia="zh-TW"/>
        </w:rPr>
        <w:tab/>
        <w:t>التعليق العام رقم ٤</w:t>
      </w:r>
      <w:r w:rsidRPr="000B40D1">
        <w:rPr>
          <w:rtl/>
          <w:lang w:eastAsia="zh-TW"/>
        </w:rPr>
        <w:t>(</w:t>
      </w:r>
      <w:r>
        <w:rPr>
          <w:rFonts w:hint="cs"/>
          <w:rtl/>
          <w:lang w:eastAsia="zh-TW"/>
        </w:rPr>
        <w:t>2017</w:t>
      </w:r>
      <w:r w:rsidRPr="000B40D1">
        <w:rPr>
          <w:rtl/>
          <w:lang w:eastAsia="zh-TW"/>
        </w:rPr>
        <w:t>) بشأن تنفيذ المادة ٣ من الاتفاقية في سياق المادة ٢٢</w:t>
      </w:r>
      <w:bookmarkStart w:id="0" w:name="_Toc516672798"/>
      <w:bookmarkEnd w:id="0"/>
      <w:r w:rsidRPr="00EE77FD">
        <w:rPr>
          <w:rStyle w:val="FootnoteReference"/>
          <w:sz w:val="20"/>
          <w:vertAlign w:val="baseline"/>
          <w:rtl/>
          <w:lang w:eastAsia="zh-TW"/>
        </w:rPr>
        <w:footnoteReference w:customMarkFollows="1" w:id="1"/>
        <w:t>*</w:t>
      </w:r>
    </w:p>
    <w:p w:rsidR="00EE77FD" w:rsidRPr="000B40D1" w:rsidRDefault="00EE77FD" w:rsidP="00EE77FD">
      <w:pPr>
        <w:pStyle w:val="HChGA"/>
        <w:rPr>
          <w:rtl/>
          <w:lang w:eastAsia="zh-TW"/>
        </w:rPr>
      </w:pPr>
      <w:r>
        <w:rPr>
          <w:rtl/>
          <w:lang w:eastAsia="zh-TW"/>
        </w:rPr>
        <w:tab/>
      </w:r>
      <w:r w:rsidRPr="000B40D1">
        <w:rPr>
          <w:rtl/>
          <w:lang w:eastAsia="zh-TW"/>
        </w:rPr>
        <w:t>أولاً-</w:t>
      </w:r>
      <w:r>
        <w:rPr>
          <w:rtl/>
          <w:lang w:eastAsia="zh-TW"/>
        </w:rPr>
        <w:tab/>
      </w:r>
      <w:r w:rsidRPr="000B40D1">
        <w:rPr>
          <w:rtl/>
          <w:lang w:eastAsia="zh-TW"/>
        </w:rPr>
        <w:t>مقدمة</w:t>
      </w:r>
      <w:bookmarkStart w:id="1" w:name="_Toc516672799"/>
      <w:bookmarkEnd w:id="1"/>
    </w:p>
    <w:p w:rsidR="00EE77FD" w:rsidRPr="00606EB3" w:rsidRDefault="00EE77FD" w:rsidP="00606EB3">
      <w:pPr>
        <w:pStyle w:val="SingleTxtGA"/>
        <w:rPr>
          <w:spacing w:val="-2"/>
          <w:rtl/>
          <w:lang w:eastAsia="zh-TW"/>
        </w:rPr>
      </w:pPr>
      <w:r w:rsidRPr="00606EB3">
        <w:rPr>
          <w:spacing w:val="-2"/>
          <w:rtl/>
          <w:lang w:eastAsia="zh-TW"/>
        </w:rPr>
        <w:t>١-</w:t>
      </w:r>
      <w:r w:rsidRPr="00606EB3">
        <w:rPr>
          <w:spacing w:val="-2"/>
          <w:rtl/>
          <w:lang w:eastAsia="zh-TW"/>
        </w:rPr>
        <w:tab/>
        <w:t>استندت لجنة مناهضة التعذيب إلى خبرتها في النظر في البلاغات الفردية بموجب المادة</w:t>
      </w:r>
      <w:r w:rsidR="00606EB3" w:rsidRPr="00606EB3">
        <w:rPr>
          <w:rFonts w:hint="cs"/>
          <w:spacing w:val="-2"/>
          <w:rtl/>
          <w:lang w:eastAsia="zh-TW"/>
        </w:rPr>
        <w:t> </w:t>
      </w:r>
      <w:r w:rsidRPr="00606EB3">
        <w:rPr>
          <w:spacing w:val="-2"/>
          <w:rtl/>
          <w:lang w:eastAsia="zh-TW"/>
        </w:rPr>
        <w:t>٢٢ من اتفاقية مناهضة التعذيب وغيره من ضروب المعاملة أو العقوبة القاسية أو</w:t>
      </w:r>
      <w:r w:rsidR="00606EB3" w:rsidRPr="00606EB3">
        <w:rPr>
          <w:rFonts w:hint="cs"/>
          <w:spacing w:val="-2"/>
          <w:rtl/>
          <w:lang w:eastAsia="zh-TW"/>
        </w:rPr>
        <w:t> </w:t>
      </w:r>
      <w:r w:rsidRPr="00606EB3">
        <w:rPr>
          <w:spacing w:val="-2"/>
          <w:rtl/>
          <w:lang w:eastAsia="zh-TW"/>
        </w:rPr>
        <w:t xml:space="preserve">اللاإنسانية أو المهينة ومعالجة الادعاءات المتعلقة بانتهاك الدول الأطراف للمادة ٣ من الاتفاقية وأجرت، في دوراتها من الخامسة والخمسين إلى الثامنة والخمسين، المعقودة في عامي 2015 و2016، مناقشة لتعليقها العام رقم ١(1997) المعنون "التعليق العام بشأن تنفيذ المادة ٣ من الاتفاقية في سياق المادة ٢٢"، الذي اعتمدته في دورتها التاسعة عشرة (انظر الوثيقتين </w:t>
      </w:r>
      <w:r w:rsidRPr="00606EB3">
        <w:rPr>
          <w:spacing w:val="-2"/>
          <w:lang w:eastAsia="zh-TW"/>
        </w:rPr>
        <w:t>A/53/44</w:t>
      </w:r>
      <w:r w:rsidRPr="00606EB3">
        <w:rPr>
          <w:rFonts w:hint="cs"/>
          <w:spacing w:val="-2"/>
          <w:rtl/>
          <w:lang w:eastAsia="zh-TW"/>
        </w:rPr>
        <w:t xml:space="preserve"> </w:t>
      </w:r>
      <w:r w:rsidRPr="00606EB3">
        <w:rPr>
          <w:spacing w:val="-2"/>
          <w:rtl/>
          <w:lang w:eastAsia="zh-TW"/>
        </w:rPr>
        <w:t>و</w:t>
      </w:r>
      <w:r w:rsidRPr="00606EB3">
        <w:rPr>
          <w:spacing w:val="-2"/>
          <w:lang w:eastAsia="zh-TW"/>
        </w:rPr>
        <w:t>A/53/44/Corr.1</w:t>
      </w:r>
      <w:r w:rsidRPr="00606EB3">
        <w:rPr>
          <w:spacing w:val="-2"/>
          <w:rtl/>
          <w:lang w:eastAsia="zh-TW"/>
        </w:rPr>
        <w:t xml:space="preserve">، المرفق التاسع)، واتفقت على إدخال </w:t>
      </w:r>
      <w:proofErr w:type="spellStart"/>
      <w:r w:rsidRPr="00606EB3">
        <w:rPr>
          <w:spacing w:val="-2"/>
          <w:rtl/>
          <w:lang w:eastAsia="zh-TW"/>
        </w:rPr>
        <w:t>تنقيحات</w:t>
      </w:r>
      <w:proofErr w:type="spellEnd"/>
      <w:r w:rsidRPr="00606EB3">
        <w:rPr>
          <w:spacing w:val="-2"/>
          <w:rtl/>
          <w:lang w:eastAsia="zh-TW"/>
        </w:rPr>
        <w:t xml:space="preserve"> عليه. </w:t>
      </w:r>
    </w:p>
    <w:p w:rsidR="00EE77FD" w:rsidRPr="00EE77FD" w:rsidRDefault="00EE77FD" w:rsidP="00EE77FD">
      <w:pPr>
        <w:pStyle w:val="SingleTxtGA"/>
        <w:rPr>
          <w:rtl/>
          <w:lang w:eastAsia="zh-TW"/>
        </w:rPr>
      </w:pPr>
      <w:r w:rsidRPr="00EE77FD">
        <w:rPr>
          <w:rtl/>
          <w:lang w:eastAsia="zh-TW"/>
        </w:rPr>
        <w:t>٢-</w:t>
      </w:r>
      <w:r>
        <w:rPr>
          <w:rtl/>
          <w:lang w:eastAsia="zh-TW"/>
        </w:rPr>
        <w:tab/>
      </w:r>
      <w:r w:rsidRPr="0035348D">
        <w:rPr>
          <w:spacing w:val="-4"/>
          <w:rtl/>
          <w:lang w:eastAsia="zh-TW"/>
        </w:rPr>
        <w:t>وبدأت اللجنة، في دورتها التاسعة والخمسين، المعقودة في الفترة من 7 تشرين الثاني/نوفمبر</w:t>
      </w:r>
      <w:r w:rsidRPr="00EE77FD">
        <w:rPr>
          <w:rtl/>
          <w:lang w:eastAsia="zh-TW"/>
        </w:rPr>
        <w:t xml:space="preserve"> إلى 7 كانون الأول/ديسمبر ٢٠١٦، عملية صياغة التعليق العام المنقح، آخذة في الحسبان </w:t>
      </w:r>
      <w:r w:rsidRPr="0035348D">
        <w:rPr>
          <w:spacing w:val="-4"/>
          <w:rtl/>
          <w:lang w:eastAsia="zh-TW"/>
        </w:rPr>
        <w:t>التوصيات المتعلقة بعملية التشاور في إعداد التعليقات العامة التي قدمها رؤساء هيئات معاهدات</w:t>
      </w:r>
      <w:r w:rsidRPr="00EE77FD">
        <w:rPr>
          <w:rtl/>
          <w:lang w:eastAsia="zh-TW"/>
        </w:rPr>
        <w:t xml:space="preserve"> حقوق الإنسان في اجتماعهم السابع والعشرين، الذي عُقِد في سان خوسيه في الفترة من ٢٢ إلى ٢٦ حزيران/</w:t>
      </w:r>
      <w:proofErr w:type="gramStart"/>
      <w:r w:rsidRPr="00EE77FD">
        <w:rPr>
          <w:rtl/>
          <w:lang w:eastAsia="zh-TW"/>
        </w:rPr>
        <w:t>يونيه</w:t>
      </w:r>
      <w:proofErr w:type="gramEnd"/>
      <w:r w:rsidRPr="00EE77FD">
        <w:rPr>
          <w:rtl/>
          <w:lang w:eastAsia="zh-TW"/>
        </w:rPr>
        <w:t xml:space="preserve"> ٢٠١٥ (انظر </w:t>
      </w:r>
      <w:r w:rsidRPr="00EE77FD">
        <w:rPr>
          <w:lang w:eastAsia="zh-TW"/>
        </w:rPr>
        <w:t>A/70/302</w:t>
      </w:r>
      <w:r w:rsidRPr="00EE77FD">
        <w:rPr>
          <w:rtl/>
          <w:lang w:eastAsia="zh-TW"/>
        </w:rPr>
        <w:t xml:space="preserve">، الفقرة ٩١). </w:t>
      </w:r>
    </w:p>
    <w:p w:rsidR="00EE77FD" w:rsidRPr="00EE77FD" w:rsidRDefault="00EE77FD" w:rsidP="00EE77FD">
      <w:pPr>
        <w:pStyle w:val="SingleTxtGA"/>
        <w:rPr>
          <w:rtl/>
          <w:lang w:eastAsia="zh-TW"/>
        </w:rPr>
      </w:pPr>
      <w:r w:rsidRPr="00EE77FD">
        <w:rPr>
          <w:rtl/>
          <w:lang w:eastAsia="zh-TW"/>
        </w:rPr>
        <w:t>٣-</w:t>
      </w:r>
      <w:r>
        <w:rPr>
          <w:rtl/>
          <w:lang w:eastAsia="zh-TW"/>
        </w:rPr>
        <w:tab/>
      </w:r>
      <w:r w:rsidRPr="00EE77FD">
        <w:rPr>
          <w:rtl/>
          <w:lang w:eastAsia="zh-TW"/>
        </w:rPr>
        <w:t>وقررت اللجنة، في جلستها 1614، المعقودة في ٦ كانون الأول/ديسمبر ٢٠١٧ أثناء دورتها الثانية والستين، الاستعاضة عن تعليقها العام رقم ١ بالنص الوارد أدناه، الذي اعتمدته في التاريخ نفسه.</w:t>
      </w:r>
    </w:p>
    <w:p w:rsidR="00EE77FD" w:rsidRPr="00EE77FD" w:rsidRDefault="00EE77FD" w:rsidP="00EE77FD">
      <w:pPr>
        <w:pStyle w:val="SingleTxtGA"/>
        <w:rPr>
          <w:rtl/>
          <w:lang w:eastAsia="zh-TW"/>
        </w:rPr>
      </w:pPr>
      <w:r w:rsidRPr="00EE77FD">
        <w:rPr>
          <w:rtl/>
          <w:lang w:eastAsia="zh-TW"/>
        </w:rPr>
        <w:t>٤-</w:t>
      </w:r>
      <w:r>
        <w:rPr>
          <w:rtl/>
          <w:lang w:eastAsia="zh-TW"/>
        </w:rPr>
        <w:tab/>
      </w:r>
      <w:r w:rsidRPr="00EE77FD">
        <w:rPr>
          <w:rtl/>
          <w:lang w:eastAsia="zh-TW"/>
        </w:rPr>
        <w:t>ولأغراض هذا التعليق العام، يشمل مصطلح "الترحيل"، على سبيل المثال لا الحصر، الطرد والتسليم والإعادة القسرية والنقل القسري والرفض على الحدود، وعمليات الصد (بما في ذلك في البحر) التي تشمل شخصاً أو مجموعة من الأشخاص من دولة الطرف إلى دولة أخرى.</w:t>
      </w:r>
    </w:p>
    <w:p w:rsidR="00EE77FD" w:rsidRPr="00EE77FD" w:rsidRDefault="00EE77FD" w:rsidP="00EE77FD">
      <w:pPr>
        <w:pStyle w:val="HChGA"/>
        <w:rPr>
          <w:rtl/>
          <w:lang w:eastAsia="zh-TW"/>
        </w:rPr>
      </w:pPr>
      <w:r>
        <w:rPr>
          <w:rtl/>
          <w:lang w:eastAsia="zh-TW"/>
        </w:rPr>
        <w:lastRenderedPageBreak/>
        <w:tab/>
      </w:r>
      <w:r w:rsidRPr="00EE77FD">
        <w:rPr>
          <w:rtl/>
          <w:lang w:eastAsia="zh-TW"/>
        </w:rPr>
        <w:t>ثانياً-</w:t>
      </w:r>
      <w:r>
        <w:rPr>
          <w:rtl/>
          <w:lang w:eastAsia="zh-TW"/>
        </w:rPr>
        <w:tab/>
      </w:r>
      <w:r w:rsidRPr="00EE77FD">
        <w:rPr>
          <w:rtl/>
          <w:lang w:eastAsia="zh-TW"/>
        </w:rPr>
        <w:t>مبادئ عامة</w:t>
      </w:r>
      <w:bookmarkStart w:id="2" w:name="_Toc516672800"/>
      <w:bookmarkEnd w:id="2"/>
    </w:p>
    <w:p w:rsidR="00EE77FD" w:rsidRPr="00EE77FD" w:rsidRDefault="00EE77FD" w:rsidP="00EE77FD">
      <w:pPr>
        <w:pStyle w:val="SingleTxtGA"/>
        <w:rPr>
          <w:rtl/>
          <w:lang w:eastAsia="zh-TW"/>
        </w:rPr>
      </w:pPr>
      <w:r w:rsidRPr="00EE77FD">
        <w:rPr>
          <w:rtl/>
          <w:lang w:eastAsia="zh-TW"/>
        </w:rPr>
        <w:t>٥-</w:t>
      </w:r>
      <w:r>
        <w:rPr>
          <w:rtl/>
          <w:lang w:eastAsia="zh-TW"/>
        </w:rPr>
        <w:tab/>
      </w:r>
      <w:r w:rsidRPr="00EE77FD">
        <w:rPr>
          <w:rtl/>
          <w:lang w:eastAsia="zh-TW"/>
        </w:rPr>
        <w:t xml:space="preserve">تنص المادة 3(1) من الاتفاقية على عدم جواز قيام أي دولة طرف بطرد أو إعادة </w:t>
      </w:r>
      <w:r w:rsidRPr="00DA073F">
        <w:rPr>
          <w:spacing w:val="-4"/>
          <w:rtl/>
          <w:lang w:eastAsia="zh-TW"/>
        </w:rPr>
        <w:t xml:space="preserve">("رد") أو تسليم أي شخص إلى دولة أخرى إذا توافرت لديها أسباب حقيقية تدعو إلى الاعتقاد </w:t>
      </w:r>
      <w:r w:rsidRPr="00EE77FD">
        <w:rPr>
          <w:rtl/>
          <w:lang w:eastAsia="zh-TW"/>
        </w:rPr>
        <w:t>بأنه سيكون في خطر التعرض للتعذيب</w:t>
      </w:r>
      <w:r w:rsidRPr="00EE77FD">
        <w:rPr>
          <w:rStyle w:val="FootnoteReference"/>
          <w:sz w:val="20"/>
          <w:szCs w:val="30"/>
          <w:rtl/>
          <w:lang w:eastAsia="zh-TW"/>
        </w:rPr>
        <w:t>(</w:t>
      </w:r>
      <w:r w:rsidRPr="00EE77FD">
        <w:rPr>
          <w:rStyle w:val="FootnoteReference"/>
          <w:sz w:val="20"/>
          <w:szCs w:val="30"/>
          <w:rtl/>
          <w:lang w:eastAsia="zh-TW"/>
        </w:rPr>
        <w:footnoteReference w:id="2"/>
      </w:r>
      <w:r w:rsidRPr="00EE77FD">
        <w:rPr>
          <w:rStyle w:val="FootnoteReference"/>
          <w:sz w:val="20"/>
          <w:szCs w:val="30"/>
          <w:rtl/>
          <w:lang w:eastAsia="zh-TW"/>
        </w:rPr>
        <w:t>)</w:t>
      </w:r>
      <w:r w:rsidRPr="00EE77FD">
        <w:rPr>
          <w:rStyle w:val="FootnoteReference"/>
          <w:rFonts w:hint="cs"/>
          <w:sz w:val="20"/>
          <w:szCs w:val="30"/>
          <w:vertAlign w:val="baseline"/>
          <w:rtl/>
          <w:lang w:eastAsia="zh-TW"/>
        </w:rPr>
        <w:t>.</w:t>
      </w:r>
    </w:p>
    <w:p w:rsidR="00EE77FD" w:rsidRPr="008C10B5" w:rsidRDefault="00EE77FD" w:rsidP="00606EB3">
      <w:pPr>
        <w:pStyle w:val="SingleTxtGA"/>
        <w:rPr>
          <w:spacing w:val="-4"/>
          <w:rtl/>
          <w:lang w:eastAsia="zh-TW"/>
        </w:rPr>
      </w:pPr>
      <w:r w:rsidRPr="008C10B5">
        <w:rPr>
          <w:spacing w:val="-4"/>
          <w:rtl/>
          <w:lang w:eastAsia="zh-TW"/>
        </w:rPr>
        <w:t>٦-</w:t>
      </w:r>
      <w:r w:rsidRPr="008C10B5">
        <w:rPr>
          <w:spacing w:val="-4"/>
          <w:rtl/>
          <w:lang w:eastAsia="zh-TW"/>
        </w:rPr>
        <w:tab/>
        <w:t>وعملاً بالمادة ٢٢ من الاتفاقية، تتسلم اللجنة وتدرس البلاغات المقدمة من أفراد أو</w:t>
      </w:r>
      <w:r w:rsidR="00606EB3" w:rsidRPr="008C10B5">
        <w:rPr>
          <w:rFonts w:hint="cs"/>
          <w:spacing w:val="-4"/>
          <w:rtl/>
          <w:lang w:eastAsia="zh-TW"/>
        </w:rPr>
        <w:t> </w:t>
      </w:r>
      <w:r w:rsidRPr="008C10B5">
        <w:rPr>
          <w:spacing w:val="-4"/>
          <w:rtl/>
          <w:lang w:eastAsia="zh-TW"/>
        </w:rPr>
        <w:t>نيابة عن أفراد يخضعون للولاية القضائية لدولة طرف ويدعون أنهم ضحايا انتهاك دولة طرف لأحكام الاتفاقية، بالنسبة لأي دولة طرف تكون قد أعلنت أنها تعترف باختصاص اللجنة في هذا الصدد.</w:t>
      </w:r>
    </w:p>
    <w:p w:rsidR="00EE77FD" w:rsidRPr="00EE77FD" w:rsidRDefault="00EE77FD" w:rsidP="00EE77FD">
      <w:pPr>
        <w:pStyle w:val="SingleTxtGA"/>
        <w:rPr>
          <w:rtl/>
          <w:lang w:eastAsia="zh-TW"/>
        </w:rPr>
      </w:pPr>
      <w:r w:rsidRPr="00EE77FD">
        <w:rPr>
          <w:rtl/>
          <w:lang w:eastAsia="zh-TW"/>
        </w:rPr>
        <w:t>٧-</w:t>
      </w:r>
      <w:r>
        <w:rPr>
          <w:rtl/>
          <w:lang w:eastAsia="zh-TW"/>
        </w:rPr>
        <w:tab/>
      </w:r>
      <w:r w:rsidRPr="00EE77FD">
        <w:rPr>
          <w:rtl/>
          <w:lang w:eastAsia="zh-TW"/>
        </w:rPr>
        <w:t xml:space="preserve">وتشير معظم البلاغات التي تتلقاها اللجنة إلى انتهاكات مزعومة من جانب دول </w:t>
      </w:r>
      <w:r w:rsidRPr="00DA073F">
        <w:rPr>
          <w:spacing w:val="-4"/>
          <w:rtl/>
          <w:lang w:eastAsia="zh-TW"/>
        </w:rPr>
        <w:t>أطراف للمادة ٣ من الاتفاقية. ويقدم هذا التعليق العام توجيهات إلى الدول الأطراف وأصحاب</w:t>
      </w:r>
      <w:r w:rsidRPr="00EE77FD">
        <w:rPr>
          <w:rtl/>
          <w:lang w:eastAsia="zh-TW"/>
        </w:rPr>
        <w:t xml:space="preserve"> </w:t>
      </w:r>
      <w:r w:rsidRPr="00DA073F">
        <w:rPr>
          <w:spacing w:val="-4"/>
          <w:rtl/>
          <w:lang w:eastAsia="zh-TW"/>
        </w:rPr>
        <w:t>الشكاوى وممثليهم بشأن نطاق المادة ٣ وطريقة تقييم اللجنة للمقبولية والأسس الموضوعية للبلاغات</w:t>
      </w:r>
      <w:r w:rsidRPr="00EE77FD">
        <w:rPr>
          <w:rtl/>
          <w:lang w:eastAsia="zh-TW"/>
        </w:rPr>
        <w:t xml:space="preserve"> الفردية المقدمة إلى اللجنة لتنظر فيها.</w:t>
      </w:r>
    </w:p>
    <w:p w:rsidR="00EE77FD" w:rsidRPr="00EE77FD" w:rsidRDefault="00EE77FD" w:rsidP="00EE77FD">
      <w:pPr>
        <w:pStyle w:val="SingleTxtGA"/>
        <w:rPr>
          <w:rtl/>
          <w:lang w:eastAsia="zh-TW"/>
        </w:rPr>
      </w:pPr>
      <w:r w:rsidRPr="00EE77FD">
        <w:rPr>
          <w:rtl/>
          <w:lang w:eastAsia="zh-TW"/>
        </w:rPr>
        <w:t>٨-</w:t>
      </w:r>
      <w:r>
        <w:rPr>
          <w:rtl/>
          <w:lang w:eastAsia="zh-TW"/>
        </w:rPr>
        <w:tab/>
      </w:r>
      <w:r w:rsidRPr="00EE77FD">
        <w:rPr>
          <w:rtl/>
          <w:lang w:eastAsia="zh-TW"/>
        </w:rPr>
        <w:t>وتذكّر اللجنة بأن مبدأ حظر التعذيب، المعرَّف في المادة 3 من الاتفاقية، مبدأ مطلق. وتنص المادة 2(2) من الاتفاقية على أنه "لا يجوز التذرع بأية ظروف استثنائية أياً كانت، سواء أكانت هذه الظروف حالة حرب أو تهديداً بالحرب أو عدم استقرار سياسي داخلي أو أية حالة من حالات الطوارئ العامة الأخرى كمبرر للتعذيب". وتشير اللجنة كذلك إلى أن أفعال سوء معاملة أخرى محظورة</w:t>
      </w:r>
      <w:r w:rsidR="00F30E70">
        <w:rPr>
          <w:rtl/>
          <w:lang w:eastAsia="zh-TW"/>
        </w:rPr>
        <w:t xml:space="preserve"> أيضاً </w:t>
      </w:r>
      <w:r w:rsidRPr="00EE77FD">
        <w:rPr>
          <w:rtl/>
          <w:lang w:eastAsia="zh-TW"/>
        </w:rPr>
        <w:t>وأن حظر سوء المعاملة كذلك غير قابل للتقييد</w:t>
      </w:r>
      <w:r w:rsidRPr="00EE77FD">
        <w:rPr>
          <w:rStyle w:val="FootnoteReference"/>
          <w:sz w:val="20"/>
          <w:szCs w:val="30"/>
          <w:rtl/>
          <w:lang w:eastAsia="zh-TW"/>
        </w:rPr>
        <w:t>(</w:t>
      </w:r>
      <w:r w:rsidRPr="00EE77FD">
        <w:rPr>
          <w:rStyle w:val="FootnoteReference"/>
          <w:sz w:val="20"/>
          <w:szCs w:val="30"/>
          <w:rtl/>
          <w:lang w:eastAsia="zh-TW"/>
        </w:rPr>
        <w:footnoteReference w:id="3"/>
      </w:r>
      <w:r w:rsidRPr="00EE77FD">
        <w:rPr>
          <w:rStyle w:val="FootnoteReference"/>
          <w:sz w:val="20"/>
          <w:szCs w:val="30"/>
          <w:rtl/>
          <w:lang w:eastAsia="zh-TW"/>
        </w:rPr>
        <w:t>)</w:t>
      </w:r>
      <w:r w:rsidRPr="00EE77FD">
        <w:rPr>
          <w:rStyle w:val="FootnoteReference"/>
          <w:rFonts w:hint="cs"/>
          <w:sz w:val="20"/>
          <w:szCs w:val="30"/>
          <w:vertAlign w:val="baseline"/>
          <w:rtl/>
          <w:lang w:eastAsia="zh-TW"/>
        </w:rPr>
        <w:t>.</w:t>
      </w:r>
    </w:p>
    <w:p w:rsidR="00EE77FD" w:rsidRPr="00EE77FD" w:rsidRDefault="00EE77FD" w:rsidP="00EE77FD">
      <w:pPr>
        <w:pStyle w:val="SingleTxtGA"/>
        <w:rPr>
          <w:rtl/>
          <w:lang w:eastAsia="zh-TW"/>
        </w:rPr>
      </w:pPr>
      <w:r w:rsidRPr="00EE77FD">
        <w:rPr>
          <w:rtl/>
          <w:lang w:eastAsia="zh-TW"/>
        </w:rPr>
        <w:t>٩-</w:t>
      </w:r>
      <w:r>
        <w:rPr>
          <w:rtl/>
          <w:lang w:eastAsia="zh-TW"/>
        </w:rPr>
        <w:tab/>
      </w:r>
      <w:r w:rsidRPr="00EE77FD">
        <w:rPr>
          <w:rtl/>
          <w:lang w:eastAsia="zh-TW"/>
        </w:rPr>
        <w:t>ومن المبادئ المطلقة</w:t>
      </w:r>
      <w:r w:rsidR="00F30E70">
        <w:rPr>
          <w:rtl/>
          <w:lang w:eastAsia="zh-TW"/>
        </w:rPr>
        <w:t xml:space="preserve"> أيضاً </w:t>
      </w:r>
      <w:r w:rsidRPr="00EE77FD">
        <w:rPr>
          <w:rtl/>
          <w:lang w:eastAsia="zh-TW"/>
        </w:rPr>
        <w:t>مبدأ "عدم الإبعاد</w:t>
      </w:r>
      <w:r>
        <w:rPr>
          <w:rFonts w:hint="cs"/>
          <w:rtl/>
          <w:lang w:eastAsia="zh-TW"/>
        </w:rPr>
        <w:t xml:space="preserve"> </w:t>
      </w:r>
      <w:r w:rsidRPr="00EE77FD">
        <w:rPr>
          <w:rtl/>
          <w:lang w:eastAsia="zh-TW"/>
        </w:rPr>
        <w:t>القسري" لشخص إلى دولة أخرى عندما تكون هناك أسباب حقيقية تدعو إلى الاعتقاد</w:t>
      </w:r>
      <w:r>
        <w:rPr>
          <w:rtl/>
          <w:lang w:eastAsia="zh-TW"/>
        </w:rPr>
        <w:t xml:space="preserve"> بأنه سيواجه خطر التعرض للتعذيب</w:t>
      </w:r>
      <w:r w:rsidRPr="00EE77FD">
        <w:rPr>
          <w:rStyle w:val="FootnoteReference"/>
          <w:sz w:val="20"/>
          <w:szCs w:val="30"/>
          <w:rtl/>
          <w:lang w:eastAsia="zh-TW"/>
        </w:rPr>
        <w:t>(</w:t>
      </w:r>
      <w:r w:rsidRPr="00EE77FD">
        <w:rPr>
          <w:rStyle w:val="FootnoteReference"/>
          <w:sz w:val="20"/>
          <w:szCs w:val="30"/>
          <w:rtl/>
          <w:lang w:eastAsia="zh-TW"/>
        </w:rPr>
        <w:footnoteReference w:id="4"/>
      </w:r>
      <w:r w:rsidRPr="00EE77FD">
        <w:rPr>
          <w:rStyle w:val="FootnoteReference"/>
          <w:sz w:val="20"/>
          <w:szCs w:val="30"/>
          <w:rtl/>
          <w:lang w:eastAsia="zh-TW"/>
        </w:rPr>
        <w:t>)</w:t>
      </w:r>
      <w:r w:rsidRPr="00EE77FD">
        <w:rPr>
          <w:rStyle w:val="FootnoteReference"/>
          <w:rFonts w:hint="cs"/>
          <w:sz w:val="20"/>
          <w:szCs w:val="30"/>
          <w:vertAlign w:val="baseline"/>
          <w:rtl/>
          <w:lang w:eastAsia="zh-TW"/>
        </w:rPr>
        <w:t>.</w:t>
      </w:r>
    </w:p>
    <w:p w:rsidR="00EE77FD" w:rsidRPr="00EE77FD" w:rsidRDefault="00EE77FD" w:rsidP="00606EB3">
      <w:pPr>
        <w:pStyle w:val="SingleTxtGA"/>
        <w:rPr>
          <w:rtl/>
          <w:lang w:eastAsia="zh-TW"/>
        </w:rPr>
      </w:pPr>
      <w:r w:rsidRPr="00EE77FD">
        <w:rPr>
          <w:rtl/>
          <w:lang w:eastAsia="zh-TW"/>
        </w:rPr>
        <w:t>١٠-</w:t>
      </w:r>
      <w:r>
        <w:rPr>
          <w:rtl/>
          <w:lang w:eastAsia="zh-TW"/>
        </w:rPr>
        <w:tab/>
      </w:r>
      <w:r w:rsidRPr="00EE77FD">
        <w:rPr>
          <w:rtl/>
          <w:lang w:eastAsia="zh-TW"/>
        </w:rPr>
        <w:t>ويجب على كل دولة طرف أن تطبق مبدأ عدم الإعادة القسرية في أي إقليم يخضع لولايتها القضائية أو أي منطقة تخضع لسيطرتها أو لسلطتها، أو على متن سفينة أو طائرة مسجلة في الدولة الطرف، على أي شخص، بما في ذلك الأشخاص الذين يطلبون أو يحتاجون إلى الحماية الدولية، دون أي شكل من أشكال التمييز وبغض النظر عن جنسية الشخص المعني أو انعدام جنسيته أو وضعه القانوني أو الإداري أو القضائي بموجب القانون العادي أو قانون الطوارئ. وكما تلاحظ اللجنة في الفقرة 7 من تعليقها العام رقم 2، يشمل مفهوم "أي إقليم يخضع لولايتها القضائية" أي إقليم أو مرافق ويجب تطبيقه لحماية أي شخص أو مواطن أو غير مواطن دون تمييز رهناً بالسيطرة التي تمارسها الدولة ال</w:t>
      </w:r>
      <w:r w:rsidR="00606EB3">
        <w:rPr>
          <w:rtl/>
          <w:lang w:eastAsia="zh-TW"/>
        </w:rPr>
        <w:t>طرف بحكم القانون أو بحكم الواقع</w:t>
      </w:r>
      <w:r w:rsidRPr="00EE77FD">
        <w:rPr>
          <w:rStyle w:val="FootnoteReference"/>
          <w:sz w:val="20"/>
          <w:szCs w:val="30"/>
          <w:rtl/>
          <w:lang w:eastAsia="zh-TW"/>
        </w:rPr>
        <w:t>(</w:t>
      </w:r>
      <w:r w:rsidRPr="00EE77FD">
        <w:rPr>
          <w:rStyle w:val="FootnoteReference"/>
          <w:sz w:val="20"/>
          <w:szCs w:val="30"/>
          <w:rtl/>
          <w:lang w:eastAsia="zh-TW"/>
        </w:rPr>
        <w:footnoteReference w:id="5"/>
      </w:r>
      <w:r w:rsidRPr="00EE77FD">
        <w:rPr>
          <w:rStyle w:val="FootnoteReference"/>
          <w:sz w:val="20"/>
          <w:szCs w:val="30"/>
          <w:rtl/>
          <w:lang w:eastAsia="zh-TW"/>
        </w:rPr>
        <w:t>)</w:t>
      </w:r>
      <w:r w:rsidR="00606EB3" w:rsidRPr="00606EB3">
        <w:rPr>
          <w:rStyle w:val="FootnoteReference"/>
          <w:rFonts w:hint="cs"/>
          <w:sz w:val="20"/>
          <w:szCs w:val="30"/>
          <w:vertAlign w:val="baseline"/>
          <w:rtl/>
          <w:lang w:eastAsia="zh-TW"/>
        </w:rPr>
        <w:t>.</w:t>
      </w:r>
    </w:p>
    <w:p w:rsidR="00EE77FD" w:rsidRPr="00EE77FD" w:rsidRDefault="00EE77FD" w:rsidP="008C10B5">
      <w:pPr>
        <w:pStyle w:val="SingleTxtGA"/>
        <w:spacing w:line="360" w:lineRule="exact"/>
        <w:rPr>
          <w:rtl/>
          <w:lang w:eastAsia="zh-TW"/>
        </w:rPr>
      </w:pPr>
      <w:r w:rsidRPr="00EE77FD">
        <w:rPr>
          <w:rtl/>
          <w:lang w:eastAsia="zh-TW"/>
        </w:rPr>
        <w:lastRenderedPageBreak/>
        <w:t>١١-</w:t>
      </w:r>
      <w:r w:rsidR="00606EB3">
        <w:rPr>
          <w:rtl/>
          <w:lang w:eastAsia="zh-TW"/>
        </w:rPr>
        <w:tab/>
      </w:r>
      <w:r w:rsidRPr="00EE77FD">
        <w:rPr>
          <w:rtl/>
          <w:lang w:eastAsia="zh-TW"/>
        </w:rPr>
        <w:t>ويكون هناك التزام بعدم الإعادة القسرية كلما كانت هناك "أسباب حقيقية"</w:t>
      </w:r>
      <w:r w:rsidRPr="00EE77FD">
        <w:rPr>
          <w:rStyle w:val="FootnoteReference"/>
          <w:sz w:val="20"/>
          <w:szCs w:val="30"/>
          <w:rtl/>
          <w:lang w:eastAsia="zh-TW"/>
        </w:rPr>
        <w:t>(</w:t>
      </w:r>
      <w:r w:rsidRPr="00EE77FD">
        <w:rPr>
          <w:rStyle w:val="FootnoteReference"/>
          <w:sz w:val="20"/>
          <w:szCs w:val="30"/>
          <w:rtl/>
          <w:lang w:eastAsia="zh-TW"/>
        </w:rPr>
        <w:footnoteReference w:id="6"/>
      </w:r>
      <w:r w:rsidRPr="00EE77FD">
        <w:rPr>
          <w:rStyle w:val="FootnoteReference"/>
          <w:sz w:val="20"/>
          <w:szCs w:val="30"/>
          <w:rtl/>
          <w:lang w:eastAsia="zh-TW"/>
        </w:rPr>
        <w:t>)</w:t>
      </w:r>
      <w:r w:rsidRPr="00EE77FD">
        <w:rPr>
          <w:rtl/>
          <w:lang w:eastAsia="zh-TW"/>
        </w:rPr>
        <w:t xml:space="preserve"> تدعو إلى الاعتقاد بأن الشخص المعني سيكون في خطر التعرض للتعذيب في دولة يواجه الترحيل إليها، سواء كفرد أو كعضو في مجموعة قد تكون في خطر التعرض للتعذيب في بلد المقصد. وتقضي الممارسة التي تتبعها اللجنة في هذا السياق بتأكيد وجود "أسباب حقيقية" كلما كان خطر التعذيب "مت</w:t>
      </w:r>
      <w:r w:rsidR="00606EB3">
        <w:rPr>
          <w:rtl/>
          <w:lang w:eastAsia="zh-TW"/>
        </w:rPr>
        <w:t>وقعاً وشخصياً وقائماً وحقيقياً"</w:t>
      </w:r>
      <w:r w:rsidRPr="00EE77FD">
        <w:rPr>
          <w:rStyle w:val="FootnoteReference"/>
          <w:sz w:val="20"/>
          <w:szCs w:val="30"/>
          <w:rtl/>
          <w:lang w:eastAsia="zh-TW"/>
        </w:rPr>
        <w:t>(</w:t>
      </w:r>
      <w:r w:rsidRPr="00EE77FD">
        <w:rPr>
          <w:rStyle w:val="FootnoteReference"/>
          <w:sz w:val="20"/>
          <w:szCs w:val="30"/>
          <w:rtl/>
          <w:lang w:eastAsia="zh-TW"/>
        </w:rPr>
        <w:footnoteReference w:id="7"/>
      </w:r>
      <w:r w:rsidR="00606EB3">
        <w:rPr>
          <w:rStyle w:val="FootnoteReference"/>
          <w:sz w:val="20"/>
          <w:szCs w:val="30"/>
          <w:rtl/>
          <w:lang w:eastAsia="zh-TW"/>
        </w:rPr>
        <w:t>)</w:t>
      </w:r>
      <w:r w:rsidR="00606EB3">
        <w:rPr>
          <w:rFonts w:hint="cs"/>
          <w:rtl/>
          <w:lang w:eastAsia="zh-TW"/>
        </w:rPr>
        <w:t>.</w:t>
      </w:r>
    </w:p>
    <w:p w:rsidR="00EE77FD" w:rsidRPr="00EE77FD" w:rsidRDefault="00EE77FD" w:rsidP="008C10B5">
      <w:pPr>
        <w:pStyle w:val="SingleTxtGA"/>
        <w:spacing w:line="360" w:lineRule="exact"/>
        <w:rPr>
          <w:rtl/>
          <w:lang w:eastAsia="zh-TW"/>
        </w:rPr>
      </w:pPr>
      <w:r w:rsidRPr="00EE77FD">
        <w:rPr>
          <w:rtl/>
          <w:lang w:eastAsia="zh-TW"/>
        </w:rPr>
        <w:t>١٢-</w:t>
      </w:r>
      <w:r w:rsidR="00606EB3">
        <w:rPr>
          <w:rtl/>
          <w:lang w:eastAsia="zh-TW"/>
        </w:rPr>
        <w:tab/>
      </w:r>
      <w:r w:rsidRPr="00EE77FD">
        <w:rPr>
          <w:rtl/>
          <w:lang w:eastAsia="zh-TW"/>
        </w:rPr>
        <w:t>وأي شخص يثبت أنه معرض لخطر التعذيب في حال ترحيله إلى دولة معينة ينبغي أن يُسمَح له بالبقاء في الإقليم الخاضع لولاية الدولة الطرف المعنية أو لسيطرتها أو لسلط</w:t>
      </w:r>
      <w:r w:rsidR="00606EB3">
        <w:rPr>
          <w:rtl/>
          <w:lang w:eastAsia="zh-TW"/>
        </w:rPr>
        <w:t>تها ما دام الخطر لا يزال قائماً</w:t>
      </w:r>
      <w:r w:rsidRPr="00EE77FD">
        <w:rPr>
          <w:rStyle w:val="FootnoteReference"/>
          <w:sz w:val="20"/>
          <w:szCs w:val="30"/>
          <w:rtl/>
          <w:lang w:eastAsia="zh-TW"/>
        </w:rPr>
        <w:t>(</w:t>
      </w:r>
      <w:r w:rsidRPr="00EE77FD">
        <w:rPr>
          <w:rStyle w:val="FootnoteReference"/>
          <w:sz w:val="20"/>
          <w:szCs w:val="30"/>
          <w:rtl/>
          <w:lang w:eastAsia="zh-TW"/>
        </w:rPr>
        <w:footnoteReference w:id="8"/>
      </w:r>
      <w:r w:rsidRPr="00EE77FD">
        <w:rPr>
          <w:rStyle w:val="FootnoteReference"/>
          <w:sz w:val="20"/>
          <w:szCs w:val="30"/>
          <w:rtl/>
          <w:lang w:eastAsia="zh-TW"/>
        </w:rPr>
        <w:t>)</w:t>
      </w:r>
      <w:r w:rsidR="00606EB3" w:rsidRPr="00606EB3">
        <w:rPr>
          <w:rStyle w:val="FootnoteReference"/>
          <w:rFonts w:hint="cs"/>
          <w:sz w:val="20"/>
          <w:szCs w:val="30"/>
          <w:vertAlign w:val="baseline"/>
          <w:rtl/>
          <w:lang w:eastAsia="zh-TW"/>
        </w:rPr>
        <w:t>.</w:t>
      </w:r>
      <w:r w:rsidR="00606EB3" w:rsidRPr="00606EB3">
        <w:rPr>
          <w:rFonts w:hint="cs"/>
          <w:rtl/>
          <w:lang w:eastAsia="zh-TW"/>
        </w:rPr>
        <w:t xml:space="preserve"> </w:t>
      </w:r>
      <w:r w:rsidRPr="00EE77FD">
        <w:rPr>
          <w:rtl/>
          <w:lang w:eastAsia="zh-TW"/>
        </w:rPr>
        <w:t>وينبغي ألا يُحتجز الشخص المعني دون تبرير قانوني سليم ودون ضمانات. وينبغي دائماً أن يكون الاحتجاز تدبيراً استثنائياً قائماً على تقييم فردي</w:t>
      </w:r>
      <w:r w:rsidRPr="00EE77FD">
        <w:rPr>
          <w:rStyle w:val="FootnoteReference"/>
          <w:sz w:val="20"/>
          <w:szCs w:val="30"/>
          <w:rtl/>
          <w:lang w:eastAsia="zh-TW"/>
        </w:rPr>
        <w:t>(</w:t>
      </w:r>
      <w:r w:rsidRPr="00EE77FD">
        <w:rPr>
          <w:rStyle w:val="FootnoteReference"/>
          <w:sz w:val="20"/>
          <w:szCs w:val="30"/>
          <w:rtl/>
          <w:lang w:eastAsia="zh-TW"/>
        </w:rPr>
        <w:footnoteReference w:id="9"/>
      </w:r>
      <w:r w:rsidRPr="00EE77FD">
        <w:rPr>
          <w:rStyle w:val="FootnoteReference"/>
          <w:sz w:val="20"/>
          <w:szCs w:val="30"/>
          <w:rtl/>
          <w:lang w:eastAsia="zh-TW"/>
        </w:rPr>
        <w:t>)</w:t>
      </w:r>
      <w:r w:rsidR="00606EB3">
        <w:rPr>
          <w:rFonts w:hint="cs"/>
          <w:rtl/>
          <w:lang w:eastAsia="zh-TW"/>
        </w:rPr>
        <w:t xml:space="preserve"> </w:t>
      </w:r>
      <w:r w:rsidR="00606EB3">
        <w:rPr>
          <w:rtl/>
          <w:lang w:eastAsia="zh-TW"/>
        </w:rPr>
        <w:t>وخاضعاً لاستعراض منتظم</w:t>
      </w:r>
      <w:r w:rsidRPr="00EE77FD">
        <w:rPr>
          <w:rStyle w:val="FootnoteReference"/>
          <w:sz w:val="20"/>
          <w:szCs w:val="30"/>
          <w:rtl/>
          <w:lang w:eastAsia="zh-TW"/>
        </w:rPr>
        <w:t>(</w:t>
      </w:r>
      <w:r w:rsidRPr="00EE77FD">
        <w:rPr>
          <w:rStyle w:val="FootnoteReference"/>
          <w:sz w:val="20"/>
          <w:szCs w:val="30"/>
          <w:rtl/>
          <w:lang w:eastAsia="zh-TW"/>
        </w:rPr>
        <w:footnoteReference w:id="10"/>
      </w:r>
      <w:r w:rsidRPr="00EE77FD">
        <w:rPr>
          <w:rStyle w:val="FootnoteReference"/>
          <w:sz w:val="20"/>
          <w:szCs w:val="30"/>
          <w:rtl/>
          <w:lang w:eastAsia="zh-TW"/>
        </w:rPr>
        <w:t>)</w:t>
      </w:r>
      <w:r w:rsidR="00606EB3" w:rsidRPr="00606EB3">
        <w:rPr>
          <w:rStyle w:val="FootnoteReference"/>
          <w:rFonts w:hint="cs"/>
          <w:sz w:val="20"/>
          <w:szCs w:val="30"/>
          <w:vertAlign w:val="baseline"/>
          <w:rtl/>
          <w:lang w:eastAsia="zh-TW"/>
        </w:rPr>
        <w:t>.</w:t>
      </w:r>
      <w:r w:rsidR="00606EB3" w:rsidRPr="00606EB3">
        <w:rPr>
          <w:rFonts w:hint="cs"/>
          <w:rtl/>
          <w:lang w:eastAsia="zh-TW"/>
        </w:rPr>
        <w:t xml:space="preserve"> </w:t>
      </w:r>
      <w:r w:rsidRPr="00EE77FD">
        <w:rPr>
          <w:rtl/>
          <w:lang w:eastAsia="zh-TW"/>
        </w:rPr>
        <w:t>وعلاوة على ذلك، لا ينبغي أبداً ترحيل الشخص المعرض للخطر إلى دولة أخرى يمكن أن يواجه فيها لاحقاً الترحيل إلى دولة أخرى هناك أسباب حقيقية تدعو إلى الاعتقاد بأنه س</w:t>
      </w:r>
      <w:r w:rsidR="00606EB3">
        <w:rPr>
          <w:rtl/>
          <w:lang w:eastAsia="zh-TW"/>
        </w:rPr>
        <w:t>يكون فيها معرضاً لخطر للتعذيب</w:t>
      </w:r>
      <w:r w:rsidRPr="00EE77FD">
        <w:rPr>
          <w:rStyle w:val="FootnoteReference"/>
          <w:sz w:val="20"/>
          <w:szCs w:val="30"/>
          <w:rtl/>
          <w:lang w:eastAsia="zh-TW"/>
        </w:rPr>
        <w:t>(</w:t>
      </w:r>
      <w:r w:rsidRPr="00EE77FD">
        <w:rPr>
          <w:rStyle w:val="FootnoteReference"/>
          <w:sz w:val="20"/>
          <w:szCs w:val="30"/>
          <w:rtl/>
          <w:lang w:eastAsia="zh-TW"/>
        </w:rPr>
        <w:footnoteReference w:id="11"/>
      </w:r>
      <w:r w:rsidRPr="00EE77FD">
        <w:rPr>
          <w:rStyle w:val="FootnoteReference"/>
          <w:sz w:val="20"/>
          <w:szCs w:val="30"/>
          <w:rtl/>
          <w:lang w:eastAsia="zh-TW"/>
        </w:rPr>
        <w:t>)</w:t>
      </w:r>
      <w:r w:rsidR="00606EB3" w:rsidRPr="00606EB3">
        <w:rPr>
          <w:rStyle w:val="FootnoteReference"/>
          <w:rFonts w:hint="cs"/>
          <w:sz w:val="20"/>
          <w:szCs w:val="30"/>
          <w:vertAlign w:val="baseline"/>
          <w:rtl/>
          <w:lang w:eastAsia="zh-TW"/>
        </w:rPr>
        <w:t>.</w:t>
      </w:r>
      <w:r w:rsidR="00606EB3" w:rsidRPr="00606EB3">
        <w:rPr>
          <w:rFonts w:hint="cs"/>
          <w:rtl/>
          <w:lang w:eastAsia="zh-TW"/>
        </w:rPr>
        <w:t xml:space="preserve"> </w:t>
      </w:r>
    </w:p>
    <w:p w:rsidR="00EE77FD" w:rsidRPr="00EE77FD" w:rsidRDefault="00EE77FD" w:rsidP="008C10B5">
      <w:pPr>
        <w:pStyle w:val="SingleTxtGA"/>
        <w:spacing w:line="360" w:lineRule="exact"/>
        <w:rPr>
          <w:rtl/>
          <w:lang w:eastAsia="zh-TW"/>
        </w:rPr>
      </w:pPr>
      <w:r w:rsidRPr="00EE77FD">
        <w:rPr>
          <w:rtl/>
          <w:lang w:eastAsia="zh-TW"/>
        </w:rPr>
        <w:t>١٣-</w:t>
      </w:r>
      <w:r w:rsidR="00606EB3">
        <w:rPr>
          <w:rtl/>
          <w:lang w:eastAsia="zh-TW"/>
        </w:rPr>
        <w:tab/>
      </w:r>
      <w:r w:rsidRPr="00EE77FD">
        <w:rPr>
          <w:rtl/>
          <w:lang w:eastAsia="zh-TW"/>
        </w:rPr>
        <w:t>وينبغي أن تدرس الدولة الطرف كل حالة على حدة، بطريقة محايدة ومستقلة، من خلال السلطات الإدارية و/أو القضائية، وفقاً للضمانات الإجرائية الأساسية</w:t>
      </w:r>
      <w:r w:rsidRPr="00EE77FD">
        <w:rPr>
          <w:rStyle w:val="FootnoteReference"/>
          <w:sz w:val="20"/>
          <w:szCs w:val="30"/>
          <w:rtl/>
          <w:lang w:eastAsia="zh-TW"/>
        </w:rPr>
        <w:t>(</w:t>
      </w:r>
      <w:r w:rsidRPr="00EE77FD">
        <w:rPr>
          <w:rStyle w:val="FootnoteReference"/>
          <w:sz w:val="20"/>
          <w:szCs w:val="30"/>
          <w:rtl/>
          <w:lang w:eastAsia="zh-TW"/>
        </w:rPr>
        <w:footnoteReference w:id="12"/>
      </w:r>
      <w:r w:rsidRPr="00EE77FD">
        <w:rPr>
          <w:rStyle w:val="FootnoteReference"/>
          <w:sz w:val="20"/>
          <w:szCs w:val="30"/>
          <w:rtl/>
          <w:lang w:eastAsia="zh-TW"/>
        </w:rPr>
        <w:t>)</w:t>
      </w:r>
      <w:r w:rsidRPr="00EE77FD">
        <w:rPr>
          <w:rtl/>
          <w:lang w:eastAsia="zh-TW"/>
        </w:rPr>
        <w:t>، ولا سيما ضمان عملية فورية وشفافة ومراجعة لقرار الطرد وأثر إيقافي لل</w:t>
      </w:r>
      <w:r w:rsidR="00606EB3">
        <w:rPr>
          <w:rtl/>
          <w:lang w:eastAsia="zh-TW"/>
        </w:rPr>
        <w:t>استئناف</w:t>
      </w:r>
      <w:r w:rsidRPr="00EE77FD">
        <w:rPr>
          <w:rStyle w:val="FootnoteReference"/>
          <w:sz w:val="20"/>
          <w:szCs w:val="30"/>
          <w:rtl/>
          <w:lang w:eastAsia="zh-TW"/>
        </w:rPr>
        <w:t>(</w:t>
      </w:r>
      <w:r w:rsidRPr="00EE77FD">
        <w:rPr>
          <w:rStyle w:val="FootnoteReference"/>
          <w:sz w:val="20"/>
          <w:szCs w:val="30"/>
          <w:rtl/>
          <w:lang w:eastAsia="zh-TW"/>
        </w:rPr>
        <w:footnoteReference w:id="13"/>
      </w:r>
      <w:r w:rsidRPr="00EE77FD">
        <w:rPr>
          <w:rStyle w:val="FootnoteReference"/>
          <w:sz w:val="20"/>
          <w:szCs w:val="30"/>
          <w:rtl/>
          <w:lang w:eastAsia="zh-TW"/>
        </w:rPr>
        <w:t>)</w:t>
      </w:r>
      <w:r w:rsidR="00606EB3">
        <w:rPr>
          <w:rFonts w:hint="cs"/>
          <w:rtl/>
          <w:lang w:eastAsia="zh-TW"/>
        </w:rPr>
        <w:t xml:space="preserve">. </w:t>
      </w:r>
      <w:r w:rsidRPr="00EE77FD">
        <w:rPr>
          <w:rtl/>
          <w:lang w:eastAsia="zh-TW"/>
        </w:rPr>
        <w:t>وينبغي، في كل حالة، إبلاغ الشخص المعني في الوقت المناسب بعملية الترحيل المزمع تنفيذها. أما الترحيل الجماعي، دون إجراء فحص موضوعي للحالات الفردية فيما يتعلق بالخطر الشخصي، فينبغي أن يعتبر انت</w:t>
      </w:r>
      <w:r w:rsidR="00606EB3">
        <w:rPr>
          <w:rtl/>
          <w:lang w:eastAsia="zh-TW"/>
        </w:rPr>
        <w:t>هاكاً لمبدأ عدم الإعادة القسرية</w:t>
      </w:r>
      <w:r w:rsidRPr="00EE77FD">
        <w:rPr>
          <w:rStyle w:val="FootnoteReference"/>
          <w:sz w:val="20"/>
          <w:szCs w:val="30"/>
          <w:rtl/>
          <w:lang w:eastAsia="zh-TW"/>
        </w:rPr>
        <w:t>(</w:t>
      </w:r>
      <w:r w:rsidRPr="00EE77FD">
        <w:rPr>
          <w:rStyle w:val="FootnoteReference"/>
          <w:sz w:val="20"/>
          <w:szCs w:val="30"/>
          <w:rtl/>
          <w:lang w:eastAsia="zh-TW"/>
        </w:rPr>
        <w:footnoteReference w:id="14"/>
      </w:r>
      <w:r w:rsidRPr="00EE77FD">
        <w:rPr>
          <w:rStyle w:val="FootnoteReference"/>
          <w:sz w:val="20"/>
          <w:szCs w:val="30"/>
          <w:rtl/>
          <w:lang w:eastAsia="zh-TW"/>
        </w:rPr>
        <w:t>)</w:t>
      </w:r>
      <w:r w:rsidR="00606EB3">
        <w:rPr>
          <w:rFonts w:hint="cs"/>
          <w:rtl/>
          <w:lang w:eastAsia="zh-TW"/>
        </w:rPr>
        <w:t xml:space="preserve">. </w:t>
      </w:r>
    </w:p>
    <w:p w:rsidR="00EE77FD" w:rsidRPr="00714EAE" w:rsidRDefault="00EE77FD" w:rsidP="003561EB">
      <w:pPr>
        <w:pStyle w:val="SingleTxtGA"/>
        <w:rPr>
          <w:spacing w:val="-4"/>
          <w:rtl/>
          <w:lang w:eastAsia="zh-TW"/>
        </w:rPr>
      </w:pPr>
      <w:r w:rsidRPr="00714EAE">
        <w:rPr>
          <w:spacing w:val="-4"/>
          <w:rtl/>
          <w:lang w:eastAsia="zh-TW"/>
        </w:rPr>
        <w:lastRenderedPageBreak/>
        <w:t>١٤-</w:t>
      </w:r>
      <w:r w:rsidR="00606EB3" w:rsidRPr="00714EAE">
        <w:rPr>
          <w:spacing w:val="-4"/>
          <w:rtl/>
          <w:lang w:eastAsia="zh-TW"/>
        </w:rPr>
        <w:tab/>
      </w:r>
      <w:r w:rsidRPr="00714EAE">
        <w:rPr>
          <w:spacing w:val="-4"/>
          <w:rtl/>
          <w:lang w:eastAsia="zh-TW"/>
        </w:rPr>
        <w:t>وينبغي للدول الأطراف ألا تعتمد تدابير أو سياسات رادعة، مثل الاحتجاز في ظروف سيئة لفترات غير محددة، ورفض معالجة طلبات اللجوء أو إطالة أمدها دون داع، أو تخفيض الأموال المخصصة لبرامج مساعدة ملتمسي اللجوء، مما يرغم الأشخاص المحتاجين إلى الحماية بموجب المادة</w:t>
      </w:r>
      <w:r w:rsidR="003561EB">
        <w:rPr>
          <w:rFonts w:hint="cs"/>
          <w:spacing w:val="-4"/>
          <w:rtl/>
          <w:lang w:eastAsia="zh-TW"/>
        </w:rPr>
        <w:t> </w:t>
      </w:r>
      <w:r w:rsidRPr="00714EAE">
        <w:rPr>
          <w:spacing w:val="-4"/>
          <w:rtl/>
          <w:lang w:eastAsia="zh-TW"/>
        </w:rPr>
        <w:t>٣ من الاتفاقية على العودة إلى بلدهم الأصلي رغم الخطر الشخصي الذي يهددهم بالتعرض هناك للتعذيب أو غيره من ضروب المعاملة أو العقوبة ال</w:t>
      </w:r>
      <w:r w:rsidR="00606EB3" w:rsidRPr="00714EAE">
        <w:rPr>
          <w:spacing w:val="-4"/>
          <w:rtl/>
          <w:lang w:eastAsia="zh-TW"/>
        </w:rPr>
        <w:t>قاسية أو اللاإنسانية أو المهينة</w:t>
      </w:r>
      <w:r w:rsidRPr="00714EAE">
        <w:rPr>
          <w:rStyle w:val="FootnoteReference"/>
          <w:spacing w:val="-4"/>
          <w:sz w:val="20"/>
          <w:szCs w:val="30"/>
          <w:rtl/>
          <w:lang w:eastAsia="zh-TW"/>
        </w:rPr>
        <w:t>(</w:t>
      </w:r>
      <w:r w:rsidRPr="00714EAE">
        <w:rPr>
          <w:rStyle w:val="FootnoteReference"/>
          <w:spacing w:val="-4"/>
          <w:sz w:val="20"/>
          <w:szCs w:val="30"/>
          <w:rtl/>
          <w:lang w:eastAsia="zh-TW"/>
        </w:rPr>
        <w:footnoteReference w:id="15"/>
      </w:r>
      <w:r w:rsidRPr="00714EAE">
        <w:rPr>
          <w:rStyle w:val="FootnoteReference"/>
          <w:spacing w:val="-4"/>
          <w:sz w:val="20"/>
          <w:szCs w:val="30"/>
          <w:rtl/>
          <w:lang w:eastAsia="zh-TW"/>
        </w:rPr>
        <w:t>)</w:t>
      </w:r>
      <w:r w:rsidR="00606EB3" w:rsidRPr="00714EAE">
        <w:rPr>
          <w:rStyle w:val="FootnoteReference"/>
          <w:rFonts w:hint="cs"/>
          <w:spacing w:val="-4"/>
          <w:sz w:val="20"/>
          <w:szCs w:val="30"/>
          <w:vertAlign w:val="baseline"/>
          <w:rtl/>
          <w:lang w:eastAsia="zh-TW"/>
        </w:rPr>
        <w:t>.</w:t>
      </w:r>
    </w:p>
    <w:p w:rsidR="00EE77FD" w:rsidRPr="00EE77FD" w:rsidRDefault="00EE77FD" w:rsidP="008161B4">
      <w:pPr>
        <w:pStyle w:val="SingleTxtGA"/>
        <w:rPr>
          <w:rtl/>
          <w:lang w:eastAsia="zh-TW"/>
        </w:rPr>
      </w:pPr>
      <w:r w:rsidRPr="00EE77FD">
        <w:rPr>
          <w:rtl/>
          <w:lang w:eastAsia="zh-TW"/>
        </w:rPr>
        <w:t>١٥-</w:t>
      </w:r>
      <w:r w:rsidR="00606EB3">
        <w:rPr>
          <w:rtl/>
          <w:lang w:eastAsia="zh-TW"/>
        </w:rPr>
        <w:tab/>
      </w:r>
      <w:r w:rsidRPr="00EE77FD">
        <w:rPr>
          <w:rtl/>
          <w:lang w:eastAsia="zh-TW"/>
        </w:rPr>
        <w:t>وتنص المادة ١٦ من الاتفاقية على واجب الدول الأطراف بمنع أفعال المعاملة أو</w:t>
      </w:r>
      <w:r w:rsidR="008161B4">
        <w:rPr>
          <w:rFonts w:hint="cs"/>
          <w:rtl/>
          <w:lang w:eastAsia="zh-TW"/>
        </w:rPr>
        <w:t> </w:t>
      </w:r>
      <w:r w:rsidRPr="00EE77FD">
        <w:rPr>
          <w:rtl/>
          <w:lang w:eastAsia="zh-TW"/>
        </w:rPr>
        <w:t xml:space="preserve">العقوبة القاسية أو اللاإنسانية أو المهينة (سوء المعاملة)، التي لا تصل إلى حد التعذيب </w:t>
      </w:r>
      <w:r w:rsidR="00606EB3">
        <w:rPr>
          <w:rtl/>
          <w:lang w:eastAsia="zh-TW"/>
        </w:rPr>
        <w:t>كما تعرفه المادة ١ من الاتفاقية</w:t>
      </w:r>
      <w:r w:rsidRPr="00EE77FD">
        <w:rPr>
          <w:rStyle w:val="FootnoteReference"/>
          <w:sz w:val="20"/>
          <w:szCs w:val="30"/>
          <w:rtl/>
          <w:lang w:eastAsia="zh-TW"/>
        </w:rPr>
        <w:t>(</w:t>
      </w:r>
      <w:r w:rsidRPr="00EE77FD">
        <w:rPr>
          <w:rStyle w:val="FootnoteReference"/>
          <w:sz w:val="20"/>
          <w:szCs w:val="30"/>
          <w:rtl/>
          <w:lang w:eastAsia="zh-TW"/>
        </w:rPr>
        <w:footnoteReference w:id="16"/>
      </w:r>
      <w:r w:rsidRPr="00EE77FD">
        <w:rPr>
          <w:rStyle w:val="FootnoteReference"/>
          <w:sz w:val="20"/>
          <w:szCs w:val="30"/>
          <w:rtl/>
          <w:lang w:eastAsia="zh-TW"/>
        </w:rPr>
        <w:t>)</w:t>
      </w:r>
      <w:r w:rsidR="00606EB3">
        <w:rPr>
          <w:rFonts w:hint="cs"/>
          <w:rtl/>
          <w:lang w:eastAsia="zh-TW"/>
        </w:rPr>
        <w:t xml:space="preserve">. </w:t>
      </w:r>
    </w:p>
    <w:p w:rsidR="00EE77FD" w:rsidRPr="00EE77FD" w:rsidRDefault="00EE77FD" w:rsidP="00606EB3">
      <w:pPr>
        <w:pStyle w:val="SingleTxtGA"/>
        <w:rPr>
          <w:rtl/>
          <w:lang w:eastAsia="zh-TW"/>
        </w:rPr>
      </w:pPr>
      <w:r w:rsidRPr="00EE77FD">
        <w:rPr>
          <w:rtl/>
          <w:lang w:eastAsia="zh-TW"/>
        </w:rPr>
        <w:t>١٦-</w:t>
      </w:r>
      <w:r w:rsidR="00606EB3">
        <w:rPr>
          <w:rtl/>
          <w:lang w:eastAsia="zh-TW"/>
        </w:rPr>
        <w:tab/>
      </w:r>
      <w:r w:rsidRPr="00EE77FD">
        <w:rPr>
          <w:rtl/>
          <w:lang w:eastAsia="zh-TW"/>
        </w:rPr>
        <w:t>وينبغي للدول الأطراف أن تنظر فيما إذا كانت طبيعة أشكال سوء المعاملة الأخرى التي يكون شخص يواجه الترحيل مهدداً بخطر التعرض لها يُرجَّح أن تتغير لتشكل ضرباً من ضروب التعذيب، قبل إجراء تقييم لكل حالة تت</w:t>
      </w:r>
      <w:r w:rsidR="00606EB3">
        <w:rPr>
          <w:rtl/>
          <w:lang w:eastAsia="zh-TW"/>
        </w:rPr>
        <w:t>علق بمبدأ "عدم الإعادة القسرية"</w:t>
      </w:r>
      <w:r w:rsidRPr="00EE77FD">
        <w:rPr>
          <w:rStyle w:val="FootnoteReference"/>
          <w:sz w:val="20"/>
          <w:szCs w:val="30"/>
          <w:rtl/>
          <w:lang w:eastAsia="zh-TW"/>
        </w:rPr>
        <w:t>(</w:t>
      </w:r>
      <w:r w:rsidRPr="00EE77FD">
        <w:rPr>
          <w:rStyle w:val="FootnoteReference"/>
          <w:sz w:val="20"/>
          <w:szCs w:val="30"/>
          <w:rtl/>
          <w:lang w:eastAsia="zh-TW"/>
        </w:rPr>
        <w:footnoteReference w:id="17"/>
      </w:r>
      <w:r w:rsidRPr="00EE77FD">
        <w:rPr>
          <w:rStyle w:val="FootnoteReference"/>
          <w:sz w:val="20"/>
          <w:szCs w:val="30"/>
          <w:rtl/>
          <w:lang w:eastAsia="zh-TW"/>
        </w:rPr>
        <w:t>)</w:t>
      </w:r>
      <w:r w:rsidR="00606EB3" w:rsidRPr="00606EB3">
        <w:rPr>
          <w:rStyle w:val="FootnoteReference"/>
          <w:rFonts w:hint="cs"/>
          <w:sz w:val="20"/>
          <w:szCs w:val="30"/>
          <w:vertAlign w:val="baseline"/>
          <w:rtl/>
          <w:lang w:eastAsia="zh-TW"/>
        </w:rPr>
        <w:t>.</w:t>
      </w:r>
    </w:p>
    <w:p w:rsidR="00EE77FD" w:rsidRPr="00EE77FD" w:rsidRDefault="00EE77FD" w:rsidP="00606EB3">
      <w:pPr>
        <w:pStyle w:val="SingleTxtGA"/>
        <w:rPr>
          <w:rtl/>
          <w:lang w:eastAsia="zh-TW"/>
        </w:rPr>
      </w:pPr>
      <w:r w:rsidRPr="00EE77FD">
        <w:rPr>
          <w:rtl/>
          <w:lang w:eastAsia="zh-TW"/>
        </w:rPr>
        <w:t>١٧-</w:t>
      </w:r>
      <w:r w:rsidR="00606EB3">
        <w:rPr>
          <w:rtl/>
          <w:lang w:eastAsia="zh-TW"/>
        </w:rPr>
        <w:tab/>
      </w:r>
      <w:r w:rsidRPr="00EE77FD">
        <w:rPr>
          <w:rtl/>
          <w:lang w:eastAsia="zh-TW"/>
        </w:rPr>
        <w:t xml:space="preserve">وترى اللجنة أن الألم أو المعاناة الشديدين لا يمكن دائماً تقييمهما بصورة موضوعية. فالأمر يتوقف على العواقب البدنية و/أو العقلية السلبية التي تسببها الأعمال العنيفة أو المؤذية لكل فرد، مع مراعاة كل الظروف المتصلة بكل حالة، بما في ذلك طبيعة معاملة الضحية ونوع جنسها وسنها وحالتها الصحية </w:t>
      </w:r>
      <w:r w:rsidR="00606EB3">
        <w:rPr>
          <w:rtl/>
          <w:lang w:eastAsia="zh-TW"/>
        </w:rPr>
        <w:t>وضعفها وأية أوضاع أو عوامل أخرى</w:t>
      </w:r>
      <w:r w:rsidRPr="00EE77FD">
        <w:rPr>
          <w:rStyle w:val="FootnoteReference"/>
          <w:sz w:val="20"/>
          <w:szCs w:val="30"/>
          <w:rtl/>
          <w:lang w:eastAsia="zh-TW"/>
        </w:rPr>
        <w:t>(</w:t>
      </w:r>
      <w:r w:rsidRPr="00EE77FD">
        <w:rPr>
          <w:rStyle w:val="FootnoteReference"/>
          <w:sz w:val="20"/>
          <w:szCs w:val="30"/>
          <w:rtl/>
          <w:lang w:eastAsia="zh-TW"/>
        </w:rPr>
        <w:footnoteReference w:id="18"/>
      </w:r>
      <w:r w:rsidRPr="00EE77FD">
        <w:rPr>
          <w:rStyle w:val="FootnoteReference"/>
          <w:sz w:val="20"/>
          <w:szCs w:val="30"/>
          <w:rtl/>
          <w:lang w:eastAsia="zh-TW"/>
        </w:rPr>
        <w:t>)</w:t>
      </w:r>
      <w:r w:rsidR="00606EB3">
        <w:rPr>
          <w:rFonts w:hint="cs"/>
          <w:rtl/>
          <w:lang w:eastAsia="zh-TW"/>
        </w:rPr>
        <w:t xml:space="preserve">. </w:t>
      </w:r>
    </w:p>
    <w:p w:rsidR="00EE77FD" w:rsidRPr="00EE77FD" w:rsidRDefault="00606EB3" w:rsidP="00606EB3">
      <w:pPr>
        <w:pStyle w:val="HChGA"/>
        <w:rPr>
          <w:rtl/>
          <w:lang w:eastAsia="zh-TW"/>
        </w:rPr>
      </w:pPr>
      <w:r>
        <w:rPr>
          <w:rtl/>
          <w:lang w:eastAsia="zh-TW"/>
        </w:rPr>
        <w:tab/>
      </w:r>
      <w:r w:rsidR="00EE77FD" w:rsidRPr="00EE77FD">
        <w:rPr>
          <w:rtl/>
          <w:lang w:eastAsia="zh-TW"/>
        </w:rPr>
        <w:t>ثالثاً-</w:t>
      </w:r>
      <w:r>
        <w:rPr>
          <w:rtl/>
          <w:lang w:eastAsia="zh-TW"/>
        </w:rPr>
        <w:tab/>
      </w:r>
      <w:r w:rsidR="00EE77FD" w:rsidRPr="00EE77FD">
        <w:rPr>
          <w:rtl/>
          <w:lang w:eastAsia="zh-TW"/>
        </w:rPr>
        <w:t xml:space="preserve">التدابير الوقائية لضمان مبدأ عدم الإعادة القسرية </w:t>
      </w:r>
      <w:bookmarkStart w:id="4" w:name="_Toc516672801"/>
      <w:bookmarkEnd w:id="4"/>
    </w:p>
    <w:p w:rsidR="00EE77FD" w:rsidRPr="00EE77FD" w:rsidRDefault="00EE77FD" w:rsidP="00606EB3">
      <w:pPr>
        <w:pStyle w:val="SingleTxtGA"/>
        <w:rPr>
          <w:rtl/>
          <w:lang w:eastAsia="zh-TW"/>
        </w:rPr>
      </w:pPr>
      <w:r w:rsidRPr="00EE77FD">
        <w:rPr>
          <w:rtl/>
          <w:lang w:eastAsia="zh-TW"/>
        </w:rPr>
        <w:t>١٨-</w:t>
      </w:r>
      <w:r w:rsidR="00606EB3">
        <w:rPr>
          <w:rtl/>
          <w:lang w:eastAsia="zh-TW"/>
        </w:rPr>
        <w:tab/>
      </w:r>
      <w:r w:rsidRPr="00EE77FD">
        <w:rPr>
          <w:rtl/>
          <w:lang w:eastAsia="zh-TW"/>
        </w:rPr>
        <w:t>لغرض التنفيذ الكامل للمادة ٣ من الاتفاقية، ينبغي للدول الأطراف أن تتخذ تدابير تشريعية وإدارية وقضائية وغيرها من التدابير الوقائية ضد الانتهاكات المحتملة لمبدأ "عدم الإعادة القسرية"، بما في ذلك:</w:t>
      </w:r>
    </w:p>
    <w:p w:rsidR="00EE77FD" w:rsidRPr="00EE77FD" w:rsidRDefault="00606EB3" w:rsidP="00606EB3">
      <w:pPr>
        <w:pStyle w:val="SingleTxtGA"/>
        <w:rPr>
          <w:rtl/>
          <w:lang w:eastAsia="zh-TW"/>
        </w:rPr>
      </w:pPr>
      <w:r>
        <w:rPr>
          <w:rtl/>
          <w:lang w:eastAsia="zh-TW"/>
        </w:rPr>
        <w:tab/>
      </w:r>
      <w:r w:rsidR="00EE77FD" w:rsidRPr="00EE77FD">
        <w:rPr>
          <w:rtl/>
          <w:lang w:eastAsia="zh-TW"/>
        </w:rPr>
        <w:t>(أ)</w:t>
      </w:r>
      <w:r w:rsidR="00EE77FD" w:rsidRPr="00EE77FD">
        <w:rPr>
          <w:rtl/>
          <w:lang w:eastAsia="zh-TW"/>
        </w:rPr>
        <w:tab/>
        <w:t xml:space="preserve">ضمان حق كل شخص معني في دراسة قضيته بشكل منفرد وليس بشكل جماعي وفي الحصول على معلومات تامة بشأن أسباب خضوعه لإجراءات يمكن أن تؤدي إلى اتخاذ قرار ترحيل وبشأن الحقوق التي </w:t>
      </w:r>
      <w:proofErr w:type="spellStart"/>
      <w:r w:rsidR="00EE77FD" w:rsidRPr="00EE77FD">
        <w:rPr>
          <w:rtl/>
          <w:lang w:eastAsia="zh-TW"/>
        </w:rPr>
        <w:t>يتي</w:t>
      </w:r>
      <w:r>
        <w:rPr>
          <w:rtl/>
          <w:lang w:eastAsia="zh-TW"/>
        </w:rPr>
        <w:t>حها</w:t>
      </w:r>
      <w:proofErr w:type="spellEnd"/>
      <w:r>
        <w:rPr>
          <w:rtl/>
          <w:lang w:eastAsia="zh-TW"/>
        </w:rPr>
        <w:t xml:space="preserve"> القانون للطعن في هذا القرار</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19"/>
      </w:r>
      <w:r w:rsidR="00EE77FD" w:rsidRPr="00EE77FD">
        <w:rPr>
          <w:rStyle w:val="FootnoteReference"/>
          <w:sz w:val="20"/>
          <w:szCs w:val="30"/>
          <w:rtl/>
          <w:lang w:eastAsia="zh-TW"/>
        </w:rPr>
        <w:t>)</w:t>
      </w:r>
      <w:r>
        <w:rPr>
          <w:rFonts w:hint="cs"/>
          <w:rtl/>
          <w:lang w:eastAsia="zh-TW"/>
        </w:rPr>
        <w:t xml:space="preserve">؛ </w:t>
      </w:r>
    </w:p>
    <w:p w:rsidR="00EE77FD" w:rsidRPr="00EE77FD" w:rsidRDefault="00606EB3" w:rsidP="008C10B5">
      <w:pPr>
        <w:pStyle w:val="SingleTxtGA"/>
        <w:pageBreakBefore/>
        <w:rPr>
          <w:rtl/>
          <w:lang w:eastAsia="zh-TW"/>
        </w:rPr>
      </w:pPr>
      <w:r>
        <w:rPr>
          <w:rtl/>
          <w:lang w:eastAsia="zh-TW"/>
        </w:rPr>
        <w:lastRenderedPageBreak/>
        <w:tab/>
      </w:r>
      <w:r w:rsidR="00EE77FD" w:rsidRPr="00EE77FD">
        <w:rPr>
          <w:rtl/>
          <w:lang w:eastAsia="zh-TW"/>
        </w:rPr>
        <w:t>(ب)</w:t>
      </w:r>
      <w:r w:rsidR="00EE77FD" w:rsidRPr="00EE77FD">
        <w:rPr>
          <w:rtl/>
          <w:lang w:eastAsia="zh-TW"/>
        </w:rPr>
        <w:tab/>
        <w:t>تمكين الشخص المعني من الوصول إلى محام</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20"/>
      </w:r>
      <w:r w:rsidR="00EE77FD" w:rsidRPr="00EE77FD">
        <w:rPr>
          <w:rStyle w:val="FootnoteReference"/>
          <w:sz w:val="20"/>
          <w:szCs w:val="30"/>
          <w:rtl/>
          <w:lang w:eastAsia="zh-TW"/>
        </w:rPr>
        <w:t>)</w:t>
      </w:r>
      <w:r w:rsidR="00EE77FD" w:rsidRPr="00EE77FD">
        <w:rPr>
          <w:rtl/>
          <w:lang w:eastAsia="zh-TW"/>
        </w:rPr>
        <w:t>، وإلى مساعدة قانونية مجانية، عند الاقتضاء، وإلى ممثلي المنظمات الد</w:t>
      </w:r>
      <w:r>
        <w:rPr>
          <w:rtl/>
          <w:lang w:eastAsia="zh-TW"/>
        </w:rPr>
        <w:t>ولية ذات الصلة المعنية بالحماية</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21"/>
      </w:r>
      <w:r w:rsidR="00EE77FD" w:rsidRPr="00EE77FD">
        <w:rPr>
          <w:rStyle w:val="FootnoteReference"/>
          <w:sz w:val="20"/>
          <w:szCs w:val="30"/>
          <w:rtl/>
          <w:lang w:eastAsia="zh-TW"/>
        </w:rPr>
        <w:t>)</w:t>
      </w:r>
      <w:r>
        <w:rPr>
          <w:rFonts w:hint="cs"/>
          <w:rtl/>
          <w:lang w:eastAsia="zh-TW"/>
        </w:rPr>
        <w:t>؛</w:t>
      </w:r>
    </w:p>
    <w:p w:rsidR="00EE77FD" w:rsidRPr="00EE77FD" w:rsidRDefault="00606EB3" w:rsidP="00EE77FD">
      <w:pPr>
        <w:pStyle w:val="SingleTxtGA"/>
        <w:rPr>
          <w:rtl/>
          <w:lang w:eastAsia="zh-TW"/>
        </w:rPr>
      </w:pPr>
      <w:r w:rsidRPr="00AD1E51">
        <w:rPr>
          <w:spacing w:val="-6"/>
          <w:rtl/>
          <w:lang w:eastAsia="zh-TW"/>
        </w:rPr>
        <w:tab/>
      </w:r>
      <w:r w:rsidR="00EE77FD" w:rsidRPr="00AD1E51">
        <w:rPr>
          <w:spacing w:val="-6"/>
          <w:rtl/>
          <w:lang w:eastAsia="zh-TW"/>
        </w:rPr>
        <w:t>(ج)</w:t>
      </w:r>
      <w:r w:rsidR="00EE77FD" w:rsidRPr="00AD1E51">
        <w:rPr>
          <w:spacing w:val="-6"/>
          <w:rtl/>
          <w:lang w:eastAsia="zh-TW"/>
        </w:rPr>
        <w:tab/>
        <w:t>وضع إجراءات إدارية أو قضائية تتعلق بالشخص المعني بلغة يفهمها هذا الشخص</w:t>
      </w:r>
      <w:r w:rsidR="00EE77FD" w:rsidRPr="00EE77FD">
        <w:rPr>
          <w:rtl/>
          <w:lang w:eastAsia="zh-TW"/>
        </w:rPr>
        <w:t xml:space="preserve"> أو بمساعدة م</w:t>
      </w:r>
      <w:r>
        <w:rPr>
          <w:rtl/>
          <w:lang w:eastAsia="zh-TW"/>
        </w:rPr>
        <w:t>ترجمين شفويين ومترجمين تحريريين</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22"/>
      </w:r>
      <w:r w:rsidR="00EE77FD" w:rsidRPr="00EE77FD">
        <w:rPr>
          <w:rStyle w:val="FootnoteReference"/>
          <w:sz w:val="20"/>
          <w:szCs w:val="30"/>
          <w:rtl/>
          <w:lang w:eastAsia="zh-TW"/>
        </w:rPr>
        <w:t>)</w:t>
      </w:r>
      <w:r w:rsidRPr="00606EB3">
        <w:rPr>
          <w:rStyle w:val="FootnoteReference"/>
          <w:rFonts w:hint="cs"/>
          <w:sz w:val="20"/>
          <w:szCs w:val="30"/>
          <w:vertAlign w:val="baseline"/>
          <w:rtl/>
          <w:lang w:eastAsia="zh-TW"/>
        </w:rPr>
        <w:t>؛</w:t>
      </w:r>
    </w:p>
    <w:p w:rsidR="00EE77FD" w:rsidRPr="00EE77FD" w:rsidRDefault="00606EB3" w:rsidP="00606EB3">
      <w:pPr>
        <w:pStyle w:val="SingleTxtGA"/>
        <w:rPr>
          <w:rtl/>
          <w:lang w:eastAsia="zh-TW"/>
        </w:rPr>
      </w:pPr>
      <w:r>
        <w:rPr>
          <w:rtl/>
          <w:lang w:eastAsia="zh-TW"/>
        </w:rPr>
        <w:tab/>
      </w:r>
      <w:r w:rsidR="00EE77FD" w:rsidRPr="00EE77FD">
        <w:rPr>
          <w:rtl/>
          <w:lang w:eastAsia="zh-TW"/>
        </w:rPr>
        <w:t>(د)</w:t>
      </w:r>
      <w:r w:rsidR="00EE77FD" w:rsidRPr="00EE77FD">
        <w:rPr>
          <w:rtl/>
          <w:lang w:eastAsia="zh-TW"/>
        </w:rPr>
        <w:tab/>
        <w:t>إحالة الشخص الذي يدعي أنه خضع لأعمال تعذيب سابقة إلى فحوص طبية مجانية، بما يتفق مع دليل التقصي والتوثيق الفعالين للتعذيب وغيره من ضروب المعاملة أو</w:t>
      </w:r>
      <w:r>
        <w:rPr>
          <w:rFonts w:hint="cs"/>
          <w:rtl/>
          <w:lang w:eastAsia="zh-TW"/>
        </w:rPr>
        <w:t> </w:t>
      </w:r>
      <w:r w:rsidR="00EE77FD" w:rsidRPr="00EE77FD">
        <w:rPr>
          <w:rtl/>
          <w:lang w:eastAsia="zh-TW"/>
        </w:rPr>
        <w:t>العقوبة القاسية أو اللاإنساني</w:t>
      </w:r>
      <w:r>
        <w:rPr>
          <w:rtl/>
          <w:lang w:eastAsia="zh-TW"/>
        </w:rPr>
        <w:t>ة أو المهينة (بروتوكول</w:t>
      </w:r>
      <w:r w:rsidR="00F30E70">
        <w:rPr>
          <w:rtl/>
          <w:lang w:eastAsia="zh-TW"/>
        </w:rPr>
        <w:t xml:space="preserve"> اسطنبول</w:t>
      </w:r>
      <w:r>
        <w:rPr>
          <w:rtl/>
          <w:lang w:eastAsia="zh-TW"/>
        </w:rPr>
        <w:t>)</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23"/>
      </w:r>
      <w:r w:rsidR="00EE77FD" w:rsidRPr="00EE77FD">
        <w:rPr>
          <w:rStyle w:val="FootnoteReference"/>
          <w:sz w:val="20"/>
          <w:szCs w:val="30"/>
          <w:rtl/>
          <w:lang w:eastAsia="zh-TW"/>
        </w:rPr>
        <w:t>)</w:t>
      </w:r>
      <w:r w:rsidRPr="00606EB3">
        <w:rPr>
          <w:rStyle w:val="FootnoteReference"/>
          <w:rFonts w:hint="cs"/>
          <w:sz w:val="20"/>
          <w:szCs w:val="30"/>
          <w:vertAlign w:val="baseline"/>
          <w:rtl/>
          <w:lang w:eastAsia="zh-TW"/>
        </w:rPr>
        <w:t>؛</w:t>
      </w:r>
    </w:p>
    <w:p w:rsidR="00EE77FD" w:rsidRPr="00EE77FD" w:rsidRDefault="00606EB3" w:rsidP="00AD1E51">
      <w:pPr>
        <w:pStyle w:val="SingleTxtGA"/>
        <w:rPr>
          <w:rtl/>
          <w:lang w:eastAsia="zh-TW"/>
        </w:rPr>
      </w:pPr>
      <w:r>
        <w:rPr>
          <w:rtl/>
          <w:lang w:eastAsia="zh-TW"/>
        </w:rPr>
        <w:tab/>
      </w:r>
      <w:r w:rsidR="00EE77FD" w:rsidRPr="00EE77FD">
        <w:rPr>
          <w:rtl/>
          <w:lang w:eastAsia="zh-TW"/>
        </w:rPr>
        <w:t>(هـ)</w:t>
      </w:r>
      <w:r w:rsidR="00AD1E51">
        <w:rPr>
          <w:rtl/>
          <w:lang w:eastAsia="zh-TW"/>
        </w:rPr>
        <w:tab/>
      </w:r>
      <w:r w:rsidR="00EE77FD" w:rsidRPr="00EE77FD">
        <w:rPr>
          <w:rtl/>
          <w:lang w:eastAsia="zh-TW"/>
        </w:rPr>
        <w:t>ضمان حق استئناف الشخص المعني ضد أمر الترحيل لدى هيئة إدارية و/أو</w:t>
      </w:r>
      <w:r w:rsidR="00AD1E51">
        <w:rPr>
          <w:rFonts w:hint="cs"/>
          <w:rtl/>
          <w:lang w:eastAsia="zh-TW"/>
        </w:rPr>
        <w:t> </w:t>
      </w:r>
      <w:r w:rsidR="00EE77FD" w:rsidRPr="00EE77FD">
        <w:rPr>
          <w:rtl/>
          <w:lang w:eastAsia="zh-TW"/>
        </w:rPr>
        <w:t>قضائية مستقلة في غضون فترة زمنية معقولة من الإخطار بذلك الأمر مع كون الطعن ذا أثر إيقافي على إنفاذ ال</w:t>
      </w:r>
      <w:r>
        <w:rPr>
          <w:rtl/>
          <w:lang w:eastAsia="zh-TW"/>
        </w:rPr>
        <w:t>أمر</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24"/>
      </w:r>
      <w:r w:rsidR="00EE77FD" w:rsidRPr="00EE77FD">
        <w:rPr>
          <w:rStyle w:val="FootnoteReference"/>
          <w:sz w:val="20"/>
          <w:szCs w:val="30"/>
          <w:rtl/>
          <w:lang w:eastAsia="zh-TW"/>
        </w:rPr>
        <w:t>)</w:t>
      </w:r>
      <w:r>
        <w:rPr>
          <w:rFonts w:hint="cs"/>
          <w:rtl/>
          <w:lang w:eastAsia="zh-TW"/>
        </w:rPr>
        <w:t xml:space="preserve">؛ </w:t>
      </w:r>
    </w:p>
    <w:p w:rsidR="00EE77FD" w:rsidRPr="00EE77FD" w:rsidRDefault="00606EB3" w:rsidP="00714EAE">
      <w:pPr>
        <w:pStyle w:val="SingleTxtGA"/>
        <w:rPr>
          <w:rtl/>
          <w:lang w:eastAsia="zh-TW"/>
        </w:rPr>
      </w:pPr>
      <w:r>
        <w:rPr>
          <w:rtl/>
          <w:lang w:eastAsia="zh-TW"/>
        </w:rPr>
        <w:tab/>
      </w:r>
      <w:r w:rsidR="00EE77FD" w:rsidRPr="00EE77FD">
        <w:rPr>
          <w:rtl/>
          <w:lang w:eastAsia="zh-TW"/>
        </w:rPr>
        <w:t>(و)</w:t>
      </w:r>
      <w:r w:rsidR="00EE77FD" w:rsidRPr="00EE77FD">
        <w:rPr>
          <w:rtl/>
          <w:lang w:eastAsia="zh-TW"/>
        </w:rPr>
        <w:tab/>
        <w:t>توفير تدريب فعال لجميع الموظفين الذين يتعاملون مع الأشخاص الخاضعين لإجراءات الترحيل بشأن احترام أحكام المادة ٣ من الاتفاقية، بغية تجنب اتخاذ قرارات تتع</w:t>
      </w:r>
      <w:r w:rsidR="00714EAE">
        <w:rPr>
          <w:rtl/>
          <w:lang w:eastAsia="zh-TW"/>
        </w:rPr>
        <w:t>ارض مع مبدأ عدم الإعادة القسرية</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25"/>
      </w:r>
      <w:r w:rsidR="00EE77FD" w:rsidRPr="00EE77FD">
        <w:rPr>
          <w:rStyle w:val="FootnoteReference"/>
          <w:sz w:val="20"/>
          <w:szCs w:val="30"/>
          <w:rtl/>
          <w:lang w:eastAsia="zh-TW"/>
        </w:rPr>
        <w:t>)</w:t>
      </w:r>
      <w:r w:rsidR="00714EAE">
        <w:rPr>
          <w:rFonts w:hint="cs"/>
          <w:rtl/>
          <w:lang w:eastAsia="zh-TW"/>
        </w:rPr>
        <w:t>؛</w:t>
      </w:r>
    </w:p>
    <w:p w:rsidR="00EE77FD" w:rsidRPr="00EE77FD" w:rsidRDefault="00714EAE" w:rsidP="00714EAE">
      <w:pPr>
        <w:pStyle w:val="SingleTxtGA"/>
        <w:rPr>
          <w:rtl/>
          <w:lang w:eastAsia="zh-TW"/>
        </w:rPr>
      </w:pPr>
      <w:r>
        <w:rPr>
          <w:rtl/>
          <w:lang w:eastAsia="zh-TW"/>
        </w:rPr>
        <w:tab/>
      </w:r>
      <w:r w:rsidR="00EE77FD" w:rsidRPr="00EE77FD">
        <w:rPr>
          <w:rtl/>
          <w:lang w:eastAsia="zh-TW"/>
        </w:rPr>
        <w:t>(ز)</w:t>
      </w:r>
      <w:r>
        <w:rPr>
          <w:rtl/>
          <w:lang w:eastAsia="zh-TW"/>
        </w:rPr>
        <w:tab/>
      </w:r>
      <w:r w:rsidR="00EE77FD" w:rsidRPr="00EE77FD">
        <w:rPr>
          <w:rtl/>
          <w:lang w:eastAsia="zh-TW"/>
        </w:rPr>
        <w:t>توفير تدريب فعال للموظفين الطبيين وغيرهم من الموظفين الذين يتعاملون مع المحتجزين والمهاجرين وملتمسي اللجوء في تحديد وتوثيق علامات التع</w:t>
      </w:r>
      <w:r>
        <w:rPr>
          <w:rtl/>
          <w:lang w:eastAsia="zh-TW"/>
        </w:rPr>
        <w:t>ذيب، مع مراعاة بروتوكول</w:t>
      </w:r>
      <w:r w:rsidR="00F30E70">
        <w:rPr>
          <w:rtl/>
          <w:lang w:eastAsia="zh-TW"/>
        </w:rPr>
        <w:t xml:space="preserve"> اسطنبول</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26"/>
      </w:r>
      <w:r w:rsidR="00EE77FD" w:rsidRPr="00EE77FD">
        <w:rPr>
          <w:rStyle w:val="FootnoteReference"/>
          <w:sz w:val="20"/>
          <w:szCs w:val="30"/>
          <w:rtl/>
          <w:lang w:eastAsia="zh-TW"/>
        </w:rPr>
        <w:t>)</w:t>
      </w:r>
      <w:r>
        <w:rPr>
          <w:rFonts w:hint="cs"/>
          <w:rtl/>
          <w:lang w:eastAsia="zh-TW"/>
        </w:rPr>
        <w:t>.</w:t>
      </w:r>
    </w:p>
    <w:p w:rsidR="00EE77FD" w:rsidRPr="00EE77FD" w:rsidRDefault="00714EAE" w:rsidP="00714EAE">
      <w:pPr>
        <w:pStyle w:val="HChGA"/>
        <w:rPr>
          <w:rtl/>
          <w:lang w:eastAsia="zh-TW"/>
        </w:rPr>
      </w:pPr>
      <w:r>
        <w:rPr>
          <w:rtl/>
          <w:lang w:eastAsia="zh-TW"/>
        </w:rPr>
        <w:lastRenderedPageBreak/>
        <w:tab/>
      </w:r>
      <w:r w:rsidR="00EE77FD" w:rsidRPr="00EE77FD">
        <w:rPr>
          <w:rtl/>
          <w:lang w:eastAsia="zh-TW"/>
        </w:rPr>
        <w:t>رابعاً-</w:t>
      </w:r>
      <w:r>
        <w:rPr>
          <w:rtl/>
          <w:lang w:eastAsia="zh-TW"/>
        </w:rPr>
        <w:tab/>
      </w:r>
      <w:r w:rsidR="00EE77FD" w:rsidRPr="00EE77FD">
        <w:rPr>
          <w:rtl/>
          <w:lang w:eastAsia="zh-TW"/>
        </w:rPr>
        <w:t>الضمانات الدبلوماسية</w:t>
      </w:r>
      <w:bookmarkStart w:id="6" w:name="_Toc516672802"/>
      <w:bookmarkEnd w:id="6"/>
    </w:p>
    <w:p w:rsidR="00EE77FD" w:rsidRPr="00EE77FD" w:rsidRDefault="00EE77FD" w:rsidP="00714EAE">
      <w:pPr>
        <w:pStyle w:val="SingleTxtGA"/>
        <w:rPr>
          <w:rtl/>
          <w:lang w:eastAsia="zh-TW"/>
        </w:rPr>
      </w:pPr>
      <w:r w:rsidRPr="00EE77FD">
        <w:rPr>
          <w:rtl/>
          <w:lang w:eastAsia="zh-TW"/>
        </w:rPr>
        <w:t>١٩-</w:t>
      </w:r>
      <w:r w:rsidR="00714EAE">
        <w:rPr>
          <w:rtl/>
          <w:lang w:eastAsia="zh-TW"/>
        </w:rPr>
        <w:tab/>
      </w:r>
      <w:r w:rsidRPr="00EE77FD">
        <w:rPr>
          <w:rtl/>
          <w:lang w:eastAsia="zh-TW"/>
        </w:rPr>
        <w:t>يشير مصطلح "الضمانات الدبلوماسية"، المستخدم في سياق نقل شخص من دولة إلى أخرى، إلى التزام رسمي من جانب الدولة المستقبِلة مفاده أن الشخص المعني سيُعامل وفقاً لشروط تحددها الدولة المرسِلة ووفقاً للمعايير الدولية لحقوق الإنسان.</w:t>
      </w:r>
    </w:p>
    <w:p w:rsidR="00EE77FD" w:rsidRPr="00EE77FD" w:rsidRDefault="00EE77FD" w:rsidP="00714EAE">
      <w:pPr>
        <w:pStyle w:val="SingleTxtGA"/>
        <w:rPr>
          <w:rtl/>
          <w:lang w:eastAsia="zh-TW"/>
        </w:rPr>
      </w:pPr>
      <w:r w:rsidRPr="00EE77FD">
        <w:rPr>
          <w:rtl/>
          <w:lang w:eastAsia="zh-TW"/>
        </w:rPr>
        <w:t>٢٠-</w:t>
      </w:r>
      <w:r w:rsidR="00714EAE">
        <w:rPr>
          <w:rtl/>
          <w:lang w:eastAsia="zh-TW"/>
        </w:rPr>
        <w:tab/>
      </w:r>
      <w:r w:rsidRPr="00EE77FD">
        <w:rPr>
          <w:rtl/>
          <w:lang w:eastAsia="zh-TW"/>
        </w:rPr>
        <w:t>وترى اللجنة أن الضمانات الدبلوماسية المقدمة من دولة طرف في الاتفاقية سيُرحَّل إليه شخص من الأشخاص ينبغي ألا تُستعمَل كثغرة لتقويض مبدأ عدم الإعادة القسرية المبين في المادة ٣ من الاتفاقية، عندما تكون هناك أسباب حقيقية تدعو إلى الاعتقاد بأن الشخص سيواجه خ</w:t>
      </w:r>
      <w:r w:rsidR="00714EAE">
        <w:rPr>
          <w:rtl/>
          <w:lang w:eastAsia="zh-TW"/>
        </w:rPr>
        <w:t>طر التعرض للتعذيب في تلك الدولة</w:t>
      </w:r>
      <w:r w:rsidRPr="00EE77FD">
        <w:rPr>
          <w:rStyle w:val="FootnoteReference"/>
          <w:sz w:val="20"/>
          <w:szCs w:val="30"/>
          <w:rtl/>
          <w:lang w:eastAsia="zh-TW"/>
        </w:rPr>
        <w:t>(</w:t>
      </w:r>
      <w:r w:rsidRPr="00EE77FD">
        <w:rPr>
          <w:rStyle w:val="FootnoteReference"/>
          <w:sz w:val="20"/>
          <w:szCs w:val="30"/>
          <w:rtl/>
          <w:lang w:eastAsia="zh-TW"/>
        </w:rPr>
        <w:footnoteReference w:id="27"/>
      </w:r>
      <w:r w:rsidRPr="00EE77FD">
        <w:rPr>
          <w:rStyle w:val="FootnoteReference"/>
          <w:sz w:val="20"/>
          <w:szCs w:val="30"/>
          <w:rtl/>
          <w:lang w:eastAsia="zh-TW"/>
        </w:rPr>
        <w:t>)</w:t>
      </w:r>
      <w:r w:rsidR="00714EAE" w:rsidRPr="00714EAE">
        <w:rPr>
          <w:rStyle w:val="FootnoteReference"/>
          <w:rFonts w:hint="cs"/>
          <w:sz w:val="20"/>
          <w:szCs w:val="30"/>
          <w:vertAlign w:val="baseline"/>
          <w:rtl/>
          <w:lang w:eastAsia="zh-TW"/>
        </w:rPr>
        <w:t>.</w:t>
      </w:r>
    </w:p>
    <w:p w:rsidR="00EE77FD" w:rsidRPr="00EE77FD" w:rsidRDefault="00714EAE" w:rsidP="00714EAE">
      <w:pPr>
        <w:pStyle w:val="HChGA"/>
        <w:rPr>
          <w:rtl/>
          <w:lang w:eastAsia="zh-TW"/>
        </w:rPr>
      </w:pPr>
      <w:r>
        <w:rPr>
          <w:rtl/>
          <w:lang w:eastAsia="zh-TW"/>
        </w:rPr>
        <w:tab/>
      </w:r>
      <w:r w:rsidR="00EE77FD" w:rsidRPr="00EE77FD">
        <w:rPr>
          <w:rtl/>
          <w:lang w:eastAsia="zh-TW"/>
        </w:rPr>
        <w:t>خامساً-</w:t>
      </w:r>
      <w:r>
        <w:rPr>
          <w:rtl/>
          <w:lang w:eastAsia="zh-TW"/>
        </w:rPr>
        <w:tab/>
      </w:r>
      <w:r w:rsidR="00EE77FD" w:rsidRPr="00EE77FD">
        <w:rPr>
          <w:rtl/>
          <w:lang w:eastAsia="zh-TW"/>
        </w:rPr>
        <w:t>الإنصاف</w:t>
      </w:r>
      <w:bookmarkStart w:id="7" w:name="_Toc516672803"/>
      <w:bookmarkEnd w:id="7"/>
    </w:p>
    <w:p w:rsidR="00EE77FD" w:rsidRPr="00EE77FD" w:rsidRDefault="00EE77FD" w:rsidP="00714EAE">
      <w:pPr>
        <w:pStyle w:val="SingleTxtGA"/>
        <w:rPr>
          <w:rtl/>
          <w:lang w:eastAsia="zh-TW"/>
        </w:rPr>
      </w:pPr>
      <w:r w:rsidRPr="00EE77FD">
        <w:rPr>
          <w:rtl/>
          <w:lang w:eastAsia="zh-TW"/>
        </w:rPr>
        <w:t>٢١-</w:t>
      </w:r>
      <w:r w:rsidR="00714EAE">
        <w:rPr>
          <w:rtl/>
          <w:lang w:eastAsia="zh-TW"/>
        </w:rPr>
        <w:tab/>
      </w:r>
      <w:r w:rsidRPr="00EE77FD">
        <w:rPr>
          <w:rtl/>
          <w:lang w:eastAsia="zh-TW"/>
        </w:rPr>
        <w:t>تذكر اللجنة بأنها تعتبر أن كلمة "إنصاف" الواردة في المادة 14 تشمل مفهومي "الانتصاف الفعال" و"الجبر". وبالتالي، فإن مفهوم الجبر الشامل ينطوي على رد الحقوق والتعويض وإعادة التأهيل والترضية وضمانات عدم التكرار ويشير إلى النطاق الكامل للتدابير اللازمة لإتاحة الإنصا</w:t>
      </w:r>
      <w:r w:rsidR="00714EAE">
        <w:rPr>
          <w:rtl/>
          <w:lang w:eastAsia="zh-TW"/>
        </w:rPr>
        <w:t>ف من الانتهاكات بموجب الاتفاقية</w:t>
      </w:r>
      <w:r w:rsidRPr="00EE77FD">
        <w:rPr>
          <w:rStyle w:val="FootnoteReference"/>
          <w:sz w:val="20"/>
          <w:szCs w:val="30"/>
          <w:rtl/>
          <w:lang w:eastAsia="zh-TW"/>
        </w:rPr>
        <w:t>(</w:t>
      </w:r>
      <w:r w:rsidRPr="00EE77FD">
        <w:rPr>
          <w:rStyle w:val="FootnoteReference"/>
          <w:sz w:val="20"/>
          <w:szCs w:val="30"/>
          <w:rtl/>
          <w:lang w:eastAsia="zh-TW"/>
        </w:rPr>
        <w:footnoteReference w:id="28"/>
      </w:r>
      <w:r w:rsidRPr="00EE77FD">
        <w:rPr>
          <w:rStyle w:val="FootnoteReference"/>
          <w:sz w:val="20"/>
          <w:szCs w:val="30"/>
          <w:rtl/>
          <w:lang w:eastAsia="zh-TW"/>
        </w:rPr>
        <w:t>)</w:t>
      </w:r>
      <w:r w:rsidR="00714EAE">
        <w:rPr>
          <w:rFonts w:hint="cs"/>
          <w:rtl/>
          <w:lang w:eastAsia="zh-TW"/>
        </w:rPr>
        <w:t>.</w:t>
      </w:r>
    </w:p>
    <w:p w:rsidR="00EE77FD" w:rsidRPr="00EE77FD" w:rsidRDefault="00EE77FD" w:rsidP="00714EAE">
      <w:pPr>
        <w:pStyle w:val="SingleTxtGA"/>
        <w:rPr>
          <w:rtl/>
          <w:lang w:eastAsia="zh-TW"/>
        </w:rPr>
      </w:pPr>
      <w:r w:rsidRPr="00EE77FD">
        <w:rPr>
          <w:rtl/>
          <w:lang w:eastAsia="zh-TW"/>
        </w:rPr>
        <w:t>٢٢-</w:t>
      </w:r>
      <w:r w:rsidR="00714EAE">
        <w:rPr>
          <w:rtl/>
          <w:lang w:eastAsia="zh-TW"/>
        </w:rPr>
        <w:tab/>
      </w:r>
      <w:r w:rsidRPr="00EE77FD">
        <w:rPr>
          <w:rtl/>
          <w:lang w:eastAsia="zh-TW"/>
        </w:rPr>
        <w:t>وينبغي للدول الأطراف أن تعترف بأن ضحايا التعذيب أو غيره من ضروب المعاملة أو</w:t>
      </w:r>
      <w:r w:rsidR="00714EAE">
        <w:rPr>
          <w:rFonts w:hint="cs"/>
          <w:rtl/>
          <w:lang w:eastAsia="zh-TW"/>
        </w:rPr>
        <w:t> </w:t>
      </w:r>
      <w:r w:rsidRPr="00EE77FD">
        <w:rPr>
          <w:rtl/>
          <w:lang w:eastAsia="zh-TW"/>
        </w:rPr>
        <w:t>العقوبة القاسية أو اللاإنسانية أو المهينة يعانون من أذى بدني ونفسي قد يتطلب توافراً مستمراً لخدمات إعادة تأهيل متخصصة وإمكانية الوصول إليها. وبعد توثيق طبي لهذه الحالة الصحية ولحاجتها إلى علاج، ينبغي عدم نقلهم إلى دولة تكون فيها الخدمات الطبية المناسبة لإعادة تأهيلهم غير متاحة أو مضمونة.</w:t>
      </w:r>
    </w:p>
    <w:p w:rsidR="00EE77FD" w:rsidRPr="00EE77FD" w:rsidRDefault="00714EAE" w:rsidP="00714EAE">
      <w:pPr>
        <w:pStyle w:val="HChGA"/>
        <w:rPr>
          <w:rtl/>
          <w:lang w:eastAsia="zh-TW"/>
        </w:rPr>
      </w:pPr>
      <w:r>
        <w:rPr>
          <w:rtl/>
          <w:lang w:eastAsia="zh-TW"/>
        </w:rPr>
        <w:tab/>
      </w:r>
      <w:r w:rsidR="00EE77FD" w:rsidRPr="00EE77FD">
        <w:rPr>
          <w:rtl/>
          <w:lang w:eastAsia="zh-TW"/>
        </w:rPr>
        <w:t>سادساً-</w:t>
      </w:r>
      <w:r>
        <w:rPr>
          <w:rtl/>
          <w:lang w:eastAsia="zh-TW"/>
        </w:rPr>
        <w:tab/>
      </w:r>
      <w:r w:rsidR="00EE77FD" w:rsidRPr="00EE77FD">
        <w:rPr>
          <w:rtl/>
          <w:lang w:eastAsia="zh-TW"/>
        </w:rPr>
        <w:t>المادة ٣ من الاتفاقية ومعاهدات تسليم المجرمين</w:t>
      </w:r>
      <w:bookmarkStart w:id="8" w:name="_Toc516672804"/>
      <w:bookmarkEnd w:id="8"/>
    </w:p>
    <w:p w:rsidR="00EE77FD" w:rsidRPr="00EE77FD" w:rsidRDefault="00EE77FD" w:rsidP="00714EAE">
      <w:pPr>
        <w:pStyle w:val="SingleTxtGA"/>
        <w:rPr>
          <w:rtl/>
          <w:lang w:eastAsia="zh-TW"/>
        </w:rPr>
      </w:pPr>
      <w:r w:rsidRPr="00EE77FD">
        <w:rPr>
          <w:rtl/>
          <w:lang w:eastAsia="zh-TW"/>
        </w:rPr>
        <w:t>٢٣-</w:t>
      </w:r>
      <w:r w:rsidR="00714EAE">
        <w:rPr>
          <w:rtl/>
          <w:lang w:eastAsia="zh-TW"/>
        </w:rPr>
        <w:tab/>
      </w:r>
      <w:r w:rsidRPr="00EE77FD">
        <w:rPr>
          <w:rtl/>
          <w:lang w:eastAsia="zh-TW"/>
        </w:rPr>
        <w:t xml:space="preserve">قد ترى الدول الأطراف أن هناك تنازعاً بين الالتزامات التي أخذتها على عاتقها بموجب المادة ٣ من الاتفاقية والالتزامات التي تعهدت بها بموجب معاهدة ثنائية أو متعددة الأطراف لتسليم المجرمين، لا سيما عندما تكون المعاهدة قد أُبرِمت قبل التصديق على الاتفاقية مع دولة ليست طرفاً في الاتفاقية، أي عندما لم تكن بعدُ ملزمة بأحكام المادة ٣. وفي هذه الحالة، ينبغي أن تطبق معاهدة التسليم ذات الصلة وفقاً لمبدأ عدم الإعادة القسرية. </w:t>
      </w:r>
    </w:p>
    <w:p w:rsidR="00EE77FD" w:rsidRPr="00EE77FD" w:rsidRDefault="00EE77FD" w:rsidP="00714EAE">
      <w:pPr>
        <w:pStyle w:val="SingleTxtGA"/>
        <w:rPr>
          <w:rtl/>
          <w:lang w:eastAsia="zh-TW"/>
        </w:rPr>
      </w:pPr>
      <w:r w:rsidRPr="00EE77FD">
        <w:rPr>
          <w:rtl/>
          <w:lang w:eastAsia="zh-TW"/>
        </w:rPr>
        <w:lastRenderedPageBreak/>
        <w:t>٢٤-</w:t>
      </w:r>
      <w:r w:rsidR="00714EAE">
        <w:rPr>
          <w:rtl/>
          <w:lang w:eastAsia="zh-TW"/>
        </w:rPr>
        <w:tab/>
      </w:r>
      <w:r w:rsidRPr="00EE77FD">
        <w:rPr>
          <w:rtl/>
          <w:lang w:eastAsia="zh-TW"/>
        </w:rPr>
        <w:t>وتدرك اللجنة أن الإطار الزمني لتسليم شخص لغرض المقاضاة الجنائية أو لقضاء مدة عقوبة عامل حاسم لكي تحترم الدولة التزاماتها بموجب كل من الاتفاقية ومعاهدة تسليم هي طرف فيها، عندما يتعلق الأمر بشخص قدم بلاغاً بموجب المادة ٢٢ من الاتفاقية استناداً إلى مبدأ "عدم الإعادة القسرية". ولذلك، تطلب اللجنة إلى أي دولة طرف تواجه هذه الحالة أن تبلغ اللجنة بأي تضارب محتمل بين التزاماتها بموجب الاتفاقية والتزاماتها بموجب معاهدة من معاهدات التسليم منذ بدء إجراءات الشكوى الفردية التي تشارك فيها الدولة الطرف لكي يتسنى للجنة أن تسعى إلى إعطاء الأولوية للنظر في ذلك البلاغ قبل حلول الوقت المحدد للتسليم الإلزامي. غير أن على الدولة الطرف المعنية أن تعترف بأن اللجنة لا يمكن أن تعطي الأولوية للنظر في مثل هذا البلاغ والبت فيه إلا أثناء دوراتها.</w:t>
      </w:r>
    </w:p>
    <w:p w:rsidR="00EE77FD" w:rsidRPr="00EE77FD" w:rsidRDefault="00EE77FD" w:rsidP="00714EAE">
      <w:pPr>
        <w:pStyle w:val="SingleTxtGA"/>
        <w:rPr>
          <w:rtl/>
          <w:lang w:eastAsia="zh-TW"/>
        </w:rPr>
      </w:pPr>
      <w:r w:rsidRPr="00EE77FD">
        <w:rPr>
          <w:rtl/>
          <w:lang w:eastAsia="zh-TW"/>
        </w:rPr>
        <w:t>٢٥-</w:t>
      </w:r>
      <w:r w:rsidR="00714EAE">
        <w:rPr>
          <w:rtl/>
          <w:lang w:eastAsia="zh-TW"/>
        </w:rPr>
        <w:tab/>
      </w:r>
      <w:r w:rsidRPr="00EE77FD">
        <w:rPr>
          <w:rtl/>
          <w:lang w:eastAsia="zh-TW"/>
        </w:rPr>
        <w:t>وعلاوة على ذلك، ينبغي للدول الأطراف في الاتفاقية التي تنظر لاحقاً في مسألة إبرام معاهدة تسليم أو الالتزام بها أن تكفل عدم وجود أي تنازع بين الاتفاقية وتلك المعاهدة، وإن كان هناك تنازع، أن تدرج في الإخطار بالانضمام إلى معاهدة تسليم المجرمين الحكم القائل بأن الغلبة تكون للاتفاقية في حالة التنازع.</w:t>
      </w:r>
    </w:p>
    <w:p w:rsidR="00EE77FD" w:rsidRPr="00EE77FD" w:rsidRDefault="00714EAE" w:rsidP="00714EAE">
      <w:pPr>
        <w:pStyle w:val="HChGA"/>
        <w:rPr>
          <w:rtl/>
          <w:lang w:eastAsia="zh-TW"/>
        </w:rPr>
      </w:pPr>
      <w:r>
        <w:rPr>
          <w:rtl/>
          <w:lang w:eastAsia="zh-TW"/>
        </w:rPr>
        <w:tab/>
      </w:r>
      <w:r w:rsidR="00EE77FD" w:rsidRPr="00EE77FD">
        <w:rPr>
          <w:rtl/>
          <w:lang w:eastAsia="zh-TW"/>
        </w:rPr>
        <w:t>سابعاً-</w:t>
      </w:r>
      <w:r>
        <w:rPr>
          <w:rtl/>
          <w:lang w:eastAsia="zh-TW"/>
        </w:rPr>
        <w:tab/>
      </w:r>
      <w:dir w:val="rtl">
        <w:r w:rsidR="00EE77FD" w:rsidRPr="00EE77FD">
          <w:rPr>
            <w:rtl/>
            <w:lang w:eastAsia="zh-TW"/>
          </w:rPr>
          <w:t>العلاقة بين المادة 3 والمادة 16 من الاتفاقية</w:t>
        </w:r>
        <w:r w:rsidR="00EE77FD" w:rsidRPr="00EE77FD">
          <w:rPr>
            <w:rFonts w:cs="Times New Roman" w:hint="cs"/>
            <w:rtl/>
            <w:lang w:eastAsia="zh-TW"/>
          </w:rPr>
          <w:t>‬</w:t>
        </w:r>
        <w:bookmarkStart w:id="9" w:name="_Toc516672805"/>
        <w:bookmarkEnd w:id="9"/>
        <w:r w:rsidR="00EE77FD" w:rsidRPr="00EE77FD">
          <w:t>‬</w:t>
        </w:r>
        <w:r w:rsidR="00EE77FD" w:rsidRPr="00EE77FD">
          <w:t>‬</w:t>
        </w:r>
        <w:r w:rsidR="002F142B">
          <w:t>‬</w:t>
        </w:r>
        <w:r w:rsidR="00DA073F">
          <w:t>‬</w:t>
        </w:r>
        <w:r w:rsidR="006535F6">
          <w:t>‬</w:t>
        </w:r>
      </w:dir>
    </w:p>
    <w:p w:rsidR="00EE77FD" w:rsidRPr="00EE77FD" w:rsidRDefault="00EE77FD" w:rsidP="00714EAE">
      <w:pPr>
        <w:pStyle w:val="SingleTxtGA"/>
        <w:rPr>
          <w:rtl/>
          <w:lang w:eastAsia="zh-TW"/>
        </w:rPr>
      </w:pPr>
      <w:r w:rsidRPr="00EE77FD">
        <w:rPr>
          <w:rtl/>
          <w:lang w:eastAsia="zh-TW"/>
        </w:rPr>
        <w:t>٢٦-</w:t>
      </w:r>
      <w:r w:rsidR="00714EAE">
        <w:rPr>
          <w:rtl/>
          <w:lang w:eastAsia="zh-TW"/>
        </w:rPr>
        <w:tab/>
      </w:r>
      <w:r w:rsidRPr="00EE77FD">
        <w:rPr>
          <w:rtl/>
          <w:lang w:eastAsia="zh-TW"/>
        </w:rPr>
        <w:t xml:space="preserve">إن المادة ٣ من الاتفاقية، التي توفر الحماية من الإبعاد للأشخاص الذين يواجهون خطر التعرض للتعذيب في الدولة التي سيرحَّلون </w:t>
      </w:r>
      <w:r w:rsidR="008C10B5">
        <w:rPr>
          <w:rtl/>
          <w:lang w:eastAsia="zh-TW"/>
        </w:rPr>
        <w:t>إليها، ينبغي ألا تمس بالمادة ١٦</w:t>
      </w:r>
      <w:r w:rsidRPr="00EE77FD">
        <w:rPr>
          <w:rtl/>
          <w:lang w:eastAsia="zh-TW"/>
        </w:rPr>
        <w:t xml:space="preserve">(٢) من الاتفاقية، خاصة عندما يكون الشخص المعرض للإبعاد يتمتع بحماية إضافية، بموجب الصكوك الدولية أو القانون الوطني، </w:t>
      </w:r>
      <w:proofErr w:type="gramStart"/>
      <w:r w:rsidRPr="00EE77FD">
        <w:rPr>
          <w:rtl/>
          <w:lang w:eastAsia="zh-TW"/>
        </w:rPr>
        <w:t>لكي لا</w:t>
      </w:r>
      <w:proofErr w:type="gramEnd"/>
      <w:r w:rsidRPr="00EE77FD">
        <w:rPr>
          <w:rtl/>
          <w:lang w:eastAsia="zh-TW"/>
        </w:rPr>
        <w:t xml:space="preserve"> يتم ترحيله إلى دولة سيواجه فيها خطر التعرض لمعاملة أو</w:t>
      </w:r>
      <w:r w:rsidR="00714EAE">
        <w:rPr>
          <w:rFonts w:hint="cs"/>
          <w:rtl/>
          <w:lang w:eastAsia="zh-TW"/>
        </w:rPr>
        <w:t> </w:t>
      </w:r>
      <w:r w:rsidRPr="00EE77FD">
        <w:rPr>
          <w:rtl/>
          <w:lang w:eastAsia="zh-TW"/>
        </w:rPr>
        <w:t>عق</w:t>
      </w:r>
      <w:r w:rsidR="00714EAE">
        <w:rPr>
          <w:rtl/>
          <w:lang w:eastAsia="zh-TW"/>
        </w:rPr>
        <w:t>وبة قاسية أو</w:t>
      </w:r>
      <w:r w:rsidR="00F30E70">
        <w:rPr>
          <w:rtl/>
          <w:lang w:eastAsia="zh-TW"/>
        </w:rPr>
        <w:t xml:space="preserve"> لا إنسان</w:t>
      </w:r>
      <w:r w:rsidR="00714EAE">
        <w:rPr>
          <w:rtl/>
          <w:lang w:eastAsia="zh-TW"/>
        </w:rPr>
        <w:t>ية أو مهينة</w:t>
      </w:r>
      <w:r w:rsidRPr="00EE77FD">
        <w:rPr>
          <w:rStyle w:val="FootnoteReference"/>
          <w:sz w:val="20"/>
          <w:szCs w:val="30"/>
          <w:rtl/>
          <w:lang w:eastAsia="zh-TW"/>
        </w:rPr>
        <w:t>(</w:t>
      </w:r>
      <w:r w:rsidRPr="00EE77FD">
        <w:rPr>
          <w:rStyle w:val="FootnoteReference"/>
          <w:sz w:val="20"/>
          <w:szCs w:val="30"/>
          <w:rtl/>
          <w:lang w:eastAsia="zh-TW"/>
        </w:rPr>
        <w:footnoteReference w:id="29"/>
      </w:r>
      <w:r w:rsidRPr="00EE77FD">
        <w:rPr>
          <w:rStyle w:val="FootnoteReference"/>
          <w:sz w:val="20"/>
          <w:szCs w:val="30"/>
          <w:rtl/>
          <w:lang w:eastAsia="zh-TW"/>
        </w:rPr>
        <w:t>)</w:t>
      </w:r>
      <w:r w:rsidR="00714EAE" w:rsidRPr="00714EAE">
        <w:rPr>
          <w:rStyle w:val="FootnoteReference"/>
          <w:rFonts w:hint="cs"/>
          <w:sz w:val="20"/>
          <w:szCs w:val="30"/>
          <w:vertAlign w:val="baseline"/>
          <w:rtl/>
          <w:lang w:eastAsia="zh-TW"/>
        </w:rPr>
        <w:t>.</w:t>
      </w:r>
    </w:p>
    <w:p w:rsidR="00EE77FD" w:rsidRPr="00EE77FD" w:rsidRDefault="00AB592A" w:rsidP="00AB592A">
      <w:pPr>
        <w:pStyle w:val="HChGA"/>
        <w:rPr>
          <w:rtl/>
          <w:lang w:eastAsia="zh-TW"/>
        </w:rPr>
      </w:pPr>
      <w:r>
        <w:rPr>
          <w:rtl/>
          <w:lang w:eastAsia="zh-TW"/>
        </w:rPr>
        <w:lastRenderedPageBreak/>
        <w:tab/>
      </w:r>
      <w:r w:rsidR="00EE77FD" w:rsidRPr="00EE77FD">
        <w:rPr>
          <w:rtl/>
          <w:lang w:eastAsia="zh-TW"/>
        </w:rPr>
        <w:t>ثامنا</w:t>
      </w:r>
      <w:r>
        <w:rPr>
          <w:rFonts w:hint="cs"/>
          <w:rtl/>
          <w:lang w:eastAsia="zh-TW"/>
        </w:rPr>
        <w:t>ً</w:t>
      </w:r>
      <w:r w:rsidR="00EE77FD" w:rsidRPr="00EE77FD">
        <w:rPr>
          <w:rtl/>
          <w:lang w:eastAsia="zh-TW"/>
        </w:rPr>
        <w:t>-</w:t>
      </w:r>
      <w:r>
        <w:rPr>
          <w:rtl/>
          <w:lang w:eastAsia="zh-TW"/>
        </w:rPr>
        <w:tab/>
      </w:r>
      <w:r w:rsidR="00EE77FD" w:rsidRPr="00EE77FD">
        <w:rPr>
          <w:rtl/>
          <w:lang w:eastAsia="zh-TW"/>
        </w:rPr>
        <w:t>واجبات الدول الأطراف في النظر في حالات حقوق إنسان محددة ينطبق عليها مبدأ عدم الإعادة القسرية</w:t>
      </w:r>
      <w:bookmarkStart w:id="10" w:name="_Toc516672806"/>
      <w:bookmarkEnd w:id="10"/>
    </w:p>
    <w:p w:rsidR="00EE77FD" w:rsidRPr="00714EAE" w:rsidRDefault="00EE77FD" w:rsidP="00F30E70">
      <w:pPr>
        <w:pStyle w:val="SingleTxtGA"/>
        <w:rPr>
          <w:spacing w:val="-2"/>
          <w:rtl/>
          <w:lang w:eastAsia="zh-TW"/>
        </w:rPr>
      </w:pPr>
      <w:r w:rsidRPr="00714EAE">
        <w:rPr>
          <w:spacing w:val="-2"/>
          <w:rtl/>
          <w:lang w:eastAsia="zh-TW"/>
        </w:rPr>
        <w:t>٢٧-</w:t>
      </w:r>
      <w:r w:rsidR="00AB592A" w:rsidRPr="00714EAE">
        <w:rPr>
          <w:spacing w:val="-2"/>
          <w:rtl/>
          <w:lang w:eastAsia="zh-TW"/>
        </w:rPr>
        <w:tab/>
        <w:t>تنص المادة 3</w:t>
      </w:r>
      <w:r w:rsidRPr="00714EAE">
        <w:rPr>
          <w:spacing w:val="-2"/>
          <w:rtl/>
          <w:lang w:eastAsia="zh-TW"/>
        </w:rPr>
        <w:t xml:space="preserve">(2) من الاتفاقية على أن على السلطات المختصة أن تراعي، لغرض تحديد ما إذا كانت هناك أسباب للاعتقاد بأن شخصاً ما سيكون معرضاً لخطر التعذيب في حال طرده أو إعادته أو تسليمه، جميع الاعتبارات ذات الصلة، بما في ذلك، عند الاقتضاء، وجود نمط ثابت من الانتهاكات الفادحة أو الصارخة أو الجماعية </w:t>
      </w:r>
      <w:r w:rsidR="00AB592A" w:rsidRPr="00714EAE">
        <w:rPr>
          <w:spacing w:val="-2"/>
          <w:rtl/>
          <w:lang w:eastAsia="zh-TW"/>
        </w:rPr>
        <w:t>لحقوق الإنسان في الدولة المعنية</w:t>
      </w:r>
      <w:r w:rsidRPr="00714EAE">
        <w:rPr>
          <w:rStyle w:val="FootnoteReference"/>
          <w:spacing w:val="-2"/>
          <w:sz w:val="20"/>
          <w:szCs w:val="30"/>
          <w:rtl/>
          <w:lang w:eastAsia="zh-TW"/>
        </w:rPr>
        <w:t>(</w:t>
      </w:r>
      <w:r w:rsidRPr="00714EAE">
        <w:rPr>
          <w:rStyle w:val="FootnoteReference"/>
          <w:spacing w:val="-2"/>
          <w:sz w:val="20"/>
          <w:szCs w:val="30"/>
          <w:rtl/>
          <w:lang w:eastAsia="zh-TW"/>
        </w:rPr>
        <w:footnoteReference w:id="30"/>
      </w:r>
      <w:r w:rsidRPr="00714EAE">
        <w:rPr>
          <w:rStyle w:val="FootnoteReference"/>
          <w:spacing w:val="-2"/>
          <w:sz w:val="20"/>
          <w:szCs w:val="30"/>
          <w:rtl/>
          <w:lang w:eastAsia="zh-TW"/>
        </w:rPr>
        <w:t>)</w:t>
      </w:r>
      <w:r w:rsidR="00AB592A" w:rsidRPr="00714EAE">
        <w:rPr>
          <w:rFonts w:hint="cs"/>
          <w:spacing w:val="-2"/>
          <w:rtl/>
          <w:lang w:eastAsia="zh-TW"/>
        </w:rPr>
        <w:t>.</w:t>
      </w:r>
    </w:p>
    <w:p w:rsidR="00EE77FD" w:rsidRPr="00EE77FD" w:rsidRDefault="00EE77FD" w:rsidP="00AB592A">
      <w:pPr>
        <w:pStyle w:val="SingleTxtGA"/>
        <w:rPr>
          <w:rtl/>
          <w:lang w:eastAsia="zh-TW"/>
        </w:rPr>
      </w:pPr>
      <w:r w:rsidRPr="00EE77FD">
        <w:rPr>
          <w:rtl/>
          <w:lang w:eastAsia="zh-TW"/>
        </w:rPr>
        <w:t>٢٨-</w:t>
      </w:r>
      <w:r w:rsidR="00AB592A">
        <w:rPr>
          <w:rtl/>
          <w:lang w:eastAsia="zh-TW"/>
        </w:rPr>
        <w:tab/>
      </w:r>
      <w:r w:rsidRPr="00EE77FD">
        <w:rPr>
          <w:rtl/>
          <w:lang w:eastAsia="zh-TW"/>
        </w:rPr>
        <w:t xml:space="preserve">وفي هذا الصدد، تلاحظ اللجنة أن المعاملة أو العقوبة القاسية أو اللاإنسانية أو المهينة، سواء أكانت ترقى إلى درجة التعذيب أم لا، التي تعرض لها شخص من الأشخاص أو تعرضت لها أسرة هذا الشخص في دولة منشئهم أو التي سيتعرضون لها في الدولة التي يجري ترحيل الفرد إليها، تشكل مؤشراً على أن الشخص يواجه خطر التعرض للتعذيب إن تم ترحيله إلى إحدى تلك الدول. وينبغي أن تأخذ الدول الأطراف هذه الإشارة بعين الاعتبار كعنصر أساسي لتبرير تطبيق مبدأ عدم الإعادة القسرية. </w:t>
      </w:r>
    </w:p>
    <w:p w:rsidR="00EE77FD" w:rsidRPr="00EE77FD" w:rsidRDefault="00EE77FD" w:rsidP="00AB592A">
      <w:pPr>
        <w:pStyle w:val="SingleTxtGA"/>
        <w:rPr>
          <w:rtl/>
          <w:lang w:eastAsia="zh-TW"/>
        </w:rPr>
      </w:pPr>
      <w:r w:rsidRPr="00EE77FD">
        <w:rPr>
          <w:rtl/>
          <w:lang w:eastAsia="zh-TW"/>
        </w:rPr>
        <w:t>٢٩-</w:t>
      </w:r>
      <w:r w:rsidR="00AB592A">
        <w:rPr>
          <w:rtl/>
          <w:lang w:eastAsia="zh-TW"/>
        </w:rPr>
        <w:tab/>
      </w:r>
      <w:r w:rsidRPr="00EE77FD">
        <w:rPr>
          <w:rtl/>
          <w:lang w:eastAsia="zh-TW"/>
        </w:rPr>
        <w:t>وفي هذا الصدد، تود اللجنة أن توجه انتباه الدول الأطراف إلى بعض الأمثلة غير الشاملة لحالات حقوق الإنسان التي يمكن أن تشكل مؤشراً على خطر التعذيب والتي ينبغي أن تراعيها في قراراتها بشأن إبعاد شخص من إقليمها وتأخذها في الاعتبار عند تطبيق مبدأ "عدم الإعادة القسرية". وينبغي للدول الأطراف أن تراعي بوجه خاص ما يلي:</w:t>
      </w:r>
    </w:p>
    <w:p w:rsidR="00EE77FD" w:rsidRPr="00EE77FD" w:rsidRDefault="00AB592A" w:rsidP="00AB592A">
      <w:pPr>
        <w:pStyle w:val="SingleTxtGA"/>
        <w:rPr>
          <w:rtl/>
          <w:lang w:eastAsia="zh-TW"/>
        </w:rPr>
      </w:pPr>
      <w:r>
        <w:rPr>
          <w:rtl/>
          <w:lang w:eastAsia="zh-TW"/>
        </w:rPr>
        <w:tab/>
      </w:r>
      <w:r w:rsidR="00EE77FD" w:rsidRPr="00EE77FD">
        <w:rPr>
          <w:rtl/>
          <w:lang w:eastAsia="zh-TW"/>
        </w:rPr>
        <w:t>(أ)</w:t>
      </w:r>
      <w:r>
        <w:rPr>
          <w:rtl/>
          <w:lang w:eastAsia="zh-TW"/>
        </w:rPr>
        <w:tab/>
      </w:r>
      <w:r w:rsidR="00EE77FD" w:rsidRPr="00EE77FD">
        <w:rPr>
          <w:rtl/>
          <w:lang w:eastAsia="zh-TW"/>
        </w:rPr>
        <w:t>ما إذا كان الشخص المعني قد سبق توقيفه تعسفاً في دولة منشئه دون أمر قضائي و/أو ما إذا كان قد حُرِم من الضمانات الأ</w:t>
      </w:r>
      <w:r>
        <w:rPr>
          <w:rtl/>
          <w:lang w:eastAsia="zh-TW"/>
        </w:rPr>
        <w:t>ساسية للمحتجزين لدى الشرطة، مثل</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31"/>
      </w:r>
      <w:r w:rsidR="00EE77FD" w:rsidRPr="00EE77FD">
        <w:rPr>
          <w:rStyle w:val="FootnoteReference"/>
          <w:sz w:val="20"/>
          <w:szCs w:val="30"/>
          <w:rtl/>
          <w:lang w:eastAsia="zh-TW"/>
        </w:rPr>
        <w:t>)</w:t>
      </w:r>
      <w:r>
        <w:rPr>
          <w:rFonts w:hint="cs"/>
          <w:rtl/>
          <w:lang w:eastAsia="zh-TW"/>
        </w:rPr>
        <w:t>:</w:t>
      </w:r>
    </w:p>
    <w:p w:rsidR="00EE77FD" w:rsidRPr="00EE77FD" w:rsidRDefault="00EE77FD" w:rsidP="008C10B5">
      <w:pPr>
        <w:pStyle w:val="Roman2GA"/>
        <w:tabs>
          <w:tab w:val="clear" w:pos="2877"/>
          <w:tab w:val="clear" w:pos="3062"/>
          <w:tab w:val="left" w:pos="2612"/>
        </w:tabs>
        <w:bidi/>
        <w:ind w:left="2612" w:hanging="448"/>
        <w:rPr>
          <w:rtl/>
          <w:lang w:eastAsia="zh-TW"/>
        </w:rPr>
      </w:pPr>
      <w:r w:rsidRPr="00EE77FD">
        <w:rPr>
          <w:rtl/>
          <w:lang w:eastAsia="zh-TW"/>
        </w:rPr>
        <w:t>إخطار الشخص كتا</w:t>
      </w:r>
      <w:r w:rsidR="00AB592A">
        <w:rPr>
          <w:rtl/>
          <w:lang w:eastAsia="zh-TW"/>
        </w:rPr>
        <w:t>بياً وبلغة يفهمها بأسباب توقيفه</w:t>
      </w:r>
      <w:r w:rsidRPr="00EE77FD">
        <w:rPr>
          <w:rStyle w:val="FootnoteReference"/>
          <w:sz w:val="20"/>
          <w:szCs w:val="30"/>
          <w:rtl/>
          <w:lang w:eastAsia="zh-TW"/>
        </w:rPr>
        <w:t>(</w:t>
      </w:r>
      <w:r w:rsidRPr="00EE77FD">
        <w:rPr>
          <w:rStyle w:val="FootnoteReference"/>
          <w:sz w:val="20"/>
          <w:szCs w:val="30"/>
          <w:rtl/>
          <w:lang w:eastAsia="zh-TW"/>
        </w:rPr>
        <w:footnoteReference w:id="32"/>
      </w:r>
      <w:r w:rsidRPr="00EE77FD">
        <w:rPr>
          <w:rStyle w:val="FootnoteReference"/>
          <w:sz w:val="20"/>
          <w:szCs w:val="30"/>
          <w:rtl/>
          <w:lang w:eastAsia="zh-TW"/>
        </w:rPr>
        <w:t>)</w:t>
      </w:r>
      <w:r w:rsidR="00AB592A">
        <w:rPr>
          <w:rFonts w:hint="cs"/>
          <w:rtl/>
          <w:lang w:eastAsia="zh-TW"/>
        </w:rPr>
        <w:t>؛</w:t>
      </w:r>
    </w:p>
    <w:p w:rsidR="00EE77FD" w:rsidRPr="00EE77FD" w:rsidRDefault="00EE77FD" w:rsidP="008C10B5">
      <w:pPr>
        <w:pStyle w:val="Roman2GA"/>
        <w:tabs>
          <w:tab w:val="clear" w:pos="2877"/>
          <w:tab w:val="clear" w:pos="3062"/>
          <w:tab w:val="left" w:pos="2612"/>
        </w:tabs>
        <w:bidi/>
        <w:ind w:left="2612" w:hanging="448"/>
        <w:rPr>
          <w:rtl/>
          <w:lang w:eastAsia="zh-TW"/>
        </w:rPr>
      </w:pPr>
      <w:r w:rsidRPr="00EE77FD">
        <w:rPr>
          <w:rtl/>
          <w:lang w:eastAsia="zh-TW"/>
        </w:rPr>
        <w:t>وصول الشخص إلى أحد أفراد أسرته أو إلى شخ</w:t>
      </w:r>
      <w:r w:rsidR="00AB592A">
        <w:rPr>
          <w:rtl/>
          <w:lang w:eastAsia="zh-TW"/>
        </w:rPr>
        <w:t>ص يختاره لإبلاغه بعملية التوقيف</w:t>
      </w:r>
      <w:r w:rsidRPr="00EE77FD">
        <w:rPr>
          <w:rStyle w:val="FootnoteReference"/>
          <w:sz w:val="20"/>
          <w:szCs w:val="30"/>
          <w:rtl/>
          <w:lang w:eastAsia="zh-TW"/>
        </w:rPr>
        <w:t>(</w:t>
      </w:r>
      <w:r w:rsidRPr="00EE77FD">
        <w:rPr>
          <w:rStyle w:val="FootnoteReference"/>
          <w:sz w:val="20"/>
          <w:szCs w:val="30"/>
          <w:rtl/>
          <w:lang w:eastAsia="zh-TW"/>
        </w:rPr>
        <w:footnoteReference w:id="33"/>
      </w:r>
      <w:r w:rsidRPr="00EE77FD">
        <w:rPr>
          <w:rStyle w:val="FootnoteReference"/>
          <w:sz w:val="20"/>
          <w:szCs w:val="30"/>
          <w:rtl/>
          <w:lang w:eastAsia="zh-TW"/>
        </w:rPr>
        <w:t>)</w:t>
      </w:r>
      <w:r w:rsidR="00AB592A">
        <w:rPr>
          <w:rFonts w:hint="cs"/>
          <w:rtl/>
          <w:lang w:eastAsia="zh-TW"/>
        </w:rPr>
        <w:t>؛</w:t>
      </w:r>
    </w:p>
    <w:p w:rsidR="00EE77FD" w:rsidRPr="00EE77FD" w:rsidRDefault="00EE77FD" w:rsidP="008C10B5">
      <w:pPr>
        <w:pStyle w:val="Roman2GA"/>
        <w:tabs>
          <w:tab w:val="clear" w:pos="2877"/>
          <w:tab w:val="clear" w:pos="3062"/>
          <w:tab w:val="left" w:pos="2612"/>
        </w:tabs>
        <w:bidi/>
        <w:ind w:left="2612" w:hanging="448"/>
        <w:rPr>
          <w:rtl/>
          <w:lang w:eastAsia="zh-TW"/>
        </w:rPr>
      </w:pPr>
      <w:r w:rsidRPr="00EE77FD">
        <w:rPr>
          <w:rtl/>
          <w:lang w:eastAsia="zh-TW"/>
        </w:rPr>
        <w:t>حصول الشخص على خدمات محامٍ بالمجان عند الضرورة، وعند الطلب حصوله على خدمات محامٍ</w:t>
      </w:r>
      <w:r w:rsidR="00AB592A">
        <w:rPr>
          <w:rtl/>
          <w:lang w:eastAsia="zh-TW"/>
        </w:rPr>
        <w:t xml:space="preserve"> يختاره ويتحمل نفقته للدفاع عنه</w:t>
      </w:r>
      <w:r w:rsidRPr="00EE77FD">
        <w:rPr>
          <w:rStyle w:val="FootnoteReference"/>
          <w:sz w:val="20"/>
          <w:szCs w:val="30"/>
          <w:rtl/>
          <w:lang w:eastAsia="zh-TW"/>
        </w:rPr>
        <w:t>(</w:t>
      </w:r>
      <w:r w:rsidRPr="00EE77FD">
        <w:rPr>
          <w:rStyle w:val="FootnoteReference"/>
          <w:sz w:val="20"/>
          <w:szCs w:val="30"/>
          <w:rtl/>
          <w:lang w:eastAsia="zh-TW"/>
        </w:rPr>
        <w:footnoteReference w:id="34"/>
      </w:r>
      <w:r w:rsidRPr="00EE77FD">
        <w:rPr>
          <w:rStyle w:val="FootnoteReference"/>
          <w:sz w:val="20"/>
          <w:szCs w:val="30"/>
          <w:rtl/>
          <w:lang w:eastAsia="zh-TW"/>
        </w:rPr>
        <w:t>)</w:t>
      </w:r>
      <w:r w:rsidR="00AB592A" w:rsidRPr="00AB592A">
        <w:rPr>
          <w:rStyle w:val="FootnoteReference"/>
          <w:rFonts w:hint="cs"/>
          <w:sz w:val="20"/>
          <w:szCs w:val="30"/>
          <w:vertAlign w:val="baseline"/>
          <w:rtl/>
          <w:lang w:eastAsia="zh-TW"/>
        </w:rPr>
        <w:t>؛</w:t>
      </w:r>
    </w:p>
    <w:p w:rsidR="00EE77FD" w:rsidRPr="00EE77FD" w:rsidRDefault="00EE77FD" w:rsidP="008C10B5">
      <w:pPr>
        <w:pStyle w:val="Roman2GA"/>
        <w:tabs>
          <w:tab w:val="clear" w:pos="2877"/>
          <w:tab w:val="clear" w:pos="3062"/>
          <w:tab w:val="left" w:pos="2612"/>
        </w:tabs>
        <w:bidi/>
        <w:ind w:left="2612" w:hanging="448"/>
        <w:rPr>
          <w:rtl/>
          <w:lang w:eastAsia="zh-TW"/>
        </w:rPr>
      </w:pPr>
      <w:r w:rsidRPr="00EE77FD">
        <w:rPr>
          <w:rtl/>
          <w:lang w:eastAsia="zh-TW"/>
        </w:rPr>
        <w:lastRenderedPageBreak/>
        <w:t>وصول الشخص إلى طبيب مستقل لفحصه وعلاجه الصحي أو الوصول، لهذا الغرض، إ</w:t>
      </w:r>
      <w:r w:rsidR="00AB592A">
        <w:rPr>
          <w:rtl/>
          <w:lang w:eastAsia="zh-TW"/>
        </w:rPr>
        <w:t>لى طبيب يختاره على نفقته الخاصة</w:t>
      </w:r>
      <w:r w:rsidRPr="00EE77FD">
        <w:rPr>
          <w:rStyle w:val="FootnoteReference"/>
          <w:sz w:val="20"/>
          <w:szCs w:val="30"/>
          <w:rtl/>
          <w:lang w:eastAsia="zh-TW"/>
        </w:rPr>
        <w:t>(</w:t>
      </w:r>
      <w:r w:rsidRPr="00EE77FD">
        <w:rPr>
          <w:rStyle w:val="FootnoteReference"/>
          <w:sz w:val="20"/>
          <w:szCs w:val="30"/>
          <w:rtl/>
          <w:lang w:eastAsia="zh-TW"/>
        </w:rPr>
        <w:footnoteReference w:id="35"/>
      </w:r>
      <w:r w:rsidRPr="00EE77FD">
        <w:rPr>
          <w:rStyle w:val="FootnoteReference"/>
          <w:sz w:val="20"/>
          <w:szCs w:val="30"/>
          <w:rtl/>
          <w:lang w:eastAsia="zh-TW"/>
        </w:rPr>
        <w:t>)</w:t>
      </w:r>
      <w:r w:rsidR="00AB592A" w:rsidRPr="00AB592A">
        <w:rPr>
          <w:rStyle w:val="FootnoteReference"/>
          <w:rFonts w:hint="cs"/>
          <w:sz w:val="20"/>
          <w:szCs w:val="30"/>
          <w:vertAlign w:val="baseline"/>
          <w:rtl/>
          <w:lang w:eastAsia="zh-TW"/>
        </w:rPr>
        <w:t>؛</w:t>
      </w:r>
    </w:p>
    <w:p w:rsidR="00EE77FD" w:rsidRPr="00EE77FD" w:rsidRDefault="00EE77FD" w:rsidP="008C10B5">
      <w:pPr>
        <w:pStyle w:val="Roman2GA"/>
        <w:tabs>
          <w:tab w:val="clear" w:pos="2877"/>
          <w:tab w:val="clear" w:pos="3062"/>
          <w:tab w:val="left" w:pos="2612"/>
        </w:tabs>
        <w:bidi/>
        <w:ind w:left="2612" w:hanging="448"/>
        <w:rPr>
          <w:rtl/>
          <w:lang w:eastAsia="zh-TW"/>
        </w:rPr>
      </w:pPr>
      <w:r w:rsidRPr="00EE77FD">
        <w:rPr>
          <w:rtl/>
          <w:lang w:eastAsia="zh-TW"/>
        </w:rPr>
        <w:t>الوصول إلى هيئة طبية متخصصة مستقلة للتحقق م</w:t>
      </w:r>
      <w:r w:rsidR="00AB592A">
        <w:rPr>
          <w:rtl/>
          <w:lang w:eastAsia="zh-TW"/>
        </w:rPr>
        <w:t>ن ادعاءات الشخص أنه خضع للتعذيب</w:t>
      </w:r>
      <w:r w:rsidRPr="00EE77FD">
        <w:rPr>
          <w:rStyle w:val="FootnoteReference"/>
          <w:sz w:val="20"/>
          <w:szCs w:val="30"/>
          <w:rtl/>
          <w:lang w:eastAsia="zh-TW"/>
        </w:rPr>
        <w:t>(</w:t>
      </w:r>
      <w:r w:rsidRPr="00EE77FD">
        <w:rPr>
          <w:rStyle w:val="FootnoteReference"/>
          <w:sz w:val="20"/>
          <w:szCs w:val="30"/>
          <w:rtl/>
          <w:lang w:eastAsia="zh-TW"/>
        </w:rPr>
        <w:footnoteReference w:id="36"/>
      </w:r>
      <w:r w:rsidRPr="00EE77FD">
        <w:rPr>
          <w:rStyle w:val="FootnoteReference"/>
          <w:sz w:val="20"/>
          <w:szCs w:val="30"/>
          <w:rtl/>
          <w:lang w:eastAsia="zh-TW"/>
        </w:rPr>
        <w:t>)</w:t>
      </w:r>
      <w:r w:rsidR="00AB592A" w:rsidRPr="00AB592A">
        <w:rPr>
          <w:rStyle w:val="FootnoteReference"/>
          <w:rFonts w:hint="cs"/>
          <w:sz w:val="20"/>
          <w:szCs w:val="30"/>
          <w:vertAlign w:val="baseline"/>
          <w:rtl/>
          <w:lang w:eastAsia="zh-TW"/>
        </w:rPr>
        <w:t>؛</w:t>
      </w:r>
    </w:p>
    <w:p w:rsidR="00EE77FD" w:rsidRPr="00EE77FD" w:rsidRDefault="00EE77FD" w:rsidP="008C10B5">
      <w:pPr>
        <w:pStyle w:val="Roman2GA"/>
        <w:tabs>
          <w:tab w:val="clear" w:pos="2877"/>
          <w:tab w:val="clear" w:pos="3062"/>
          <w:tab w:val="left" w:pos="2612"/>
        </w:tabs>
        <w:bidi/>
        <w:ind w:left="2612" w:hanging="448"/>
        <w:rPr>
          <w:rtl/>
          <w:lang w:eastAsia="zh-TW"/>
        </w:rPr>
      </w:pPr>
      <w:r w:rsidRPr="00EE77FD">
        <w:rPr>
          <w:rtl/>
          <w:lang w:eastAsia="zh-TW"/>
        </w:rPr>
        <w:t>الوصول إلى مؤسسة قضائية مختصة ومستقلة يحق لها إصدار حكم بشأن ادعاءات الشخص المتعلقة بالمعاملة أثناء الاحتجاز ضمن الإطار الزمني الذي يحدده القانون أو ضمن إطار زمني</w:t>
      </w:r>
      <w:r w:rsidR="00AB592A">
        <w:rPr>
          <w:rtl/>
          <w:lang w:eastAsia="zh-TW"/>
        </w:rPr>
        <w:t xml:space="preserve"> معقول يُقيَّم لكل حالة على حدة</w:t>
      </w:r>
      <w:r w:rsidRPr="00EE77FD">
        <w:rPr>
          <w:rStyle w:val="FootnoteReference"/>
          <w:sz w:val="20"/>
          <w:szCs w:val="30"/>
          <w:rtl/>
          <w:lang w:eastAsia="zh-TW"/>
        </w:rPr>
        <w:t>(</w:t>
      </w:r>
      <w:r w:rsidRPr="00EE77FD">
        <w:rPr>
          <w:rStyle w:val="FootnoteReference"/>
          <w:sz w:val="20"/>
          <w:szCs w:val="30"/>
          <w:rtl/>
          <w:lang w:eastAsia="zh-TW"/>
        </w:rPr>
        <w:footnoteReference w:id="37"/>
      </w:r>
      <w:r w:rsidRPr="00EE77FD">
        <w:rPr>
          <w:rStyle w:val="FootnoteReference"/>
          <w:sz w:val="20"/>
          <w:szCs w:val="30"/>
          <w:rtl/>
          <w:lang w:eastAsia="zh-TW"/>
        </w:rPr>
        <w:t>)</w:t>
      </w:r>
      <w:r w:rsidR="00AB592A" w:rsidRPr="00AB592A">
        <w:rPr>
          <w:rStyle w:val="FootnoteReference"/>
          <w:rFonts w:hint="cs"/>
          <w:sz w:val="20"/>
          <w:szCs w:val="30"/>
          <w:vertAlign w:val="baseline"/>
          <w:rtl/>
          <w:lang w:eastAsia="zh-TW"/>
        </w:rPr>
        <w:t>؛</w:t>
      </w:r>
    </w:p>
    <w:p w:rsidR="00EE77FD" w:rsidRPr="00EE77FD" w:rsidRDefault="00AB592A" w:rsidP="00EE77FD">
      <w:pPr>
        <w:pStyle w:val="SingleTxtGA"/>
        <w:rPr>
          <w:rtl/>
          <w:lang w:eastAsia="zh-TW"/>
        </w:rPr>
      </w:pPr>
      <w:r>
        <w:rPr>
          <w:rtl/>
          <w:lang w:eastAsia="zh-TW"/>
        </w:rPr>
        <w:tab/>
      </w:r>
      <w:r w:rsidR="00EE77FD" w:rsidRPr="00EE77FD">
        <w:rPr>
          <w:rtl/>
          <w:lang w:eastAsia="zh-TW"/>
        </w:rPr>
        <w:t>(ب)</w:t>
      </w:r>
      <w:r w:rsidR="00EE77FD" w:rsidRPr="00EE77FD">
        <w:rPr>
          <w:rtl/>
          <w:lang w:eastAsia="zh-TW"/>
        </w:rPr>
        <w:tab/>
        <w:t>ما إذا كان الشخص وقع ضحية لمعاملة وحشية أو لاستخدام مفرط للقوة من جانب موظفين عموميين على أساس أي شكل من أشكال التمييز في دولة منشئه أو سيواجه هذه المعاملة الوحشية ف</w:t>
      </w:r>
      <w:r>
        <w:rPr>
          <w:rtl/>
          <w:lang w:eastAsia="zh-TW"/>
        </w:rPr>
        <w:t>ي الدولة التي يجري ترحيله إليها</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38"/>
      </w:r>
      <w:r w:rsidR="00EE77FD" w:rsidRPr="00EE77FD">
        <w:rPr>
          <w:rStyle w:val="FootnoteReference"/>
          <w:sz w:val="20"/>
          <w:szCs w:val="30"/>
          <w:rtl/>
          <w:lang w:eastAsia="zh-TW"/>
        </w:rPr>
        <w:t>)</w:t>
      </w:r>
      <w:r w:rsidRPr="00AB592A">
        <w:rPr>
          <w:rStyle w:val="FootnoteReference"/>
          <w:rFonts w:hint="cs"/>
          <w:sz w:val="20"/>
          <w:szCs w:val="30"/>
          <w:vertAlign w:val="baseline"/>
          <w:rtl/>
          <w:lang w:eastAsia="zh-TW"/>
        </w:rPr>
        <w:t>؛</w:t>
      </w:r>
    </w:p>
    <w:p w:rsidR="00EE77FD" w:rsidRPr="00EE77FD" w:rsidRDefault="00AB592A" w:rsidP="00AB592A">
      <w:pPr>
        <w:pStyle w:val="SingleTxtGA"/>
        <w:rPr>
          <w:rtl/>
          <w:lang w:eastAsia="zh-TW"/>
        </w:rPr>
      </w:pPr>
      <w:r>
        <w:rPr>
          <w:rtl/>
          <w:lang w:eastAsia="zh-TW"/>
        </w:rPr>
        <w:tab/>
      </w:r>
      <w:r w:rsidR="00EE77FD" w:rsidRPr="00EE77FD">
        <w:rPr>
          <w:rtl/>
          <w:lang w:eastAsia="zh-TW"/>
        </w:rPr>
        <w:t>(ج)</w:t>
      </w:r>
      <w:r w:rsidR="00EE77FD" w:rsidRPr="00EE77FD">
        <w:rPr>
          <w:rtl/>
          <w:lang w:eastAsia="zh-TW"/>
        </w:rPr>
        <w:tab/>
        <w:t>ما إذا كان الشخص وقع أو سيقع ضحية للعنف في دولة منشئه أو في الدولة التي يجري ترحيله إليها، بما في ذلك العنف الجنساني أو الجنسي، في أماكن عامة أو خاصة، أو</w:t>
      </w:r>
      <w:r>
        <w:rPr>
          <w:rFonts w:hint="cs"/>
          <w:rtl/>
          <w:lang w:eastAsia="zh-TW"/>
        </w:rPr>
        <w:t> </w:t>
      </w:r>
      <w:r w:rsidR="00EE77FD" w:rsidRPr="00EE77FD">
        <w:rPr>
          <w:rtl/>
          <w:lang w:eastAsia="zh-TW"/>
        </w:rPr>
        <w:t xml:space="preserve">الاضطهاد الجنساني أو تشويه الأعضاء التناسلية، مما قد يصل إلى حد التعذيب، دون تدخل السلطات المختصة </w:t>
      </w:r>
      <w:r>
        <w:rPr>
          <w:rtl/>
          <w:lang w:eastAsia="zh-TW"/>
        </w:rPr>
        <w:t>في الدولة المعنية لحماية الضحية</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39"/>
      </w:r>
      <w:r w:rsidR="00EE77FD" w:rsidRPr="00EE77FD">
        <w:rPr>
          <w:rStyle w:val="FootnoteReference"/>
          <w:sz w:val="20"/>
          <w:szCs w:val="30"/>
          <w:rtl/>
          <w:lang w:eastAsia="zh-TW"/>
        </w:rPr>
        <w:t>)</w:t>
      </w:r>
      <w:r w:rsidRPr="00AB592A">
        <w:rPr>
          <w:rStyle w:val="FootnoteReference"/>
          <w:rFonts w:hint="cs"/>
          <w:sz w:val="20"/>
          <w:szCs w:val="30"/>
          <w:vertAlign w:val="baseline"/>
          <w:rtl/>
          <w:lang w:eastAsia="zh-TW"/>
        </w:rPr>
        <w:t>؛</w:t>
      </w:r>
    </w:p>
    <w:p w:rsidR="00EE77FD" w:rsidRPr="00EE77FD" w:rsidRDefault="00AB592A" w:rsidP="00EE77FD">
      <w:pPr>
        <w:pStyle w:val="SingleTxtGA"/>
        <w:rPr>
          <w:rtl/>
          <w:lang w:eastAsia="zh-TW"/>
        </w:rPr>
      </w:pPr>
      <w:r>
        <w:rPr>
          <w:rtl/>
          <w:lang w:eastAsia="zh-TW"/>
        </w:rPr>
        <w:tab/>
      </w:r>
      <w:r w:rsidR="00EE77FD" w:rsidRPr="00EE77FD">
        <w:rPr>
          <w:rtl/>
          <w:lang w:eastAsia="zh-TW"/>
        </w:rPr>
        <w:t>(د)</w:t>
      </w:r>
      <w:r w:rsidR="00EE77FD" w:rsidRPr="00EE77FD">
        <w:rPr>
          <w:rtl/>
          <w:lang w:eastAsia="zh-TW"/>
        </w:rPr>
        <w:tab/>
        <w:t>ما إذا كان الشخص حُكِم عليه في دولة المنشأ أو سيُحكَم عليه في الدولة التي يجري ترحيله إليها في نظام قضا</w:t>
      </w:r>
      <w:r>
        <w:rPr>
          <w:rtl/>
          <w:lang w:eastAsia="zh-TW"/>
        </w:rPr>
        <w:t>ئي لا يضمن الحق في محاكمة عادلة</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40"/>
      </w:r>
      <w:r w:rsidR="00EE77FD" w:rsidRPr="00EE77FD">
        <w:rPr>
          <w:rStyle w:val="FootnoteReference"/>
          <w:sz w:val="20"/>
          <w:szCs w:val="30"/>
          <w:rtl/>
          <w:lang w:eastAsia="zh-TW"/>
        </w:rPr>
        <w:t>)</w:t>
      </w:r>
      <w:r w:rsidRPr="00AB592A">
        <w:rPr>
          <w:rStyle w:val="FootnoteReference"/>
          <w:rFonts w:hint="cs"/>
          <w:sz w:val="20"/>
          <w:szCs w:val="30"/>
          <w:vertAlign w:val="baseline"/>
          <w:rtl/>
          <w:lang w:eastAsia="zh-TW"/>
        </w:rPr>
        <w:t>؛</w:t>
      </w:r>
    </w:p>
    <w:p w:rsidR="00EE77FD" w:rsidRPr="00EE77FD" w:rsidRDefault="00AB592A" w:rsidP="00AB592A">
      <w:pPr>
        <w:pStyle w:val="SingleTxtGA"/>
        <w:rPr>
          <w:rtl/>
          <w:lang w:eastAsia="zh-TW"/>
        </w:rPr>
      </w:pPr>
      <w:r>
        <w:rPr>
          <w:rtl/>
          <w:lang w:eastAsia="zh-TW"/>
        </w:rPr>
        <w:tab/>
      </w:r>
      <w:r w:rsidR="00EE77FD" w:rsidRPr="00EE77FD">
        <w:rPr>
          <w:rtl/>
          <w:lang w:eastAsia="zh-TW"/>
        </w:rPr>
        <w:t>(هـ)</w:t>
      </w:r>
      <w:r w:rsidR="00EE77FD" w:rsidRPr="00EE77FD">
        <w:rPr>
          <w:rtl/>
          <w:lang w:eastAsia="zh-TW"/>
        </w:rPr>
        <w:tab/>
        <w:t>ما إذا كان الشخص المعني قد سبق احتجازه أو سجنه في دولة المنشأ أو</w:t>
      </w:r>
      <w:r>
        <w:rPr>
          <w:rFonts w:hint="cs"/>
          <w:rtl/>
          <w:lang w:eastAsia="zh-TW"/>
        </w:rPr>
        <w:t> </w:t>
      </w:r>
      <w:r w:rsidR="00EE77FD" w:rsidRPr="00EE77FD">
        <w:rPr>
          <w:rtl/>
          <w:lang w:eastAsia="zh-TW"/>
        </w:rPr>
        <w:t>سيُحتجَز أو يُسجَن، في حال ترحيله إلى دولة من الدول، في ظروف تصل إلى حد التعذيب أو المعاملة أو العقوبة القاسية أو اللاإنسانية أ</w:t>
      </w:r>
      <w:r>
        <w:rPr>
          <w:rtl/>
          <w:lang w:eastAsia="zh-TW"/>
        </w:rPr>
        <w:t>و المهينة</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41"/>
      </w:r>
      <w:r w:rsidR="00EE77FD" w:rsidRPr="00EE77FD">
        <w:rPr>
          <w:rStyle w:val="FootnoteReference"/>
          <w:sz w:val="20"/>
          <w:szCs w:val="30"/>
          <w:rtl/>
          <w:lang w:eastAsia="zh-TW"/>
        </w:rPr>
        <w:t>)</w:t>
      </w:r>
      <w:r>
        <w:rPr>
          <w:rFonts w:hint="cs"/>
          <w:rtl/>
          <w:lang w:eastAsia="zh-TW"/>
        </w:rPr>
        <w:t>؛</w:t>
      </w:r>
    </w:p>
    <w:p w:rsidR="00EE77FD" w:rsidRPr="00EE77FD" w:rsidRDefault="00AB592A" w:rsidP="00AB592A">
      <w:pPr>
        <w:pStyle w:val="SingleTxtGA"/>
        <w:rPr>
          <w:rtl/>
          <w:lang w:eastAsia="zh-TW"/>
        </w:rPr>
      </w:pPr>
      <w:r>
        <w:rPr>
          <w:rtl/>
          <w:lang w:eastAsia="zh-TW"/>
        </w:rPr>
        <w:tab/>
      </w:r>
      <w:r w:rsidR="00EE77FD" w:rsidRPr="00EE77FD">
        <w:rPr>
          <w:rtl/>
          <w:lang w:eastAsia="zh-TW"/>
        </w:rPr>
        <w:t>(و)</w:t>
      </w:r>
      <w:r w:rsidR="00EE77FD" w:rsidRPr="00EE77FD">
        <w:rPr>
          <w:rtl/>
          <w:lang w:eastAsia="zh-TW"/>
        </w:rPr>
        <w:tab/>
        <w:t>ما إذا كان الشخص المعني سيواجه أحكام عقوبة بدنية في حال ترحيله إلى دولة يجيز قانونها الوطني العقوبة البدنية ولكن تلك العقوبة تصل إلى حد التعذيب أو المعاملة أو</w:t>
      </w:r>
      <w:r>
        <w:rPr>
          <w:rFonts w:hint="cs"/>
          <w:rtl/>
          <w:lang w:eastAsia="zh-TW"/>
        </w:rPr>
        <w:t> </w:t>
      </w:r>
      <w:r w:rsidR="00EE77FD" w:rsidRPr="00EE77FD">
        <w:rPr>
          <w:rtl/>
          <w:lang w:eastAsia="zh-TW"/>
        </w:rPr>
        <w:t xml:space="preserve">العقوبة القاسية أو اللاإنسانية أو المهينة وفقاً للقانون الدولي العرفي واجتهادات اللجنة وغير ذلك من الآليات الدولية والإقليمية </w:t>
      </w:r>
      <w:r>
        <w:rPr>
          <w:rtl/>
          <w:lang w:eastAsia="zh-TW"/>
        </w:rPr>
        <w:t>المعترف بها لحماية حقوق الإنسان</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42"/>
      </w:r>
      <w:r w:rsidR="00EE77FD" w:rsidRPr="00EE77FD">
        <w:rPr>
          <w:rStyle w:val="FootnoteReference"/>
          <w:sz w:val="20"/>
          <w:szCs w:val="30"/>
          <w:rtl/>
          <w:lang w:eastAsia="zh-TW"/>
        </w:rPr>
        <w:t>)</w:t>
      </w:r>
      <w:r w:rsidRPr="00AB592A">
        <w:rPr>
          <w:rStyle w:val="FootnoteReference"/>
          <w:rFonts w:hint="cs"/>
          <w:sz w:val="20"/>
          <w:szCs w:val="30"/>
          <w:vertAlign w:val="baseline"/>
          <w:rtl/>
          <w:lang w:eastAsia="zh-TW"/>
        </w:rPr>
        <w:t>؛</w:t>
      </w:r>
    </w:p>
    <w:p w:rsidR="00EE77FD" w:rsidRPr="008C10B5" w:rsidRDefault="00AB592A" w:rsidP="00AB592A">
      <w:pPr>
        <w:pStyle w:val="SingleTxtGA"/>
        <w:rPr>
          <w:spacing w:val="-2"/>
          <w:rtl/>
          <w:lang w:eastAsia="zh-TW"/>
        </w:rPr>
      </w:pPr>
      <w:r w:rsidRPr="008C10B5">
        <w:rPr>
          <w:spacing w:val="-2"/>
          <w:rtl/>
          <w:lang w:eastAsia="zh-TW"/>
        </w:rPr>
        <w:lastRenderedPageBreak/>
        <w:tab/>
      </w:r>
      <w:r w:rsidR="00EE77FD" w:rsidRPr="008C10B5">
        <w:rPr>
          <w:spacing w:val="-2"/>
          <w:rtl/>
          <w:lang w:eastAsia="zh-TW"/>
        </w:rPr>
        <w:t>(ز)</w:t>
      </w:r>
      <w:r w:rsidRPr="008C10B5">
        <w:rPr>
          <w:spacing w:val="-2"/>
          <w:rtl/>
          <w:lang w:eastAsia="zh-TW"/>
        </w:rPr>
        <w:tab/>
      </w:r>
      <w:r w:rsidR="00EE77FD" w:rsidRPr="008C10B5">
        <w:rPr>
          <w:spacing w:val="-2"/>
          <w:rtl/>
          <w:lang w:eastAsia="zh-TW"/>
        </w:rPr>
        <w:t>ما إذا كان الشخص المعني سيُرحَّل إلى دولة عُرِضت على أنظار المحكمة بشأنها ادعاءات أو أدلة جديرة بالثقة بشأن جرائم إبادة جماعية أو جرائم ضد الإنسانية أو جرائم حرب بالمعنى المقصود في المواد 6 و7 و8 من نظام روما ا</w:t>
      </w:r>
      <w:r w:rsidRPr="008C10B5">
        <w:rPr>
          <w:spacing w:val="-2"/>
          <w:rtl/>
          <w:lang w:eastAsia="zh-TW"/>
        </w:rPr>
        <w:t>لأساسي للمحكمة الجنائية الدولية</w:t>
      </w:r>
      <w:r w:rsidR="00EE77FD" w:rsidRPr="008C10B5">
        <w:rPr>
          <w:rStyle w:val="FootnoteReference"/>
          <w:spacing w:val="-2"/>
          <w:sz w:val="20"/>
          <w:szCs w:val="30"/>
          <w:rtl/>
          <w:lang w:eastAsia="zh-TW"/>
        </w:rPr>
        <w:t>(</w:t>
      </w:r>
      <w:r w:rsidR="00EE77FD" w:rsidRPr="008C10B5">
        <w:rPr>
          <w:rStyle w:val="FootnoteReference"/>
          <w:spacing w:val="-2"/>
          <w:sz w:val="20"/>
          <w:szCs w:val="30"/>
          <w:rtl/>
          <w:lang w:eastAsia="zh-TW"/>
        </w:rPr>
        <w:footnoteReference w:id="43"/>
      </w:r>
      <w:r w:rsidR="00EE77FD" w:rsidRPr="008C10B5">
        <w:rPr>
          <w:rStyle w:val="FootnoteReference"/>
          <w:spacing w:val="-2"/>
          <w:sz w:val="20"/>
          <w:szCs w:val="30"/>
          <w:rtl/>
          <w:lang w:eastAsia="zh-TW"/>
        </w:rPr>
        <w:t>)</w:t>
      </w:r>
      <w:r w:rsidRPr="008C10B5">
        <w:rPr>
          <w:rFonts w:hint="cs"/>
          <w:spacing w:val="-2"/>
          <w:rtl/>
          <w:lang w:eastAsia="zh-TW"/>
        </w:rPr>
        <w:t>؛</w:t>
      </w:r>
    </w:p>
    <w:p w:rsidR="00EE77FD" w:rsidRPr="008C10B5" w:rsidRDefault="00AB592A" w:rsidP="008C10B5">
      <w:pPr>
        <w:pStyle w:val="SingleTxtGA"/>
        <w:rPr>
          <w:spacing w:val="-4"/>
          <w:rtl/>
          <w:lang w:eastAsia="zh-TW"/>
        </w:rPr>
      </w:pPr>
      <w:r w:rsidRPr="008C10B5">
        <w:rPr>
          <w:spacing w:val="-4"/>
          <w:rtl/>
          <w:lang w:eastAsia="zh-TW"/>
        </w:rPr>
        <w:tab/>
      </w:r>
      <w:r w:rsidR="00EE77FD" w:rsidRPr="008C10B5">
        <w:rPr>
          <w:spacing w:val="-4"/>
          <w:rtl/>
          <w:lang w:eastAsia="zh-TW"/>
        </w:rPr>
        <w:t>(ح)</w:t>
      </w:r>
      <w:r w:rsidRPr="008C10B5">
        <w:rPr>
          <w:spacing w:val="-4"/>
          <w:rtl/>
          <w:lang w:eastAsia="zh-TW"/>
        </w:rPr>
        <w:tab/>
      </w:r>
      <w:r w:rsidR="00EE77FD" w:rsidRPr="008C10B5">
        <w:rPr>
          <w:spacing w:val="-4"/>
          <w:rtl/>
          <w:lang w:eastAsia="zh-TW"/>
        </w:rPr>
        <w:t>ما إذا كان الشخص المعني سيُرحَّل إلى دولة طرف في اتفاقيات جنيف المؤرخة</w:t>
      </w:r>
      <w:r w:rsidRPr="008C10B5">
        <w:rPr>
          <w:rFonts w:hint="cs"/>
          <w:spacing w:val="-4"/>
          <w:rtl/>
          <w:lang w:eastAsia="zh-TW"/>
        </w:rPr>
        <w:t> </w:t>
      </w:r>
      <w:r w:rsidR="00EE77FD" w:rsidRPr="008C10B5">
        <w:rPr>
          <w:spacing w:val="-4"/>
          <w:rtl/>
          <w:lang w:eastAsia="zh-TW"/>
        </w:rPr>
        <w:t xml:space="preserve">١٢ آب/أغسطس ١٩٤٩ والبروتوكولات الإضافية الملحقة بها وهناك ادعاءات أو أدلة بأنها </w:t>
      </w:r>
      <w:r w:rsidR="00EE77FD" w:rsidRPr="00392A5C">
        <w:rPr>
          <w:spacing w:val="-5"/>
          <w:rtl/>
          <w:lang w:eastAsia="zh-TW"/>
        </w:rPr>
        <w:t>تنتهك المادة ٣ المشتركة بين اتفاقيات جنيف الأربع المؤرخة ١٢ آب/أغسطس ١٩٤٩ و/أو المادة</w:t>
      </w:r>
      <w:r w:rsidR="008C10B5" w:rsidRPr="00392A5C">
        <w:rPr>
          <w:rFonts w:hint="cs"/>
          <w:spacing w:val="-5"/>
          <w:rtl/>
          <w:lang w:eastAsia="zh-TW"/>
        </w:rPr>
        <w:t> </w:t>
      </w:r>
      <w:r w:rsidR="00EE77FD" w:rsidRPr="00392A5C">
        <w:rPr>
          <w:spacing w:val="-5"/>
          <w:rtl/>
          <w:lang w:eastAsia="zh-TW"/>
        </w:rPr>
        <w:t>٤</w:t>
      </w:r>
      <w:r w:rsidR="00EE77FD" w:rsidRPr="008C10B5">
        <w:rPr>
          <w:spacing w:val="-4"/>
          <w:rtl/>
          <w:lang w:eastAsia="zh-TW"/>
        </w:rPr>
        <w:t xml:space="preserve"> </w:t>
      </w:r>
      <w:r w:rsidR="00EE77FD" w:rsidRPr="00392A5C">
        <w:rPr>
          <w:spacing w:val="-5"/>
          <w:rtl/>
          <w:lang w:eastAsia="zh-TW"/>
        </w:rPr>
        <w:t>من البروتوكول الإضافي لاتفاقيات جنيف المؤرخة ١٢ آب/أغسطس ١٩٤٩، والمتعلقة بحماية ضحايا</w:t>
      </w:r>
      <w:r w:rsidR="00EE77FD" w:rsidRPr="008C10B5">
        <w:rPr>
          <w:spacing w:val="-4"/>
          <w:rtl/>
          <w:lang w:eastAsia="zh-TW"/>
        </w:rPr>
        <w:t xml:space="preserve"> النزاعات المسلحة غير الدولية (البروتوكول الثاني)</w:t>
      </w:r>
      <w:r w:rsidR="00EE77FD" w:rsidRPr="008C10B5">
        <w:rPr>
          <w:rStyle w:val="FootnoteReference"/>
          <w:spacing w:val="-4"/>
          <w:sz w:val="20"/>
          <w:szCs w:val="30"/>
          <w:rtl/>
          <w:lang w:eastAsia="zh-TW"/>
        </w:rPr>
        <w:t>(</w:t>
      </w:r>
      <w:r w:rsidR="00EE77FD" w:rsidRPr="008C10B5">
        <w:rPr>
          <w:rStyle w:val="FootnoteReference"/>
          <w:spacing w:val="-4"/>
          <w:sz w:val="20"/>
          <w:szCs w:val="30"/>
          <w:rtl/>
          <w:lang w:eastAsia="zh-TW"/>
        </w:rPr>
        <w:footnoteReference w:id="44"/>
      </w:r>
      <w:r w:rsidR="00EE77FD" w:rsidRPr="008C10B5">
        <w:rPr>
          <w:rStyle w:val="FootnoteReference"/>
          <w:spacing w:val="-4"/>
          <w:sz w:val="20"/>
          <w:szCs w:val="30"/>
          <w:rtl/>
          <w:lang w:eastAsia="zh-TW"/>
        </w:rPr>
        <w:t>)</w:t>
      </w:r>
      <w:r w:rsidR="00EE77FD" w:rsidRPr="008C10B5">
        <w:rPr>
          <w:spacing w:val="-4"/>
          <w:rtl/>
          <w:lang w:eastAsia="zh-TW"/>
        </w:rPr>
        <w:t xml:space="preserve">، وخصوصاً: </w:t>
      </w:r>
      <w:r w:rsidRPr="008C10B5">
        <w:rPr>
          <w:rFonts w:hint="cs"/>
          <w:spacing w:val="-4"/>
          <w:rtl/>
          <w:lang w:eastAsia="zh-TW"/>
        </w:rPr>
        <w:t>‘</w:t>
      </w:r>
      <w:proofErr w:type="gramStart"/>
      <w:r w:rsidRPr="008C10B5">
        <w:rPr>
          <w:spacing w:val="-4"/>
          <w:rtl/>
          <w:lang w:eastAsia="zh-TW"/>
        </w:rPr>
        <w:t>1‘ المادة</w:t>
      </w:r>
      <w:proofErr w:type="gramEnd"/>
      <w:r w:rsidR="008C10B5" w:rsidRPr="008C10B5">
        <w:rPr>
          <w:rFonts w:hint="cs"/>
          <w:spacing w:val="-4"/>
          <w:rtl/>
          <w:lang w:eastAsia="zh-TW"/>
        </w:rPr>
        <w:t> </w:t>
      </w:r>
      <w:r w:rsidRPr="008C10B5">
        <w:rPr>
          <w:spacing w:val="-4"/>
          <w:rtl/>
          <w:lang w:eastAsia="zh-TW"/>
        </w:rPr>
        <w:t>٣(١)</w:t>
      </w:r>
      <w:r w:rsidR="00EE77FD" w:rsidRPr="008C10B5">
        <w:rPr>
          <w:spacing w:val="-4"/>
          <w:rtl/>
          <w:lang w:eastAsia="zh-TW"/>
        </w:rPr>
        <w:t>(أ) من اتفاقيات جنيف الأربع</w:t>
      </w:r>
      <w:r w:rsidR="00EE77FD" w:rsidRPr="008C10B5">
        <w:rPr>
          <w:rStyle w:val="FootnoteReference"/>
          <w:spacing w:val="-4"/>
          <w:sz w:val="20"/>
          <w:szCs w:val="30"/>
          <w:rtl/>
          <w:lang w:eastAsia="zh-TW"/>
        </w:rPr>
        <w:t>(</w:t>
      </w:r>
      <w:r w:rsidR="00EE77FD" w:rsidRPr="008C10B5">
        <w:rPr>
          <w:rStyle w:val="FootnoteReference"/>
          <w:spacing w:val="-4"/>
          <w:sz w:val="20"/>
          <w:szCs w:val="30"/>
          <w:rtl/>
          <w:lang w:eastAsia="zh-TW"/>
        </w:rPr>
        <w:footnoteReference w:id="45"/>
      </w:r>
      <w:r w:rsidR="00EE77FD" w:rsidRPr="008C10B5">
        <w:rPr>
          <w:rStyle w:val="FootnoteReference"/>
          <w:spacing w:val="-4"/>
          <w:sz w:val="20"/>
          <w:szCs w:val="30"/>
          <w:rtl/>
          <w:lang w:eastAsia="zh-TW"/>
        </w:rPr>
        <w:t>)</w:t>
      </w:r>
      <w:r w:rsidR="00EE77FD" w:rsidRPr="008C10B5">
        <w:rPr>
          <w:spacing w:val="-4"/>
          <w:rtl/>
          <w:lang w:eastAsia="zh-TW"/>
        </w:rPr>
        <w:t xml:space="preserve">؛ </w:t>
      </w:r>
      <w:r w:rsidRPr="008C10B5">
        <w:rPr>
          <w:rFonts w:hint="cs"/>
          <w:spacing w:val="-4"/>
          <w:rtl/>
          <w:lang w:eastAsia="zh-TW"/>
        </w:rPr>
        <w:t>‘</w:t>
      </w:r>
      <w:r w:rsidR="00EE77FD" w:rsidRPr="008C10B5">
        <w:rPr>
          <w:spacing w:val="-4"/>
          <w:rtl/>
          <w:lang w:eastAsia="zh-TW"/>
        </w:rPr>
        <w:t>2‘ المادة ٤</w:t>
      </w:r>
      <w:r w:rsidRPr="008C10B5">
        <w:rPr>
          <w:spacing w:val="-4"/>
          <w:rtl/>
          <w:lang w:eastAsia="zh-TW"/>
        </w:rPr>
        <w:t>(١) و(٢) من البروتوكول الثاني</w:t>
      </w:r>
      <w:r w:rsidR="00EE77FD" w:rsidRPr="008C10B5">
        <w:rPr>
          <w:rStyle w:val="FootnoteReference"/>
          <w:spacing w:val="-4"/>
          <w:sz w:val="20"/>
          <w:szCs w:val="30"/>
          <w:rtl/>
          <w:lang w:eastAsia="zh-TW"/>
        </w:rPr>
        <w:t>(</w:t>
      </w:r>
      <w:r w:rsidR="00EE77FD" w:rsidRPr="008C10B5">
        <w:rPr>
          <w:rStyle w:val="FootnoteReference"/>
          <w:spacing w:val="-4"/>
          <w:sz w:val="20"/>
          <w:szCs w:val="30"/>
          <w:rtl/>
          <w:lang w:eastAsia="zh-TW"/>
        </w:rPr>
        <w:footnoteReference w:id="46"/>
      </w:r>
      <w:r w:rsidR="00EE77FD" w:rsidRPr="008C10B5">
        <w:rPr>
          <w:rStyle w:val="FootnoteReference"/>
          <w:spacing w:val="-4"/>
          <w:sz w:val="20"/>
          <w:szCs w:val="30"/>
          <w:rtl/>
          <w:lang w:eastAsia="zh-TW"/>
        </w:rPr>
        <w:t>)</w:t>
      </w:r>
      <w:r w:rsidRPr="008C10B5">
        <w:rPr>
          <w:rStyle w:val="FootnoteReference"/>
          <w:rFonts w:hint="cs"/>
          <w:spacing w:val="-4"/>
          <w:sz w:val="20"/>
          <w:szCs w:val="30"/>
          <w:vertAlign w:val="baseline"/>
          <w:rtl/>
          <w:lang w:eastAsia="zh-TW"/>
        </w:rPr>
        <w:t>؛</w:t>
      </w:r>
    </w:p>
    <w:p w:rsidR="00EE77FD" w:rsidRPr="00EE77FD" w:rsidRDefault="00AB592A" w:rsidP="00AB592A">
      <w:pPr>
        <w:pStyle w:val="SingleTxtGA"/>
        <w:rPr>
          <w:rtl/>
          <w:lang w:eastAsia="zh-TW"/>
        </w:rPr>
      </w:pPr>
      <w:r>
        <w:rPr>
          <w:rtl/>
          <w:lang w:eastAsia="zh-TW"/>
        </w:rPr>
        <w:tab/>
      </w:r>
      <w:r w:rsidR="00EE77FD" w:rsidRPr="00EE77FD">
        <w:rPr>
          <w:rtl/>
          <w:lang w:eastAsia="zh-TW"/>
        </w:rPr>
        <w:t>(ط)</w:t>
      </w:r>
      <w:r w:rsidR="00EE77FD" w:rsidRPr="00EE77FD">
        <w:rPr>
          <w:rtl/>
          <w:lang w:eastAsia="zh-TW"/>
        </w:rPr>
        <w:tab/>
        <w:t>ما إذا كان الشخص المعني سيُرحَّل إلى دولة هناك ادعاءات أو أدلة تفيد بأنها تنتهك المادة ١٢ من اتفاقية جنيف بشأن معاملة أس</w:t>
      </w:r>
      <w:r>
        <w:rPr>
          <w:rtl/>
          <w:lang w:eastAsia="zh-TW"/>
        </w:rPr>
        <w:t>رى الحرب (اتفاقية جنيف الثالثة)</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47"/>
      </w:r>
      <w:r w:rsidR="00EE77FD" w:rsidRPr="00EE77FD">
        <w:rPr>
          <w:rStyle w:val="FootnoteReference"/>
          <w:sz w:val="20"/>
          <w:szCs w:val="30"/>
          <w:rtl/>
          <w:lang w:eastAsia="zh-TW"/>
        </w:rPr>
        <w:t>)</w:t>
      </w:r>
      <w:r>
        <w:rPr>
          <w:rFonts w:hint="cs"/>
          <w:rtl/>
          <w:lang w:eastAsia="zh-TW"/>
        </w:rPr>
        <w:t>؛</w:t>
      </w:r>
    </w:p>
    <w:p w:rsidR="00EE77FD" w:rsidRPr="00392A5C" w:rsidRDefault="00AB592A" w:rsidP="00392A5C">
      <w:pPr>
        <w:pStyle w:val="SingleTxtGA"/>
        <w:pageBreakBefore/>
        <w:spacing w:line="366" w:lineRule="exact"/>
        <w:rPr>
          <w:spacing w:val="-4"/>
          <w:rtl/>
          <w:lang w:eastAsia="zh-TW"/>
        </w:rPr>
      </w:pPr>
      <w:r w:rsidRPr="00392A5C">
        <w:rPr>
          <w:spacing w:val="-4"/>
          <w:rtl/>
          <w:lang w:eastAsia="zh-TW"/>
        </w:rPr>
        <w:lastRenderedPageBreak/>
        <w:tab/>
      </w:r>
      <w:r w:rsidR="00EE77FD" w:rsidRPr="00392A5C">
        <w:rPr>
          <w:spacing w:val="-4"/>
          <w:rtl/>
          <w:lang w:eastAsia="zh-TW"/>
        </w:rPr>
        <w:t>(ي)</w:t>
      </w:r>
      <w:r w:rsidRPr="00392A5C">
        <w:rPr>
          <w:spacing w:val="-4"/>
          <w:rtl/>
          <w:lang w:eastAsia="zh-TW"/>
        </w:rPr>
        <w:tab/>
      </w:r>
      <w:r w:rsidR="00EE77FD" w:rsidRPr="00392A5C">
        <w:rPr>
          <w:spacing w:val="-4"/>
          <w:rtl/>
          <w:lang w:eastAsia="zh-TW"/>
        </w:rPr>
        <w:t>ما إذا كان الشخص المعني سيُرحَّل إلى دولة هناك ادعاءات أو أدلة تفيد بأنه</w:t>
      </w:r>
      <w:r w:rsidR="003561EB" w:rsidRPr="00392A5C">
        <w:rPr>
          <w:rFonts w:hint="cs"/>
          <w:spacing w:val="-4"/>
          <w:rtl/>
          <w:lang w:eastAsia="zh-TW"/>
        </w:rPr>
        <w:t xml:space="preserve"> </w:t>
      </w:r>
      <w:r w:rsidR="00EE77FD" w:rsidRPr="00392A5C">
        <w:rPr>
          <w:spacing w:val="-4"/>
          <w:rtl/>
          <w:lang w:eastAsia="zh-TW"/>
        </w:rPr>
        <w:t>تنتهك المادتين ٣٢ أو ٤٥ من اتفاقية جنيف المتعلقة بحماية المدنيين وقت الحرب (اتفاقية</w:t>
      </w:r>
      <w:r w:rsidR="00392A5C">
        <w:rPr>
          <w:rFonts w:hint="cs"/>
          <w:spacing w:val="-4"/>
          <w:rtl/>
          <w:lang w:eastAsia="zh-TW"/>
        </w:rPr>
        <w:t xml:space="preserve">     </w:t>
      </w:r>
      <w:r w:rsidR="00EE77FD" w:rsidRPr="00392A5C">
        <w:rPr>
          <w:spacing w:val="-4"/>
          <w:rtl/>
          <w:lang w:eastAsia="zh-TW"/>
        </w:rPr>
        <w:t>جنيف الرابعة)</w:t>
      </w:r>
      <w:r w:rsidR="00EE77FD" w:rsidRPr="00392A5C">
        <w:rPr>
          <w:rStyle w:val="FootnoteReference"/>
          <w:spacing w:val="-4"/>
          <w:sz w:val="20"/>
          <w:szCs w:val="30"/>
          <w:rtl/>
          <w:lang w:eastAsia="zh-TW"/>
        </w:rPr>
        <w:t>(</w:t>
      </w:r>
      <w:r w:rsidR="00EE77FD" w:rsidRPr="00392A5C">
        <w:rPr>
          <w:rStyle w:val="FootnoteReference"/>
          <w:spacing w:val="-4"/>
          <w:sz w:val="20"/>
          <w:szCs w:val="30"/>
          <w:rtl/>
          <w:lang w:eastAsia="zh-TW"/>
        </w:rPr>
        <w:footnoteReference w:id="48"/>
      </w:r>
      <w:r w:rsidR="00EE77FD" w:rsidRPr="00392A5C">
        <w:rPr>
          <w:rStyle w:val="FootnoteReference"/>
          <w:spacing w:val="-4"/>
          <w:sz w:val="20"/>
          <w:szCs w:val="30"/>
          <w:rtl/>
          <w:lang w:eastAsia="zh-TW"/>
        </w:rPr>
        <w:t>)</w:t>
      </w:r>
      <w:r w:rsidR="008C10B5" w:rsidRPr="00392A5C">
        <w:rPr>
          <w:spacing w:val="-4"/>
          <w:rtl/>
          <w:lang w:eastAsia="zh-TW"/>
        </w:rPr>
        <w:t>؛ أو المادة ٧٥</w:t>
      </w:r>
      <w:r w:rsidR="00EE77FD" w:rsidRPr="00392A5C">
        <w:rPr>
          <w:spacing w:val="-4"/>
          <w:rtl/>
          <w:lang w:eastAsia="zh-TW"/>
        </w:rPr>
        <w:t>(٢) من البروتوكول الإضافي لاتفاقيات جنيف المؤرخة</w:t>
      </w:r>
      <w:r w:rsidR="008C10B5" w:rsidRPr="00392A5C">
        <w:rPr>
          <w:rFonts w:hint="cs"/>
          <w:spacing w:val="-4"/>
          <w:rtl/>
          <w:lang w:eastAsia="zh-TW"/>
        </w:rPr>
        <w:t> </w:t>
      </w:r>
      <w:r w:rsidR="00EE77FD" w:rsidRPr="00392A5C">
        <w:rPr>
          <w:spacing w:val="-4"/>
          <w:rtl/>
          <w:lang w:eastAsia="zh-TW"/>
        </w:rPr>
        <w:t>١٢ آب/</w:t>
      </w:r>
      <w:r w:rsidR="00392A5C">
        <w:rPr>
          <w:rFonts w:hint="cs"/>
          <w:spacing w:val="-4"/>
          <w:rtl/>
          <w:lang w:eastAsia="zh-TW"/>
        </w:rPr>
        <w:t xml:space="preserve">         </w:t>
      </w:r>
      <w:r w:rsidR="00EE77FD" w:rsidRPr="00392A5C">
        <w:rPr>
          <w:spacing w:val="-4"/>
          <w:rtl/>
          <w:lang w:eastAsia="zh-TW"/>
        </w:rPr>
        <w:t>أغسطس ١٩٤٩ المتعلق بحماية ضحايا المنازعات المسلحة الد</w:t>
      </w:r>
      <w:r w:rsidRPr="00392A5C">
        <w:rPr>
          <w:spacing w:val="-4"/>
          <w:rtl/>
          <w:lang w:eastAsia="zh-TW"/>
        </w:rPr>
        <w:t>ولية (البروتوكول الإضافي الأول)</w:t>
      </w:r>
      <w:r w:rsidR="00EE77FD" w:rsidRPr="00392A5C">
        <w:rPr>
          <w:rStyle w:val="FootnoteReference"/>
          <w:spacing w:val="-4"/>
          <w:sz w:val="20"/>
          <w:szCs w:val="30"/>
          <w:rtl/>
          <w:lang w:eastAsia="zh-TW"/>
        </w:rPr>
        <w:t>(</w:t>
      </w:r>
      <w:r w:rsidR="00EE77FD" w:rsidRPr="00392A5C">
        <w:rPr>
          <w:rStyle w:val="FootnoteReference"/>
          <w:spacing w:val="-4"/>
          <w:sz w:val="20"/>
          <w:szCs w:val="30"/>
          <w:rtl/>
          <w:lang w:eastAsia="zh-TW"/>
        </w:rPr>
        <w:footnoteReference w:id="49"/>
      </w:r>
      <w:r w:rsidR="00EE77FD" w:rsidRPr="00392A5C">
        <w:rPr>
          <w:rStyle w:val="FootnoteReference"/>
          <w:spacing w:val="-4"/>
          <w:sz w:val="20"/>
          <w:szCs w:val="30"/>
          <w:rtl/>
          <w:lang w:eastAsia="zh-TW"/>
        </w:rPr>
        <w:t>)</w:t>
      </w:r>
      <w:r w:rsidRPr="00392A5C">
        <w:rPr>
          <w:rFonts w:hint="cs"/>
          <w:spacing w:val="-4"/>
          <w:rtl/>
          <w:lang w:eastAsia="zh-TW"/>
        </w:rPr>
        <w:t>؛</w:t>
      </w:r>
    </w:p>
    <w:p w:rsidR="00EE77FD" w:rsidRPr="00EE77FD" w:rsidRDefault="00AB592A" w:rsidP="00392A5C">
      <w:pPr>
        <w:pStyle w:val="SingleTxtGA"/>
        <w:spacing w:line="366" w:lineRule="exact"/>
        <w:rPr>
          <w:rtl/>
          <w:lang w:eastAsia="zh-TW"/>
        </w:rPr>
      </w:pPr>
      <w:r>
        <w:rPr>
          <w:rtl/>
          <w:lang w:eastAsia="zh-TW"/>
        </w:rPr>
        <w:tab/>
      </w:r>
      <w:r w:rsidR="00EE77FD" w:rsidRPr="00EE77FD">
        <w:rPr>
          <w:rtl/>
          <w:lang w:eastAsia="zh-TW"/>
        </w:rPr>
        <w:t>(ك)</w:t>
      </w:r>
      <w:r>
        <w:rPr>
          <w:rtl/>
          <w:lang w:eastAsia="zh-TW"/>
        </w:rPr>
        <w:tab/>
      </w:r>
      <w:r w:rsidR="00EE77FD" w:rsidRPr="00EE77FD">
        <w:rPr>
          <w:rtl/>
          <w:lang w:eastAsia="zh-TW"/>
        </w:rPr>
        <w:t>ما إذا كان الشخص المعني سيُرحَّل إلى دولة يُحرم فيها من الحق الطبيعي في الحياة، بما في ذلك تعرضه للإعدام خارج نطاق القضاء أو للاختفاء القسري، أو تُمارس فيها عقوبة الإعدام</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50"/>
      </w:r>
      <w:r w:rsidR="00EE77FD" w:rsidRPr="00EE77FD">
        <w:rPr>
          <w:rStyle w:val="FootnoteReference"/>
          <w:sz w:val="20"/>
          <w:szCs w:val="30"/>
          <w:rtl/>
          <w:lang w:eastAsia="zh-TW"/>
        </w:rPr>
        <w:t>)</w:t>
      </w:r>
      <w:r w:rsidR="00EE77FD" w:rsidRPr="00EE77FD">
        <w:rPr>
          <w:rtl/>
          <w:lang w:eastAsia="zh-TW"/>
        </w:rPr>
        <w:t xml:space="preserve"> وتعتبرها الدولة الطرف التي تنفذ عملية الترحيل شكلاً من أشكال التعذيب أو المعاملة أو العقوبة القاسية أو اللاإنسانية أو المهينة، لا سيما: </w:t>
      </w:r>
    </w:p>
    <w:p w:rsidR="00EE77FD" w:rsidRPr="00EE77FD" w:rsidRDefault="00EE77FD" w:rsidP="00392A5C">
      <w:pPr>
        <w:pStyle w:val="Roman1GA"/>
        <w:tabs>
          <w:tab w:val="clear" w:pos="2310"/>
          <w:tab w:val="left" w:pos="2598"/>
        </w:tabs>
        <w:bidi/>
        <w:spacing w:line="366" w:lineRule="exact"/>
        <w:ind w:left="2612" w:hanging="420"/>
        <w:rPr>
          <w:rtl/>
          <w:lang w:eastAsia="zh-TW"/>
        </w:rPr>
      </w:pPr>
      <w:r w:rsidRPr="00EE77FD">
        <w:rPr>
          <w:rtl/>
          <w:lang w:eastAsia="zh-TW"/>
        </w:rPr>
        <w:t>إذا كانت هذه الأخيرة قد ألغت عقوبة الإعدام أو ف</w:t>
      </w:r>
      <w:r w:rsidR="00AB592A">
        <w:rPr>
          <w:rtl/>
          <w:lang w:eastAsia="zh-TW"/>
        </w:rPr>
        <w:t>رضت وقفاً اختيارياً على تنفيذها</w:t>
      </w:r>
      <w:r w:rsidRPr="00EE77FD">
        <w:rPr>
          <w:rStyle w:val="FootnoteReference"/>
          <w:sz w:val="20"/>
          <w:szCs w:val="30"/>
          <w:rtl/>
          <w:lang w:eastAsia="zh-TW"/>
        </w:rPr>
        <w:t>(</w:t>
      </w:r>
      <w:r w:rsidRPr="00EE77FD">
        <w:rPr>
          <w:rStyle w:val="FootnoteReference"/>
          <w:sz w:val="20"/>
          <w:szCs w:val="30"/>
          <w:rtl/>
          <w:lang w:eastAsia="zh-TW"/>
        </w:rPr>
        <w:footnoteReference w:id="51"/>
      </w:r>
      <w:r w:rsidRPr="00EE77FD">
        <w:rPr>
          <w:rStyle w:val="FootnoteReference"/>
          <w:sz w:val="20"/>
          <w:szCs w:val="30"/>
          <w:rtl/>
          <w:lang w:eastAsia="zh-TW"/>
        </w:rPr>
        <w:t>)</w:t>
      </w:r>
      <w:r w:rsidR="00AB592A">
        <w:rPr>
          <w:rFonts w:hint="cs"/>
          <w:rtl/>
          <w:lang w:eastAsia="zh-TW"/>
        </w:rPr>
        <w:t>؛</w:t>
      </w:r>
    </w:p>
    <w:p w:rsidR="00EE77FD" w:rsidRPr="00EE77FD" w:rsidRDefault="00EE77FD" w:rsidP="00392A5C">
      <w:pPr>
        <w:pStyle w:val="Roman1GA"/>
        <w:tabs>
          <w:tab w:val="clear" w:pos="2310"/>
          <w:tab w:val="left" w:pos="2598"/>
        </w:tabs>
        <w:bidi/>
        <w:spacing w:line="366" w:lineRule="exact"/>
        <w:ind w:left="2612" w:hanging="420"/>
        <w:rPr>
          <w:rtl/>
          <w:lang w:eastAsia="zh-TW"/>
        </w:rPr>
      </w:pPr>
      <w:r w:rsidRPr="00EE77FD">
        <w:rPr>
          <w:rtl/>
          <w:lang w:eastAsia="zh-TW"/>
        </w:rPr>
        <w:t>إذا كانت عقوبة الإعدام تُفرَض على الجرائم التي لا تعتبرها الدولة الطرف المنفذة لعمل</w:t>
      </w:r>
      <w:r w:rsidR="00AB592A">
        <w:rPr>
          <w:rtl/>
          <w:lang w:eastAsia="zh-TW"/>
        </w:rPr>
        <w:t>ية الترحيل من أشد الجرائم خطورة</w:t>
      </w:r>
      <w:r w:rsidRPr="00EE77FD">
        <w:rPr>
          <w:rStyle w:val="FootnoteReference"/>
          <w:sz w:val="20"/>
          <w:szCs w:val="30"/>
          <w:rtl/>
          <w:lang w:eastAsia="zh-TW"/>
        </w:rPr>
        <w:t>(</w:t>
      </w:r>
      <w:r w:rsidRPr="00EE77FD">
        <w:rPr>
          <w:rStyle w:val="FootnoteReference"/>
          <w:sz w:val="20"/>
          <w:szCs w:val="30"/>
          <w:rtl/>
          <w:lang w:eastAsia="zh-TW"/>
        </w:rPr>
        <w:footnoteReference w:id="52"/>
      </w:r>
      <w:r w:rsidRPr="00EE77FD">
        <w:rPr>
          <w:rStyle w:val="FootnoteReference"/>
          <w:sz w:val="20"/>
          <w:szCs w:val="30"/>
          <w:rtl/>
          <w:lang w:eastAsia="zh-TW"/>
        </w:rPr>
        <w:t>)</w:t>
      </w:r>
      <w:r w:rsidR="00AB592A">
        <w:rPr>
          <w:rFonts w:hint="cs"/>
          <w:rtl/>
          <w:lang w:eastAsia="zh-TW"/>
        </w:rPr>
        <w:t xml:space="preserve">؛ </w:t>
      </w:r>
    </w:p>
    <w:p w:rsidR="00EE77FD" w:rsidRPr="00EE77FD" w:rsidRDefault="00EE77FD" w:rsidP="00392A5C">
      <w:pPr>
        <w:pStyle w:val="Roman1GA"/>
        <w:tabs>
          <w:tab w:val="clear" w:pos="2310"/>
          <w:tab w:val="left" w:pos="2598"/>
        </w:tabs>
        <w:bidi/>
        <w:spacing w:line="366" w:lineRule="exact"/>
        <w:ind w:left="2612" w:hanging="420"/>
        <w:rPr>
          <w:rtl/>
          <w:lang w:eastAsia="zh-TW"/>
        </w:rPr>
      </w:pPr>
      <w:r w:rsidRPr="00EE77FD">
        <w:rPr>
          <w:rtl/>
          <w:lang w:eastAsia="zh-TW"/>
        </w:rPr>
        <w:t>إذا كانت عقوبة الإعدام تُنفَّذ على الجرائم التي يرتكبها أشخاص دون الثامنة عشرة من العمر</w:t>
      </w:r>
      <w:r w:rsidRPr="00EE77FD">
        <w:rPr>
          <w:rStyle w:val="FootnoteReference"/>
          <w:sz w:val="20"/>
          <w:szCs w:val="30"/>
          <w:rtl/>
          <w:lang w:eastAsia="zh-TW"/>
        </w:rPr>
        <w:t>(</w:t>
      </w:r>
      <w:r w:rsidRPr="00EE77FD">
        <w:rPr>
          <w:rStyle w:val="FootnoteReference"/>
          <w:sz w:val="20"/>
          <w:szCs w:val="30"/>
          <w:rtl/>
          <w:lang w:eastAsia="zh-TW"/>
        </w:rPr>
        <w:footnoteReference w:id="53"/>
      </w:r>
      <w:r w:rsidRPr="00EE77FD">
        <w:rPr>
          <w:rStyle w:val="FootnoteReference"/>
          <w:sz w:val="20"/>
          <w:szCs w:val="30"/>
          <w:rtl/>
          <w:lang w:eastAsia="zh-TW"/>
        </w:rPr>
        <w:t>)</w:t>
      </w:r>
      <w:r w:rsidRPr="00EE77FD">
        <w:rPr>
          <w:rtl/>
          <w:lang w:eastAsia="zh-TW"/>
        </w:rPr>
        <w:t xml:space="preserve"> أو على النساء الحوامل أو الأمهات المرضعات أو</w:t>
      </w:r>
      <w:r w:rsidR="008C10B5">
        <w:rPr>
          <w:rFonts w:hint="cs"/>
          <w:rtl/>
          <w:lang w:eastAsia="zh-TW"/>
        </w:rPr>
        <w:t> </w:t>
      </w:r>
      <w:r w:rsidRPr="00EE77FD">
        <w:rPr>
          <w:rtl/>
          <w:lang w:eastAsia="zh-TW"/>
        </w:rPr>
        <w:t xml:space="preserve">الأشخاص الذين لديهم إعاقة عقلية شديدة؛ </w:t>
      </w:r>
    </w:p>
    <w:p w:rsidR="00EE77FD" w:rsidRPr="00EE77FD" w:rsidRDefault="00AB592A" w:rsidP="00392A5C">
      <w:pPr>
        <w:pStyle w:val="SingleTxtGA"/>
        <w:spacing w:line="366" w:lineRule="exact"/>
        <w:rPr>
          <w:rtl/>
          <w:lang w:eastAsia="zh-TW"/>
        </w:rPr>
      </w:pPr>
      <w:r>
        <w:rPr>
          <w:rtl/>
          <w:lang w:eastAsia="zh-TW"/>
        </w:rPr>
        <w:tab/>
        <w:t>(ل)</w:t>
      </w:r>
      <w:r w:rsidR="00EE77FD" w:rsidRPr="00EE77FD">
        <w:rPr>
          <w:rtl/>
          <w:lang w:eastAsia="zh-TW"/>
        </w:rPr>
        <w:tab/>
        <w:t>ينبغي للدولة الطرف المعنية أن تقيّم</w:t>
      </w:r>
      <w:r w:rsidR="00F30E70">
        <w:rPr>
          <w:rtl/>
          <w:lang w:eastAsia="zh-TW"/>
        </w:rPr>
        <w:t xml:space="preserve"> أيضاً </w:t>
      </w:r>
      <w:r w:rsidR="00EE77FD" w:rsidRPr="00EE77FD">
        <w:rPr>
          <w:rtl/>
          <w:lang w:eastAsia="zh-TW"/>
        </w:rPr>
        <w:t>ما إذا كانت ظروف وطرق تطبيق عقوبة الإعدام وطول المدة التي يقضيها الأشخاص في جناح المحكوم عليهم بالإعدام</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54"/>
      </w:r>
      <w:r w:rsidR="00EE77FD" w:rsidRPr="00EE77FD">
        <w:rPr>
          <w:rStyle w:val="FootnoteReference"/>
          <w:sz w:val="20"/>
          <w:szCs w:val="30"/>
          <w:rtl/>
          <w:lang w:eastAsia="zh-TW"/>
        </w:rPr>
        <w:t>)</w:t>
      </w:r>
      <w:r w:rsidR="00EE77FD" w:rsidRPr="00EE77FD">
        <w:rPr>
          <w:rtl/>
          <w:lang w:eastAsia="zh-TW"/>
        </w:rPr>
        <w:t xml:space="preserve"> وظروفهم يمكن أن تصل إلى حد التعذيب أو المعاملة أو العقوبة القاسية أو اللاإنسانية أو المهينة لغرض تطبيق مبدأ "عد</w:t>
      </w:r>
      <w:r>
        <w:rPr>
          <w:rtl/>
          <w:lang w:eastAsia="zh-TW"/>
        </w:rPr>
        <w:t>م الإعادة القسرية"</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55"/>
      </w:r>
      <w:r w:rsidR="00EE77FD" w:rsidRPr="00EE77FD">
        <w:rPr>
          <w:rStyle w:val="FootnoteReference"/>
          <w:sz w:val="20"/>
          <w:szCs w:val="30"/>
          <w:rtl/>
          <w:lang w:eastAsia="zh-TW"/>
        </w:rPr>
        <w:t>)</w:t>
      </w:r>
      <w:r>
        <w:rPr>
          <w:rFonts w:hint="cs"/>
          <w:rtl/>
          <w:lang w:eastAsia="zh-TW"/>
        </w:rPr>
        <w:t>؛</w:t>
      </w:r>
    </w:p>
    <w:p w:rsidR="00EE77FD" w:rsidRPr="00EE77FD" w:rsidRDefault="00AB592A" w:rsidP="00EE77FD">
      <w:pPr>
        <w:pStyle w:val="SingleTxtGA"/>
        <w:rPr>
          <w:rtl/>
          <w:lang w:eastAsia="zh-TW"/>
        </w:rPr>
      </w:pPr>
      <w:r>
        <w:rPr>
          <w:rtl/>
          <w:lang w:eastAsia="zh-TW"/>
        </w:rPr>
        <w:lastRenderedPageBreak/>
        <w:tab/>
      </w:r>
      <w:r w:rsidR="00EE77FD" w:rsidRPr="00EE77FD">
        <w:rPr>
          <w:rtl/>
          <w:lang w:eastAsia="zh-TW"/>
        </w:rPr>
        <w:t>(م)</w:t>
      </w:r>
      <w:r w:rsidR="00EE77FD" w:rsidRPr="00EE77FD">
        <w:rPr>
          <w:rtl/>
          <w:lang w:eastAsia="zh-TW"/>
        </w:rPr>
        <w:tab/>
        <w:t>ما إذا كان الشخص المعني سيُرحَّل إلى دولة ارتُكِبت أو ستُرتَكب فيها ضد الشخص أو ضد أفراد أسرته أو الشهود على عملية توقيفه واحتجازه أعمالٌ انتقامية تصل إلى حد التعذيب، مثل ممارسة أعمال العنف والإرهاب ضدهم أو اختفاء أفراد الأسرة أو الشه</w:t>
      </w:r>
      <w:r>
        <w:rPr>
          <w:rtl/>
          <w:lang w:eastAsia="zh-TW"/>
        </w:rPr>
        <w:t>ود المعنيين أو قتلهم أو تعذيبهم</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56"/>
      </w:r>
      <w:r w:rsidR="00EE77FD" w:rsidRPr="00EE77FD">
        <w:rPr>
          <w:rStyle w:val="FootnoteReference"/>
          <w:sz w:val="20"/>
          <w:szCs w:val="30"/>
          <w:rtl/>
          <w:lang w:eastAsia="zh-TW"/>
        </w:rPr>
        <w:t>)</w:t>
      </w:r>
      <w:r w:rsidRPr="00AB592A">
        <w:rPr>
          <w:rStyle w:val="FootnoteReference"/>
          <w:rFonts w:hint="cs"/>
          <w:sz w:val="20"/>
          <w:szCs w:val="30"/>
          <w:vertAlign w:val="baseline"/>
          <w:rtl/>
          <w:lang w:eastAsia="zh-TW"/>
        </w:rPr>
        <w:t>؛</w:t>
      </w:r>
    </w:p>
    <w:p w:rsidR="00EE77FD" w:rsidRPr="00EE77FD" w:rsidRDefault="00AB592A" w:rsidP="00EE77FD">
      <w:pPr>
        <w:pStyle w:val="SingleTxtGA"/>
        <w:rPr>
          <w:rtl/>
          <w:lang w:eastAsia="zh-TW"/>
        </w:rPr>
      </w:pPr>
      <w:r>
        <w:rPr>
          <w:rtl/>
          <w:lang w:eastAsia="zh-TW"/>
        </w:rPr>
        <w:tab/>
      </w:r>
      <w:r w:rsidR="00EE77FD" w:rsidRPr="00EE77FD">
        <w:rPr>
          <w:rtl/>
          <w:lang w:eastAsia="zh-TW"/>
        </w:rPr>
        <w:t>(ن)</w:t>
      </w:r>
      <w:r w:rsidR="00EE77FD" w:rsidRPr="00EE77FD">
        <w:rPr>
          <w:rtl/>
          <w:lang w:eastAsia="zh-TW"/>
        </w:rPr>
        <w:tab/>
        <w:t>ما إذا كان الشخص المعني سيُرحَّل إلى دولة تعرض فيها أو سيواجه فيها خطر التعرض للرق والعمل القسري</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57"/>
      </w:r>
      <w:r w:rsidR="00EE77FD" w:rsidRPr="00EE77FD">
        <w:rPr>
          <w:rStyle w:val="FootnoteReference"/>
          <w:sz w:val="20"/>
          <w:szCs w:val="30"/>
          <w:rtl/>
          <w:lang w:eastAsia="zh-TW"/>
        </w:rPr>
        <w:t>)</w:t>
      </w:r>
      <w:r w:rsidR="00EE77FD" w:rsidRPr="00EE77FD">
        <w:rPr>
          <w:rtl/>
          <w:lang w:eastAsia="zh-TW"/>
        </w:rPr>
        <w:t xml:space="preserve"> أو الاتجار بالبشر؛</w:t>
      </w:r>
    </w:p>
    <w:p w:rsidR="00EE77FD" w:rsidRPr="00EE77FD" w:rsidRDefault="00AB592A" w:rsidP="00EE77FD">
      <w:pPr>
        <w:pStyle w:val="SingleTxtGA"/>
        <w:rPr>
          <w:rtl/>
          <w:lang w:eastAsia="zh-TW"/>
        </w:rPr>
      </w:pPr>
      <w:r>
        <w:rPr>
          <w:rtl/>
          <w:lang w:eastAsia="zh-TW"/>
        </w:rPr>
        <w:tab/>
        <w:t>(س)</w:t>
      </w:r>
      <w:r w:rsidR="00EE77FD" w:rsidRPr="00EE77FD">
        <w:rPr>
          <w:rtl/>
          <w:lang w:eastAsia="zh-TW"/>
        </w:rPr>
        <w:tab/>
        <w:t>ما إذا كان الشخص المعني دون سن الثامنة عشرة وسيُرحَّل إلى دولة سبق أن انتُهِكت و/أو ستُنتهَك فيها حقوقه الأساسية كطفل، مما ينشئ ضرراً لا يمكن جبره، مثل تجنيده كمقاتل يشارك بشكل مباشر أو غير مباشر في أعمال القتال</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58"/>
      </w:r>
      <w:r w:rsidR="00EE77FD" w:rsidRPr="00EE77FD">
        <w:rPr>
          <w:rStyle w:val="FootnoteReference"/>
          <w:sz w:val="20"/>
          <w:szCs w:val="30"/>
          <w:rtl/>
          <w:lang w:eastAsia="zh-TW"/>
        </w:rPr>
        <w:t>)</w:t>
      </w:r>
      <w:r w:rsidR="00EE77FD" w:rsidRPr="00EE77FD">
        <w:rPr>
          <w:rtl/>
          <w:lang w:eastAsia="zh-TW"/>
        </w:rPr>
        <w:t xml:space="preserve"> أو لتقديم الخدمات الجنسية.</w:t>
      </w:r>
    </w:p>
    <w:p w:rsidR="00EE77FD" w:rsidRPr="00EE77FD" w:rsidRDefault="00AB592A" w:rsidP="00AB592A">
      <w:pPr>
        <w:pStyle w:val="HChGA"/>
        <w:rPr>
          <w:rtl/>
          <w:lang w:eastAsia="zh-TW"/>
        </w:rPr>
      </w:pPr>
      <w:r>
        <w:rPr>
          <w:rtl/>
          <w:lang w:eastAsia="zh-TW"/>
        </w:rPr>
        <w:tab/>
      </w:r>
      <w:r w:rsidR="00EE77FD" w:rsidRPr="00EE77FD">
        <w:rPr>
          <w:rtl/>
          <w:lang w:eastAsia="zh-TW"/>
        </w:rPr>
        <w:t>تاسعاً-</w:t>
      </w:r>
      <w:r>
        <w:rPr>
          <w:rtl/>
          <w:lang w:eastAsia="zh-TW"/>
        </w:rPr>
        <w:tab/>
      </w:r>
      <w:r w:rsidR="00EE77FD" w:rsidRPr="00EE77FD">
        <w:rPr>
          <w:rtl/>
          <w:lang w:eastAsia="zh-TW"/>
        </w:rPr>
        <w:t xml:space="preserve">الجهات الفاعلة من غير </w:t>
      </w:r>
      <w:bookmarkStart w:id="11" w:name="_Toc516672807"/>
      <w:bookmarkEnd w:id="11"/>
      <w:r w:rsidR="00EE77FD" w:rsidRPr="00EE77FD">
        <w:rPr>
          <w:rtl/>
          <w:lang w:eastAsia="zh-TW"/>
        </w:rPr>
        <w:t>الدول</w:t>
      </w:r>
    </w:p>
    <w:p w:rsidR="00EE77FD" w:rsidRPr="00EE77FD" w:rsidRDefault="00EE77FD" w:rsidP="003561EB">
      <w:pPr>
        <w:pStyle w:val="SingleTxtGA"/>
        <w:rPr>
          <w:rtl/>
          <w:lang w:eastAsia="zh-TW"/>
        </w:rPr>
      </w:pPr>
      <w:r w:rsidRPr="00EE77FD">
        <w:rPr>
          <w:rtl/>
          <w:lang w:eastAsia="zh-TW"/>
        </w:rPr>
        <w:t>٣٠-</w:t>
      </w:r>
      <w:r w:rsidR="00AB592A">
        <w:rPr>
          <w:rtl/>
          <w:lang w:eastAsia="zh-TW"/>
        </w:rPr>
        <w:tab/>
      </w:r>
      <w:r w:rsidRPr="00EE77FD">
        <w:rPr>
          <w:rtl/>
          <w:lang w:eastAsia="zh-TW"/>
        </w:rPr>
        <w:t>ينبغي كذلك للدول الأطراف أن تمتنع عن ترحيل الأفراد إلى دولة أخرى عندما تكون هناك أسباب حقيقية تدعو إلى الاعتقاد بأنهم سيواجهون خطر التعرض للتعذيب أو غيره من ضروب سوء المعاملة على يد كيانات من غير الدول، بما في ذلك الجماعات التي تمارس بصورة غير قانونية أعمالاً تسبب ألماً أو معاناة شديدين لأغراض تحظرها الاتفاقية، والتي ليس للدولة المستقبِلة سيطرة فعلية عليها أو لها عليها سيطرة جزئية فقط، أو التي لا تستطيع منع أعمالها أو</w:t>
      </w:r>
      <w:r w:rsidR="003561EB">
        <w:rPr>
          <w:rFonts w:hint="cs"/>
          <w:rtl/>
          <w:lang w:eastAsia="zh-TW"/>
        </w:rPr>
        <w:t> </w:t>
      </w:r>
      <w:r w:rsidRPr="00EE77FD">
        <w:rPr>
          <w:rtl/>
          <w:lang w:eastAsia="zh-TW"/>
        </w:rPr>
        <w:t xml:space="preserve">لا </w:t>
      </w:r>
      <w:r w:rsidR="00AB592A">
        <w:rPr>
          <w:rtl/>
          <w:lang w:eastAsia="zh-TW"/>
        </w:rPr>
        <w:t>تستطيع مكافحة إفلاتها من العقاب</w:t>
      </w:r>
      <w:r w:rsidRPr="00EE77FD">
        <w:rPr>
          <w:rStyle w:val="FootnoteReference"/>
          <w:sz w:val="20"/>
          <w:szCs w:val="30"/>
          <w:rtl/>
          <w:lang w:eastAsia="zh-TW"/>
        </w:rPr>
        <w:t>(</w:t>
      </w:r>
      <w:r w:rsidRPr="00EE77FD">
        <w:rPr>
          <w:rStyle w:val="FootnoteReference"/>
          <w:sz w:val="20"/>
          <w:szCs w:val="30"/>
          <w:rtl/>
          <w:lang w:eastAsia="zh-TW"/>
        </w:rPr>
        <w:footnoteReference w:id="59"/>
      </w:r>
      <w:r w:rsidRPr="00EE77FD">
        <w:rPr>
          <w:rStyle w:val="FootnoteReference"/>
          <w:sz w:val="20"/>
          <w:szCs w:val="30"/>
          <w:rtl/>
          <w:lang w:eastAsia="zh-TW"/>
        </w:rPr>
        <w:t>)</w:t>
      </w:r>
      <w:r w:rsidR="00AB592A">
        <w:rPr>
          <w:rFonts w:hint="cs"/>
          <w:rtl/>
          <w:lang w:eastAsia="zh-TW"/>
        </w:rPr>
        <w:t>.</w:t>
      </w:r>
    </w:p>
    <w:p w:rsidR="00EE77FD" w:rsidRPr="00EE77FD" w:rsidRDefault="00AB592A" w:rsidP="00AB592A">
      <w:pPr>
        <w:pStyle w:val="HChGA"/>
        <w:rPr>
          <w:rtl/>
          <w:lang w:eastAsia="zh-TW"/>
        </w:rPr>
      </w:pPr>
      <w:r>
        <w:rPr>
          <w:rtl/>
          <w:lang w:eastAsia="zh-TW"/>
        </w:rPr>
        <w:tab/>
      </w:r>
      <w:r w:rsidR="00EE77FD" w:rsidRPr="00EE77FD">
        <w:rPr>
          <w:rtl/>
          <w:lang w:eastAsia="zh-TW"/>
        </w:rPr>
        <w:t>عاشراً-</w:t>
      </w:r>
      <w:r>
        <w:rPr>
          <w:rtl/>
          <w:lang w:eastAsia="zh-TW"/>
        </w:rPr>
        <w:tab/>
      </w:r>
      <w:r w:rsidR="00EE77FD" w:rsidRPr="00EE77FD">
        <w:rPr>
          <w:rtl/>
          <w:lang w:eastAsia="zh-TW"/>
        </w:rPr>
        <w:t>المتطلبات المحددة لتقديم البلاغات الفردية بموجب المادة ٢٢ من الاتفاقية وتدابير الحماية المؤقتة</w:t>
      </w:r>
      <w:bookmarkStart w:id="12" w:name="_Toc516672808"/>
      <w:bookmarkEnd w:id="12"/>
    </w:p>
    <w:p w:rsidR="00EE77FD" w:rsidRPr="00EE77FD" w:rsidRDefault="00AB592A" w:rsidP="00AB592A">
      <w:pPr>
        <w:pStyle w:val="H1GA"/>
        <w:rPr>
          <w:rtl/>
          <w:lang w:eastAsia="zh-TW"/>
        </w:rPr>
      </w:pPr>
      <w:r>
        <w:rPr>
          <w:rtl/>
          <w:lang w:eastAsia="zh-TW"/>
        </w:rPr>
        <w:tab/>
      </w:r>
      <w:r w:rsidR="00EE77FD" w:rsidRPr="00EE77FD">
        <w:rPr>
          <w:rtl/>
          <w:lang w:eastAsia="zh-TW"/>
        </w:rPr>
        <w:t>ألف-</w:t>
      </w:r>
      <w:r>
        <w:rPr>
          <w:rtl/>
          <w:lang w:eastAsia="zh-TW"/>
        </w:rPr>
        <w:tab/>
      </w:r>
      <w:r w:rsidR="00EE77FD" w:rsidRPr="00EE77FD">
        <w:rPr>
          <w:rtl/>
          <w:lang w:eastAsia="zh-TW"/>
        </w:rPr>
        <w:t>المقبولية</w:t>
      </w:r>
      <w:bookmarkStart w:id="13" w:name="_Toc516672809"/>
      <w:bookmarkEnd w:id="13"/>
    </w:p>
    <w:p w:rsidR="00EE77FD" w:rsidRPr="00EE77FD" w:rsidRDefault="00EE77FD" w:rsidP="00AB592A">
      <w:pPr>
        <w:pStyle w:val="SingleTxtGA"/>
        <w:rPr>
          <w:rtl/>
          <w:lang w:eastAsia="zh-TW"/>
        </w:rPr>
      </w:pPr>
      <w:r w:rsidRPr="00EE77FD">
        <w:rPr>
          <w:rtl/>
          <w:lang w:eastAsia="zh-TW"/>
        </w:rPr>
        <w:t>٣١-</w:t>
      </w:r>
      <w:r w:rsidR="00AB592A">
        <w:rPr>
          <w:rtl/>
          <w:lang w:eastAsia="zh-TW"/>
        </w:rPr>
        <w:tab/>
      </w:r>
      <w:r w:rsidRPr="00EE77FD">
        <w:rPr>
          <w:rtl/>
          <w:lang w:eastAsia="zh-TW"/>
        </w:rPr>
        <w:t>تعتبر اللجنة أن من مسؤولية صاحب البلاغ أن يقدم حججاً شاملة للشكوى المتعلقة بادعاء انتهاك المادة ٣ من الاتفاقية بحيث ترى اللجنة، من الانطباع الأول (منذ الوهلة الأولى) أو من الرسائل اللاحقة، عند الاقتضاء، أن من المهم النظر فيها بموجب المادة ٢٢ من الاتفاقية وأنها تفي بكل شرط من الشروط المحددة بموجب المادة ١١٣ من النظام الداخلي للجنة.</w:t>
      </w:r>
    </w:p>
    <w:p w:rsidR="00EE77FD" w:rsidRPr="004341FB" w:rsidRDefault="00EE77FD" w:rsidP="00AB592A">
      <w:pPr>
        <w:pStyle w:val="SingleTxtGA"/>
        <w:rPr>
          <w:spacing w:val="-2"/>
          <w:rtl/>
          <w:lang w:eastAsia="zh-TW"/>
        </w:rPr>
      </w:pPr>
      <w:r w:rsidRPr="004341FB">
        <w:rPr>
          <w:spacing w:val="-2"/>
          <w:rtl/>
          <w:lang w:eastAsia="zh-TW"/>
        </w:rPr>
        <w:t>٣٢-</w:t>
      </w:r>
      <w:r w:rsidR="00AB592A" w:rsidRPr="004341FB">
        <w:rPr>
          <w:spacing w:val="-2"/>
          <w:rtl/>
          <w:lang w:eastAsia="zh-TW"/>
        </w:rPr>
        <w:tab/>
      </w:r>
      <w:r w:rsidRPr="004341FB">
        <w:rPr>
          <w:spacing w:val="-2"/>
          <w:rtl/>
          <w:lang w:eastAsia="zh-TW"/>
        </w:rPr>
        <w:t xml:space="preserve">وتنطبق التزامات الدولة الطرف بموجب الاتفاقية اعتباراً من تاريخ دخول الاتفاقية حيز النفاذ بالنسبة لتلك الدولة الطرف. غير أن اللجنة ستنظر في البلاغات المتعلقة بالانتهاكات </w:t>
      </w:r>
      <w:r w:rsidRPr="004341FB">
        <w:rPr>
          <w:spacing w:val="-2"/>
          <w:rtl/>
          <w:lang w:eastAsia="zh-TW"/>
        </w:rPr>
        <w:lastRenderedPageBreak/>
        <w:t>المزعومة للاتفاقية التي وقعت قبل اعتراف الدولة الطرف باختصاص اللجنة بموجب المادة ٢٢ من الاتفاقية عن طريق الإعلان المنصوص عليه في المادة ٢٢ إذا استمرت آثار تلك الانتهاكات بعد إعلان الدولة الطرف وإذا كانت هذه الآثار يمكن أن تشكل في حد ذاتها انتهاكا</w:t>
      </w:r>
      <w:r w:rsidR="00AB592A" w:rsidRPr="004341FB">
        <w:rPr>
          <w:spacing w:val="-2"/>
          <w:rtl/>
          <w:lang w:eastAsia="zh-TW"/>
        </w:rPr>
        <w:t>ً للاتفاقية</w:t>
      </w:r>
      <w:r w:rsidRPr="004341FB">
        <w:rPr>
          <w:rStyle w:val="FootnoteReference"/>
          <w:spacing w:val="-2"/>
          <w:sz w:val="20"/>
          <w:szCs w:val="30"/>
          <w:rtl/>
          <w:lang w:eastAsia="zh-TW"/>
        </w:rPr>
        <w:t>(</w:t>
      </w:r>
      <w:r w:rsidRPr="004341FB">
        <w:rPr>
          <w:rStyle w:val="FootnoteReference"/>
          <w:spacing w:val="-2"/>
          <w:sz w:val="20"/>
          <w:szCs w:val="30"/>
          <w:rtl/>
          <w:lang w:eastAsia="zh-TW"/>
        </w:rPr>
        <w:footnoteReference w:id="60"/>
      </w:r>
      <w:r w:rsidRPr="004341FB">
        <w:rPr>
          <w:rStyle w:val="FootnoteReference"/>
          <w:spacing w:val="-2"/>
          <w:sz w:val="20"/>
          <w:szCs w:val="30"/>
          <w:rtl/>
          <w:lang w:eastAsia="zh-TW"/>
        </w:rPr>
        <w:t>)</w:t>
      </w:r>
      <w:r w:rsidR="00AB592A" w:rsidRPr="004341FB">
        <w:rPr>
          <w:rStyle w:val="FootnoteReference"/>
          <w:rFonts w:hint="cs"/>
          <w:spacing w:val="-2"/>
          <w:sz w:val="20"/>
          <w:szCs w:val="30"/>
          <w:vertAlign w:val="baseline"/>
          <w:rtl/>
          <w:lang w:eastAsia="zh-TW"/>
        </w:rPr>
        <w:t>.</w:t>
      </w:r>
    </w:p>
    <w:p w:rsidR="00EE77FD" w:rsidRPr="00EE77FD" w:rsidRDefault="00AB592A" w:rsidP="00AB592A">
      <w:pPr>
        <w:pStyle w:val="SingleTxtGA"/>
        <w:rPr>
          <w:rtl/>
          <w:lang w:eastAsia="zh-TW"/>
        </w:rPr>
      </w:pPr>
      <w:r>
        <w:rPr>
          <w:rtl/>
          <w:lang w:eastAsia="zh-TW"/>
        </w:rPr>
        <w:t>٣٣-</w:t>
      </w:r>
      <w:r>
        <w:rPr>
          <w:rtl/>
          <w:lang w:eastAsia="zh-TW"/>
        </w:rPr>
        <w:tab/>
        <w:t>وبالإشارة إلى المادة ٢٢(٥)</w:t>
      </w:r>
      <w:r w:rsidR="00EE77FD" w:rsidRPr="00EE77FD">
        <w:rPr>
          <w:rtl/>
          <w:lang w:eastAsia="zh-TW"/>
        </w:rPr>
        <w:t>(أ) من الاتفاقية، التي تقضي بألا تنظر اللجنة في أي بلاغ فردي بموجب هذه المادة ما لم تتحقق من أن المسألة نفسها لم تبحث ولا يجري بحثها في إطار أي إجراء آخر من إجراءات التحقيق الدولي أو التسوية الدولية، ترى اللجنة أن "المسألة نفسها" ينبغي أن تُفهَم على أنها تتعلق بالأطراف و</w:t>
      </w:r>
      <w:r>
        <w:rPr>
          <w:rtl/>
          <w:lang w:eastAsia="zh-TW"/>
        </w:rPr>
        <w:t>الوقائع والحقوق الموضوعية ذاتها</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61"/>
      </w:r>
      <w:r w:rsidR="00EE77FD" w:rsidRPr="00EE77FD">
        <w:rPr>
          <w:rStyle w:val="FootnoteReference"/>
          <w:sz w:val="20"/>
          <w:szCs w:val="30"/>
          <w:rtl/>
          <w:lang w:eastAsia="zh-TW"/>
        </w:rPr>
        <w:t>)</w:t>
      </w:r>
      <w:r w:rsidRPr="00AB592A">
        <w:rPr>
          <w:rStyle w:val="FootnoteReference"/>
          <w:rFonts w:hint="cs"/>
          <w:sz w:val="20"/>
          <w:szCs w:val="30"/>
          <w:vertAlign w:val="baseline"/>
          <w:rtl/>
          <w:lang w:eastAsia="zh-TW"/>
        </w:rPr>
        <w:t>.</w:t>
      </w:r>
    </w:p>
    <w:p w:rsidR="00EE77FD" w:rsidRPr="004341FB" w:rsidRDefault="00EE77FD" w:rsidP="00AB592A">
      <w:pPr>
        <w:pStyle w:val="SingleTxtGA"/>
        <w:rPr>
          <w:spacing w:val="-2"/>
          <w:rtl/>
          <w:lang w:eastAsia="zh-TW"/>
        </w:rPr>
      </w:pPr>
      <w:r w:rsidRPr="004341FB">
        <w:rPr>
          <w:spacing w:val="-2"/>
          <w:rtl/>
          <w:lang w:eastAsia="zh-TW"/>
        </w:rPr>
        <w:t>٣٤-</w:t>
      </w:r>
      <w:r w:rsidR="00AB592A" w:rsidRPr="004341FB">
        <w:rPr>
          <w:spacing w:val="-2"/>
          <w:rtl/>
          <w:lang w:eastAsia="zh-TW"/>
        </w:rPr>
        <w:tab/>
        <w:t>ووفقاً للمادة ٢٢(٥)</w:t>
      </w:r>
      <w:r w:rsidRPr="004341FB">
        <w:rPr>
          <w:spacing w:val="-2"/>
          <w:rtl/>
          <w:lang w:eastAsia="zh-TW"/>
        </w:rPr>
        <w:t>(ب) من الاتفاقية، يجب أن يكون صاحب الشكوى قد استنفد جميع سبل الانتصاف المحلية المتاحة، المنصوص عليها في القانون وفي الممارسة العملية، التي تحقق الإنصاف الفعال</w:t>
      </w:r>
      <w:r w:rsidRPr="004341FB">
        <w:rPr>
          <w:rStyle w:val="FootnoteReference"/>
          <w:spacing w:val="-2"/>
          <w:sz w:val="20"/>
          <w:szCs w:val="30"/>
          <w:rtl/>
          <w:lang w:eastAsia="zh-TW"/>
        </w:rPr>
        <w:t>(</w:t>
      </w:r>
      <w:r w:rsidRPr="004341FB">
        <w:rPr>
          <w:rStyle w:val="FootnoteReference"/>
          <w:spacing w:val="-2"/>
          <w:sz w:val="20"/>
          <w:szCs w:val="30"/>
          <w:rtl/>
          <w:lang w:eastAsia="zh-TW"/>
        </w:rPr>
        <w:footnoteReference w:id="62"/>
      </w:r>
      <w:r w:rsidRPr="004341FB">
        <w:rPr>
          <w:rStyle w:val="FootnoteReference"/>
          <w:spacing w:val="-2"/>
          <w:sz w:val="20"/>
          <w:szCs w:val="30"/>
          <w:rtl/>
          <w:lang w:eastAsia="zh-TW"/>
        </w:rPr>
        <w:t>)</w:t>
      </w:r>
      <w:r w:rsidR="00AB592A" w:rsidRPr="004341FB">
        <w:rPr>
          <w:spacing w:val="-2"/>
          <w:rtl/>
          <w:lang w:eastAsia="zh-TW"/>
        </w:rPr>
        <w:t>. وتنص المادة ٢٢(٥)</w:t>
      </w:r>
      <w:r w:rsidRPr="004341FB">
        <w:rPr>
          <w:spacing w:val="-2"/>
          <w:rtl/>
          <w:lang w:eastAsia="zh-TW"/>
        </w:rPr>
        <w:t>(ب) كذلك على ألا تنطبق هذه القاعدة إذا كان إعمال سبل الانتصاف قد طال أمده بصورة غير معقولة أو كان من غير المحتمل أن يحقق الإنصاف الفعلي للشخص الذي هو ضحية انتهاك الاتفاقية</w:t>
      </w:r>
      <w:r w:rsidRPr="004341FB">
        <w:rPr>
          <w:rStyle w:val="FootnoteReference"/>
          <w:spacing w:val="-2"/>
          <w:sz w:val="20"/>
          <w:szCs w:val="30"/>
          <w:rtl/>
          <w:lang w:eastAsia="zh-TW"/>
        </w:rPr>
        <w:t>(</w:t>
      </w:r>
      <w:r w:rsidRPr="004341FB">
        <w:rPr>
          <w:rStyle w:val="FootnoteReference"/>
          <w:spacing w:val="-2"/>
          <w:sz w:val="20"/>
          <w:szCs w:val="30"/>
          <w:rtl/>
          <w:lang w:eastAsia="zh-TW"/>
        </w:rPr>
        <w:footnoteReference w:id="63"/>
      </w:r>
      <w:r w:rsidRPr="004341FB">
        <w:rPr>
          <w:rStyle w:val="FootnoteReference"/>
          <w:spacing w:val="-2"/>
          <w:sz w:val="20"/>
          <w:szCs w:val="30"/>
          <w:rtl/>
          <w:lang w:eastAsia="zh-TW"/>
        </w:rPr>
        <w:t>)</w:t>
      </w:r>
      <w:r w:rsidRPr="004341FB">
        <w:rPr>
          <w:spacing w:val="-2"/>
          <w:rtl/>
          <w:lang w:eastAsia="zh-TW"/>
        </w:rPr>
        <w:t>. وفي سياق المادة ٣ من الاتفاقية، ترى اللجنة أن استنفاد سبل الانتصاف المحلية يعني أن صاحب الشكوى طلب سبل انتصاف ذات صلة مباشرة بخطر التعرض للتعذيب في البلد الذي سيُرحَّل إليه، وليس سبل انتصاف يمكن أن تسمح لصاحب الشكوى بالبقاء في ال</w:t>
      </w:r>
      <w:r w:rsidR="00AB592A" w:rsidRPr="004341FB">
        <w:rPr>
          <w:spacing w:val="-2"/>
          <w:rtl/>
          <w:lang w:eastAsia="zh-TW"/>
        </w:rPr>
        <w:t>دولة الطرف المرسِلة لأسباب أخرى</w:t>
      </w:r>
      <w:r w:rsidRPr="004341FB">
        <w:rPr>
          <w:rStyle w:val="FootnoteReference"/>
          <w:spacing w:val="-2"/>
          <w:sz w:val="20"/>
          <w:szCs w:val="30"/>
          <w:rtl/>
          <w:lang w:eastAsia="zh-TW"/>
        </w:rPr>
        <w:t>(</w:t>
      </w:r>
      <w:r w:rsidRPr="004341FB">
        <w:rPr>
          <w:rStyle w:val="FootnoteReference"/>
          <w:spacing w:val="-2"/>
          <w:sz w:val="20"/>
          <w:szCs w:val="30"/>
          <w:rtl/>
          <w:lang w:eastAsia="zh-TW"/>
        </w:rPr>
        <w:footnoteReference w:id="64"/>
      </w:r>
      <w:r w:rsidRPr="004341FB">
        <w:rPr>
          <w:rStyle w:val="FootnoteReference"/>
          <w:spacing w:val="-2"/>
          <w:sz w:val="20"/>
          <w:szCs w:val="30"/>
          <w:rtl/>
          <w:lang w:eastAsia="zh-TW"/>
        </w:rPr>
        <w:t>)</w:t>
      </w:r>
      <w:bookmarkStart w:id="14" w:name="_Hlk515547553"/>
      <w:bookmarkEnd w:id="14"/>
      <w:r w:rsidR="00AB592A" w:rsidRPr="004341FB">
        <w:rPr>
          <w:rStyle w:val="FootnoteReference"/>
          <w:rFonts w:hint="cs"/>
          <w:spacing w:val="-2"/>
          <w:sz w:val="20"/>
          <w:szCs w:val="30"/>
          <w:vertAlign w:val="baseline"/>
          <w:rtl/>
          <w:lang w:eastAsia="zh-TW"/>
        </w:rPr>
        <w:t>.</w:t>
      </w:r>
    </w:p>
    <w:p w:rsidR="00EE77FD" w:rsidRPr="004341FB" w:rsidRDefault="00EE77FD" w:rsidP="004341FB">
      <w:pPr>
        <w:pStyle w:val="SingleTxtGA"/>
        <w:rPr>
          <w:spacing w:val="-4"/>
          <w:rtl/>
          <w:lang w:eastAsia="zh-TW"/>
        </w:rPr>
      </w:pPr>
      <w:r w:rsidRPr="004341FB">
        <w:rPr>
          <w:spacing w:val="-4"/>
          <w:rtl/>
          <w:lang w:eastAsia="zh-TW"/>
        </w:rPr>
        <w:t>٣٥-</w:t>
      </w:r>
      <w:r w:rsidR="00AB592A" w:rsidRPr="004341FB">
        <w:rPr>
          <w:spacing w:val="-4"/>
          <w:rtl/>
          <w:lang w:eastAsia="zh-TW"/>
        </w:rPr>
        <w:tab/>
      </w:r>
      <w:r w:rsidRPr="004341FB">
        <w:rPr>
          <w:spacing w:val="-4"/>
          <w:rtl/>
          <w:lang w:eastAsia="zh-TW"/>
        </w:rPr>
        <w:t>وترى اللجنة كذلك أن سبل الانتصاف الفعالة في تنفيذ مبدأ "عدم الإعادة القسرية" ينبغي أن تكون طعناً قادراً على الحيلولة، في الممارسة العملية، دون ترحيل صاحب الشكوى عندما تكون هناك أسباب حقيقية تدعو إلى الاعتقاد بأنه سيواجه شخصياً خطر التعرض للتعذيب في حال ترحيله إلى بلد آخر. وينبغي أن يكون الطعن حقاً قانونياً وليس امتيازاً تقدمه السلطات المعنية على سبيل الهبة</w:t>
      </w:r>
      <w:r w:rsidRPr="004341FB">
        <w:rPr>
          <w:rStyle w:val="FootnoteReference"/>
          <w:spacing w:val="-4"/>
          <w:sz w:val="20"/>
          <w:szCs w:val="30"/>
          <w:rtl/>
          <w:lang w:eastAsia="zh-TW"/>
        </w:rPr>
        <w:t>(</w:t>
      </w:r>
      <w:r w:rsidRPr="004341FB">
        <w:rPr>
          <w:rStyle w:val="FootnoteReference"/>
          <w:spacing w:val="-4"/>
          <w:sz w:val="20"/>
          <w:szCs w:val="30"/>
          <w:rtl/>
          <w:lang w:eastAsia="zh-TW"/>
        </w:rPr>
        <w:footnoteReference w:id="65"/>
      </w:r>
      <w:r w:rsidRPr="004341FB">
        <w:rPr>
          <w:rStyle w:val="FootnoteReference"/>
          <w:spacing w:val="-4"/>
          <w:sz w:val="20"/>
          <w:szCs w:val="30"/>
          <w:rtl/>
          <w:lang w:eastAsia="zh-TW"/>
        </w:rPr>
        <w:t>)</w:t>
      </w:r>
      <w:r w:rsidRPr="004341FB">
        <w:rPr>
          <w:spacing w:val="-4"/>
          <w:rtl/>
          <w:lang w:eastAsia="zh-TW"/>
        </w:rPr>
        <w:t xml:space="preserve">، وينبغي أن يكون متاحاً من الناحية العملية دون عوائق من أي نوع. </w:t>
      </w:r>
    </w:p>
    <w:p w:rsidR="00EE77FD" w:rsidRPr="00EE77FD" w:rsidRDefault="00AB592A" w:rsidP="00AB592A">
      <w:pPr>
        <w:pStyle w:val="H1GA"/>
        <w:rPr>
          <w:rtl/>
          <w:lang w:eastAsia="zh-TW"/>
        </w:rPr>
      </w:pPr>
      <w:r>
        <w:rPr>
          <w:rtl/>
          <w:lang w:eastAsia="zh-TW"/>
        </w:rPr>
        <w:tab/>
      </w:r>
      <w:r w:rsidR="00EE77FD" w:rsidRPr="00EE77FD">
        <w:rPr>
          <w:rtl/>
          <w:lang w:eastAsia="zh-TW"/>
        </w:rPr>
        <w:t>باء-</w:t>
      </w:r>
      <w:r>
        <w:rPr>
          <w:rtl/>
          <w:lang w:eastAsia="zh-TW"/>
        </w:rPr>
        <w:tab/>
      </w:r>
      <w:r w:rsidR="00EE77FD" w:rsidRPr="00EE77FD">
        <w:rPr>
          <w:rtl/>
          <w:lang w:eastAsia="zh-TW"/>
        </w:rPr>
        <w:t>تدابير الحماية المؤقتة</w:t>
      </w:r>
      <w:bookmarkStart w:id="15" w:name="_Toc516672810"/>
      <w:bookmarkEnd w:id="15"/>
    </w:p>
    <w:p w:rsidR="00EE77FD" w:rsidRPr="00EE77FD" w:rsidRDefault="00EE77FD" w:rsidP="00AB592A">
      <w:pPr>
        <w:pStyle w:val="SingleTxtGA"/>
        <w:rPr>
          <w:rtl/>
          <w:lang w:eastAsia="zh-TW"/>
        </w:rPr>
      </w:pPr>
      <w:r w:rsidRPr="00EE77FD">
        <w:rPr>
          <w:rtl/>
          <w:lang w:eastAsia="zh-TW"/>
        </w:rPr>
        <w:t>٣٦-</w:t>
      </w:r>
      <w:r w:rsidR="00AB592A">
        <w:rPr>
          <w:rtl/>
          <w:lang w:eastAsia="zh-TW"/>
        </w:rPr>
        <w:tab/>
      </w:r>
      <w:r w:rsidRPr="00EE77FD">
        <w:rPr>
          <w:rtl/>
          <w:lang w:eastAsia="zh-TW"/>
        </w:rPr>
        <w:t xml:space="preserve">عندما تطلب اللجنة، أو عندما يطلب أعضاء تعينهم اللجنة، إلى الدولة الطرف المعنية أن تنظر بصورة عاجلة، قعد أن يصبح قرار الإبعاد من جانب السلطات المحلية قابلاً للتنفيذ </w:t>
      </w:r>
      <w:r w:rsidRPr="00EE77FD">
        <w:rPr>
          <w:rtl/>
          <w:lang w:eastAsia="zh-TW"/>
        </w:rPr>
        <w:lastRenderedPageBreak/>
        <w:t>وفقاً للمعلومات المتاحة، في اتخاذ التدابير المؤقتة التي ترى اللجنة أنها ضرورية لتلافي وقوع ضرر يتعذر إصلاحه لضحية أو ضحايا انتهاك مزعوم للمادة ٣ من الاتفاقية، وفقاً للمادة ١١٤ من النظام الداخلي للجنة، ينبغي للدولة الطرف أن تمتثل لطلب اللجنة بحسن نية.</w:t>
      </w:r>
    </w:p>
    <w:p w:rsidR="00EE77FD" w:rsidRPr="00EE77FD" w:rsidRDefault="00EE77FD" w:rsidP="00AB592A">
      <w:pPr>
        <w:pStyle w:val="SingleTxtGA"/>
        <w:rPr>
          <w:rtl/>
          <w:lang w:eastAsia="zh-TW"/>
        </w:rPr>
      </w:pPr>
      <w:r w:rsidRPr="00EE77FD">
        <w:rPr>
          <w:rtl/>
          <w:lang w:eastAsia="zh-TW"/>
        </w:rPr>
        <w:t>٣٧-</w:t>
      </w:r>
      <w:r w:rsidR="00AB592A">
        <w:rPr>
          <w:rtl/>
          <w:lang w:eastAsia="zh-TW"/>
        </w:rPr>
        <w:tab/>
      </w:r>
      <w:r w:rsidRPr="00EE77FD">
        <w:rPr>
          <w:rtl/>
          <w:lang w:eastAsia="zh-TW"/>
        </w:rPr>
        <w:t>وسيشكل عدم امتثال الدولة الطرف لطلب اللجنة ضرراً جسيماً وعائقاً لفعالية مداولات اللجنة وسيلقي بظلال خطيرة من الشك على مدى استعداد الدولة الطرف لتنفيذ المادة ٢٢ من الاتفاقية بحسن نية</w:t>
      </w:r>
      <w:r w:rsidRPr="00EE77FD">
        <w:rPr>
          <w:rStyle w:val="FootnoteReference"/>
          <w:sz w:val="20"/>
          <w:szCs w:val="30"/>
          <w:rtl/>
          <w:lang w:eastAsia="zh-TW"/>
        </w:rPr>
        <w:t>(</w:t>
      </w:r>
      <w:r w:rsidRPr="00EE77FD">
        <w:rPr>
          <w:rStyle w:val="FootnoteReference"/>
          <w:sz w:val="20"/>
          <w:szCs w:val="30"/>
          <w:rtl/>
          <w:lang w:eastAsia="zh-TW"/>
        </w:rPr>
        <w:footnoteReference w:id="66"/>
      </w:r>
      <w:r w:rsidRPr="00EE77FD">
        <w:rPr>
          <w:rStyle w:val="FootnoteReference"/>
          <w:sz w:val="20"/>
          <w:szCs w:val="30"/>
          <w:rtl/>
          <w:lang w:eastAsia="zh-TW"/>
        </w:rPr>
        <w:t>)</w:t>
      </w:r>
      <w:r w:rsidRPr="00EE77FD">
        <w:rPr>
          <w:rtl/>
          <w:lang w:eastAsia="zh-TW"/>
        </w:rPr>
        <w:t>. لذلك، قررت اللجنة أن عدم الامتثال لطلبها المتعلق باتخاذ تدابير مؤقتة</w:t>
      </w:r>
      <w:r w:rsidR="00AB592A">
        <w:rPr>
          <w:rtl/>
          <w:lang w:eastAsia="zh-TW"/>
        </w:rPr>
        <w:t xml:space="preserve"> يشكل انتهاكاً لأحكام المادة ٢٢</w:t>
      </w:r>
      <w:r w:rsidRPr="00EE77FD">
        <w:rPr>
          <w:rStyle w:val="FootnoteReference"/>
          <w:sz w:val="20"/>
          <w:szCs w:val="30"/>
          <w:rtl/>
          <w:lang w:eastAsia="zh-TW"/>
        </w:rPr>
        <w:t>(</w:t>
      </w:r>
      <w:r w:rsidRPr="00EE77FD">
        <w:rPr>
          <w:rStyle w:val="FootnoteReference"/>
          <w:sz w:val="20"/>
          <w:szCs w:val="30"/>
          <w:rtl/>
          <w:lang w:eastAsia="zh-TW"/>
        </w:rPr>
        <w:footnoteReference w:id="67"/>
      </w:r>
      <w:r w:rsidRPr="00EE77FD">
        <w:rPr>
          <w:rStyle w:val="FootnoteReference"/>
          <w:sz w:val="20"/>
          <w:szCs w:val="30"/>
          <w:rtl/>
          <w:lang w:eastAsia="zh-TW"/>
        </w:rPr>
        <w:t>)</w:t>
      </w:r>
      <w:r w:rsidR="00AB592A" w:rsidRPr="00AB592A">
        <w:rPr>
          <w:rStyle w:val="FootnoteReference"/>
          <w:rFonts w:hint="cs"/>
          <w:sz w:val="20"/>
          <w:szCs w:val="30"/>
          <w:vertAlign w:val="baseline"/>
          <w:rtl/>
          <w:lang w:eastAsia="zh-TW"/>
        </w:rPr>
        <w:t>.</w:t>
      </w:r>
    </w:p>
    <w:p w:rsidR="00EE77FD" w:rsidRPr="00EE77FD" w:rsidRDefault="00AB592A" w:rsidP="00AB592A">
      <w:pPr>
        <w:pStyle w:val="H1GA"/>
        <w:rPr>
          <w:rtl/>
          <w:lang w:eastAsia="zh-TW"/>
        </w:rPr>
      </w:pPr>
      <w:r>
        <w:rPr>
          <w:rtl/>
          <w:lang w:eastAsia="zh-TW"/>
        </w:rPr>
        <w:tab/>
      </w:r>
      <w:r w:rsidR="00EE77FD" w:rsidRPr="00EE77FD">
        <w:rPr>
          <w:rtl/>
          <w:lang w:eastAsia="zh-TW"/>
        </w:rPr>
        <w:t>جيم-</w:t>
      </w:r>
      <w:r>
        <w:rPr>
          <w:rtl/>
          <w:lang w:eastAsia="zh-TW"/>
        </w:rPr>
        <w:tab/>
      </w:r>
      <w:dir w:val="rtl">
        <w:r w:rsidR="00EE77FD" w:rsidRPr="00EE77FD">
          <w:rPr>
            <w:rtl/>
            <w:lang w:eastAsia="zh-TW"/>
          </w:rPr>
          <w:t>الأسس الموضوعية</w:t>
        </w:r>
        <w:r w:rsidR="00EE77FD" w:rsidRPr="00EE77FD">
          <w:rPr>
            <w:rFonts w:cs="Times New Roman" w:hint="cs"/>
            <w:rtl/>
            <w:lang w:eastAsia="zh-TW"/>
          </w:rPr>
          <w:t>‬</w:t>
        </w:r>
        <w:bookmarkStart w:id="16" w:name="_Toc516672811"/>
        <w:bookmarkEnd w:id="16"/>
        <w:r w:rsidR="00EE77FD" w:rsidRPr="00EE77FD">
          <w:t>‬</w:t>
        </w:r>
        <w:r w:rsidR="00EE77FD" w:rsidRPr="00EE77FD">
          <w:t>‬</w:t>
        </w:r>
        <w:r w:rsidR="002F142B">
          <w:t>‬</w:t>
        </w:r>
        <w:r w:rsidR="00DA073F">
          <w:t>‬</w:t>
        </w:r>
        <w:r w:rsidR="006535F6">
          <w:t>‬</w:t>
        </w:r>
      </w:dir>
    </w:p>
    <w:p w:rsidR="00EE77FD" w:rsidRPr="004341FB" w:rsidRDefault="00EE77FD" w:rsidP="00AB592A">
      <w:pPr>
        <w:pStyle w:val="SingleTxtGA"/>
        <w:rPr>
          <w:spacing w:val="-2"/>
          <w:rtl/>
          <w:lang w:eastAsia="zh-TW"/>
        </w:rPr>
      </w:pPr>
      <w:r w:rsidRPr="004341FB">
        <w:rPr>
          <w:spacing w:val="-2"/>
          <w:rtl/>
          <w:lang w:eastAsia="zh-TW"/>
        </w:rPr>
        <w:t>٣٨-</w:t>
      </w:r>
      <w:r w:rsidR="00AB592A" w:rsidRPr="004341FB">
        <w:rPr>
          <w:spacing w:val="-2"/>
          <w:rtl/>
          <w:lang w:eastAsia="zh-TW"/>
        </w:rPr>
        <w:tab/>
      </w:r>
      <w:r w:rsidRPr="004341FB">
        <w:rPr>
          <w:spacing w:val="-2"/>
          <w:rtl/>
          <w:lang w:eastAsia="zh-TW"/>
        </w:rPr>
        <w:t>فيما يتعلق بتطبيق المادة 3 من الاتفاقية على الأسس الموضوعية لبلاغ مقدم بموجب المادة ٢٢ من الاتفاقية، يقع عبء الإثبات على صاحب البلاغ، الذي يجب عليه أن يعرض قضية وجيهة</w:t>
      </w:r>
      <w:r w:rsidRPr="004341FB">
        <w:rPr>
          <w:rStyle w:val="FootnoteReference"/>
          <w:spacing w:val="-2"/>
          <w:sz w:val="20"/>
          <w:szCs w:val="30"/>
          <w:rtl/>
          <w:lang w:eastAsia="zh-TW"/>
        </w:rPr>
        <w:t>(</w:t>
      </w:r>
      <w:r w:rsidRPr="004341FB">
        <w:rPr>
          <w:rStyle w:val="FootnoteReference"/>
          <w:spacing w:val="-2"/>
          <w:sz w:val="20"/>
          <w:szCs w:val="30"/>
          <w:rtl/>
          <w:lang w:eastAsia="zh-TW"/>
        </w:rPr>
        <w:footnoteReference w:id="68"/>
      </w:r>
      <w:r w:rsidRPr="004341FB">
        <w:rPr>
          <w:rStyle w:val="FootnoteReference"/>
          <w:spacing w:val="-2"/>
          <w:sz w:val="20"/>
          <w:szCs w:val="30"/>
          <w:rtl/>
          <w:lang w:eastAsia="zh-TW"/>
        </w:rPr>
        <w:t>)</w:t>
      </w:r>
      <w:r w:rsidRPr="004341FB">
        <w:rPr>
          <w:spacing w:val="-2"/>
          <w:rtl/>
          <w:lang w:eastAsia="zh-TW"/>
        </w:rPr>
        <w:t>، أي أن يقدم حججاً مدعومة بأدلة تبين أن خطر التعرض للتعذيب متوقع وقائم وشخصي وحقيقي. ولكن عندما يكون أصحاب الشكاوى في وضع يعجزون فيه عن تفصيل قضيتهم، كأن يكونوا، مثلاً، قد أثبتوا استحالة حصولهم على وثائق تتعلق بادعاء تعرضهم للتعذيب أو يكونوا مسلوبي الحرية، فإن عبء الإثبات ينعكس</w:t>
      </w:r>
      <w:r w:rsidRPr="004341FB">
        <w:rPr>
          <w:rStyle w:val="FootnoteReference"/>
          <w:spacing w:val="-2"/>
          <w:sz w:val="20"/>
          <w:szCs w:val="30"/>
          <w:rtl/>
          <w:lang w:eastAsia="zh-TW"/>
        </w:rPr>
        <w:t>(</w:t>
      </w:r>
      <w:r w:rsidRPr="004341FB">
        <w:rPr>
          <w:rStyle w:val="FootnoteReference"/>
          <w:spacing w:val="-2"/>
          <w:sz w:val="20"/>
          <w:szCs w:val="30"/>
          <w:rtl/>
          <w:lang w:eastAsia="zh-TW"/>
        </w:rPr>
        <w:footnoteReference w:id="69"/>
      </w:r>
      <w:r w:rsidRPr="004341FB">
        <w:rPr>
          <w:rStyle w:val="FootnoteReference"/>
          <w:spacing w:val="-2"/>
          <w:sz w:val="20"/>
          <w:szCs w:val="30"/>
          <w:rtl/>
          <w:lang w:eastAsia="zh-TW"/>
        </w:rPr>
        <w:t>)</w:t>
      </w:r>
      <w:r w:rsidRPr="004341FB">
        <w:rPr>
          <w:spacing w:val="-2"/>
          <w:rtl/>
          <w:lang w:eastAsia="zh-TW"/>
        </w:rPr>
        <w:t xml:space="preserve"> ويكون على الدولة الطرف المعنية أن تحقق في هذه الادعاءات وتتحقق من صحة المعلومات التي يستند إليها البلاغ. </w:t>
      </w:r>
    </w:p>
    <w:p w:rsidR="00EE77FD" w:rsidRPr="00EE77FD" w:rsidRDefault="00EE77FD" w:rsidP="00AB592A">
      <w:pPr>
        <w:pStyle w:val="SingleTxtGA"/>
        <w:rPr>
          <w:rtl/>
          <w:lang w:eastAsia="zh-TW"/>
        </w:rPr>
      </w:pPr>
      <w:r w:rsidRPr="00EE77FD">
        <w:rPr>
          <w:rtl/>
          <w:lang w:eastAsia="zh-TW"/>
        </w:rPr>
        <w:t>٣٩-</w:t>
      </w:r>
      <w:r w:rsidR="00AB592A">
        <w:rPr>
          <w:rtl/>
          <w:lang w:eastAsia="zh-TW"/>
        </w:rPr>
        <w:tab/>
      </w:r>
      <w:r w:rsidRPr="00EE77FD">
        <w:rPr>
          <w:rtl/>
          <w:lang w:eastAsia="zh-TW"/>
        </w:rPr>
        <w:t xml:space="preserve">ومن مسؤولية الدولة الطرف، على الصعيد الوطني، أن تقيِّم، من خلال إجراءات إدارية و/أو قضائية، ما إذا كانت هناك أسباب حقيقية تدعو إلى الاعتقاد بأن صاحب الشكوى يواجه خطراً متوقعاً وقائماً وشخصياً وحقيقياً بالتعرض للتعذيب في الدولة التي سيُرحَّل إليها. </w:t>
      </w:r>
    </w:p>
    <w:p w:rsidR="00EE77FD" w:rsidRPr="00EE77FD" w:rsidRDefault="00EE77FD" w:rsidP="00AB592A">
      <w:pPr>
        <w:pStyle w:val="SingleTxtGA"/>
        <w:rPr>
          <w:rtl/>
          <w:lang w:eastAsia="zh-TW"/>
        </w:rPr>
      </w:pPr>
      <w:r w:rsidRPr="00EE77FD">
        <w:rPr>
          <w:rtl/>
          <w:lang w:eastAsia="zh-TW"/>
        </w:rPr>
        <w:t>٤٠-</w:t>
      </w:r>
      <w:r w:rsidR="00AB592A">
        <w:rPr>
          <w:rtl/>
          <w:lang w:eastAsia="zh-TW"/>
        </w:rPr>
        <w:tab/>
      </w:r>
      <w:r w:rsidRPr="00EE77FD">
        <w:rPr>
          <w:rtl/>
          <w:lang w:eastAsia="zh-TW"/>
        </w:rPr>
        <w:t>وينبغي للدولة الطرف أن تقدم إلى الشخص المعني أثناء إجراءات التقييم كفالات وضمانات أساسية، لا سيما إذا كان هذا الشخص مسلوب الحرية أو في حالة ضعف شديد، مثل حالة ملتمس لجوء أو قاصر غير مصحوب أو امرأة تعرضت للعنف أ</w:t>
      </w:r>
      <w:r w:rsidR="00AB592A">
        <w:rPr>
          <w:rtl/>
          <w:lang w:eastAsia="zh-TW"/>
        </w:rPr>
        <w:t>و شخص ذي إعاقة (تدابير الحماية)</w:t>
      </w:r>
      <w:r w:rsidRPr="00EE77FD">
        <w:rPr>
          <w:rStyle w:val="FootnoteReference"/>
          <w:sz w:val="20"/>
          <w:szCs w:val="30"/>
          <w:rtl/>
          <w:lang w:eastAsia="zh-TW"/>
        </w:rPr>
        <w:t>(</w:t>
      </w:r>
      <w:r w:rsidRPr="00EE77FD">
        <w:rPr>
          <w:rStyle w:val="FootnoteReference"/>
          <w:sz w:val="20"/>
          <w:szCs w:val="30"/>
          <w:rtl/>
          <w:lang w:eastAsia="zh-TW"/>
        </w:rPr>
        <w:footnoteReference w:id="70"/>
      </w:r>
      <w:r w:rsidRPr="00EE77FD">
        <w:rPr>
          <w:rStyle w:val="FootnoteReference"/>
          <w:sz w:val="20"/>
          <w:szCs w:val="30"/>
          <w:rtl/>
          <w:lang w:eastAsia="zh-TW"/>
        </w:rPr>
        <w:t>)</w:t>
      </w:r>
      <w:r w:rsidR="00AB592A" w:rsidRPr="00AB592A">
        <w:rPr>
          <w:rStyle w:val="FootnoteReference"/>
          <w:rFonts w:hint="cs"/>
          <w:sz w:val="20"/>
          <w:szCs w:val="30"/>
          <w:vertAlign w:val="baseline"/>
          <w:rtl/>
          <w:lang w:eastAsia="zh-TW"/>
        </w:rPr>
        <w:t>.</w:t>
      </w:r>
    </w:p>
    <w:p w:rsidR="00EE77FD" w:rsidRPr="00EE77FD" w:rsidRDefault="00EE77FD" w:rsidP="00AB592A">
      <w:pPr>
        <w:pStyle w:val="SingleTxtGA"/>
        <w:rPr>
          <w:rtl/>
          <w:lang w:eastAsia="zh-TW"/>
        </w:rPr>
      </w:pPr>
      <w:r w:rsidRPr="00EE77FD">
        <w:rPr>
          <w:rtl/>
          <w:lang w:eastAsia="zh-TW"/>
        </w:rPr>
        <w:t>٤١-</w:t>
      </w:r>
      <w:r w:rsidR="00AB592A">
        <w:rPr>
          <w:rtl/>
          <w:lang w:eastAsia="zh-TW"/>
        </w:rPr>
        <w:tab/>
      </w:r>
      <w:r w:rsidRPr="00EE77FD">
        <w:rPr>
          <w:rtl/>
          <w:lang w:eastAsia="zh-TW"/>
        </w:rPr>
        <w:t xml:space="preserve">وينبغي أن تشمل الكفالات والضمانات تقديم المساعدة اللغوية والقانونية والطبية والاجتماعية، وعند الاقتضاء، المساعدة المالية، فضلاً عن الحق في الطعن في قرار الترحيل في </w:t>
      </w:r>
      <w:r w:rsidRPr="00EE77FD">
        <w:rPr>
          <w:rtl/>
          <w:lang w:eastAsia="zh-TW"/>
        </w:rPr>
        <w:lastRenderedPageBreak/>
        <w:t>غضون فترة زمنية معقولة، لأي شخص يعاني من الهشاشة والإجهاد مع أثر إيقافي لتنفيذ أمر الترحيل. وعلى الخصوص، ينبغي دائماً كفالة فحص يجريه طبيب مؤهل، بما في ذلك، حسب طلب صاحب الشكوى، لإثبات أفعال التعذيب التي تعرض لها، بغضّ النظر عن تقييم السلطات لمصداقية الادعاء</w:t>
      </w:r>
      <w:r w:rsidRPr="00EE77FD">
        <w:rPr>
          <w:rStyle w:val="FootnoteReference"/>
          <w:sz w:val="20"/>
          <w:szCs w:val="30"/>
          <w:rtl/>
          <w:lang w:eastAsia="zh-TW"/>
        </w:rPr>
        <w:t>(</w:t>
      </w:r>
      <w:r w:rsidRPr="00EE77FD">
        <w:rPr>
          <w:rStyle w:val="FootnoteReference"/>
          <w:sz w:val="20"/>
          <w:szCs w:val="30"/>
          <w:rtl/>
          <w:lang w:eastAsia="zh-TW"/>
        </w:rPr>
        <w:footnoteReference w:id="71"/>
      </w:r>
      <w:r w:rsidRPr="00EE77FD">
        <w:rPr>
          <w:rStyle w:val="FootnoteReference"/>
          <w:sz w:val="20"/>
          <w:szCs w:val="30"/>
          <w:rtl/>
          <w:lang w:eastAsia="zh-TW"/>
        </w:rPr>
        <w:t>)</w:t>
      </w:r>
      <w:r w:rsidRPr="00EE77FD">
        <w:rPr>
          <w:rtl/>
          <w:lang w:eastAsia="zh-TW"/>
        </w:rPr>
        <w:t>، حتى تتمكن السلطات التي تبت في حالة معينة من حالات الإعادة القسرية من إتمام عملية تقييم خطر التعذيب على أساس نتائج الفحوص الطبية والنفسانية، دون أي</w:t>
      </w:r>
      <w:r w:rsidR="00AB592A">
        <w:rPr>
          <w:rtl/>
          <w:lang w:eastAsia="zh-TW"/>
        </w:rPr>
        <w:t xml:space="preserve"> شك معقول</w:t>
      </w:r>
      <w:r w:rsidRPr="00EE77FD">
        <w:rPr>
          <w:rStyle w:val="FootnoteReference"/>
          <w:sz w:val="20"/>
          <w:szCs w:val="30"/>
          <w:rtl/>
          <w:lang w:eastAsia="zh-TW"/>
        </w:rPr>
        <w:t>(</w:t>
      </w:r>
      <w:r w:rsidRPr="00EE77FD">
        <w:rPr>
          <w:rStyle w:val="FootnoteReference"/>
          <w:sz w:val="20"/>
          <w:szCs w:val="30"/>
          <w:rtl/>
          <w:lang w:eastAsia="zh-TW"/>
        </w:rPr>
        <w:footnoteReference w:id="72"/>
      </w:r>
      <w:r w:rsidRPr="00EE77FD">
        <w:rPr>
          <w:rStyle w:val="FootnoteReference"/>
          <w:sz w:val="20"/>
          <w:szCs w:val="30"/>
          <w:rtl/>
          <w:lang w:eastAsia="zh-TW"/>
        </w:rPr>
        <w:t>)</w:t>
      </w:r>
      <w:r w:rsidR="00AB592A">
        <w:rPr>
          <w:rFonts w:hint="cs"/>
          <w:rtl/>
          <w:lang w:eastAsia="zh-TW"/>
        </w:rPr>
        <w:t>.</w:t>
      </w:r>
    </w:p>
    <w:p w:rsidR="00EE77FD" w:rsidRPr="00EE77FD" w:rsidRDefault="00EE77FD" w:rsidP="00AB592A">
      <w:pPr>
        <w:pStyle w:val="SingleTxtGA"/>
        <w:rPr>
          <w:rtl/>
          <w:lang w:eastAsia="zh-TW"/>
        </w:rPr>
      </w:pPr>
      <w:r w:rsidRPr="00EE77FD">
        <w:rPr>
          <w:rtl/>
          <w:lang w:eastAsia="zh-TW"/>
        </w:rPr>
        <w:t>٤٢-</w:t>
      </w:r>
      <w:r w:rsidR="00AB592A">
        <w:rPr>
          <w:rtl/>
          <w:lang w:eastAsia="zh-TW"/>
        </w:rPr>
        <w:tab/>
      </w:r>
      <w:r w:rsidRPr="00EE77FD">
        <w:rPr>
          <w:rtl/>
          <w:lang w:eastAsia="zh-TW"/>
        </w:rPr>
        <w:t xml:space="preserve">ويعاني ضحايا التعذيب وغيرهم من الأشخاص الضعفاء كثيراً من اضطرابات </w:t>
      </w:r>
      <w:proofErr w:type="spellStart"/>
      <w:r w:rsidRPr="00EE77FD">
        <w:rPr>
          <w:rtl/>
          <w:lang w:eastAsia="zh-TW"/>
        </w:rPr>
        <w:t>إجهادية</w:t>
      </w:r>
      <w:proofErr w:type="spellEnd"/>
      <w:r w:rsidRPr="00EE77FD">
        <w:rPr>
          <w:rtl/>
          <w:lang w:eastAsia="zh-TW"/>
        </w:rPr>
        <w:t xml:space="preserve"> لاحقة للصدمة، الأمر الذي يمكن أن يفضي إلى طائفة واسعة من الأعراض، بما في ذلك التهرب غير الإرادي والنأي بالنفس. ويمكن أن تؤثر هذه الأعراض على قدرة الشخص على الكشف عن جميع التفاصيل ذات الصلة أو نقل رواية متسقة طوال الإجراءات. ولضمان حصول ضحايا التعذيب أو غيرهم من الأشخاص الضعفاء على سبل انتصاف فعالة، ينبغي للدول الأطراف أن تمتنع عن اتباع عملية موحدة لتقييم المصداقية من أجل البت في صحة طلب من طلبات عدم الإعادة القسرية. وفيما يتعلق بالتناقضات </w:t>
      </w:r>
      <w:proofErr w:type="spellStart"/>
      <w:r w:rsidRPr="00EE77FD">
        <w:rPr>
          <w:rtl/>
          <w:lang w:eastAsia="zh-TW"/>
        </w:rPr>
        <w:t>الوقائعية</w:t>
      </w:r>
      <w:proofErr w:type="spellEnd"/>
      <w:r w:rsidRPr="00EE77FD">
        <w:rPr>
          <w:rtl/>
          <w:lang w:eastAsia="zh-TW"/>
        </w:rPr>
        <w:t xml:space="preserve"> المحتملة والاختلافات في ادعاءات صاحب البلاغ، ينبغي للدول الأطراف أن تدرك أن الدقة الكاملة نادراً </w:t>
      </w:r>
      <w:r w:rsidR="00AB592A">
        <w:rPr>
          <w:rtl/>
          <w:lang w:eastAsia="zh-TW"/>
        </w:rPr>
        <w:t>ما يمكن توقعها من ضحايا التعذيب</w:t>
      </w:r>
      <w:r w:rsidRPr="00EE77FD">
        <w:rPr>
          <w:rStyle w:val="FootnoteReference"/>
          <w:sz w:val="20"/>
          <w:szCs w:val="30"/>
          <w:rtl/>
          <w:lang w:eastAsia="zh-TW"/>
        </w:rPr>
        <w:t>(</w:t>
      </w:r>
      <w:r w:rsidRPr="00EE77FD">
        <w:rPr>
          <w:rStyle w:val="FootnoteReference"/>
          <w:sz w:val="20"/>
          <w:szCs w:val="30"/>
          <w:rtl/>
          <w:lang w:eastAsia="zh-TW"/>
        </w:rPr>
        <w:footnoteReference w:id="73"/>
      </w:r>
      <w:r w:rsidRPr="00EE77FD">
        <w:rPr>
          <w:rStyle w:val="FootnoteReference"/>
          <w:sz w:val="20"/>
          <w:szCs w:val="30"/>
          <w:rtl/>
          <w:lang w:eastAsia="zh-TW"/>
        </w:rPr>
        <w:t>)</w:t>
      </w:r>
      <w:r w:rsidR="00AB592A">
        <w:rPr>
          <w:rFonts w:hint="cs"/>
          <w:rtl/>
          <w:lang w:eastAsia="zh-TW"/>
        </w:rPr>
        <w:t>.</w:t>
      </w:r>
    </w:p>
    <w:p w:rsidR="00EE77FD" w:rsidRPr="00EE5C81" w:rsidRDefault="00EE77FD" w:rsidP="00EE5C81">
      <w:pPr>
        <w:pStyle w:val="SingleTxtGA"/>
        <w:rPr>
          <w:spacing w:val="-4"/>
          <w:rtl/>
          <w:lang w:eastAsia="zh-TW"/>
        </w:rPr>
      </w:pPr>
      <w:r w:rsidRPr="00EE5C81">
        <w:rPr>
          <w:spacing w:val="-4"/>
          <w:rtl/>
          <w:lang w:eastAsia="zh-TW"/>
        </w:rPr>
        <w:t>٤٣-</w:t>
      </w:r>
      <w:r w:rsidR="00AB592A" w:rsidRPr="00EE5C81">
        <w:rPr>
          <w:spacing w:val="-4"/>
          <w:rtl/>
          <w:lang w:eastAsia="zh-TW"/>
        </w:rPr>
        <w:tab/>
      </w:r>
      <w:r w:rsidRPr="00EE5C81">
        <w:rPr>
          <w:spacing w:val="-4"/>
          <w:rtl/>
          <w:lang w:eastAsia="zh-TW"/>
        </w:rPr>
        <w:t>ولتحديد ما إذا كانت هناك أسباب حقيقية تدعو إلى الاعتقاد بأن شخصاً معيناً سيواجه خطر التعرض للتعذيب إذا تم ترحيله، ترى اللجنة أن من الحيوي أن يوجد في الدولة المعنية نمط ثابت من الانتهاكات الفادحة أو الصارخة أو الجماعية لحقوق الإنسان،</w:t>
      </w:r>
      <w:r w:rsidR="00F30E70">
        <w:rPr>
          <w:spacing w:val="-4"/>
          <w:rtl/>
          <w:lang w:eastAsia="zh-TW"/>
        </w:rPr>
        <w:t xml:space="preserve"> حسبما هو مشار إليه في المادة ٣</w:t>
      </w:r>
      <w:r w:rsidRPr="00EE5C81">
        <w:rPr>
          <w:spacing w:val="-4"/>
          <w:rtl/>
          <w:lang w:eastAsia="zh-TW"/>
        </w:rPr>
        <w:t>(٢) من الاتفاقية. وتشمل هذه الانتهاكات، على سبيل المثال لا الحصر: (أ) انتشار ممارسة التعذيب</w:t>
      </w:r>
      <w:r w:rsidRPr="00EE5C81">
        <w:rPr>
          <w:rStyle w:val="FootnoteReference"/>
          <w:spacing w:val="-4"/>
          <w:sz w:val="20"/>
          <w:szCs w:val="30"/>
          <w:rtl/>
          <w:lang w:eastAsia="zh-TW"/>
        </w:rPr>
        <w:t>(</w:t>
      </w:r>
      <w:r w:rsidRPr="00EE5C81">
        <w:rPr>
          <w:rStyle w:val="FootnoteReference"/>
          <w:spacing w:val="-4"/>
          <w:sz w:val="20"/>
          <w:szCs w:val="30"/>
          <w:rtl/>
          <w:lang w:eastAsia="zh-TW"/>
        </w:rPr>
        <w:footnoteReference w:id="74"/>
      </w:r>
      <w:r w:rsidRPr="00EE5C81">
        <w:rPr>
          <w:rStyle w:val="FootnoteReference"/>
          <w:spacing w:val="-4"/>
          <w:sz w:val="20"/>
          <w:szCs w:val="30"/>
          <w:rtl/>
          <w:lang w:eastAsia="zh-TW"/>
        </w:rPr>
        <w:t>)</w:t>
      </w:r>
      <w:r w:rsidRPr="00EE5C81">
        <w:rPr>
          <w:spacing w:val="-4"/>
          <w:rtl/>
          <w:lang w:eastAsia="zh-TW"/>
        </w:rPr>
        <w:t xml:space="preserve"> وإفلات مرتكبيه من العقاب</w:t>
      </w:r>
      <w:r w:rsidRPr="00EE5C81">
        <w:rPr>
          <w:rStyle w:val="FootnoteReference"/>
          <w:spacing w:val="-4"/>
          <w:sz w:val="20"/>
          <w:szCs w:val="30"/>
          <w:rtl/>
          <w:lang w:eastAsia="zh-TW"/>
        </w:rPr>
        <w:t>(</w:t>
      </w:r>
      <w:r w:rsidRPr="00EE5C81">
        <w:rPr>
          <w:rStyle w:val="FootnoteReference"/>
          <w:spacing w:val="-4"/>
          <w:sz w:val="20"/>
          <w:szCs w:val="30"/>
          <w:rtl/>
          <w:lang w:eastAsia="zh-TW"/>
        </w:rPr>
        <w:footnoteReference w:id="75"/>
      </w:r>
      <w:r w:rsidRPr="00EE5C81">
        <w:rPr>
          <w:rStyle w:val="FootnoteReference"/>
          <w:spacing w:val="-4"/>
          <w:sz w:val="20"/>
          <w:szCs w:val="30"/>
          <w:rtl/>
          <w:lang w:eastAsia="zh-TW"/>
        </w:rPr>
        <w:t>)</w:t>
      </w:r>
      <w:r w:rsidRPr="00EE5C81">
        <w:rPr>
          <w:spacing w:val="-4"/>
          <w:rtl/>
          <w:lang w:eastAsia="zh-TW"/>
        </w:rPr>
        <w:t>؛ (ب) مضايقة الأقليات وممارسة العنف ضدهم</w:t>
      </w:r>
      <w:r w:rsidRPr="00EE5C81">
        <w:rPr>
          <w:rStyle w:val="FootnoteReference"/>
          <w:spacing w:val="-4"/>
          <w:sz w:val="20"/>
          <w:szCs w:val="30"/>
          <w:rtl/>
          <w:lang w:eastAsia="zh-TW"/>
        </w:rPr>
        <w:t>(</w:t>
      </w:r>
      <w:r w:rsidRPr="00EE5C81">
        <w:rPr>
          <w:rStyle w:val="FootnoteReference"/>
          <w:spacing w:val="-4"/>
          <w:sz w:val="20"/>
          <w:szCs w:val="30"/>
          <w:rtl/>
          <w:lang w:eastAsia="zh-TW"/>
        </w:rPr>
        <w:footnoteReference w:id="76"/>
      </w:r>
      <w:r w:rsidRPr="00EE5C81">
        <w:rPr>
          <w:rStyle w:val="FootnoteReference"/>
          <w:spacing w:val="-4"/>
          <w:sz w:val="20"/>
          <w:szCs w:val="30"/>
          <w:rtl/>
          <w:lang w:eastAsia="zh-TW"/>
        </w:rPr>
        <w:t>)</w:t>
      </w:r>
      <w:r w:rsidRPr="00EE5C81">
        <w:rPr>
          <w:spacing w:val="-4"/>
          <w:rtl/>
          <w:lang w:eastAsia="zh-TW"/>
        </w:rPr>
        <w:t xml:space="preserve">؛ </w:t>
      </w:r>
      <w:r w:rsidRPr="00F30E70">
        <w:rPr>
          <w:rtl/>
          <w:lang w:eastAsia="zh-TW"/>
        </w:rPr>
        <w:t>(ج) الحالات التي تساعد على الإبادة الجماعية</w:t>
      </w:r>
      <w:r w:rsidRPr="00F30E70">
        <w:rPr>
          <w:rStyle w:val="FootnoteReference"/>
          <w:sz w:val="20"/>
          <w:szCs w:val="30"/>
          <w:rtl/>
          <w:lang w:eastAsia="zh-TW"/>
        </w:rPr>
        <w:t>(</w:t>
      </w:r>
      <w:r w:rsidRPr="00F30E70">
        <w:rPr>
          <w:rStyle w:val="FootnoteReference"/>
          <w:sz w:val="20"/>
          <w:szCs w:val="30"/>
          <w:rtl/>
          <w:lang w:eastAsia="zh-TW"/>
        </w:rPr>
        <w:footnoteReference w:id="77"/>
      </w:r>
      <w:r w:rsidRPr="00F30E70">
        <w:rPr>
          <w:rStyle w:val="FootnoteReference"/>
          <w:sz w:val="20"/>
          <w:szCs w:val="30"/>
          <w:rtl/>
          <w:lang w:eastAsia="zh-TW"/>
        </w:rPr>
        <w:t>)</w:t>
      </w:r>
      <w:r w:rsidRPr="00F30E70">
        <w:rPr>
          <w:rtl/>
          <w:lang w:eastAsia="zh-TW"/>
        </w:rPr>
        <w:t>؛ (د) تفشي العنف الجنساني</w:t>
      </w:r>
      <w:r w:rsidRPr="00F30E70">
        <w:rPr>
          <w:rStyle w:val="FootnoteReference"/>
          <w:sz w:val="20"/>
          <w:szCs w:val="30"/>
          <w:rtl/>
          <w:lang w:eastAsia="zh-TW"/>
        </w:rPr>
        <w:t>(</w:t>
      </w:r>
      <w:r w:rsidRPr="00F30E70">
        <w:rPr>
          <w:rStyle w:val="FootnoteReference"/>
          <w:sz w:val="20"/>
          <w:szCs w:val="30"/>
          <w:rtl/>
          <w:lang w:eastAsia="zh-TW"/>
        </w:rPr>
        <w:footnoteReference w:id="78"/>
      </w:r>
      <w:r w:rsidRPr="00F30E70">
        <w:rPr>
          <w:rStyle w:val="FootnoteReference"/>
          <w:sz w:val="20"/>
          <w:szCs w:val="30"/>
          <w:rtl/>
          <w:lang w:eastAsia="zh-TW"/>
        </w:rPr>
        <w:t>)</w:t>
      </w:r>
      <w:r w:rsidRPr="00F30E70">
        <w:rPr>
          <w:rtl/>
          <w:lang w:eastAsia="zh-TW"/>
        </w:rPr>
        <w:t>؛ (ه)</w:t>
      </w:r>
      <w:r w:rsidR="00EE5C81" w:rsidRPr="00F30E70">
        <w:rPr>
          <w:rFonts w:hint="cs"/>
          <w:rtl/>
          <w:lang w:eastAsia="zh-TW"/>
        </w:rPr>
        <w:t> </w:t>
      </w:r>
      <w:r w:rsidRPr="00F30E70">
        <w:rPr>
          <w:rtl/>
          <w:lang w:eastAsia="zh-TW"/>
        </w:rPr>
        <w:t>الاستخدام</w:t>
      </w:r>
      <w:r w:rsidRPr="00EE5C81">
        <w:rPr>
          <w:spacing w:val="-4"/>
          <w:rtl/>
          <w:lang w:eastAsia="zh-TW"/>
        </w:rPr>
        <w:t xml:space="preserve"> الواسع النطاق للأحكام وعقوبات السجن الصادرة بحق الأشخاص الذين يمارسون حرياتهم الأساسية</w:t>
      </w:r>
      <w:r w:rsidRPr="00EE5C81">
        <w:rPr>
          <w:rStyle w:val="FootnoteReference"/>
          <w:spacing w:val="-4"/>
          <w:sz w:val="20"/>
          <w:szCs w:val="30"/>
          <w:rtl/>
          <w:lang w:eastAsia="zh-TW"/>
        </w:rPr>
        <w:t>(</w:t>
      </w:r>
      <w:r w:rsidRPr="00EE5C81">
        <w:rPr>
          <w:rStyle w:val="FootnoteReference"/>
          <w:spacing w:val="-4"/>
          <w:sz w:val="20"/>
          <w:szCs w:val="30"/>
          <w:rtl/>
          <w:lang w:eastAsia="zh-TW"/>
        </w:rPr>
        <w:footnoteReference w:id="79"/>
      </w:r>
      <w:r w:rsidRPr="00EE5C81">
        <w:rPr>
          <w:rStyle w:val="FootnoteReference"/>
          <w:spacing w:val="-4"/>
          <w:sz w:val="20"/>
          <w:szCs w:val="30"/>
          <w:rtl/>
          <w:lang w:eastAsia="zh-TW"/>
        </w:rPr>
        <w:t>)</w:t>
      </w:r>
      <w:r w:rsidRPr="00EE5C81">
        <w:rPr>
          <w:spacing w:val="-4"/>
          <w:rtl/>
          <w:lang w:eastAsia="zh-TW"/>
        </w:rPr>
        <w:t>؛ (و) حالات النزاع</w:t>
      </w:r>
      <w:r w:rsidR="00AB592A" w:rsidRPr="00EE5C81">
        <w:rPr>
          <w:spacing w:val="-4"/>
          <w:rtl/>
          <w:lang w:eastAsia="zh-TW"/>
        </w:rPr>
        <w:t>ات المسلحة الدولية وغير الدولية</w:t>
      </w:r>
      <w:r w:rsidRPr="00EE5C81">
        <w:rPr>
          <w:rStyle w:val="FootnoteReference"/>
          <w:spacing w:val="-4"/>
          <w:sz w:val="20"/>
          <w:szCs w:val="30"/>
          <w:rtl/>
          <w:lang w:eastAsia="zh-TW"/>
        </w:rPr>
        <w:t>(</w:t>
      </w:r>
      <w:r w:rsidRPr="00EE5C81">
        <w:rPr>
          <w:rStyle w:val="FootnoteReference"/>
          <w:spacing w:val="-4"/>
          <w:sz w:val="20"/>
          <w:szCs w:val="30"/>
          <w:rtl/>
          <w:lang w:eastAsia="zh-TW"/>
        </w:rPr>
        <w:footnoteReference w:id="80"/>
      </w:r>
      <w:r w:rsidRPr="00EE5C81">
        <w:rPr>
          <w:rStyle w:val="FootnoteReference"/>
          <w:spacing w:val="-4"/>
          <w:sz w:val="20"/>
          <w:szCs w:val="30"/>
          <w:rtl/>
          <w:lang w:eastAsia="zh-TW"/>
        </w:rPr>
        <w:t>)</w:t>
      </w:r>
      <w:r w:rsidR="00AB592A" w:rsidRPr="00EE5C81">
        <w:rPr>
          <w:rStyle w:val="FootnoteReference"/>
          <w:rFonts w:hint="cs"/>
          <w:spacing w:val="-4"/>
          <w:sz w:val="20"/>
          <w:szCs w:val="30"/>
          <w:vertAlign w:val="baseline"/>
          <w:rtl/>
          <w:lang w:eastAsia="zh-TW"/>
        </w:rPr>
        <w:t>.</w:t>
      </w:r>
    </w:p>
    <w:p w:rsidR="00EE77FD" w:rsidRPr="00EE77FD" w:rsidRDefault="00EE77FD" w:rsidP="00392A5C">
      <w:pPr>
        <w:pStyle w:val="SingleTxtGA"/>
        <w:spacing w:line="360" w:lineRule="exact"/>
        <w:rPr>
          <w:rtl/>
          <w:lang w:eastAsia="zh-TW"/>
        </w:rPr>
      </w:pPr>
      <w:r w:rsidRPr="00EE77FD">
        <w:rPr>
          <w:rtl/>
          <w:lang w:eastAsia="zh-TW"/>
        </w:rPr>
        <w:lastRenderedPageBreak/>
        <w:t>٤٤-</w:t>
      </w:r>
      <w:r w:rsidR="00AB592A">
        <w:rPr>
          <w:rtl/>
          <w:lang w:eastAsia="zh-TW"/>
        </w:rPr>
        <w:tab/>
      </w:r>
      <w:r w:rsidRPr="00EE77FD">
        <w:rPr>
          <w:rtl/>
          <w:lang w:eastAsia="zh-TW"/>
        </w:rPr>
        <w:t>وسيستند تقييم اللجنة في المقام الأول إلى المعلومات المقدمة من صاحب الشكوى ومن الدولة الطرف المعنية أو نيابة عنهما. وستستشير اللجنة</w:t>
      </w:r>
      <w:r w:rsidR="00F30E70">
        <w:rPr>
          <w:rtl/>
          <w:lang w:eastAsia="zh-TW"/>
        </w:rPr>
        <w:t xml:space="preserve"> أيضاً </w:t>
      </w:r>
      <w:r w:rsidRPr="00EE77FD">
        <w:rPr>
          <w:rtl/>
          <w:lang w:eastAsia="zh-TW"/>
        </w:rPr>
        <w:t>مصادر المعلومات في الأمم المتحدة، فضلاً عن أية مصادر أخرى تراها موثوقة</w:t>
      </w:r>
      <w:r w:rsidRPr="00EE77FD">
        <w:rPr>
          <w:rStyle w:val="FootnoteReference"/>
          <w:sz w:val="20"/>
          <w:szCs w:val="30"/>
          <w:rtl/>
          <w:lang w:eastAsia="zh-TW"/>
        </w:rPr>
        <w:t>(</w:t>
      </w:r>
      <w:r w:rsidRPr="00EE77FD">
        <w:rPr>
          <w:rStyle w:val="FootnoteReference"/>
          <w:sz w:val="20"/>
          <w:szCs w:val="30"/>
          <w:rtl/>
          <w:lang w:eastAsia="zh-TW"/>
        </w:rPr>
        <w:footnoteReference w:id="81"/>
      </w:r>
      <w:r w:rsidRPr="00EE77FD">
        <w:rPr>
          <w:rStyle w:val="FootnoteReference"/>
          <w:sz w:val="20"/>
          <w:szCs w:val="30"/>
          <w:rtl/>
          <w:lang w:eastAsia="zh-TW"/>
        </w:rPr>
        <w:t>)</w:t>
      </w:r>
      <w:r w:rsidRPr="00EE77FD">
        <w:rPr>
          <w:rtl/>
          <w:lang w:eastAsia="zh-TW"/>
        </w:rPr>
        <w:t xml:space="preserve">. وبالإضافة إلى ذلك، ستأخذ اللجنة في الحسبان أياً من الإشارات الواردة في الفقرة ٢٩ أعلاه على أنها تشكل أسباباً حقيقية تدعو إلى الاعتقاد بأن شخصاً معيناً سيكون معرضاً لخطر التعذيب في حال ترحيله. </w:t>
      </w:r>
    </w:p>
    <w:p w:rsidR="00EE77FD" w:rsidRPr="001D6F10" w:rsidRDefault="00EE77FD" w:rsidP="00392A5C">
      <w:pPr>
        <w:pStyle w:val="SingleTxtGA"/>
        <w:spacing w:line="360" w:lineRule="exact"/>
        <w:rPr>
          <w:rtl/>
          <w:lang w:eastAsia="zh-TW"/>
        </w:rPr>
      </w:pPr>
      <w:r w:rsidRPr="001D6F10">
        <w:rPr>
          <w:rtl/>
          <w:lang w:eastAsia="zh-TW"/>
        </w:rPr>
        <w:t>٤٥-</w:t>
      </w:r>
      <w:r w:rsidR="00AB592A" w:rsidRPr="001D6F10">
        <w:rPr>
          <w:rtl/>
          <w:lang w:eastAsia="zh-TW"/>
        </w:rPr>
        <w:tab/>
      </w:r>
      <w:r w:rsidRPr="001D6F10">
        <w:rPr>
          <w:rtl/>
          <w:lang w:eastAsia="zh-TW"/>
        </w:rPr>
        <w:t xml:space="preserve">وستقيّم اللجنة "الأسباب الحقيقية" وتعتبر أن خطر التعرض للتعذيب متوقع وشخصي وقائم وحقيقي عندما يكون وجود الوقائع المتعلقة بالخطر في حد ذاته، عند اتخاذ قرارها، سيؤثر على حقوق صاحب الشكوى المكفولة في الاتفاقية في حال ترحيله. ويمكن أن تشمل مؤشرات الخطر الشخصي، على سبيل المثال لا الحصر: (أ) الأصل </w:t>
      </w:r>
      <w:proofErr w:type="spellStart"/>
      <w:r w:rsidRPr="001D6F10">
        <w:rPr>
          <w:rtl/>
          <w:lang w:eastAsia="zh-TW"/>
        </w:rPr>
        <w:t>الإثني</w:t>
      </w:r>
      <w:proofErr w:type="spellEnd"/>
      <w:r w:rsidRPr="001D6F10">
        <w:rPr>
          <w:rtl/>
          <w:lang w:eastAsia="zh-TW"/>
        </w:rPr>
        <w:t xml:space="preserve"> لصاحب الشكوى</w:t>
      </w:r>
      <w:r w:rsidRPr="001D6F10">
        <w:rPr>
          <w:rStyle w:val="FootnoteReference"/>
          <w:sz w:val="20"/>
          <w:szCs w:val="30"/>
          <w:rtl/>
          <w:lang w:eastAsia="zh-TW"/>
        </w:rPr>
        <w:t>(</w:t>
      </w:r>
      <w:r w:rsidRPr="001D6F10">
        <w:rPr>
          <w:rStyle w:val="FootnoteReference"/>
          <w:sz w:val="20"/>
          <w:szCs w:val="30"/>
          <w:rtl/>
          <w:lang w:eastAsia="zh-TW"/>
        </w:rPr>
        <w:footnoteReference w:id="82"/>
      </w:r>
      <w:r w:rsidRPr="001D6F10">
        <w:rPr>
          <w:rStyle w:val="FootnoteReference"/>
          <w:sz w:val="20"/>
          <w:szCs w:val="30"/>
          <w:rtl/>
          <w:lang w:eastAsia="zh-TW"/>
        </w:rPr>
        <w:t>)</w:t>
      </w:r>
      <w:r w:rsidRPr="001D6F10">
        <w:rPr>
          <w:rtl/>
          <w:lang w:eastAsia="zh-TW"/>
        </w:rPr>
        <w:t>؛ (ب)</w:t>
      </w:r>
      <w:r w:rsidR="001D6F10" w:rsidRPr="001D6F10">
        <w:rPr>
          <w:rFonts w:hint="cs"/>
          <w:rtl/>
          <w:lang w:eastAsia="zh-TW"/>
        </w:rPr>
        <w:t> </w:t>
      </w:r>
      <w:r w:rsidRPr="001D6F10">
        <w:rPr>
          <w:rtl/>
          <w:lang w:eastAsia="zh-TW"/>
        </w:rPr>
        <w:t>الانتماء السياسي أو الأنشطة السياسية لصاحب الشكوى و/أو لأفراد أسرته</w:t>
      </w:r>
      <w:r w:rsidRPr="001D6F10">
        <w:rPr>
          <w:rStyle w:val="FootnoteReference"/>
          <w:sz w:val="20"/>
          <w:szCs w:val="30"/>
          <w:rtl/>
          <w:lang w:eastAsia="zh-TW"/>
        </w:rPr>
        <w:t>(</w:t>
      </w:r>
      <w:r w:rsidRPr="001D6F10">
        <w:rPr>
          <w:rStyle w:val="FootnoteReference"/>
          <w:sz w:val="20"/>
          <w:szCs w:val="30"/>
          <w:rtl/>
          <w:lang w:eastAsia="zh-TW"/>
        </w:rPr>
        <w:footnoteReference w:id="83"/>
      </w:r>
      <w:r w:rsidRPr="001D6F10">
        <w:rPr>
          <w:rStyle w:val="FootnoteReference"/>
          <w:sz w:val="20"/>
          <w:szCs w:val="30"/>
          <w:rtl/>
          <w:lang w:eastAsia="zh-TW"/>
        </w:rPr>
        <w:t>)</w:t>
      </w:r>
      <w:r w:rsidRPr="001D6F10">
        <w:rPr>
          <w:rtl/>
          <w:lang w:eastAsia="zh-TW"/>
        </w:rPr>
        <w:t xml:space="preserve">؛ </w:t>
      </w:r>
      <w:r w:rsidRPr="00392A5C">
        <w:rPr>
          <w:spacing w:val="-4"/>
          <w:rtl/>
          <w:lang w:eastAsia="zh-TW"/>
        </w:rPr>
        <w:t>(ج)</w:t>
      </w:r>
      <w:r w:rsidR="001D6F10" w:rsidRPr="00392A5C">
        <w:rPr>
          <w:rFonts w:hint="cs"/>
          <w:spacing w:val="-4"/>
          <w:rtl/>
          <w:lang w:eastAsia="zh-TW"/>
        </w:rPr>
        <w:t> </w:t>
      </w:r>
      <w:r w:rsidRPr="00392A5C">
        <w:rPr>
          <w:spacing w:val="-4"/>
          <w:rtl/>
          <w:lang w:eastAsia="zh-TW"/>
        </w:rPr>
        <w:t>التوقيف و/أو الاحتجاز دون ضمان العدل في المعاملة والمحاكمة</w:t>
      </w:r>
      <w:r w:rsidRPr="00392A5C">
        <w:rPr>
          <w:rStyle w:val="FootnoteReference"/>
          <w:spacing w:val="-4"/>
          <w:sz w:val="20"/>
          <w:szCs w:val="30"/>
          <w:rtl/>
          <w:lang w:eastAsia="zh-TW"/>
        </w:rPr>
        <w:t>(</w:t>
      </w:r>
      <w:r w:rsidRPr="00392A5C">
        <w:rPr>
          <w:rStyle w:val="FootnoteReference"/>
          <w:spacing w:val="-4"/>
          <w:sz w:val="20"/>
          <w:szCs w:val="30"/>
          <w:rtl/>
          <w:lang w:eastAsia="zh-TW"/>
        </w:rPr>
        <w:footnoteReference w:id="84"/>
      </w:r>
      <w:r w:rsidRPr="00392A5C">
        <w:rPr>
          <w:rStyle w:val="FootnoteReference"/>
          <w:spacing w:val="-4"/>
          <w:sz w:val="20"/>
          <w:szCs w:val="30"/>
          <w:rtl/>
          <w:lang w:eastAsia="zh-TW"/>
        </w:rPr>
        <w:t>)</w:t>
      </w:r>
      <w:r w:rsidRPr="00392A5C">
        <w:rPr>
          <w:spacing w:val="-4"/>
          <w:rtl/>
          <w:lang w:eastAsia="zh-TW"/>
        </w:rPr>
        <w:t>؛ (د) الحكم غيابياً</w:t>
      </w:r>
      <w:r w:rsidRPr="00392A5C">
        <w:rPr>
          <w:rStyle w:val="FootnoteReference"/>
          <w:spacing w:val="-4"/>
          <w:sz w:val="20"/>
          <w:szCs w:val="30"/>
          <w:rtl/>
          <w:lang w:eastAsia="zh-TW"/>
        </w:rPr>
        <w:t>(</w:t>
      </w:r>
      <w:r w:rsidRPr="00392A5C">
        <w:rPr>
          <w:rStyle w:val="FootnoteReference"/>
          <w:spacing w:val="-4"/>
          <w:sz w:val="20"/>
          <w:szCs w:val="30"/>
          <w:rtl/>
          <w:lang w:eastAsia="zh-TW"/>
        </w:rPr>
        <w:footnoteReference w:id="85"/>
      </w:r>
      <w:r w:rsidRPr="00392A5C">
        <w:rPr>
          <w:rStyle w:val="FootnoteReference"/>
          <w:spacing w:val="-4"/>
          <w:sz w:val="20"/>
          <w:szCs w:val="30"/>
          <w:rtl/>
          <w:lang w:eastAsia="zh-TW"/>
        </w:rPr>
        <w:t>)</w:t>
      </w:r>
      <w:r w:rsidRPr="00392A5C">
        <w:rPr>
          <w:spacing w:val="-4"/>
          <w:rtl/>
          <w:lang w:eastAsia="zh-TW"/>
        </w:rPr>
        <w:t>؛</w:t>
      </w:r>
      <w:r w:rsidRPr="001D6F10">
        <w:rPr>
          <w:rtl/>
          <w:lang w:eastAsia="zh-TW"/>
        </w:rPr>
        <w:t xml:space="preserve"> </w:t>
      </w:r>
      <w:r w:rsidRPr="00392A5C">
        <w:rPr>
          <w:spacing w:val="-4"/>
          <w:rtl/>
          <w:lang w:eastAsia="zh-TW"/>
        </w:rPr>
        <w:t>(ه) الميل الجنسي والهوية الجنسانية</w:t>
      </w:r>
      <w:r w:rsidRPr="00392A5C">
        <w:rPr>
          <w:rStyle w:val="FootnoteReference"/>
          <w:spacing w:val="-4"/>
          <w:sz w:val="20"/>
          <w:szCs w:val="30"/>
          <w:rtl/>
          <w:lang w:eastAsia="zh-TW"/>
        </w:rPr>
        <w:t>(</w:t>
      </w:r>
      <w:r w:rsidRPr="00392A5C">
        <w:rPr>
          <w:rStyle w:val="FootnoteReference"/>
          <w:spacing w:val="-4"/>
          <w:sz w:val="20"/>
          <w:szCs w:val="30"/>
          <w:rtl/>
          <w:lang w:eastAsia="zh-TW"/>
        </w:rPr>
        <w:footnoteReference w:id="86"/>
      </w:r>
      <w:r w:rsidRPr="00392A5C">
        <w:rPr>
          <w:rStyle w:val="FootnoteReference"/>
          <w:spacing w:val="-4"/>
          <w:sz w:val="20"/>
          <w:szCs w:val="30"/>
          <w:rtl/>
          <w:lang w:eastAsia="zh-TW"/>
        </w:rPr>
        <w:t>)</w:t>
      </w:r>
      <w:r w:rsidRPr="00392A5C">
        <w:rPr>
          <w:spacing w:val="-4"/>
          <w:rtl/>
          <w:lang w:eastAsia="zh-TW"/>
        </w:rPr>
        <w:t>؛ (و) الفرار من القوات المسلحة أو من الجماعات المسلحة</w:t>
      </w:r>
      <w:r w:rsidRPr="001D6F10">
        <w:rPr>
          <w:rtl/>
          <w:lang w:eastAsia="zh-TW"/>
        </w:rPr>
        <w:t>؛ (ز) التعرض للتعذيب سابقاً</w:t>
      </w:r>
      <w:r w:rsidRPr="001D6F10">
        <w:rPr>
          <w:rStyle w:val="FootnoteReference"/>
          <w:sz w:val="20"/>
          <w:szCs w:val="30"/>
          <w:rtl/>
          <w:lang w:eastAsia="zh-TW"/>
        </w:rPr>
        <w:t>(</w:t>
      </w:r>
      <w:r w:rsidRPr="001D6F10">
        <w:rPr>
          <w:rStyle w:val="FootnoteReference"/>
          <w:sz w:val="20"/>
          <w:szCs w:val="30"/>
          <w:rtl/>
          <w:lang w:eastAsia="zh-TW"/>
        </w:rPr>
        <w:footnoteReference w:id="87"/>
      </w:r>
      <w:r w:rsidRPr="001D6F10">
        <w:rPr>
          <w:rStyle w:val="FootnoteReference"/>
          <w:sz w:val="20"/>
          <w:szCs w:val="30"/>
          <w:rtl/>
          <w:lang w:eastAsia="zh-TW"/>
        </w:rPr>
        <w:t>)</w:t>
      </w:r>
      <w:r w:rsidRPr="001D6F10">
        <w:rPr>
          <w:rtl/>
          <w:lang w:eastAsia="zh-TW"/>
        </w:rPr>
        <w:t>؛ (ح) الاحتجاز مع منع الاتصال أو الخضوع لأي شكل آخر من أشكال الاحتجاز التعسفي وغير القانوني في البلد الأصلي؛ (ط)</w:t>
      </w:r>
      <w:r w:rsidR="001D6F10">
        <w:rPr>
          <w:rFonts w:hint="cs"/>
          <w:rtl/>
          <w:lang w:eastAsia="zh-TW"/>
        </w:rPr>
        <w:t> </w:t>
      </w:r>
      <w:r w:rsidRPr="001D6F10">
        <w:rPr>
          <w:rtl/>
          <w:lang w:eastAsia="zh-TW"/>
        </w:rPr>
        <w:t>الهروب سراً من البلد الأصلي عقب تلقي تهديدات بالتعذيب؛ (ي) الانتماء الديني</w:t>
      </w:r>
      <w:r w:rsidRPr="001D6F10">
        <w:rPr>
          <w:rStyle w:val="FootnoteReference"/>
          <w:sz w:val="20"/>
          <w:szCs w:val="30"/>
          <w:rtl/>
          <w:lang w:eastAsia="zh-TW"/>
        </w:rPr>
        <w:t>(</w:t>
      </w:r>
      <w:r w:rsidRPr="001D6F10">
        <w:rPr>
          <w:rStyle w:val="FootnoteReference"/>
          <w:sz w:val="20"/>
          <w:szCs w:val="30"/>
          <w:rtl/>
          <w:lang w:eastAsia="zh-TW"/>
        </w:rPr>
        <w:footnoteReference w:id="88"/>
      </w:r>
      <w:r w:rsidRPr="001D6F10">
        <w:rPr>
          <w:rStyle w:val="FootnoteReference"/>
          <w:sz w:val="20"/>
          <w:szCs w:val="30"/>
          <w:rtl/>
          <w:lang w:eastAsia="zh-TW"/>
        </w:rPr>
        <w:t>)</w:t>
      </w:r>
      <w:r w:rsidRPr="001D6F10">
        <w:rPr>
          <w:rtl/>
          <w:lang w:eastAsia="zh-TW"/>
        </w:rPr>
        <w:t xml:space="preserve">؛ (ك) انتهاكات الحق في حرية الفكر والوجدان والدين، بما في ذلك الانتهاكات المتعلقة بحظر التحول إلى دين يختلف عن الدين المعلَن أنه دين للدولة، حيث يُحظَر هذا التحول ويعاقب عليه في القانون وفي الممارسة </w:t>
      </w:r>
      <w:r w:rsidRPr="00392A5C">
        <w:rPr>
          <w:spacing w:val="-4"/>
          <w:rtl/>
          <w:lang w:eastAsia="zh-TW"/>
        </w:rPr>
        <w:t>العملية</w:t>
      </w:r>
      <w:r w:rsidRPr="00392A5C">
        <w:rPr>
          <w:rStyle w:val="FootnoteReference"/>
          <w:spacing w:val="-4"/>
          <w:sz w:val="20"/>
          <w:szCs w:val="30"/>
          <w:rtl/>
          <w:lang w:eastAsia="zh-TW"/>
        </w:rPr>
        <w:t>(</w:t>
      </w:r>
      <w:r w:rsidRPr="00392A5C">
        <w:rPr>
          <w:rStyle w:val="FootnoteReference"/>
          <w:spacing w:val="-4"/>
          <w:sz w:val="20"/>
          <w:szCs w:val="30"/>
          <w:rtl/>
          <w:lang w:eastAsia="zh-TW"/>
        </w:rPr>
        <w:footnoteReference w:id="89"/>
      </w:r>
      <w:r w:rsidRPr="00392A5C">
        <w:rPr>
          <w:rStyle w:val="FootnoteReference"/>
          <w:spacing w:val="-4"/>
          <w:sz w:val="20"/>
          <w:szCs w:val="30"/>
          <w:rtl/>
          <w:lang w:eastAsia="zh-TW"/>
        </w:rPr>
        <w:t>)</w:t>
      </w:r>
      <w:r w:rsidRPr="00392A5C">
        <w:rPr>
          <w:spacing w:val="-4"/>
          <w:rtl/>
          <w:lang w:eastAsia="zh-TW"/>
        </w:rPr>
        <w:t>؛ (ل) خطر الطرد إلى بلد ثالث حيث قد يواجه الشخص خطر التعرض للتعذيب</w:t>
      </w:r>
      <w:r w:rsidRPr="00392A5C">
        <w:rPr>
          <w:rStyle w:val="FootnoteReference"/>
          <w:spacing w:val="-4"/>
          <w:sz w:val="20"/>
          <w:szCs w:val="30"/>
          <w:rtl/>
          <w:lang w:eastAsia="zh-TW"/>
        </w:rPr>
        <w:t>(</w:t>
      </w:r>
      <w:r w:rsidRPr="00392A5C">
        <w:rPr>
          <w:rStyle w:val="FootnoteReference"/>
          <w:spacing w:val="-4"/>
          <w:sz w:val="20"/>
          <w:szCs w:val="30"/>
          <w:rtl/>
          <w:lang w:eastAsia="zh-TW"/>
        </w:rPr>
        <w:footnoteReference w:id="90"/>
      </w:r>
      <w:r w:rsidRPr="00392A5C">
        <w:rPr>
          <w:rStyle w:val="FootnoteReference"/>
          <w:spacing w:val="-4"/>
          <w:sz w:val="20"/>
          <w:szCs w:val="30"/>
          <w:rtl/>
          <w:lang w:eastAsia="zh-TW"/>
        </w:rPr>
        <w:t>)</w:t>
      </w:r>
      <w:r w:rsidRPr="00392A5C">
        <w:rPr>
          <w:spacing w:val="-4"/>
          <w:rtl/>
          <w:lang w:eastAsia="zh-TW"/>
        </w:rPr>
        <w:t>؛</w:t>
      </w:r>
      <w:r w:rsidRPr="001D6F10">
        <w:rPr>
          <w:rtl/>
          <w:lang w:eastAsia="zh-TW"/>
        </w:rPr>
        <w:t xml:space="preserve"> (م) العنف</w:t>
      </w:r>
      <w:r w:rsidR="00AB592A" w:rsidRPr="001D6F10">
        <w:rPr>
          <w:rtl/>
          <w:lang w:eastAsia="zh-TW"/>
        </w:rPr>
        <w:t xml:space="preserve"> ضد المرأة، بما في ذلك الاغتصاب</w:t>
      </w:r>
      <w:r w:rsidRPr="001D6F10">
        <w:rPr>
          <w:rStyle w:val="FootnoteReference"/>
          <w:sz w:val="20"/>
          <w:szCs w:val="30"/>
          <w:rtl/>
          <w:lang w:eastAsia="zh-TW"/>
        </w:rPr>
        <w:t>(</w:t>
      </w:r>
      <w:r w:rsidRPr="001D6F10">
        <w:rPr>
          <w:rStyle w:val="FootnoteReference"/>
          <w:sz w:val="20"/>
          <w:szCs w:val="30"/>
          <w:rtl/>
          <w:lang w:eastAsia="zh-TW"/>
        </w:rPr>
        <w:footnoteReference w:id="91"/>
      </w:r>
      <w:r w:rsidRPr="001D6F10">
        <w:rPr>
          <w:rStyle w:val="FootnoteReference"/>
          <w:sz w:val="20"/>
          <w:szCs w:val="30"/>
          <w:rtl/>
          <w:lang w:eastAsia="zh-TW"/>
        </w:rPr>
        <w:t>)</w:t>
      </w:r>
      <w:bookmarkStart w:id="17" w:name="_Hlk515547774"/>
      <w:bookmarkStart w:id="18" w:name="_Hlk515547740"/>
      <w:bookmarkEnd w:id="17"/>
      <w:bookmarkEnd w:id="18"/>
      <w:r w:rsidR="00AB592A" w:rsidRPr="001D6F10">
        <w:rPr>
          <w:rStyle w:val="FootnoteReference"/>
          <w:rFonts w:hint="cs"/>
          <w:sz w:val="20"/>
          <w:szCs w:val="30"/>
          <w:vertAlign w:val="baseline"/>
          <w:rtl/>
          <w:lang w:eastAsia="zh-TW"/>
        </w:rPr>
        <w:t>.</w:t>
      </w:r>
    </w:p>
    <w:p w:rsidR="00EE77FD" w:rsidRPr="00EE77FD" w:rsidRDefault="00EE77FD" w:rsidP="00392A5C">
      <w:pPr>
        <w:pStyle w:val="SingleTxtGA"/>
        <w:spacing w:line="360" w:lineRule="exact"/>
        <w:rPr>
          <w:rtl/>
          <w:lang w:eastAsia="zh-TW"/>
        </w:rPr>
      </w:pPr>
      <w:r w:rsidRPr="00EE77FD">
        <w:rPr>
          <w:rtl/>
          <w:lang w:eastAsia="zh-TW"/>
        </w:rPr>
        <w:t>٤٦-</w:t>
      </w:r>
      <w:r w:rsidR="00AB592A">
        <w:rPr>
          <w:rtl/>
          <w:lang w:eastAsia="zh-TW"/>
        </w:rPr>
        <w:tab/>
      </w:r>
      <w:r w:rsidRPr="00EE77FD">
        <w:rPr>
          <w:rtl/>
          <w:lang w:eastAsia="zh-TW"/>
        </w:rPr>
        <w:t xml:space="preserve">وعند تقييم ما إذا كانت هناك "أسباب حقيقية"، ستأخذ اللجنة في الحسبان حالة حقوق الإنسان في دولة من الدول ككل وليس في منطقة معينة منها. فالدولة الطرف مسؤولة عن أي إقليم يخضع لولايتها القضائية أو لسيطرتها أو لسلطتها. ولا يتيح مفهوم "الخطر المحلي" معايير قابلة للقياس وليس كافياً </w:t>
      </w:r>
      <w:proofErr w:type="spellStart"/>
      <w:r w:rsidRPr="00EE77FD">
        <w:rPr>
          <w:rtl/>
          <w:lang w:eastAsia="zh-TW"/>
        </w:rPr>
        <w:t>ليتبديد</w:t>
      </w:r>
      <w:proofErr w:type="spellEnd"/>
      <w:r w:rsidRPr="00EE77FD">
        <w:rPr>
          <w:rtl/>
          <w:lang w:eastAsia="zh-TW"/>
        </w:rPr>
        <w:t xml:space="preserve"> خ</w:t>
      </w:r>
      <w:r w:rsidR="00AB592A">
        <w:rPr>
          <w:rtl/>
          <w:lang w:eastAsia="zh-TW"/>
        </w:rPr>
        <w:t>طر التعرض شخصياً للتعذيب تماماً</w:t>
      </w:r>
      <w:r w:rsidRPr="00EE77FD">
        <w:rPr>
          <w:rStyle w:val="FootnoteReference"/>
          <w:sz w:val="20"/>
          <w:szCs w:val="30"/>
          <w:rtl/>
          <w:lang w:eastAsia="zh-TW"/>
        </w:rPr>
        <w:t>(</w:t>
      </w:r>
      <w:r w:rsidRPr="00EE77FD">
        <w:rPr>
          <w:rStyle w:val="FootnoteReference"/>
          <w:sz w:val="20"/>
          <w:szCs w:val="30"/>
          <w:rtl/>
          <w:lang w:eastAsia="zh-TW"/>
        </w:rPr>
        <w:footnoteReference w:id="92"/>
      </w:r>
      <w:r w:rsidRPr="00EE77FD">
        <w:rPr>
          <w:rStyle w:val="FootnoteReference"/>
          <w:sz w:val="20"/>
          <w:szCs w:val="30"/>
          <w:rtl/>
          <w:lang w:eastAsia="zh-TW"/>
        </w:rPr>
        <w:t>)</w:t>
      </w:r>
      <w:r w:rsidR="00AB592A" w:rsidRPr="00AB592A">
        <w:rPr>
          <w:rStyle w:val="FootnoteReference"/>
          <w:rFonts w:hint="cs"/>
          <w:sz w:val="20"/>
          <w:szCs w:val="30"/>
          <w:vertAlign w:val="baseline"/>
          <w:rtl/>
          <w:lang w:eastAsia="zh-TW"/>
        </w:rPr>
        <w:t>.</w:t>
      </w:r>
    </w:p>
    <w:p w:rsidR="00EE77FD" w:rsidRPr="00EE77FD" w:rsidRDefault="00EE77FD" w:rsidP="00392A5C">
      <w:pPr>
        <w:pStyle w:val="SingleTxtGA"/>
        <w:spacing w:line="366" w:lineRule="exact"/>
        <w:rPr>
          <w:rtl/>
          <w:lang w:eastAsia="zh-TW"/>
        </w:rPr>
      </w:pPr>
      <w:r w:rsidRPr="00EE77FD">
        <w:rPr>
          <w:rtl/>
          <w:lang w:eastAsia="zh-TW"/>
        </w:rPr>
        <w:lastRenderedPageBreak/>
        <w:t>٤٧-</w:t>
      </w:r>
      <w:r w:rsidR="00AB592A">
        <w:rPr>
          <w:rtl/>
          <w:lang w:eastAsia="zh-TW"/>
        </w:rPr>
        <w:tab/>
      </w:r>
      <w:r w:rsidRPr="00EE77FD">
        <w:rPr>
          <w:rtl/>
          <w:lang w:eastAsia="zh-TW"/>
        </w:rPr>
        <w:t>ولا ترى اللجنة موثوقية أو فعالية فيما يُسمى "بديل الرحلة الداخلية"، أي ترحيل شخص أو ضحية من ضحايا التعذيب إلى منطقة من مناطق دولة معينة لن يكون فيها الشخص معرضاً للتعذيب، خلافاً لما هو عليه الحا</w:t>
      </w:r>
      <w:r w:rsidR="00AB592A">
        <w:rPr>
          <w:rtl/>
          <w:lang w:eastAsia="zh-TW"/>
        </w:rPr>
        <w:t>ل في مناطق أخرى من الدولة نفسها</w:t>
      </w:r>
      <w:r w:rsidRPr="00EE77FD">
        <w:rPr>
          <w:rStyle w:val="FootnoteReference"/>
          <w:sz w:val="20"/>
          <w:szCs w:val="30"/>
          <w:rtl/>
          <w:lang w:eastAsia="zh-TW"/>
        </w:rPr>
        <w:t>(</w:t>
      </w:r>
      <w:r w:rsidRPr="00EE77FD">
        <w:rPr>
          <w:rStyle w:val="FootnoteReference"/>
          <w:sz w:val="20"/>
          <w:szCs w:val="30"/>
          <w:rtl/>
          <w:lang w:eastAsia="zh-TW"/>
        </w:rPr>
        <w:footnoteReference w:id="93"/>
      </w:r>
      <w:r w:rsidRPr="00EE77FD">
        <w:rPr>
          <w:rStyle w:val="FootnoteReference"/>
          <w:sz w:val="20"/>
          <w:szCs w:val="30"/>
          <w:rtl/>
          <w:lang w:eastAsia="zh-TW"/>
        </w:rPr>
        <w:t>)</w:t>
      </w:r>
      <w:r w:rsidR="00AB592A" w:rsidRPr="00AB592A">
        <w:rPr>
          <w:rStyle w:val="FootnoteReference"/>
          <w:rFonts w:hint="cs"/>
          <w:sz w:val="20"/>
          <w:szCs w:val="30"/>
          <w:vertAlign w:val="baseline"/>
          <w:rtl/>
          <w:lang w:eastAsia="zh-TW"/>
        </w:rPr>
        <w:t>.</w:t>
      </w:r>
    </w:p>
    <w:p w:rsidR="00EE77FD" w:rsidRPr="00EE77FD" w:rsidRDefault="00EE77FD" w:rsidP="00392A5C">
      <w:pPr>
        <w:pStyle w:val="SingleTxtGA"/>
        <w:spacing w:line="366" w:lineRule="exact"/>
        <w:rPr>
          <w:rtl/>
          <w:lang w:eastAsia="zh-TW"/>
        </w:rPr>
      </w:pPr>
      <w:r w:rsidRPr="00EE77FD">
        <w:rPr>
          <w:rtl/>
          <w:lang w:eastAsia="zh-TW"/>
        </w:rPr>
        <w:t>٤٨-</w:t>
      </w:r>
      <w:r w:rsidR="00AB592A">
        <w:rPr>
          <w:rtl/>
          <w:lang w:eastAsia="zh-TW"/>
        </w:rPr>
        <w:tab/>
      </w:r>
      <w:r w:rsidRPr="00EE77FD">
        <w:rPr>
          <w:rtl/>
          <w:lang w:eastAsia="zh-TW"/>
        </w:rPr>
        <w:t>وعند تقييم ما إذا كانت هناك "أسباب حقيقية"، ترى اللجنة أن الدولة المستقبِلة ينبغي أن تكون قد أظهرت أنها اتخذت بعض التدابير الأساسية لمنع وحظر التعذيب في جميع أنحاء الإقليم الخاضع لولايتها القضائية أو لسيطرتها أو لسلطتها، مثل أحكام تشريعية واضحة بشأن الحظر المطلق للتعذيب والمعاقبة عليه بعقوبات مناسبة، وتدابير لوضع حد للإفلات من العقاب على أعمال التعذيب والعنف وغير ذلك من الممارسات غير القانونية التي يرتكبها الموظفون العموميون، وملاحقة الموظفين العموميين الذين يُدّعى أنهم ارتكبوا أعمال تعذيب وغيره من ضروب سوء المعاملة ومعاقبتهم بما يتناسب مع خطورة ال</w:t>
      </w:r>
      <w:r w:rsidR="00AB592A">
        <w:rPr>
          <w:rtl/>
          <w:lang w:eastAsia="zh-TW"/>
        </w:rPr>
        <w:t>جريمة المرتكبة إذا ثبتت إدانتهم</w:t>
      </w:r>
      <w:r w:rsidRPr="00EE77FD">
        <w:rPr>
          <w:rStyle w:val="FootnoteReference"/>
          <w:sz w:val="20"/>
          <w:szCs w:val="30"/>
          <w:rtl/>
          <w:lang w:eastAsia="zh-TW"/>
        </w:rPr>
        <w:t>(</w:t>
      </w:r>
      <w:r w:rsidRPr="00EE77FD">
        <w:rPr>
          <w:rStyle w:val="FootnoteReference"/>
          <w:sz w:val="20"/>
          <w:szCs w:val="30"/>
          <w:rtl/>
          <w:lang w:eastAsia="zh-TW"/>
        </w:rPr>
        <w:footnoteReference w:id="94"/>
      </w:r>
      <w:r w:rsidRPr="00EE77FD">
        <w:rPr>
          <w:rStyle w:val="FootnoteReference"/>
          <w:sz w:val="20"/>
          <w:szCs w:val="30"/>
          <w:rtl/>
          <w:lang w:eastAsia="zh-TW"/>
        </w:rPr>
        <w:t>)</w:t>
      </w:r>
      <w:r w:rsidR="00AB592A" w:rsidRPr="00AB592A">
        <w:rPr>
          <w:rStyle w:val="FootnoteReference"/>
          <w:rFonts w:hint="cs"/>
          <w:sz w:val="20"/>
          <w:szCs w:val="30"/>
          <w:vertAlign w:val="baseline"/>
          <w:rtl/>
          <w:lang w:eastAsia="zh-TW"/>
        </w:rPr>
        <w:t>.</w:t>
      </w:r>
    </w:p>
    <w:p w:rsidR="00EE77FD" w:rsidRPr="00EE77FD" w:rsidRDefault="00EE77FD" w:rsidP="00392A5C">
      <w:pPr>
        <w:pStyle w:val="SingleTxtGA"/>
        <w:spacing w:line="366" w:lineRule="exact"/>
        <w:rPr>
          <w:rtl/>
          <w:lang w:eastAsia="zh-TW"/>
        </w:rPr>
      </w:pPr>
      <w:r w:rsidRPr="00EE77FD">
        <w:rPr>
          <w:rtl/>
          <w:lang w:eastAsia="zh-TW"/>
        </w:rPr>
        <w:t>٤٩-</w:t>
      </w:r>
      <w:r w:rsidR="00AB592A">
        <w:rPr>
          <w:rtl/>
          <w:lang w:eastAsia="zh-TW"/>
        </w:rPr>
        <w:tab/>
      </w:r>
      <w:r w:rsidRPr="00EE77FD">
        <w:rPr>
          <w:rtl/>
          <w:lang w:eastAsia="zh-TW"/>
        </w:rPr>
        <w:t>ويمكن أن يقدم كلا الطرفين جميع المعلومات ذات الصلة لتوضيح مدى صلة معلوماتهما المقدمة بموجب المادة ٢٢ من الاتفاقية بأحكام المادة ٣. وستكون المعلومات التالية ذات صلة وإن لم تكن شاملة:</w:t>
      </w:r>
    </w:p>
    <w:p w:rsidR="00EE77FD" w:rsidRPr="00EE77FD" w:rsidRDefault="00AB592A" w:rsidP="00392A5C">
      <w:pPr>
        <w:pStyle w:val="SingleTxtGA"/>
        <w:spacing w:line="366" w:lineRule="exact"/>
        <w:rPr>
          <w:rtl/>
          <w:lang w:eastAsia="zh-TW"/>
        </w:rPr>
      </w:pPr>
      <w:r>
        <w:rPr>
          <w:rtl/>
          <w:lang w:eastAsia="zh-TW"/>
        </w:rPr>
        <w:tab/>
      </w:r>
      <w:r w:rsidR="00EE77FD" w:rsidRPr="00EE77FD">
        <w:rPr>
          <w:rtl/>
          <w:lang w:eastAsia="zh-TW"/>
        </w:rPr>
        <w:t>(أ)</w:t>
      </w:r>
      <w:r w:rsidR="00EE77FD" w:rsidRPr="00EE77FD">
        <w:rPr>
          <w:rtl/>
          <w:lang w:eastAsia="zh-TW"/>
        </w:rPr>
        <w:tab/>
        <w:t>ما إذا كان في الدولة المعنية ما يدل على وجود نمط ثابت من الانتهاكات الفادحة أو الصارخة أو الجماعية لحقوق الإنسان؛</w:t>
      </w:r>
    </w:p>
    <w:p w:rsidR="00EE77FD" w:rsidRPr="00EE5C81" w:rsidRDefault="00AB592A" w:rsidP="00392A5C">
      <w:pPr>
        <w:pStyle w:val="SingleTxtGA"/>
        <w:spacing w:line="366" w:lineRule="exact"/>
        <w:rPr>
          <w:spacing w:val="-4"/>
          <w:rtl/>
          <w:lang w:eastAsia="zh-TW"/>
        </w:rPr>
      </w:pPr>
      <w:r w:rsidRPr="00EE5C81">
        <w:rPr>
          <w:spacing w:val="-4"/>
          <w:rtl/>
          <w:lang w:eastAsia="zh-TW"/>
        </w:rPr>
        <w:tab/>
      </w:r>
      <w:r w:rsidR="00EE77FD" w:rsidRPr="00EE5C81">
        <w:rPr>
          <w:spacing w:val="-4"/>
          <w:rtl/>
          <w:lang w:eastAsia="zh-TW"/>
        </w:rPr>
        <w:t>(ب)</w:t>
      </w:r>
      <w:r w:rsidR="00EE77FD" w:rsidRPr="00EE5C81">
        <w:rPr>
          <w:spacing w:val="-4"/>
          <w:rtl/>
          <w:lang w:eastAsia="zh-TW"/>
        </w:rPr>
        <w:tab/>
        <w:t>ما إذا كان صاحب الشكوى تعرض للتعذيب أو سوء المعاملة على يد موظف رسمي أو أي شخص آخر يتصرف بصفة رسمية أو بتحريض من هذا الموظف أو بموافقته أو سكوته (الموافقة الضمنية) في الماضي، وإن كان الأمر كذلك، ما إذا كان ذلك في الماضي القريب؛</w:t>
      </w:r>
    </w:p>
    <w:p w:rsidR="00EE77FD" w:rsidRPr="00EE77FD" w:rsidRDefault="00AB592A" w:rsidP="00392A5C">
      <w:pPr>
        <w:pStyle w:val="SingleTxtGA"/>
        <w:spacing w:line="366" w:lineRule="exact"/>
        <w:rPr>
          <w:rtl/>
          <w:lang w:eastAsia="zh-TW"/>
        </w:rPr>
      </w:pPr>
      <w:r>
        <w:rPr>
          <w:rtl/>
          <w:lang w:eastAsia="zh-TW"/>
        </w:rPr>
        <w:tab/>
      </w:r>
      <w:r w:rsidR="00EE77FD" w:rsidRPr="00EE77FD">
        <w:rPr>
          <w:rtl/>
          <w:lang w:eastAsia="zh-TW"/>
        </w:rPr>
        <w:t>(ج)</w:t>
      </w:r>
      <w:r w:rsidR="00EE77FD" w:rsidRPr="00EE77FD">
        <w:rPr>
          <w:rtl/>
          <w:lang w:eastAsia="zh-TW"/>
        </w:rPr>
        <w:tab/>
        <w:t xml:space="preserve">ما إذا كانت هناك أدلة طبية أو نفسانية أو أدلة مستقلة أخرى تؤيد ادعاء صاحب الشكوى بأنه تعرض للتعذيب أو سوء المعاملة في الماضي، وما إذا كانت لهذا التعذيب آثار لاحقة؛ </w:t>
      </w:r>
    </w:p>
    <w:p w:rsidR="00EE77FD" w:rsidRPr="00EE77FD" w:rsidRDefault="00AB592A" w:rsidP="00392A5C">
      <w:pPr>
        <w:pStyle w:val="SingleTxtGA"/>
        <w:spacing w:line="366" w:lineRule="exact"/>
        <w:rPr>
          <w:rtl/>
          <w:lang w:eastAsia="zh-TW"/>
        </w:rPr>
      </w:pPr>
      <w:r>
        <w:rPr>
          <w:rtl/>
          <w:lang w:eastAsia="zh-TW"/>
        </w:rPr>
        <w:tab/>
      </w:r>
      <w:r w:rsidR="00EE77FD" w:rsidRPr="00EE77FD">
        <w:rPr>
          <w:rtl/>
          <w:lang w:eastAsia="zh-TW"/>
        </w:rPr>
        <w:t>(د)</w:t>
      </w:r>
      <w:r w:rsidR="00DB516C">
        <w:rPr>
          <w:rtl/>
          <w:lang w:eastAsia="zh-TW"/>
        </w:rPr>
        <w:tab/>
      </w:r>
      <w:r w:rsidR="00EE77FD" w:rsidRPr="00EE77FD">
        <w:rPr>
          <w:rtl/>
          <w:lang w:eastAsia="zh-TW"/>
        </w:rPr>
        <w:t>ما إذا كانت الدولة الطرف كفلت حصول صاحب الشكوى الذي يواجه الترحيل من الإقليم الخاضع لولايتها القضائية أو لسيطرتها أو لسلطتها على جميع الكفالات القانونية و/أو الإدارية والضمانات التي ينص عليها القانون، وبوجه خاص على فحص طبي مستقل لتقييم ادعاءاته بأنه تعرض سابقاً للتعذيب أو سوء المعاملة في بلده الأصلي؛</w:t>
      </w:r>
    </w:p>
    <w:p w:rsidR="00EE77FD" w:rsidRPr="00EE77FD" w:rsidRDefault="00DB516C" w:rsidP="00392A5C">
      <w:pPr>
        <w:pStyle w:val="SingleTxtGA"/>
        <w:spacing w:line="366" w:lineRule="exact"/>
        <w:rPr>
          <w:rtl/>
          <w:lang w:eastAsia="zh-TW"/>
        </w:rPr>
      </w:pPr>
      <w:r>
        <w:rPr>
          <w:rtl/>
          <w:lang w:eastAsia="zh-TW"/>
        </w:rPr>
        <w:tab/>
      </w:r>
      <w:r>
        <w:rPr>
          <w:rFonts w:hint="cs"/>
          <w:rtl/>
          <w:lang w:eastAsia="zh-TW"/>
        </w:rPr>
        <w:t>(</w:t>
      </w:r>
      <w:r w:rsidR="00EE77FD" w:rsidRPr="00EE77FD">
        <w:rPr>
          <w:rtl/>
          <w:lang w:eastAsia="zh-TW"/>
        </w:rPr>
        <w:t>هـ)</w:t>
      </w:r>
      <w:r>
        <w:rPr>
          <w:rtl/>
          <w:lang w:eastAsia="zh-TW"/>
        </w:rPr>
        <w:tab/>
      </w:r>
      <w:r w:rsidR="00EE77FD" w:rsidRPr="00EE77FD">
        <w:rPr>
          <w:rtl/>
          <w:lang w:eastAsia="zh-TW"/>
        </w:rPr>
        <w:t>ما إذا كان هناك أي ادعاء أو دليل ذي مصداقية بأن أقرباء صاحب الشكوى و/أو أقرباء شخص آخر قد تعرضوا أو سيتعرضون للتهديد أو الأعمال الانتقامية أو</w:t>
      </w:r>
      <w:r w:rsidR="001D6F10">
        <w:rPr>
          <w:rFonts w:hint="cs"/>
          <w:rtl/>
          <w:lang w:eastAsia="zh-TW"/>
        </w:rPr>
        <w:t> </w:t>
      </w:r>
      <w:r w:rsidR="00EE77FD" w:rsidRPr="00EE77FD">
        <w:rPr>
          <w:rtl/>
          <w:lang w:eastAsia="zh-TW"/>
        </w:rPr>
        <w:t>غير ذلك من أشكال الجزاءات التي تصل إلى حد التعذيب أو غيره من ضروب المعاملة أو</w:t>
      </w:r>
      <w:r w:rsidR="001D6F10">
        <w:rPr>
          <w:rFonts w:hint="cs"/>
          <w:rtl/>
          <w:lang w:eastAsia="zh-TW"/>
        </w:rPr>
        <w:t> </w:t>
      </w:r>
      <w:r w:rsidR="00EE77FD" w:rsidRPr="00EE77FD">
        <w:rPr>
          <w:rtl/>
          <w:lang w:eastAsia="zh-TW"/>
        </w:rPr>
        <w:t>العقوبة القاسية أو اللاإنسانية أو المهينة فيما يتصل بالبلاغ المقدم إلى اللجنة؛</w:t>
      </w:r>
    </w:p>
    <w:p w:rsidR="00EE77FD" w:rsidRPr="00EE77FD" w:rsidRDefault="00DB516C" w:rsidP="00392A5C">
      <w:pPr>
        <w:pStyle w:val="SingleTxtGA"/>
        <w:spacing w:line="366" w:lineRule="exact"/>
        <w:rPr>
          <w:rtl/>
          <w:lang w:eastAsia="zh-TW"/>
        </w:rPr>
      </w:pPr>
      <w:r>
        <w:rPr>
          <w:rtl/>
          <w:lang w:eastAsia="zh-TW"/>
        </w:rPr>
        <w:tab/>
      </w:r>
      <w:r w:rsidR="00EE77FD" w:rsidRPr="00EE77FD">
        <w:rPr>
          <w:rtl/>
          <w:lang w:eastAsia="zh-TW"/>
        </w:rPr>
        <w:t>(و)</w:t>
      </w:r>
      <w:r w:rsidR="00EE77FD" w:rsidRPr="00EE77FD">
        <w:rPr>
          <w:rtl/>
          <w:lang w:eastAsia="zh-TW"/>
        </w:rPr>
        <w:tab/>
        <w:t>ما إذا كان صاحب الشكوى قد شارك داخل الدولة المعنية أو خارجها في نشاط سياسي أو نشاط آخر يبدو أنه يضع صاحب الشكوى في وضع يعرضه لخطر التعذيب في حال طرده أو إعادته أو تسليمه إلى الدولة المعنية؛</w:t>
      </w:r>
    </w:p>
    <w:p w:rsidR="00EE77FD" w:rsidRPr="00EE77FD" w:rsidRDefault="00DB516C" w:rsidP="001D6F10">
      <w:pPr>
        <w:pStyle w:val="SingleTxtGA"/>
        <w:spacing w:line="370" w:lineRule="exact"/>
        <w:rPr>
          <w:rtl/>
          <w:lang w:eastAsia="zh-TW"/>
        </w:rPr>
      </w:pPr>
      <w:r>
        <w:rPr>
          <w:rtl/>
          <w:lang w:eastAsia="zh-TW"/>
        </w:rPr>
        <w:lastRenderedPageBreak/>
        <w:tab/>
      </w:r>
      <w:r w:rsidR="00EE77FD" w:rsidRPr="00EE77FD">
        <w:rPr>
          <w:rtl/>
          <w:lang w:eastAsia="zh-TW"/>
        </w:rPr>
        <w:t>(ز)</w:t>
      </w:r>
      <w:r w:rsidR="00EE77FD" w:rsidRPr="00EE77FD">
        <w:rPr>
          <w:rtl/>
          <w:lang w:eastAsia="zh-TW"/>
        </w:rPr>
        <w:tab/>
        <w:t>ما إذا كان صاحب الشكوى، في حال إعادته إلى الدولة التي يجري ترحيله إليها، معرضاً لخطر إعادة ترحيله إلى دولة أخرى سيواجه فيها خطر التعرض للتعذيب؛</w:t>
      </w:r>
    </w:p>
    <w:p w:rsidR="00EE77FD" w:rsidRPr="00EE77FD" w:rsidRDefault="00DB516C" w:rsidP="001D6F10">
      <w:pPr>
        <w:pStyle w:val="SingleTxtGA"/>
        <w:spacing w:line="370" w:lineRule="exact"/>
        <w:rPr>
          <w:rtl/>
          <w:lang w:eastAsia="zh-TW"/>
        </w:rPr>
      </w:pPr>
      <w:r>
        <w:rPr>
          <w:rtl/>
          <w:lang w:eastAsia="zh-TW"/>
        </w:rPr>
        <w:tab/>
      </w:r>
      <w:r w:rsidR="00EE77FD" w:rsidRPr="00EE77FD">
        <w:rPr>
          <w:rtl/>
          <w:lang w:eastAsia="zh-TW"/>
        </w:rPr>
        <w:t>(ح)</w:t>
      </w:r>
      <w:r w:rsidR="00EE77FD" w:rsidRPr="00EE77FD">
        <w:rPr>
          <w:rtl/>
          <w:lang w:eastAsia="zh-TW"/>
        </w:rPr>
        <w:tab/>
        <w:t xml:space="preserve">ما إذا كانت هناك أي أدلة بشأن مصداقية مقدم الشكوى، مع مراعاة حالة </w:t>
      </w:r>
      <w:r w:rsidR="00EE77FD" w:rsidRPr="00392A5C">
        <w:rPr>
          <w:spacing w:val="-2"/>
          <w:rtl/>
          <w:lang w:eastAsia="zh-TW"/>
        </w:rPr>
        <w:t>الهشاشة البدنية والنفسية التي يواجهها غالبية أصحاب الشكاوى، مثل ملتمسي اللجوء والمحتجزين</w:t>
      </w:r>
      <w:r w:rsidR="00EE77FD" w:rsidRPr="00EE77FD">
        <w:rPr>
          <w:rtl/>
          <w:lang w:eastAsia="zh-TW"/>
        </w:rPr>
        <w:t xml:space="preserve"> السابقين وضحايا التعذيب أو العنف الجنسي، والتي تفضي إلى بعض أوجه التضارب وثغرات الذاكرة في المعلومات التي يقدمونها؛ </w:t>
      </w:r>
    </w:p>
    <w:p w:rsidR="00EE77FD" w:rsidRPr="00EE77FD" w:rsidRDefault="00DB516C" w:rsidP="001D6F10">
      <w:pPr>
        <w:pStyle w:val="SingleTxtGA"/>
        <w:spacing w:line="370" w:lineRule="exact"/>
        <w:rPr>
          <w:rtl/>
          <w:lang w:eastAsia="zh-TW"/>
        </w:rPr>
      </w:pPr>
      <w:r>
        <w:rPr>
          <w:rtl/>
          <w:lang w:eastAsia="zh-TW"/>
        </w:rPr>
        <w:tab/>
      </w:r>
      <w:r w:rsidR="00EE77FD" w:rsidRPr="00EE77FD">
        <w:rPr>
          <w:rtl/>
          <w:lang w:eastAsia="zh-TW"/>
        </w:rPr>
        <w:t>(ط)</w:t>
      </w:r>
      <w:r>
        <w:rPr>
          <w:rtl/>
          <w:lang w:eastAsia="zh-TW"/>
        </w:rPr>
        <w:tab/>
      </w:r>
      <w:r w:rsidR="00EE77FD" w:rsidRPr="00EE77FD">
        <w:rPr>
          <w:rtl/>
          <w:lang w:eastAsia="zh-TW"/>
        </w:rPr>
        <w:t>ما إذا كان صاحب الشكوى قد أثبت صحة الادعاءات بشكل عام، مع مراعاة الاختلا</w:t>
      </w:r>
      <w:r>
        <w:rPr>
          <w:rtl/>
          <w:lang w:eastAsia="zh-TW"/>
        </w:rPr>
        <w:t>فات التي قد توجد في عرض الوقائع</w:t>
      </w:r>
      <w:r w:rsidR="00EE77FD" w:rsidRPr="00EE77FD">
        <w:rPr>
          <w:rStyle w:val="FootnoteReference"/>
          <w:sz w:val="20"/>
          <w:szCs w:val="30"/>
          <w:rtl/>
          <w:lang w:eastAsia="zh-TW"/>
        </w:rPr>
        <w:t>(</w:t>
      </w:r>
      <w:r w:rsidR="00EE77FD" w:rsidRPr="00EE77FD">
        <w:rPr>
          <w:rStyle w:val="FootnoteReference"/>
          <w:sz w:val="20"/>
          <w:szCs w:val="30"/>
          <w:rtl/>
          <w:lang w:eastAsia="zh-TW"/>
        </w:rPr>
        <w:footnoteReference w:id="95"/>
      </w:r>
      <w:r w:rsidR="00EE77FD" w:rsidRPr="00EE77FD">
        <w:rPr>
          <w:rStyle w:val="FootnoteReference"/>
          <w:sz w:val="20"/>
          <w:szCs w:val="30"/>
          <w:rtl/>
          <w:lang w:eastAsia="zh-TW"/>
        </w:rPr>
        <w:t>)</w:t>
      </w:r>
      <w:r>
        <w:rPr>
          <w:rFonts w:hint="cs"/>
          <w:rtl/>
          <w:lang w:eastAsia="zh-TW"/>
        </w:rPr>
        <w:t>.</w:t>
      </w:r>
    </w:p>
    <w:p w:rsidR="00EE77FD" w:rsidRPr="00EE77FD" w:rsidRDefault="00DB516C" w:rsidP="00DB516C">
      <w:pPr>
        <w:pStyle w:val="HChGA"/>
        <w:rPr>
          <w:rtl/>
          <w:lang w:eastAsia="zh-TW"/>
        </w:rPr>
      </w:pPr>
      <w:r w:rsidRPr="00714EAE">
        <w:rPr>
          <w:sz w:val="22"/>
          <w:szCs w:val="32"/>
          <w:rtl/>
          <w:lang w:eastAsia="zh-TW"/>
        </w:rPr>
        <w:tab/>
      </w:r>
      <w:r w:rsidR="00EE77FD" w:rsidRPr="00714EAE">
        <w:rPr>
          <w:sz w:val="22"/>
          <w:szCs w:val="32"/>
          <w:rtl/>
          <w:lang w:eastAsia="zh-TW"/>
        </w:rPr>
        <w:t>حادي عشر-</w:t>
      </w:r>
      <w:r w:rsidRPr="00714EAE">
        <w:rPr>
          <w:sz w:val="22"/>
          <w:szCs w:val="32"/>
          <w:rtl/>
          <w:lang w:eastAsia="zh-TW"/>
        </w:rPr>
        <w:tab/>
      </w:r>
      <w:r w:rsidR="00EE77FD" w:rsidRPr="00EE77FD">
        <w:rPr>
          <w:rtl/>
          <w:lang w:eastAsia="zh-TW"/>
        </w:rPr>
        <w:t>استقلال اللجنة في التقييم</w:t>
      </w:r>
      <w:bookmarkStart w:id="19" w:name="_Toc516672812"/>
      <w:bookmarkEnd w:id="19"/>
    </w:p>
    <w:p w:rsidR="00EE77FD" w:rsidRPr="00EE77FD" w:rsidRDefault="00EE77FD" w:rsidP="001D6F10">
      <w:pPr>
        <w:pStyle w:val="SingleTxtGA"/>
        <w:spacing w:line="370" w:lineRule="exact"/>
        <w:rPr>
          <w:rtl/>
          <w:lang w:eastAsia="zh-TW"/>
        </w:rPr>
      </w:pPr>
      <w:r w:rsidRPr="00EE77FD">
        <w:rPr>
          <w:rtl/>
          <w:lang w:eastAsia="zh-TW"/>
        </w:rPr>
        <w:t>٥٠-</w:t>
      </w:r>
      <w:r w:rsidR="00DB516C">
        <w:rPr>
          <w:rtl/>
          <w:lang w:eastAsia="zh-TW"/>
        </w:rPr>
        <w:tab/>
      </w:r>
      <w:r w:rsidRPr="00EE77FD">
        <w:rPr>
          <w:rtl/>
          <w:lang w:eastAsia="zh-TW"/>
        </w:rPr>
        <w:t xml:space="preserve">تولي اللجنة أهمية كبيرة للنتائج </w:t>
      </w:r>
      <w:proofErr w:type="spellStart"/>
      <w:r w:rsidRPr="00EE77FD">
        <w:rPr>
          <w:rtl/>
          <w:lang w:eastAsia="zh-TW"/>
        </w:rPr>
        <w:t>الوقائعية</w:t>
      </w:r>
      <w:proofErr w:type="spellEnd"/>
      <w:r w:rsidRPr="00EE77FD">
        <w:rPr>
          <w:rtl/>
          <w:lang w:eastAsia="zh-TW"/>
        </w:rPr>
        <w:t xml:space="preserve"> التي تقدمها أجهزة الدولة الطرف المعنية</w:t>
      </w:r>
      <w:r w:rsidRPr="00EE77FD">
        <w:rPr>
          <w:rStyle w:val="FootnoteReference"/>
          <w:sz w:val="20"/>
          <w:szCs w:val="30"/>
          <w:rtl/>
          <w:lang w:eastAsia="zh-TW"/>
        </w:rPr>
        <w:t>(</w:t>
      </w:r>
      <w:r w:rsidRPr="00EE77FD">
        <w:rPr>
          <w:rStyle w:val="FootnoteReference"/>
          <w:sz w:val="20"/>
          <w:szCs w:val="30"/>
          <w:rtl/>
          <w:lang w:eastAsia="zh-TW"/>
        </w:rPr>
        <w:footnoteReference w:id="96"/>
      </w:r>
      <w:r w:rsidRPr="00EE77FD">
        <w:rPr>
          <w:rStyle w:val="FootnoteReference"/>
          <w:sz w:val="20"/>
          <w:szCs w:val="30"/>
          <w:rtl/>
          <w:lang w:eastAsia="zh-TW"/>
        </w:rPr>
        <w:t>)</w:t>
      </w:r>
      <w:r w:rsidRPr="00EE77FD">
        <w:rPr>
          <w:rtl/>
          <w:lang w:eastAsia="zh-TW"/>
        </w:rPr>
        <w:t>؛ إلا أنها غير ملزمة بتلك النتائج. ويعني ذلك أن اللجنة ستجري تقييماً حراً للمعلو</w:t>
      </w:r>
      <w:r w:rsidR="00DB516C">
        <w:rPr>
          <w:rtl/>
          <w:lang w:eastAsia="zh-TW"/>
        </w:rPr>
        <w:t>مات المتاحة لها وفقاً للمادة ٢٢</w:t>
      </w:r>
      <w:r w:rsidRPr="00EE77FD">
        <w:rPr>
          <w:rtl/>
          <w:lang w:eastAsia="zh-TW"/>
        </w:rPr>
        <w:t>(٤) من الاتفاقية، مع مراعاة جميع الظروف ذات الصلة بكل</w:t>
      </w:r>
      <w:r w:rsidR="00DB516C">
        <w:rPr>
          <w:rtl/>
          <w:lang w:eastAsia="zh-TW"/>
        </w:rPr>
        <w:t xml:space="preserve"> قضية</w:t>
      </w:r>
      <w:r w:rsidRPr="00EE77FD">
        <w:rPr>
          <w:rStyle w:val="FootnoteReference"/>
          <w:sz w:val="20"/>
          <w:szCs w:val="30"/>
          <w:rtl/>
          <w:lang w:eastAsia="zh-TW"/>
        </w:rPr>
        <w:t>(</w:t>
      </w:r>
      <w:r w:rsidRPr="00EE77FD">
        <w:rPr>
          <w:rStyle w:val="FootnoteReference"/>
          <w:sz w:val="20"/>
          <w:szCs w:val="30"/>
          <w:rtl/>
          <w:lang w:eastAsia="zh-TW"/>
        </w:rPr>
        <w:footnoteReference w:id="97"/>
      </w:r>
      <w:r w:rsidRPr="00EE77FD">
        <w:rPr>
          <w:rStyle w:val="FootnoteReference"/>
          <w:sz w:val="20"/>
          <w:szCs w:val="30"/>
          <w:rtl/>
          <w:lang w:eastAsia="zh-TW"/>
        </w:rPr>
        <w:t>)</w:t>
      </w:r>
      <w:r w:rsidR="00DB516C" w:rsidRPr="00DB516C">
        <w:rPr>
          <w:rStyle w:val="FootnoteReference"/>
          <w:rFonts w:hint="cs"/>
          <w:sz w:val="20"/>
          <w:szCs w:val="30"/>
          <w:vertAlign w:val="baseline"/>
          <w:rtl/>
          <w:lang w:eastAsia="zh-TW"/>
        </w:rPr>
        <w:t>.</w:t>
      </w:r>
    </w:p>
    <w:p w:rsidR="00EE77FD" w:rsidRPr="00EE77FD" w:rsidRDefault="00EE77FD" w:rsidP="001D6F10">
      <w:pPr>
        <w:pStyle w:val="SingleTxtGA"/>
        <w:spacing w:line="370" w:lineRule="exact"/>
        <w:rPr>
          <w:rtl/>
        </w:rPr>
      </w:pPr>
      <w:r w:rsidRPr="00EE77FD">
        <w:rPr>
          <w:rtl/>
          <w:lang w:eastAsia="zh-TW"/>
        </w:rPr>
        <w:t>٥١-</w:t>
      </w:r>
      <w:r w:rsidR="00DB516C">
        <w:rPr>
          <w:rtl/>
          <w:lang w:eastAsia="zh-TW"/>
        </w:rPr>
        <w:tab/>
      </w:r>
      <w:r w:rsidRPr="00EE77FD">
        <w:rPr>
          <w:rtl/>
          <w:lang w:eastAsia="zh-TW"/>
        </w:rPr>
        <w:t>وعند اعتماد القرارات المتعلقة بالبلاغات الفردية، ستأخذ اللجنة في الحسبان</w:t>
      </w:r>
      <w:r w:rsidR="00F30E70">
        <w:rPr>
          <w:rtl/>
          <w:lang w:eastAsia="zh-TW"/>
        </w:rPr>
        <w:t xml:space="preserve"> أيضاً </w:t>
      </w:r>
      <w:r w:rsidRPr="00EE77FD">
        <w:rPr>
          <w:rtl/>
          <w:lang w:eastAsia="zh-TW"/>
        </w:rPr>
        <w:t xml:space="preserve">مبدأ قرينة الشك كتدبير وقائي ضد الضرر الذي لا يمكن جبره، عندما </w:t>
      </w:r>
      <w:bookmarkStart w:id="20" w:name="_GoBack"/>
      <w:bookmarkEnd w:id="20"/>
      <w:r w:rsidRPr="00EE77FD">
        <w:rPr>
          <w:rtl/>
          <w:lang w:eastAsia="zh-TW"/>
        </w:rPr>
        <w:t>يكون هذا المبدأ ذا صلة بالموضوع.</w:t>
      </w:r>
    </w:p>
    <w:p w:rsidR="00EE77FD" w:rsidRPr="00EE77FD" w:rsidRDefault="00EE77FD" w:rsidP="001D6F10">
      <w:pPr>
        <w:spacing w:before="120" w:line="240" w:lineRule="exact"/>
        <w:jc w:val="center"/>
        <w:rPr>
          <w:u w:val="single"/>
          <w:rtl/>
        </w:rPr>
      </w:pPr>
      <w:r>
        <w:rPr>
          <w:u w:val="single"/>
          <w:rtl/>
        </w:rPr>
        <w:tab/>
      </w:r>
      <w:r>
        <w:rPr>
          <w:u w:val="single"/>
          <w:rtl/>
        </w:rPr>
        <w:tab/>
      </w:r>
      <w:r>
        <w:rPr>
          <w:u w:val="single"/>
          <w:rtl/>
        </w:rPr>
        <w:tab/>
      </w:r>
    </w:p>
    <w:sectPr w:rsidR="00EE77FD" w:rsidRPr="00EE77FD" w:rsidSect="00806A2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EAE" w:rsidRPr="002901D9" w:rsidRDefault="00714EAE" w:rsidP="002901D9">
      <w:pPr>
        <w:spacing w:after="60" w:line="240" w:lineRule="auto"/>
        <w:rPr>
          <w:i/>
          <w:iCs/>
        </w:rPr>
      </w:pPr>
      <w:r>
        <w:rPr>
          <w:rFonts w:hint="cs"/>
          <w:i/>
          <w:iCs/>
          <w:rtl/>
        </w:rPr>
        <w:t>الحواشي</w:t>
      </w:r>
    </w:p>
  </w:endnote>
  <w:endnote w:type="continuationSeparator" w:id="0">
    <w:p w:rsidR="00714EAE" w:rsidRDefault="00714EAE"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AE" w:rsidRPr="00EE77FD" w:rsidRDefault="00714EAE" w:rsidP="00EE77FD">
    <w:pPr>
      <w:pStyle w:val="Footer"/>
      <w:tabs>
        <w:tab w:val="right" w:pos="9598"/>
      </w:tabs>
      <w:rPr>
        <w:sz w:val="17"/>
      </w:rPr>
    </w:pPr>
    <w:r>
      <w:rPr>
        <w:sz w:val="17"/>
      </w:rPr>
      <w:t>GE.18-13033</w:t>
    </w:r>
    <w:r>
      <w:rPr>
        <w:sz w:val="17"/>
      </w:rPr>
      <w:tab/>
    </w:r>
    <w:r w:rsidRPr="00EE77FD">
      <w:rPr>
        <w:b/>
        <w:sz w:val="18"/>
      </w:rPr>
      <w:fldChar w:fldCharType="begin"/>
    </w:r>
    <w:r w:rsidRPr="00EE77FD">
      <w:rPr>
        <w:b/>
        <w:sz w:val="18"/>
      </w:rPr>
      <w:instrText xml:space="preserve"> PAGE  \* MERGEFORMAT </w:instrText>
    </w:r>
    <w:r w:rsidRPr="00EE77FD">
      <w:rPr>
        <w:b/>
        <w:sz w:val="18"/>
      </w:rPr>
      <w:fldChar w:fldCharType="separate"/>
    </w:r>
    <w:r w:rsidR="00CD22F5">
      <w:rPr>
        <w:b/>
        <w:noProof/>
        <w:sz w:val="18"/>
      </w:rPr>
      <w:t>18</w:t>
    </w:r>
    <w:r w:rsidRPr="00EE77F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AE" w:rsidRPr="00EE77FD" w:rsidRDefault="00714EAE" w:rsidP="006959B0">
    <w:pPr>
      <w:pStyle w:val="Footer"/>
      <w:tabs>
        <w:tab w:val="right" w:pos="9599"/>
      </w:tabs>
      <w:jc w:val="left"/>
      <w:rPr>
        <w:b/>
        <w:sz w:val="18"/>
        <w:lang w:val="en-US"/>
      </w:rPr>
    </w:pPr>
    <w:r w:rsidRPr="00EE77FD">
      <w:rPr>
        <w:b/>
        <w:sz w:val="18"/>
        <w:lang w:val="en-US"/>
      </w:rPr>
      <w:fldChar w:fldCharType="begin"/>
    </w:r>
    <w:r w:rsidRPr="00EE77FD">
      <w:rPr>
        <w:b/>
        <w:sz w:val="18"/>
        <w:lang w:val="en-US"/>
      </w:rPr>
      <w:instrText xml:space="preserve"> PAGE  \* MERGEFORMAT </w:instrText>
    </w:r>
    <w:r w:rsidRPr="00EE77FD">
      <w:rPr>
        <w:b/>
        <w:sz w:val="18"/>
        <w:lang w:val="en-US"/>
      </w:rPr>
      <w:fldChar w:fldCharType="separate"/>
    </w:r>
    <w:r w:rsidR="00CD22F5">
      <w:rPr>
        <w:b/>
        <w:noProof/>
        <w:sz w:val="18"/>
        <w:lang w:val="en-US"/>
      </w:rPr>
      <w:t>17</w:t>
    </w:r>
    <w:r w:rsidRPr="00EE77FD">
      <w:rPr>
        <w:b/>
        <w:sz w:val="18"/>
        <w:lang w:val="en-US"/>
      </w:rPr>
      <w:fldChar w:fldCharType="end"/>
    </w:r>
    <w:r>
      <w:rPr>
        <w:b/>
        <w:sz w:val="18"/>
        <w:lang w:val="en-US"/>
      </w:rPr>
      <w:tab/>
    </w:r>
    <w:r>
      <w:rPr>
        <w:sz w:val="17"/>
        <w:lang w:val="en-US"/>
      </w:rPr>
      <w:t>GE.18-13033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AE" w:rsidRDefault="00714EAE" w:rsidP="005A3015">
    <w:pPr>
      <w:pStyle w:val="Footer"/>
      <w:spacing w:before="360"/>
      <w:jc w:val="right"/>
      <w:rPr>
        <w:sz w:val="20"/>
        <w:szCs w:val="20"/>
      </w:rPr>
    </w:pPr>
    <w:r>
      <w:rPr>
        <w:sz w:val="20"/>
        <w:szCs w:val="20"/>
      </w:rPr>
      <w:t>GE.18-13033</w:t>
    </w:r>
    <w:r>
      <w:rPr>
        <w:noProof/>
        <w:lang w:val="en-US"/>
      </w:rPr>
      <w:drawing>
        <wp:anchor distT="0" distB="0" distL="114300" distR="114300" simplePos="0" relativeHeight="251665408" behindDoc="1" locked="1" layoutInCell="0" allowOverlap="1" wp14:anchorId="72DE5E8F" wp14:editId="57DE7AF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714EAE" w:rsidRPr="00806A25" w:rsidRDefault="00714EAE" w:rsidP="00806A25">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56704"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EAE" w:rsidRPr="004956DC" w:rsidRDefault="00714EAE" w:rsidP="00761849">
      <w:pPr>
        <w:pStyle w:val="Footer"/>
        <w:bidi/>
        <w:spacing w:after="80" w:line="200" w:lineRule="exact"/>
        <w:ind w:left="680"/>
      </w:pPr>
      <w:r>
        <w:rPr>
          <w:rtl/>
        </w:rPr>
        <w:t>__________</w:t>
      </w:r>
    </w:p>
  </w:footnote>
  <w:footnote w:type="continuationSeparator" w:id="0">
    <w:p w:rsidR="00714EAE" w:rsidRDefault="00714EAE" w:rsidP="00656392">
      <w:pPr>
        <w:spacing w:line="240" w:lineRule="auto"/>
      </w:pPr>
      <w:r>
        <w:continuationSeparator/>
      </w:r>
    </w:p>
  </w:footnote>
  <w:footnote w:id="1">
    <w:p w:rsidR="00714EAE" w:rsidRPr="008B1696" w:rsidRDefault="00714EAE" w:rsidP="00EE77FD">
      <w:pPr>
        <w:pStyle w:val="FootnoteText1"/>
        <w:rPr>
          <w:sz w:val="20"/>
          <w:szCs w:val="28"/>
        </w:rPr>
      </w:pPr>
      <w:r w:rsidRPr="008B1696">
        <w:rPr>
          <w:sz w:val="20"/>
          <w:szCs w:val="28"/>
          <w:rtl/>
        </w:rPr>
        <w:t>*</w:t>
      </w:r>
      <w:r w:rsidRPr="008B1696">
        <w:rPr>
          <w:sz w:val="20"/>
          <w:szCs w:val="28"/>
          <w:rtl/>
        </w:rPr>
        <w:tab/>
      </w:r>
      <w:r w:rsidRPr="008B1696">
        <w:rPr>
          <w:sz w:val="20"/>
          <w:rtl/>
          <w:lang w:eastAsia="zh-TW"/>
        </w:rPr>
        <w:t>يحل هذا التعلي</w:t>
      </w:r>
      <w:r w:rsidR="001D6F10" w:rsidRPr="008B1696">
        <w:rPr>
          <w:sz w:val="20"/>
          <w:rtl/>
          <w:lang w:eastAsia="zh-TW"/>
        </w:rPr>
        <w:t>ق العام محل التعليق العام رقم ١</w:t>
      </w:r>
      <w:r w:rsidRPr="008B1696">
        <w:rPr>
          <w:sz w:val="20"/>
          <w:rtl/>
          <w:lang w:eastAsia="zh-TW"/>
        </w:rPr>
        <w:t>(1997) بشأن تنفيذ المادة ٣.</w:t>
      </w:r>
    </w:p>
  </w:footnote>
  <w:footnote w:id="2">
    <w:p w:rsidR="00714EAE" w:rsidRPr="00EE77FD" w:rsidRDefault="00714EAE" w:rsidP="00606EB3">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ينبغي تفسير المادة ٣ بالرجوع إلى </w:t>
      </w:r>
      <w:r w:rsidRPr="00EE77FD">
        <w:rPr>
          <w:rtl/>
        </w:rPr>
        <w:t>تعريف</w:t>
      </w:r>
      <w:r w:rsidRPr="00EE77FD">
        <w:rPr>
          <w:rtl/>
          <w:lang w:eastAsia="zh-TW"/>
        </w:rPr>
        <w:t xml:space="preserve"> التعذيب الوارد في المادة ١ من الاتفاقية؛ انظر </w:t>
      </w:r>
      <w:r w:rsidRPr="00606EB3">
        <w:rPr>
          <w:i/>
          <w:iCs/>
          <w:rtl/>
          <w:lang w:eastAsia="zh-TW"/>
        </w:rPr>
        <w:t>غ.</w:t>
      </w:r>
      <w:r w:rsidRPr="00606EB3">
        <w:rPr>
          <w:rFonts w:hint="cs"/>
          <w:i/>
          <w:iCs/>
          <w:rtl/>
          <w:lang w:eastAsia="zh-TW"/>
        </w:rPr>
        <w:t xml:space="preserve"> </w:t>
      </w:r>
      <w:r w:rsidRPr="00606EB3">
        <w:rPr>
          <w:i/>
          <w:iCs/>
          <w:rtl/>
          <w:lang w:eastAsia="zh-TW"/>
        </w:rPr>
        <w:t>ر.</w:t>
      </w:r>
      <w:r w:rsidRPr="00606EB3">
        <w:rPr>
          <w:rFonts w:hint="cs"/>
          <w:i/>
          <w:iCs/>
          <w:rtl/>
          <w:lang w:eastAsia="zh-TW"/>
        </w:rPr>
        <w:t xml:space="preserve"> </w:t>
      </w:r>
      <w:r w:rsidRPr="00606EB3">
        <w:rPr>
          <w:i/>
          <w:iCs/>
          <w:rtl/>
          <w:lang w:eastAsia="zh-TW"/>
        </w:rPr>
        <w:t>ب. ضد السويد</w:t>
      </w:r>
      <w:r w:rsidRPr="00EE77FD">
        <w:rPr>
          <w:rtl/>
          <w:lang w:eastAsia="zh-TW"/>
        </w:rPr>
        <w:t xml:space="preserve"> (</w:t>
      </w:r>
      <w:r w:rsidRPr="00606EB3">
        <w:rPr>
          <w:lang w:eastAsia="zh-TW"/>
        </w:rPr>
        <w:t>CAT/C/20/D/83/1997</w:t>
      </w:r>
      <w:r w:rsidRPr="00EE77FD">
        <w:rPr>
          <w:rtl/>
          <w:lang w:eastAsia="zh-TW"/>
        </w:rPr>
        <w:t xml:space="preserve">)، الفقرة 6-5. </w:t>
      </w:r>
    </w:p>
  </w:footnote>
  <w:footnote w:id="3">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001D6F10">
        <w:rPr>
          <w:rtl/>
          <w:lang w:eastAsia="zh-TW"/>
        </w:rPr>
        <w:t>انظر التعليق العام رقم 2</w:t>
      </w:r>
      <w:r w:rsidRPr="00EE77FD">
        <w:rPr>
          <w:rtl/>
          <w:lang w:eastAsia="zh-TW"/>
        </w:rPr>
        <w:t xml:space="preserve">(2007) بشأن تنفيذ المادة 2، الفقرات 3 و6 و19 و25. </w:t>
      </w:r>
    </w:p>
  </w:footnote>
  <w:footnote w:id="4">
    <w:p w:rsidR="00714EAE" w:rsidRPr="001D6F10" w:rsidRDefault="00714EAE" w:rsidP="001D6F10">
      <w:pPr>
        <w:pStyle w:val="FootnoteText1"/>
        <w:textDirection w:val="tbRlV"/>
        <w:rPr>
          <w:spacing w:val="-2"/>
          <w:rtl/>
          <w:lang w:eastAsia="zh-TW"/>
        </w:rPr>
      </w:pPr>
      <w:r w:rsidRPr="001D6F10">
        <w:rPr>
          <w:spacing w:val="-2"/>
          <w:rtl/>
        </w:rPr>
        <w:t>(</w:t>
      </w:r>
      <w:r w:rsidRPr="001D6F10">
        <w:rPr>
          <w:rStyle w:val="FootnoteReference"/>
          <w:spacing w:val="-2"/>
          <w:vertAlign w:val="baseline"/>
        </w:rPr>
        <w:footnoteRef/>
      </w:r>
      <w:r w:rsidRPr="001D6F10">
        <w:rPr>
          <w:spacing w:val="-2"/>
          <w:sz w:val="26"/>
          <w:rtl/>
        </w:rPr>
        <w:t>)</w:t>
      </w:r>
      <w:r w:rsidRPr="001D6F10">
        <w:rPr>
          <w:spacing w:val="-2"/>
          <w:sz w:val="26"/>
          <w:rtl/>
        </w:rPr>
        <w:tab/>
      </w:r>
      <w:r w:rsidRPr="001D6F10">
        <w:rPr>
          <w:spacing w:val="-2"/>
          <w:rtl/>
          <w:lang w:eastAsia="zh-TW"/>
        </w:rPr>
        <w:t xml:space="preserve">انظر </w:t>
      </w:r>
      <w:proofErr w:type="spellStart"/>
      <w:r w:rsidRPr="001D6F10">
        <w:rPr>
          <w:i/>
          <w:iCs/>
          <w:spacing w:val="-2"/>
          <w:rtl/>
          <w:lang w:eastAsia="zh-TW"/>
        </w:rPr>
        <w:t>تابيا</w:t>
      </w:r>
      <w:proofErr w:type="spellEnd"/>
      <w:r w:rsidRPr="001D6F10">
        <w:rPr>
          <w:i/>
          <w:iCs/>
          <w:spacing w:val="-2"/>
          <w:rtl/>
          <w:lang w:eastAsia="zh-TW"/>
        </w:rPr>
        <w:t xml:space="preserve"> </w:t>
      </w:r>
      <w:proofErr w:type="spellStart"/>
      <w:r w:rsidRPr="001D6F10">
        <w:rPr>
          <w:i/>
          <w:iCs/>
          <w:spacing w:val="-2"/>
          <w:rtl/>
          <w:lang w:eastAsia="zh-TW"/>
        </w:rPr>
        <w:t>باييز</w:t>
      </w:r>
      <w:proofErr w:type="spellEnd"/>
      <w:r w:rsidRPr="001D6F10">
        <w:rPr>
          <w:i/>
          <w:iCs/>
          <w:spacing w:val="-2"/>
          <w:rtl/>
          <w:lang w:eastAsia="zh-TW"/>
        </w:rPr>
        <w:t xml:space="preserve"> ضد السويد</w:t>
      </w:r>
      <w:r w:rsidRPr="001D6F10">
        <w:rPr>
          <w:spacing w:val="-2"/>
          <w:rtl/>
          <w:lang w:eastAsia="zh-TW"/>
        </w:rPr>
        <w:t xml:space="preserve"> (</w:t>
      </w:r>
      <w:r w:rsidRPr="001D6F10">
        <w:rPr>
          <w:spacing w:val="-2"/>
          <w:lang w:eastAsia="zh-TW"/>
        </w:rPr>
        <w:t>CAT/C/18/D/39/1996</w:t>
      </w:r>
      <w:r w:rsidRPr="001D6F10">
        <w:rPr>
          <w:spacing w:val="-2"/>
          <w:rtl/>
          <w:lang w:eastAsia="zh-TW"/>
        </w:rPr>
        <w:t>)، الفقرة 14-5؛</w:t>
      </w:r>
      <w:r w:rsidRPr="001D6F10">
        <w:rPr>
          <w:rFonts w:cs="Times New Roman" w:hint="cs"/>
          <w:spacing w:val="-2"/>
          <w:rtl/>
          <w:lang w:eastAsia="zh-TW"/>
        </w:rPr>
        <w:t>‬</w:t>
      </w:r>
      <w:r w:rsidRPr="001D6F10">
        <w:rPr>
          <w:spacing w:val="-2"/>
          <w:rtl/>
          <w:lang w:eastAsia="zh-TW"/>
        </w:rPr>
        <w:t xml:space="preserve"> </w:t>
      </w:r>
      <w:proofErr w:type="spellStart"/>
      <w:r w:rsidRPr="001D6F10">
        <w:rPr>
          <w:i/>
          <w:iCs/>
          <w:spacing w:val="-2"/>
          <w:rtl/>
          <w:lang w:eastAsia="zh-TW"/>
        </w:rPr>
        <w:t>ونونييس</w:t>
      </w:r>
      <w:proofErr w:type="spellEnd"/>
      <w:r w:rsidRPr="001D6F10">
        <w:rPr>
          <w:i/>
          <w:iCs/>
          <w:spacing w:val="-2"/>
          <w:rtl/>
          <w:lang w:eastAsia="zh-TW"/>
        </w:rPr>
        <w:t xml:space="preserve"> تشيبانا ضد فنزويلا</w:t>
      </w:r>
      <w:r w:rsidRPr="001D6F10">
        <w:rPr>
          <w:spacing w:val="-2"/>
          <w:rtl/>
          <w:lang w:eastAsia="zh-TW"/>
        </w:rPr>
        <w:t xml:space="preserve"> (</w:t>
      </w:r>
      <w:r w:rsidRPr="001D6F10">
        <w:rPr>
          <w:spacing w:val="-2"/>
          <w:lang w:eastAsia="zh-TW"/>
        </w:rPr>
        <w:t>CAT/C/21/D/110/1998</w:t>
      </w:r>
      <w:r w:rsidRPr="001D6F10">
        <w:rPr>
          <w:spacing w:val="-2"/>
          <w:rtl/>
          <w:lang w:eastAsia="zh-TW"/>
        </w:rPr>
        <w:t xml:space="preserve">)، الفقرة 5-6؛ </w:t>
      </w:r>
      <w:proofErr w:type="spellStart"/>
      <w:r w:rsidRPr="001D6F10">
        <w:rPr>
          <w:i/>
          <w:iCs/>
          <w:spacing w:val="-2"/>
          <w:rtl/>
          <w:lang w:eastAsia="zh-TW"/>
        </w:rPr>
        <w:t>وأغيزا</w:t>
      </w:r>
      <w:proofErr w:type="spellEnd"/>
      <w:r w:rsidRPr="001D6F10">
        <w:rPr>
          <w:i/>
          <w:iCs/>
          <w:spacing w:val="-2"/>
          <w:rtl/>
          <w:lang w:eastAsia="zh-TW"/>
        </w:rPr>
        <w:t xml:space="preserve"> ضد السويد</w:t>
      </w:r>
      <w:r w:rsidRPr="001D6F10">
        <w:rPr>
          <w:spacing w:val="-2"/>
          <w:rtl/>
          <w:lang w:eastAsia="zh-TW"/>
        </w:rPr>
        <w:t xml:space="preserve"> (</w:t>
      </w:r>
      <w:r w:rsidRPr="001D6F10">
        <w:rPr>
          <w:spacing w:val="-2"/>
          <w:lang w:eastAsia="zh-TW"/>
        </w:rPr>
        <w:t>CAT/C/34/D/233/2003</w:t>
      </w:r>
      <w:r w:rsidRPr="001D6F10">
        <w:rPr>
          <w:spacing w:val="-2"/>
          <w:rtl/>
          <w:lang w:eastAsia="zh-TW"/>
        </w:rPr>
        <w:t xml:space="preserve">)، الفقرة 13-8؛ </w:t>
      </w:r>
      <w:r w:rsidRPr="001D6F10">
        <w:rPr>
          <w:i/>
          <w:iCs/>
          <w:spacing w:val="-2"/>
          <w:rtl/>
        </w:rPr>
        <w:t>وسينغ</w:t>
      </w:r>
      <w:r w:rsidRPr="001D6F10">
        <w:rPr>
          <w:i/>
          <w:iCs/>
          <w:spacing w:val="-2"/>
          <w:rtl/>
          <w:lang w:eastAsia="zh-TW"/>
        </w:rPr>
        <w:t xml:space="preserve"> سوغي ضد كندا</w:t>
      </w:r>
      <w:r w:rsidRPr="001D6F10">
        <w:rPr>
          <w:spacing w:val="-2"/>
          <w:rtl/>
          <w:lang w:eastAsia="zh-TW"/>
        </w:rPr>
        <w:t xml:space="preserve"> (</w:t>
      </w:r>
      <w:r w:rsidRPr="001D6F10">
        <w:rPr>
          <w:spacing w:val="-2"/>
          <w:lang w:eastAsia="zh-TW"/>
        </w:rPr>
        <w:t>CAT/C/39/D/297/2006</w:t>
      </w:r>
      <w:r w:rsidRPr="001D6F10">
        <w:rPr>
          <w:spacing w:val="-2"/>
          <w:rtl/>
          <w:lang w:eastAsia="zh-TW"/>
        </w:rPr>
        <w:t xml:space="preserve">)، الفقرة 10-2. </w:t>
      </w:r>
      <w:r w:rsidRPr="001D6F10">
        <w:rPr>
          <w:i/>
          <w:iCs/>
          <w:spacing w:val="-2"/>
          <w:rtl/>
          <w:lang w:eastAsia="zh-TW"/>
        </w:rPr>
        <w:t xml:space="preserve">وعبد </w:t>
      </w:r>
      <w:proofErr w:type="spellStart"/>
      <w:r w:rsidRPr="001D6F10">
        <w:rPr>
          <w:i/>
          <w:iCs/>
          <w:spacing w:val="-2"/>
          <w:rtl/>
          <w:lang w:eastAsia="zh-TW"/>
        </w:rPr>
        <w:t>الصمتوف</w:t>
      </w:r>
      <w:proofErr w:type="spellEnd"/>
      <w:r w:rsidRPr="001D6F10">
        <w:rPr>
          <w:i/>
          <w:iCs/>
          <w:spacing w:val="-2"/>
          <w:rtl/>
          <w:lang w:eastAsia="zh-TW"/>
        </w:rPr>
        <w:t xml:space="preserve"> وآخرون ضد كازاخستان</w:t>
      </w:r>
      <w:r w:rsidRPr="001D6F10">
        <w:rPr>
          <w:spacing w:val="-2"/>
          <w:rtl/>
          <w:lang w:eastAsia="zh-TW"/>
        </w:rPr>
        <w:t xml:space="preserve"> (</w:t>
      </w:r>
      <w:r w:rsidRPr="001D6F10">
        <w:rPr>
          <w:spacing w:val="-2"/>
          <w:lang w:eastAsia="zh-TW"/>
        </w:rPr>
        <w:t>CAT/C/48/D/444/2010</w:t>
      </w:r>
      <w:r w:rsidRPr="001D6F10">
        <w:rPr>
          <w:spacing w:val="-2"/>
          <w:rtl/>
          <w:lang w:eastAsia="zh-TW"/>
        </w:rPr>
        <w:t xml:space="preserve">)، الفقرة 13-7؛ </w:t>
      </w:r>
      <w:r w:rsidRPr="001D6F10">
        <w:rPr>
          <w:i/>
          <w:iCs/>
          <w:spacing w:val="-2"/>
          <w:rtl/>
          <w:lang w:eastAsia="zh-TW"/>
        </w:rPr>
        <w:t>وناص</w:t>
      </w:r>
      <w:r w:rsidRPr="001D6F10">
        <w:rPr>
          <w:i/>
          <w:iCs/>
          <w:spacing w:val="-2"/>
          <w:rtl/>
          <w:lang w:eastAsia="zh-TW" w:bidi="ar-DZ"/>
        </w:rPr>
        <w:t>ي</w:t>
      </w:r>
      <w:r w:rsidRPr="001D6F10">
        <w:rPr>
          <w:i/>
          <w:iCs/>
          <w:spacing w:val="-2"/>
          <w:rtl/>
          <w:lang w:eastAsia="zh-TW"/>
        </w:rPr>
        <w:t>روف ضد كازاخستان</w:t>
      </w:r>
      <w:r w:rsidRPr="001D6F10">
        <w:rPr>
          <w:spacing w:val="-2"/>
          <w:rtl/>
          <w:lang w:eastAsia="zh-TW"/>
        </w:rPr>
        <w:t xml:space="preserve"> (</w:t>
      </w:r>
      <w:r w:rsidRPr="001D6F10">
        <w:rPr>
          <w:spacing w:val="-2"/>
          <w:lang w:eastAsia="zh-TW"/>
        </w:rPr>
        <w:t>CAT/C/52/D/475/2011</w:t>
      </w:r>
      <w:r w:rsidRPr="001D6F10">
        <w:rPr>
          <w:spacing w:val="-2"/>
          <w:rtl/>
          <w:lang w:eastAsia="zh-TW"/>
        </w:rPr>
        <w:t>)، الفقرة</w:t>
      </w:r>
      <w:r w:rsidR="001D6F10">
        <w:rPr>
          <w:rFonts w:hint="cs"/>
          <w:spacing w:val="-2"/>
          <w:rtl/>
          <w:lang w:eastAsia="zh-TW"/>
        </w:rPr>
        <w:t> </w:t>
      </w:r>
      <w:r w:rsidRPr="001D6F10">
        <w:rPr>
          <w:spacing w:val="-2"/>
          <w:rtl/>
          <w:lang w:eastAsia="zh-TW"/>
        </w:rPr>
        <w:t xml:space="preserve">11-6. </w:t>
      </w:r>
    </w:p>
  </w:footnote>
  <w:footnote w:id="5">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008C10B5">
        <w:rPr>
          <w:rtl/>
          <w:lang w:eastAsia="zh-TW"/>
        </w:rPr>
        <w:t>انظر</w:t>
      </w:r>
      <w:r w:rsidR="00F30E70">
        <w:rPr>
          <w:rtl/>
          <w:lang w:eastAsia="zh-TW"/>
        </w:rPr>
        <w:t xml:space="preserve"> أيضاً </w:t>
      </w:r>
      <w:r w:rsidR="008C10B5">
        <w:rPr>
          <w:rtl/>
          <w:lang w:eastAsia="zh-TW"/>
        </w:rPr>
        <w:t>التعليق العام رقم 2</w:t>
      </w:r>
      <w:r w:rsidRPr="00EE77FD">
        <w:rPr>
          <w:rtl/>
          <w:lang w:eastAsia="zh-TW"/>
        </w:rPr>
        <w:t>(2007)، الفقرة 16.</w:t>
      </w:r>
    </w:p>
  </w:footnote>
  <w:footnote w:id="6">
    <w:p w:rsidR="00714EAE" w:rsidRPr="00EE77FD" w:rsidRDefault="00714EAE" w:rsidP="008C10B5">
      <w:pPr>
        <w:pStyle w:val="FootnoteText1"/>
        <w:spacing w:line="29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proofErr w:type="spellStart"/>
      <w:r w:rsidRPr="00606EB3">
        <w:rPr>
          <w:i/>
          <w:iCs/>
          <w:rtl/>
          <w:lang w:eastAsia="zh-TW"/>
        </w:rPr>
        <w:t>تابيا</w:t>
      </w:r>
      <w:proofErr w:type="spellEnd"/>
      <w:r w:rsidRPr="00606EB3">
        <w:rPr>
          <w:i/>
          <w:iCs/>
          <w:rtl/>
          <w:lang w:eastAsia="zh-TW"/>
        </w:rPr>
        <w:t xml:space="preserve"> </w:t>
      </w:r>
      <w:proofErr w:type="spellStart"/>
      <w:r w:rsidRPr="00606EB3">
        <w:rPr>
          <w:i/>
          <w:iCs/>
          <w:rtl/>
          <w:lang w:eastAsia="zh-TW"/>
        </w:rPr>
        <w:t>باييز</w:t>
      </w:r>
      <w:proofErr w:type="spellEnd"/>
      <w:r w:rsidRPr="00606EB3">
        <w:rPr>
          <w:i/>
          <w:iCs/>
          <w:rtl/>
          <w:lang w:eastAsia="zh-TW"/>
        </w:rPr>
        <w:t xml:space="preserve"> ضد السويد</w:t>
      </w:r>
      <w:r w:rsidRPr="00EE77FD">
        <w:rPr>
          <w:rtl/>
          <w:lang w:eastAsia="zh-TW"/>
        </w:rPr>
        <w:t xml:space="preserve">، 14-5. </w:t>
      </w:r>
    </w:p>
  </w:footnote>
  <w:footnote w:id="7">
    <w:p w:rsidR="00714EAE" w:rsidRPr="00EE77FD" w:rsidRDefault="00714EAE" w:rsidP="008C10B5">
      <w:pPr>
        <w:pStyle w:val="FootnoteText1"/>
        <w:spacing w:line="29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proofErr w:type="spellStart"/>
      <w:r w:rsidRPr="00606EB3">
        <w:rPr>
          <w:i/>
          <w:iCs/>
          <w:rtl/>
          <w:lang w:eastAsia="zh-TW"/>
        </w:rPr>
        <w:t>دادار</w:t>
      </w:r>
      <w:proofErr w:type="spellEnd"/>
      <w:r w:rsidRPr="00606EB3">
        <w:rPr>
          <w:i/>
          <w:iCs/>
          <w:rtl/>
          <w:lang w:eastAsia="zh-TW"/>
        </w:rPr>
        <w:t xml:space="preserve"> ضد كندا</w:t>
      </w:r>
      <w:r w:rsidRPr="00EE77FD">
        <w:rPr>
          <w:rtl/>
          <w:lang w:eastAsia="zh-TW"/>
        </w:rPr>
        <w:t xml:space="preserve"> (</w:t>
      </w:r>
      <w:hyperlink r:id="rId1" w:history="1">
        <w:r w:rsidRPr="00EE77FD">
          <w:t>CAT/C/35/D/258/2004</w:t>
        </w:r>
      </w:hyperlink>
      <w:r w:rsidRPr="00EE77FD">
        <w:rPr>
          <w:rtl/>
          <w:lang w:eastAsia="zh-TW"/>
        </w:rPr>
        <w:t xml:space="preserve">)، الفقرة 8-4؛ </w:t>
      </w:r>
      <w:proofErr w:type="spellStart"/>
      <w:r w:rsidRPr="00606EB3">
        <w:rPr>
          <w:i/>
          <w:iCs/>
          <w:rtl/>
          <w:lang w:eastAsia="zh-TW"/>
        </w:rPr>
        <w:t>وت</w:t>
      </w:r>
      <w:proofErr w:type="spellEnd"/>
      <w:r w:rsidRPr="00606EB3">
        <w:rPr>
          <w:i/>
          <w:iCs/>
          <w:rtl/>
          <w:lang w:eastAsia="zh-TW"/>
        </w:rPr>
        <w:t>. أ. ضد السويد</w:t>
      </w:r>
      <w:r w:rsidRPr="00EE77FD">
        <w:rPr>
          <w:rtl/>
          <w:lang w:eastAsia="zh-TW"/>
        </w:rPr>
        <w:t xml:space="preserve"> (</w:t>
      </w:r>
      <w:hyperlink r:id="rId2" w:history="1">
        <w:r w:rsidRPr="00EE77FD">
          <w:t>CAT/C/34/D/226/2003</w:t>
        </w:r>
      </w:hyperlink>
      <w:r w:rsidRPr="00EE77FD">
        <w:rPr>
          <w:rtl/>
          <w:lang w:eastAsia="zh-TW"/>
        </w:rPr>
        <w:t>)، الفقرة</w:t>
      </w:r>
      <w:r w:rsidR="00F30E70">
        <w:rPr>
          <w:rFonts w:hint="cs"/>
          <w:rtl/>
          <w:lang w:eastAsia="zh-TW"/>
        </w:rPr>
        <w:t xml:space="preserve"> </w:t>
      </w:r>
      <w:r w:rsidRPr="00EE77FD">
        <w:rPr>
          <w:rtl/>
          <w:lang w:eastAsia="zh-TW"/>
        </w:rPr>
        <w:t xml:space="preserve">7-2؛ </w:t>
      </w:r>
      <w:proofErr w:type="spellStart"/>
      <w:r w:rsidRPr="00606EB3">
        <w:rPr>
          <w:i/>
          <w:iCs/>
          <w:rtl/>
          <w:lang w:eastAsia="zh-TW"/>
        </w:rPr>
        <w:t>ون</w:t>
      </w:r>
      <w:proofErr w:type="spellEnd"/>
      <w:r w:rsidRPr="00606EB3">
        <w:rPr>
          <w:i/>
          <w:iCs/>
          <w:rtl/>
          <w:lang w:eastAsia="zh-TW"/>
        </w:rPr>
        <w:t xml:space="preserve">. س. </w:t>
      </w:r>
      <w:r w:rsidRPr="00606EB3">
        <w:rPr>
          <w:i/>
          <w:iCs/>
          <w:rtl/>
        </w:rPr>
        <w:t>ضد</w:t>
      </w:r>
      <w:r w:rsidRPr="00606EB3">
        <w:rPr>
          <w:i/>
          <w:iCs/>
          <w:rtl/>
          <w:lang w:eastAsia="zh-TW"/>
        </w:rPr>
        <w:t xml:space="preserve"> سويسرا</w:t>
      </w:r>
      <w:r w:rsidRPr="00EE77FD">
        <w:rPr>
          <w:rtl/>
          <w:lang w:eastAsia="zh-TW"/>
        </w:rPr>
        <w:t xml:space="preserve"> (</w:t>
      </w:r>
      <w:r w:rsidRPr="00606EB3">
        <w:rPr>
          <w:lang w:eastAsia="zh-TW"/>
        </w:rPr>
        <w:t>CAT/C/44/D/356/2008</w:t>
      </w:r>
      <w:r w:rsidRPr="00EE77FD">
        <w:rPr>
          <w:rtl/>
          <w:lang w:eastAsia="zh-TW"/>
        </w:rPr>
        <w:t xml:space="preserve">)، الفقرة 7-3؛ </w:t>
      </w:r>
      <w:proofErr w:type="spellStart"/>
      <w:r w:rsidRPr="00606EB3">
        <w:rPr>
          <w:i/>
          <w:iCs/>
          <w:rtl/>
          <w:lang w:eastAsia="zh-TW"/>
        </w:rPr>
        <w:t>وسوباكاران</w:t>
      </w:r>
      <w:proofErr w:type="spellEnd"/>
      <w:r w:rsidRPr="00606EB3">
        <w:rPr>
          <w:i/>
          <w:iCs/>
          <w:rtl/>
          <w:lang w:eastAsia="zh-TW"/>
        </w:rPr>
        <w:t xml:space="preserve"> ر. </w:t>
      </w:r>
      <w:proofErr w:type="spellStart"/>
      <w:r w:rsidRPr="00606EB3">
        <w:rPr>
          <w:i/>
          <w:iCs/>
          <w:rtl/>
          <w:lang w:eastAsia="zh-TW"/>
        </w:rPr>
        <w:t>ثيروغناناسامبانثار</w:t>
      </w:r>
      <w:proofErr w:type="spellEnd"/>
      <w:r w:rsidRPr="00606EB3">
        <w:rPr>
          <w:i/>
          <w:iCs/>
          <w:rtl/>
          <w:lang w:eastAsia="zh-TW"/>
        </w:rPr>
        <w:t xml:space="preserve"> ضد أستراليا</w:t>
      </w:r>
      <w:r w:rsidRPr="00EE77FD">
        <w:rPr>
          <w:rtl/>
          <w:lang w:eastAsia="zh-TW"/>
        </w:rPr>
        <w:t xml:space="preserve"> (</w:t>
      </w:r>
      <w:hyperlink r:id="rId3" w:history="1">
        <w:r w:rsidRPr="00EE77FD">
          <w:t>CAT/C/61/D/614/2014</w:t>
        </w:r>
      </w:hyperlink>
      <w:r w:rsidRPr="00EE77FD">
        <w:rPr>
          <w:rtl/>
          <w:lang w:eastAsia="zh-TW"/>
        </w:rPr>
        <w:t>)، الفقرة 8-3.</w:t>
      </w:r>
    </w:p>
  </w:footnote>
  <w:footnote w:id="8">
    <w:p w:rsidR="00714EAE" w:rsidRPr="00EE77FD" w:rsidRDefault="00714EAE" w:rsidP="008C10B5">
      <w:pPr>
        <w:pStyle w:val="FootnoteText1"/>
        <w:spacing w:line="29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606EB3">
        <w:rPr>
          <w:i/>
          <w:iCs/>
          <w:rtl/>
          <w:lang w:eastAsia="zh-TW"/>
        </w:rPr>
        <w:t xml:space="preserve">أيمي </w:t>
      </w:r>
      <w:r w:rsidRPr="00606EB3">
        <w:rPr>
          <w:i/>
          <w:iCs/>
          <w:rtl/>
        </w:rPr>
        <w:t>ضد</w:t>
      </w:r>
      <w:r w:rsidRPr="00606EB3">
        <w:rPr>
          <w:i/>
          <w:iCs/>
          <w:rtl/>
          <w:lang w:eastAsia="zh-TW"/>
        </w:rPr>
        <w:t xml:space="preserve"> سويسرا </w:t>
      </w:r>
      <w:r w:rsidRPr="00EE77FD">
        <w:rPr>
          <w:rtl/>
          <w:lang w:eastAsia="zh-TW"/>
        </w:rPr>
        <w:t>(</w:t>
      </w:r>
      <w:r w:rsidRPr="00606EB3">
        <w:rPr>
          <w:lang w:eastAsia="zh-TW"/>
        </w:rPr>
        <w:t>CAT/C/18/D/34/1995</w:t>
      </w:r>
      <w:r w:rsidRPr="00EE77FD">
        <w:rPr>
          <w:rtl/>
          <w:lang w:eastAsia="zh-TW"/>
        </w:rPr>
        <w:t xml:space="preserve">)، الفقرة 11. </w:t>
      </w:r>
    </w:p>
  </w:footnote>
  <w:footnote w:id="9">
    <w:p w:rsidR="00714EAE" w:rsidRPr="00EE77FD" w:rsidRDefault="00714EAE" w:rsidP="00F30E70">
      <w:pPr>
        <w:pStyle w:val="FootnoteText1"/>
        <w:spacing w:line="29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77FD">
        <w:rPr>
          <w:rtl/>
        </w:rPr>
        <w:t>الملاحظات</w:t>
      </w:r>
      <w:r w:rsidRPr="00EE77FD">
        <w:rPr>
          <w:rtl/>
          <w:lang w:eastAsia="zh-TW"/>
        </w:rPr>
        <w:t xml:space="preserve"> الختامية بشأن التقرير الدوري الرابع لتركيا (</w:t>
      </w:r>
      <w:r w:rsidRPr="00606EB3">
        <w:rPr>
          <w:lang w:eastAsia="zh-TW"/>
        </w:rPr>
        <w:t>CAT/C/TUR/CO/4</w:t>
      </w:r>
      <w:r w:rsidRPr="00EE77FD">
        <w:rPr>
          <w:rtl/>
          <w:lang w:eastAsia="zh-TW"/>
        </w:rPr>
        <w:t>)، الفقرة</w:t>
      </w:r>
      <w:r w:rsidR="008C10B5">
        <w:rPr>
          <w:rFonts w:hint="cs"/>
          <w:rtl/>
          <w:lang w:eastAsia="zh-TW"/>
        </w:rPr>
        <w:t> </w:t>
      </w:r>
      <w:r w:rsidRPr="00EE77FD">
        <w:rPr>
          <w:rtl/>
          <w:lang w:eastAsia="zh-TW"/>
        </w:rPr>
        <w:t>26</w:t>
      </w:r>
      <w:r w:rsidR="00F30E70">
        <w:rPr>
          <w:rFonts w:hint="cs"/>
          <w:rtl/>
          <w:lang w:eastAsia="zh-TW"/>
        </w:rPr>
        <w:t>.</w:t>
      </w:r>
      <w:r w:rsidRPr="00EE77FD">
        <w:rPr>
          <w:rtl/>
          <w:lang w:eastAsia="zh-TW"/>
        </w:rPr>
        <w:t xml:space="preserve"> </w:t>
      </w:r>
    </w:p>
  </w:footnote>
  <w:footnote w:id="10">
    <w:p w:rsidR="00714EAE" w:rsidRPr="00EE77FD" w:rsidRDefault="00714EAE" w:rsidP="008C10B5">
      <w:pPr>
        <w:pStyle w:val="FootnoteText1"/>
        <w:spacing w:line="29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w:t>
      </w:r>
      <w:r w:rsidRPr="00EE77FD">
        <w:rPr>
          <w:rtl/>
        </w:rPr>
        <w:t>سبيل</w:t>
      </w:r>
      <w:r w:rsidRPr="00EE77FD">
        <w:rPr>
          <w:rtl/>
          <w:lang w:eastAsia="zh-TW"/>
        </w:rPr>
        <w:t xml:space="preserve"> </w:t>
      </w:r>
      <w:r w:rsidRPr="00EE77FD">
        <w:rPr>
          <w:rtl/>
        </w:rPr>
        <w:t>المثال</w:t>
      </w:r>
      <w:r w:rsidRPr="00EE77FD">
        <w:rPr>
          <w:rtl/>
          <w:lang w:eastAsia="zh-TW"/>
        </w:rPr>
        <w:t>، الملاحظات الختامية بشأن التقرير الدوري الخامس للمملكة المتحدة لبريطانيا العظمى وآيرلندا الشمالية (</w:t>
      </w:r>
      <w:r w:rsidRPr="00EE77FD">
        <w:t>CAT/C/GBR/CO/5</w:t>
      </w:r>
      <w:r w:rsidRPr="00EE77FD">
        <w:rPr>
          <w:rtl/>
          <w:lang w:eastAsia="zh-TW"/>
        </w:rPr>
        <w:t>)، الفقرة 30؛ و</w:t>
      </w:r>
      <w:dir w:val="rtl">
        <w:r w:rsidRPr="00EE77FD">
          <w:rPr>
            <w:rtl/>
            <w:lang w:eastAsia="zh-TW"/>
          </w:rPr>
          <w:t xml:space="preserve"> </w:t>
        </w:r>
        <w:dir w:val="rtl">
          <w:r w:rsidRPr="00EE77FD">
            <w:rPr>
              <w:rtl/>
              <w:lang w:eastAsia="zh-TW"/>
            </w:rPr>
            <w:t>الملاحظات الختامية بشأن التقريرين الدوريين السادس والسابع للسويد</w:t>
          </w:r>
          <w:r w:rsidRPr="00EE77FD">
            <w:rPr>
              <w:rFonts w:cs="Times New Roman" w:hint="cs"/>
              <w:rtl/>
              <w:lang w:eastAsia="zh-TW"/>
            </w:rPr>
            <w:t>‬</w:t>
          </w:r>
          <w:r w:rsidRPr="00EE77FD">
            <w:rPr>
              <w:rtl/>
              <w:lang w:eastAsia="zh-TW"/>
            </w:rPr>
            <w:t xml:space="preserve"> (</w:t>
          </w:r>
          <w:r w:rsidRPr="00EE77FD">
            <w:t>CAT/C/SWE/CO/6-7</w:t>
          </w:r>
          <w:r w:rsidRPr="00EE77FD">
            <w:rPr>
              <w:rtl/>
              <w:lang w:eastAsia="zh-TW"/>
            </w:rPr>
            <w:t xml:space="preserve">)، الفقرة 10. </w:t>
          </w:r>
          <w:r w:rsidRPr="00EE77FD">
            <w:t>‬</w:t>
          </w:r>
          <w:r w:rsidRPr="00EE77FD">
            <w:t>‬</w:t>
          </w:r>
          <w:r w:rsidRPr="00EE77FD">
            <w:t>‬</w:t>
          </w:r>
          <w:r w:rsidRPr="00EE77FD">
            <w:t>‬</w:t>
          </w:r>
          <w:r w:rsidR="002F142B">
            <w:t>‬</w:t>
          </w:r>
          <w:r w:rsidR="002F142B">
            <w:t>‬</w:t>
          </w:r>
          <w:r w:rsidR="00DA073F">
            <w:t>‬</w:t>
          </w:r>
          <w:r w:rsidR="00DA073F">
            <w:t>‬</w:t>
          </w:r>
          <w:r w:rsidR="006535F6">
            <w:t>‬</w:t>
          </w:r>
          <w:r w:rsidR="006535F6">
            <w:t>‬</w:t>
          </w:r>
        </w:dir>
      </w:dir>
    </w:p>
  </w:footnote>
  <w:footnote w:id="11">
    <w:p w:rsidR="00714EAE" w:rsidRPr="00EE77FD" w:rsidRDefault="00714EAE" w:rsidP="008C10B5">
      <w:pPr>
        <w:pStyle w:val="FootnoteText1"/>
        <w:spacing w:line="29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w:t>
      </w:r>
      <w:r w:rsidRPr="00EE77FD">
        <w:rPr>
          <w:rtl/>
        </w:rPr>
        <w:t>سبيل</w:t>
      </w:r>
      <w:r w:rsidRPr="00EE77FD">
        <w:rPr>
          <w:rtl/>
          <w:lang w:eastAsia="zh-TW"/>
        </w:rPr>
        <w:t xml:space="preserve"> المثال، التعليق العام رقم </w:t>
      </w:r>
      <w:r w:rsidR="008C10B5">
        <w:rPr>
          <w:rtl/>
          <w:lang w:eastAsia="zh-TW"/>
        </w:rPr>
        <w:t>1</w:t>
      </w:r>
      <w:r w:rsidRPr="00EE77FD">
        <w:rPr>
          <w:rtl/>
          <w:lang w:eastAsia="zh-TW"/>
        </w:rPr>
        <w:t xml:space="preserve">(1997) بشأن تنفيذ الفقرة 2 من المادة 3؛ </w:t>
      </w:r>
      <w:proofErr w:type="spellStart"/>
      <w:r w:rsidRPr="00606EB3">
        <w:rPr>
          <w:i/>
          <w:iCs/>
          <w:rtl/>
          <w:lang w:eastAsia="zh-TW"/>
        </w:rPr>
        <w:t>وأفيديس</w:t>
      </w:r>
      <w:proofErr w:type="spellEnd"/>
      <w:r w:rsidRPr="00606EB3">
        <w:rPr>
          <w:i/>
          <w:iCs/>
          <w:rtl/>
          <w:lang w:eastAsia="zh-TW"/>
        </w:rPr>
        <w:t xml:space="preserve"> </w:t>
      </w:r>
      <w:proofErr w:type="spellStart"/>
      <w:r w:rsidRPr="00606EB3">
        <w:rPr>
          <w:i/>
          <w:iCs/>
          <w:rtl/>
          <w:lang w:eastAsia="zh-TW"/>
        </w:rPr>
        <w:t>حاماياك</w:t>
      </w:r>
      <w:proofErr w:type="spellEnd"/>
      <w:r w:rsidRPr="00606EB3">
        <w:rPr>
          <w:i/>
          <w:iCs/>
          <w:rtl/>
          <w:lang w:eastAsia="zh-TW"/>
        </w:rPr>
        <w:t xml:space="preserve"> </w:t>
      </w:r>
      <w:r w:rsidRPr="00400B95">
        <w:rPr>
          <w:i/>
          <w:iCs/>
          <w:spacing w:val="-4"/>
          <w:rtl/>
          <w:lang w:eastAsia="zh-TW"/>
        </w:rPr>
        <w:t>قربان ضد السويد</w:t>
      </w:r>
      <w:r w:rsidRPr="00400B95">
        <w:rPr>
          <w:spacing w:val="-4"/>
          <w:rtl/>
          <w:lang w:eastAsia="zh-TW"/>
        </w:rPr>
        <w:t xml:space="preserve"> (</w:t>
      </w:r>
      <w:hyperlink r:id="rId4" w:history="1">
        <w:r w:rsidRPr="00400B95">
          <w:rPr>
            <w:spacing w:val="-4"/>
          </w:rPr>
          <w:t>CAT/C/21/D/88/1997</w:t>
        </w:r>
      </w:hyperlink>
      <w:r w:rsidRPr="00400B95">
        <w:rPr>
          <w:spacing w:val="-4"/>
          <w:rtl/>
          <w:lang w:eastAsia="zh-TW"/>
        </w:rPr>
        <w:t xml:space="preserve">)، </w:t>
      </w:r>
      <w:r w:rsidRPr="00400B95">
        <w:rPr>
          <w:spacing w:val="-4"/>
          <w:rtl/>
        </w:rPr>
        <w:t>الفقرة</w:t>
      </w:r>
      <w:r w:rsidRPr="00400B95">
        <w:rPr>
          <w:spacing w:val="-4"/>
          <w:rtl/>
          <w:lang w:eastAsia="zh-TW"/>
        </w:rPr>
        <w:t xml:space="preserve"> 7؛ وانظر </w:t>
      </w:r>
      <w:r w:rsidRPr="00400B95">
        <w:rPr>
          <w:i/>
          <w:iCs/>
          <w:spacing w:val="-4"/>
          <w:rtl/>
          <w:lang w:eastAsia="zh-TW"/>
        </w:rPr>
        <w:t xml:space="preserve">ز. ت. ضد أستراليا </w:t>
      </w:r>
      <w:r w:rsidRPr="00400B95">
        <w:rPr>
          <w:spacing w:val="-4"/>
          <w:rtl/>
          <w:lang w:eastAsia="zh-TW"/>
        </w:rPr>
        <w:t>(</w:t>
      </w:r>
      <w:hyperlink r:id="rId5" w:history="1">
        <w:r w:rsidRPr="00400B95">
          <w:rPr>
            <w:spacing w:val="-4"/>
          </w:rPr>
          <w:t>CAT/C/31/D/153/2000</w:t>
        </w:r>
      </w:hyperlink>
      <w:r w:rsidRPr="00400B95">
        <w:rPr>
          <w:spacing w:val="-4"/>
          <w:rtl/>
          <w:lang w:eastAsia="zh-TW"/>
        </w:rPr>
        <w:t>)،</w:t>
      </w:r>
      <w:r w:rsidRPr="00EE77FD">
        <w:rPr>
          <w:rtl/>
          <w:lang w:eastAsia="zh-TW"/>
        </w:rPr>
        <w:t xml:space="preserve"> الفقرة 6-4؛ والملاحظات الختامية بشأن التقرير الجامع للتقريرين الدوريين الخامس والسادس لليونان (</w:t>
      </w:r>
      <w:r w:rsidRPr="00EE77FD">
        <w:t>CAT/C/GRC/CO/5-6</w:t>
      </w:r>
      <w:r w:rsidRPr="00EE77FD">
        <w:rPr>
          <w:rtl/>
          <w:lang w:eastAsia="zh-TW"/>
        </w:rPr>
        <w:t>)، الفقرة 19؛ والملاحظات الختامية بشأن التقرير الدوري الثاني لصربيا (</w:t>
      </w:r>
      <w:r w:rsidRPr="00EE77FD">
        <w:t>CAT/C/SRB/CO/2</w:t>
      </w:r>
      <w:r w:rsidRPr="00EE77FD">
        <w:rPr>
          <w:rtl/>
          <w:lang w:eastAsia="zh-TW"/>
        </w:rPr>
        <w:t>)، الفقرة 15</w:t>
      </w:r>
      <w:r w:rsidR="00F30E70">
        <w:rPr>
          <w:rFonts w:hint="cs"/>
          <w:rtl/>
          <w:lang w:eastAsia="zh-TW"/>
        </w:rPr>
        <w:t>.</w:t>
      </w:r>
      <w:r w:rsidRPr="00EE77FD">
        <w:rPr>
          <w:rtl/>
          <w:lang w:eastAsia="zh-TW"/>
        </w:rPr>
        <w:t xml:space="preserve"> </w:t>
      </w:r>
      <w:bookmarkStart w:id="3" w:name="_Hlk515547190"/>
      <w:bookmarkEnd w:id="3"/>
    </w:p>
  </w:footnote>
  <w:footnote w:id="12">
    <w:p w:rsidR="00714EAE" w:rsidRPr="00EE77FD" w:rsidRDefault="00714EAE" w:rsidP="008C10B5">
      <w:pPr>
        <w:pStyle w:val="FootnoteText1"/>
        <w:spacing w:line="29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proofErr w:type="spellStart"/>
      <w:r w:rsidRPr="00606EB3">
        <w:rPr>
          <w:i/>
          <w:iCs/>
          <w:rtl/>
        </w:rPr>
        <w:t>تابيا</w:t>
      </w:r>
      <w:proofErr w:type="spellEnd"/>
      <w:r w:rsidRPr="00606EB3">
        <w:rPr>
          <w:i/>
          <w:iCs/>
          <w:rtl/>
          <w:lang w:eastAsia="zh-TW"/>
        </w:rPr>
        <w:t xml:space="preserve"> أغيزا ضد السويد</w:t>
      </w:r>
      <w:r w:rsidRPr="00EE77FD">
        <w:rPr>
          <w:rtl/>
          <w:lang w:eastAsia="zh-TW"/>
        </w:rPr>
        <w:t>، الفقرة 13-8.</w:t>
      </w:r>
    </w:p>
  </w:footnote>
  <w:footnote w:id="13">
    <w:p w:rsidR="00714EAE" w:rsidRPr="00EE77FD" w:rsidRDefault="00714EAE" w:rsidP="008C10B5">
      <w:pPr>
        <w:pStyle w:val="FootnoteText1"/>
        <w:spacing w:line="29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انظر، على سبيل المثال، الملاحظات الختامية بشأن التقرير الجامع للتقريرين الدوريين الخامس والسادس لليونان (</w:t>
      </w:r>
      <w:r w:rsidRPr="00606EB3">
        <w:rPr>
          <w:lang w:eastAsia="zh-TW"/>
        </w:rPr>
        <w:t>CAT/C/GRC/CO/5-6</w:t>
      </w:r>
      <w:r w:rsidRPr="00EE77FD">
        <w:rPr>
          <w:rtl/>
          <w:lang w:eastAsia="zh-TW"/>
        </w:rPr>
        <w:t>)، الفقرة 19؛ والملاحظات الختامية بشأن التقرير الجامع للتقريرين الدوريين الخامس والسادس لإيطاليا (</w:t>
      </w:r>
      <w:r w:rsidRPr="00606EB3">
        <w:rPr>
          <w:lang w:eastAsia="zh-TW"/>
        </w:rPr>
        <w:t>CAT/C/ITA/CO/5-6</w:t>
      </w:r>
      <w:r>
        <w:rPr>
          <w:rtl/>
          <w:lang w:eastAsia="zh-TW"/>
        </w:rPr>
        <w:t>)، الفقرة 21</w:t>
      </w:r>
      <w:r w:rsidRPr="00EE77FD">
        <w:rPr>
          <w:rtl/>
          <w:lang w:eastAsia="zh-TW"/>
        </w:rPr>
        <w:t>(ج)</w:t>
      </w:r>
      <w:r w:rsidR="00F30E70">
        <w:rPr>
          <w:rFonts w:hint="cs"/>
          <w:rtl/>
          <w:lang w:eastAsia="zh-TW"/>
        </w:rPr>
        <w:t>.</w:t>
      </w:r>
    </w:p>
  </w:footnote>
  <w:footnote w:id="14">
    <w:p w:rsidR="00714EAE" w:rsidRPr="00EE77FD" w:rsidRDefault="00714EAE" w:rsidP="008C10B5">
      <w:pPr>
        <w:pStyle w:val="FootnoteText1"/>
        <w:spacing w:line="29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proofErr w:type="spellStart"/>
      <w:r w:rsidRPr="00606EB3">
        <w:rPr>
          <w:i/>
          <w:iCs/>
          <w:rtl/>
          <w:lang w:eastAsia="zh-TW"/>
        </w:rPr>
        <w:t>كوامي</w:t>
      </w:r>
      <w:proofErr w:type="spellEnd"/>
      <w:r w:rsidRPr="00606EB3">
        <w:rPr>
          <w:i/>
          <w:iCs/>
          <w:rtl/>
          <w:lang w:eastAsia="zh-TW"/>
        </w:rPr>
        <w:t xml:space="preserve"> </w:t>
      </w:r>
      <w:proofErr w:type="spellStart"/>
      <w:r w:rsidRPr="00606EB3">
        <w:rPr>
          <w:i/>
          <w:iCs/>
          <w:rtl/>
          <w:lang w:eastAsia="zh-TW"/>
        </w:rPr>
        <w:t>موبونغو</w:t>
      </w:r>
      <w:proofErr w:type="spellEnd"/>
      <w:r w:rsidRPr="00606EB3">
        <w:rPr>
          <w:i/>
          <w:iCs/>
          <w:rtl/>
          <w:lang w:eastAsia="zh-TW"/>
        </w:rPr>
        <w:t xml:space="preserve"> وآخرون ضد المغرب</w:t>
      </w:r>
      <w:r w:rsidRPr="00EE77FD">
        <w:rPr>
          <w:rtl/>
          <w:lang w:eastAsia="zh-TW"/>
        </w:rPr>
        <w:t xml:space="preserve"> (</w:t>
      </w:r>
      <w:r w:rsidRPr="00606EB3">
        <w:rPr>
          <w:lang w:eastAsia="zh-TW"/>
        </w:rPr>
        <w:t>CAT/C/53/D/321/2007</w:t>
      </w:r>
      <w:r w:rsidRPr="00EE77FD">
        <w:rPr>
          <w:rtl/>
          <w:lang w:eastAsia="zh-TW"/>
        </w:rPr>
        <w:t>)، الفقرات 6-2 و6-3 و11-3 و11-4؛ واللجنة المعنية بحقوق الإنسان، التعليق العام رقم 15(1986) بشأن وضع الأجانب بموجب العهد الدولي الخاص بالحقوق المدنية والسياسية، الفقرة 10؛ والاتفاقية الدولية لحماية حقوق جميع العمال ال</w:t>
      </w:r>
      <w:r>
        <w:rPr>
          <w:rtl/>
          <w:lang w:eastAsia="zh-TW"/>
        </w:rPr>
        <w:t>مهاجرين وأفراد أسرهم، المادة 22</w:t>
      </w:r>
      <w:r w:rsidRPr="00EE77FD">
        <w:rPr>
          <w:rtl/>
          <w:lang w:eastAsia="zh-TW"/>
        </w:rPr>
        <w:t xml:space="preserve">(1). </w:t>
      </w:r>
    </w:p>
  </w:footnote>
  <w:footnote w:id="15">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77FD">
        <w:rPr>
          <w:rtl/>
        </w:rPr>
        <w:t>الملاحظات</w:t>
      </w:r>
      <w:r w:rsidRPr="00EE77FD">
        <w:rPr>
          <w:rtl/>
          <w:lang w:eastAsia="zh-TW"/>
        </w:rPr>
        <w:t xml:space="preserve"> الختامية بشأن التقرير الجامع للتقريرين الدوريين الخامس والسادس لليونان (</w:t>
      </w:r>
      <w:r w:rsidRPr="00EE77FD">
        <w:t>CAT/C/GRC/CO/5-6</w:t>
      </w:r>
      <w:r w:rsidRPr="00EE77FD">
        <w:rPr>
          <w:rtl/>
          <w:lang w:eastAsia="zh-TW"/>
        </w:rPr>
        <w:t xml:space="preserve">)، الفقرة 19. </w:t>
      </w:r>
    </w:p>
  </w:footnote>
  <w:footnote w:id="16">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Pr>
          <w:rtl/>
          <w:lang w:eastAsia="zh-TW"/>
        </w:rPr>
        <w:t>انظر التعليق العام رقم 2</w:t>
      </w:r>
      <w:r w:rsidRPr="00EE77FD">
        <w:rPr>
          <w:rtl/>
          <w:lang w:eastAsia="zh-TW"/>
        </w:rPr>
        <w:t>(2007)، الفقرتين 3 و6.</w:t>
      </w:r>
    </w:p>
  </w:footnote>
  <w:footnote w:id="17">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ترد في الفقرة 26 أدناه </w:t>
      </w:r>
      <w:r w:rsidRPr="00EE77FD">
        <w:rPr>
          <w:rtl/>
        </w:rPr>
        <w:t>أحكام</w:t>
      </w:r>
      <w:r w:rsidRPr="00EE77FD">
        <w:rPr>
          <w:rtl/>
          <w:lang w:eastAsia="zh-TW"/>
        </w:rPr>
        <w:t xml:space="preserve"> دولية أخرى ذات صلة مباشرة بتطبيق مبدأ عدم الإعادة القسرية في الحالات التي تنطوي على خطر إساءة المعاملة. </w:t>
      </w:r>
    </w:p>
  </w:footnote>
  <w:footnote w:id="18">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Pr>
          <w:rtl/>
          <w:lang w:eastAsia="zh-TW"/>
        </w:rPr>
        <w:t>انظر التعليق العام رقم 2</w:t>
      </w:r>
      <w:r w:rsidRPr="00EE77FD">
        <w:rPr>
          <w:rtl/>
          <w:lang w:eastAsia="zh-TW"/>
        </w:rPr>
        <w:t>(</w:t>
      </w:r>
      <w:r w:rsidRPr="00EE77FD">
        <w:rPr>
          <w:rtl/>
        </w:rPr>
        <w:t>2007</w:t>
      </w:r>
      <w:r w:rsidRPr="00EE77FD">
        <w:rPr>
          <w:rtl/>
          <w:lang w:eastAsia="zh-TW"/>
        </w:rPr>
        <w:t>)، الفقرة 21.</w:t>
      </w:r>
    </w:p>
  </w:footnote>
  <w:footnote w:id="19">
    <w:p w:rsidR="00714EAE" w:rsidRPr="00EE77FD" w:rsidRDefault="00714EAE" w:rsidP="00606EB3">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77FD">
        <w:rPr>
          <w:rtl/>
        </w:rPr>
        <w:t>الملاحظات</w:t>
      </w:r>
      <w:r w:rsidRPr="00EE77FD">
        <w:rPr>
          <w:rtl/>
          <w:lang w:eastAsia="zh-TW"/>
        </w:rPr>
        <w:t xml:space="preserve"> الختامية بشأن التقرير الجامع للتقريرين الدوريين الخامس والسادس لإيطاليا </w:t>
      </w:r>
      <w:r w:rsidRPr="00400B95">
        <w:rPr>
          <w:spacing w:val="-6"/>
          <w:rtl/>
          <w:lang w:eastAsia="zh-TW"/>
        </w:rPr>
        <w:t>(</w:t>
      </w:r>
      <w:r w:rsidRPr="00400B95">
        <w:rPr>
          <w:spacing w:val="-6"/>
          <w:lang w:eastAsia="zh-TW"/>
        </w:rPr>
        <w:t>CAT/C/ITA/CO/5-6</w:t>
      </w:r>
      <w:r w:rsidRPr="00400B95">
        <w:rPr>
          <w:spacing w:val="-6"/>
          <w:rtl/>
          <w:lang w:eastAsia="zh-TW"/>
        </w:rPr>
        <w:t>)، الفقرة 21؛ والملاحظات الختامية بشأن التقرير الدوري السابع لفنلندا (</w:t>
      </w:r>
      <w:r w:rsidRPr="00400B95">
        <w:rPr>
          <w:spacing w:val="-6"/>
          <w:lang w:eastAsia="zh-TW"/>
        </w:rPr>
        <w:t>CAT/C/FIN/CO/7</w:t>
      </w:r>
      <w:r>
        <w:rPr>
          <w:rFonts w:hint="cs"/>
          <w:rtl/>
          <w:lang w:eastAsia="zh-TW"/>
        </w:rPr>
        <w:t xml:space="preserve"> </w:t>
      </w:r>
      <w:r w:rsidRPr="00EE77FD">
        <w:rPr>
          <w:rtl/>
          <w:lang w:eastAsia="zh-TW"/>
        </w:rPr>
        <w:t>و</w:t>
      </w:r>
      <w:r w:rsidRPr="00606EB3">
        <w:rPr>
          <w:lang w:eastAsia="zh-TW"/>
        </w:rPr>
        <w:t>CAT/C/FIN/CO/7/Corr.1</w:t>
      </w:r>
      <w:r w:rsidRPr="00EE77FD">
        <w:rPr>
          <w:rtl/>
          <w:lang w:eastAsia="zh-TW"/>
        </w:rPr>
        <w:t>)، الفقرة ١٣؛ والملاحظات الختامية بشأن التقرير الدوري السابع لسويسرا (</w:t>
      </w:r>
      <w:r w:rsidRPr="00606EB3">
        <w:rPr>
          <w:lang w:eastAsia="zh-TW"/>
        </w:rPr>
        <w:t>CAT/C/CHE/CO/7</w:t>
      </w:r>
      <w:r w:rsidRPr="00EE77FD">
        <w:rPr>
          <w:rtl/>
          <w:lang w:eastAsia="zh-TW"/>
        </w:rPr>
        <w:t>)، الفقرة ١٤؛ والملاحظات الختامية بشأن التقرير الدوري الثالث لبلجيكا (</w:t>
      </w:r>
      <w:r w:rsidRPr="00606EB3">
        <w:rPr>
          <w:lang w:eastAsia="zh-TW"/>
        </w:rPr>
        <w:t>CCPR/C/ISR/CO/3</w:t>
      </w:r>
      <w:r w:rsidRPr="00EE77FD">
        <w:rPr>
          <w:rtl/>
          <w:lang w:eastAsia="zh-TW"/>
        </w:rPr>
        <w:t>)، الفقرة 22.</w:t>
      </w:r>
      <w:r w:rsidRPr="00EE77FD">
        <w:rPr>
          <w:rFonts w:cs="Times New Roman" w:hint="cs"/>
          <w:rtl/>
          <w:lang w:eastAsia="zh-TW"/>
        </w:rPr>
        <w:t>‬</w:t>
      </w:r>
    </w:p>
  </w:footnote>
  <w:footnote w:id="20">
    <w:p w:rsidR="00714EAE" w:rsidRPr="00EE77FD" w:rsidRDefault="00714EAE" w:rsidP="00F30E70">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انظر، على سبيل المثال، الملاحظات الختامية بشأن التقرير الدوري السابع لفنلندا (</w:t>
      </w:r>
      <w:r w:rsidRPr="00EE77FD">
        <w:t>CAT/C/FIN/CO/7</w:t>
      </w:r>
      <w:r w:rsidRPr="00EE77FD">
        <w:rPr>
          <w:rtl/>
          <w:lang w:eastAsia="zh-TW"/>
        </w:rPr>
        <w:t xml:space="preserve"> و</w:t>
      </w:r>
      <w:r w:rsidRPr="00EE77FD">
        <w:t>CAT/C/FIN/CO/7/Corr.1</w:t>
      </w:r>
      <w:r w:rsidRPr="00EE77FD">
        <w:rPr>
          <w:rtl/>
          <w:lang w:eastAsia="zh-TW"/>
        </w:rPr>
        <w:t>)، الفقرة ١٣</w:t>
      </w:r>
      <w:r w:rsidR="00F30E70">
        <w:rPr>
          <w:rFonts w:hint="cs"/>
          <w:rtl/>
          <w:lang w:eastAsia="zh-TW"/>
        </w:rPr>
        <w:t>.</w:t>
      </w:r>
      <w:r w:rsidRPr="00EE77FD">
        <w:rPr>
          <w:rtl/>
          <w:lang w:eastAsia="zh-TW"/>
        </w:rPr>
        <w:t xml:space="preserve"> </w:t>
      </w:r>
    </w:p>
  </w:footnote>
  <w:footnote w:id="21">
    <w:p w:rsidR="00714EAE" w:rsidRPr="00EE77FD" w:rsidRDefault="00714EAE" w:rsidP="00606EB3">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انظر، على سبيل المثال، الملاحظات الختامية بشأن التقرير الدوري الثاني لصربيا (</w:t>
      </w:r>
      <w:r w:rsidRPr="00EE77FD">
        <w:t>CAT/C/SRB/CO/2</w:t>
      </w:r>
      <w:r w:rsidRPr="00EE77FD">
        <w:rPr>
          <w:rtl/>
          <w:lang w:eastAsia="zh-TW"/>
        </w:rPr>
        <w:t>)، الفقرة</w:t>
      </w:r>
      <w:r>
        <w:rPr>
          <w:rFonts w:hint="cs"/>
          <w:rtl/>
          <w:lang w:eastAsia="zh-TW"/>
        </w:rPr>
        <w:t> </w:t>
      </w:r>
      <w:r w:rsidRPr="00EE77FD">
        <w:rPr>
          <w:rtl/>
          <w:lang w:eastAsia="zh-TW"/>
        </w:rPr>
        <w:t xml:space="preserve">15. </w:t>
      </w:r>
      <w:r w:rsidRPr="00EE77FD">
        <w:rPr>
          <w:rtl/>
          <w:lang w:eastAsia="zh-TW" w:bidi="ar-DZ"/>
        </w:rPr>
        <w:t>و</w:t>
      </w:r>
      <w:r w:rsidRPr="00EE77FD">
        <w:rPr>
          <w:rtl/>
          <w:lang w:eastAsia="zh-TW"/>
        </w:rPr>
        <w:t>انظر</w:t>
      </w:r>
      <w:r w:rsidR="00F30E70">
        <w:rPr>
          <w:rtl/>
          <w:lang w:eastAsia="zh-TW"/>
        </w:rPr>
        <w:t xml:space="preserve"> أيضاً </w:t>
      </w:r>
      <w:proofErr w:type="spellStart"/>
      <w:r w:rsidRPr="00606EB3">
        <w:rPr>
          <w:i/>
          <w:iCs/>
          <w:rtl/>
          <w:lang w:eastAsia="zh-TW"/>
        </w:rPr>
        <w:t>كوامي</w:t>
      </w:r>
      <w:proofErr w:type="spellEnd"/>
      <w:r w:rsidRPr="00606EB3">
        <w:rPr>
          <w:i/>
          <w:iCs/>
          <w:rtl/>
          <w:lang w:eastAsia="zh-TW"/>
        </w:rPr>
        <w:t xml:space="preserve"> </w:t>
      </w:r>
      <w:proofErr w:type="spellStart"/>
      <w:r w:rsidRPr="00606EB3">
        <w:rPr>
          <w:i/>
          <w:iCs/>
          <w:rtl/>
          <w:lang w:eastAsia="zh-TW"/>
        </w:rPr>
        <w:t>موبونغو</w:t>
      </w:r>
      <w:proofErr w:type="spellEnd"/>
      <w:r w:rsidRPr="00606EB3">
        <w:rPr>
          <w:i/>
          <w:iCs/>
          <w:rtl/>
          <w:lang w:eastAsia="zh-TW"/>
        </w:rPr>
        <w:t xml:space="preserve"> وآخرون ضد المغرب</w:t>
      </w:r>
      <w:r w:rsidRPr="00EE77FD">
        <w:rPr>
          <w:rtl/>
          <w:lang w:eastAsia="zh-TW"/>
        </w:rPr>
        <w:t xml:space="preserve">، الفقرتين </w:t>
      </w:r>
      <w:r w:rsidRPr="00EE77FD">
        <w:rPr>
          <w:rtl/>
        </w:rPr>
        <w:t>11</w:t>
      </w:r>
      <w:r w:rsidRPr="00EE77FD">
        <w:rPr>
          <w:rtl/>
          <w:lang w:eastAsia="zh-TW"/>
        </w:rPr>
        <w:t xml:space="preserve">-3 و11-4. </w:t>
      </w:r>
    </w:p>
  </w:footnote>
  <w:footnote w:id="22">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انظر، على سبيل المثال، الملاحظات الختامية بشأن التقرير الجامع للتقارير الدورية من الثالث إلى الخامس للاتفيا (</w:t>
      </w:r>
      <w:r w:rsidRPr="00EE77FD">
        <w:rPr>
          <w:color w:val="000000"/>
        </w:rPr>
        <w:t>CAT/C/LVA/CO/3-5</w:t>
      </w:r>
      <w:r w:rsidRPr="00EE77FD">
        <w:rPr>
          <w:rtl/>
          <w:lang w:eastAsia="zh-TW"/>
        </w:rPr>
        <w:t xml:space="preserve"> و</w:t>
      </w:r>
      <w:r w:rsidRPr="00EE77FD">
        <w:rPr>
          <w:color w:val="000000"/>
        </w:rPr>
        <w:t>CAT/C/LVA/CO/3-5/Corr.1</w:t>
      </w:r>
      <w:r w:rsidRPr="00EE77FD">
        <w:rPr>
          <w:rtl/>
          <w:lang w:eastAsia="zh-TW"/>
        </w:rPr>
        <w:t xml:space="preserve">)، الفقرة ١٧.  </w:t>
      </w:r>
    </w:p>
  </w:footnote>
  <w:footnote w:id="23">
    <w:p w:rsidR="00714EAE" w:rsidRPr="00EE77FD" w:rsidRDefault="00714EAE" w:rsidP="008161B4">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الملاحظات الختامية بشأن </w:t>
      </w:r>
      <w:proofErr w:type="spellStart"/>
      <w:r w:rsidRPr="00EE77FD">
        <w:rPr>
          <w:rtl/>
          <w:lang w:eastAsia="zh-TW"/>
        </w:rPr>
        <w:t>كابو</w:t>
      </w:r>
      <w:proofErr w:type="spellEnd"/>
      <w:r w:rsidRPr="00EE77FD">
        <w:rPr>
          <w:rtl/>
          <w:lang w:eastAsia="zh-TW"/>
        </w:rPr>
        <w:t xml:space="preserve"> فيردي في غياب تقرير (</w:t>
      </w:r>
      <w:r w:rsidRPr="00606EB3">
        <w:rPr>
          <w:lang w:eastAsia="zh-TW"/>
        </w:rPr>
        <w:t>CAT/C/CPV/CO/1</w:t>
      </w:r>
      <w:r w:rsidRPr="00EE77FD">
        <w:rPr>
          <w:rtl/>
          <w:lang w:eastAsia="zh-TW"/>
        </w:rPr>
        <w:t>)، الفقرة</w:t>
      </w:r>
      <w:r w:rsidR="008161B4">
        <w:rPr>
          <w:rFonts w:hint="cs"/>
          <w:rtl/>
          <w:lang w:eastAsia="zh-TW"/>
        </w:rPr>
        <w:t> </w:t>
      </w:r>
      <w:r w:rsidRPr="00EE77FD">
        <w:rPr>
          <w:rtl/>
          <w:lang w:eastAsia="zh-TW"/>
        </w:rPr>
        <w:t xml:space="preserve">٢٩؛ وانظر الملاحظات الختامية بشأن التقرير الدوري السادس </w:t>
      </w:r>
      <w:r w:rsidRPr="00EE77FD">
        <w:rPr>
          <w:rtl/>
        </w:rPr>
        <w:t>لنيوزيلندا</w:t>
      </w:r>
      <w:r w:rsidRPr="00EE77FD">
        <w:rPr>
          <w:rtl/>
          <w:lang w:eastAsia="zh-TW"/>
        </w:rPr>
        <w:t xml:space="preserve"> (</w:t>
      </w:r>
      <w:r w:rsidRPr="00606EB3">
        <w:rPr>
          <w:lang w:eastAsia="zh-TW"/>
        </w:rPr>
        <w:t>CAT/C/NZL/CO/6</w:t>
      </w:r>
      <w:r w:rsidRPr="00EE77FD">
        <w:rPr>
          <w:rtl/>
          <w:lang w:eastAsia="zh-TW"/>
        </w:rPr>
        <w:t>)، الفقرة</w:t>
      </w:r>
      <w:r w:rsidR="008161B4">
        <w:rPr>
          <w:rFonts w:hint="cs"/>
          <w:rtl/>
          <w:lang w:eastAsia="zh-TW"/>
        </w:rPr>
        <w:t> </w:t>
      </w:r>
      <w:r w:rsidRPr="00EE77FD">
        <w:rPr>
          <w:rtl/>
          <w:lang w:eastAsia="zh-TW"/>
        </w:rPr>
        <w:t>18؛ و</w:t>
      </w:r>
      <w:dir w:val="rtl">
        <w:r w:rsidRPr="00EE77FD">
          <w:rPr>
            <w:rtl/>
            <w:lang w:eastAsia="zh-TW"/>
          </w:rPr>
          <w:t>الملاحظات الختامية بشأن التقرير الجامع للتقريرين الدوريين السادس والسابع للدانمرك (</w:t>
        </w:r>
        <w:r w:rsidRPr="00606EB3">
          <w:rPr>
            <w:lang w:eastAsia="zh-TW"/>
          </w:rPr>
          <w:t>CAT/C/DNK/CO/6-7</w:t>
        </w:r>
        <w:r w:rsidRPr="00EE77FD">
          <w:rPr>
            <w:rtl/>
            <w:lang w:eastAsia="zh-TW"/>
          </w:rPr>
          <w:t>)، الفقرة 23. وانظر</w:t>
        </w:r>
        <w:r w:rsidR="00F30E70">
          <w:rPr>
            <w:rtl/>
            <w:lang w:eastAsia="zh-TW"/>
          </w:rPr>
          <w:t xml:space="preserve"> أيضاً </w:t>
        </w:r>
        <w:r w:rsidRPr="00EE77FD">
          <w:rPr>
            <w:rtl/>
            <w:lang w:eastAsia="zh-TW"/>
          </w:rPr>
          <w:t xml:space="preserve">علي </w:t>
        </w:r>
        <w:r w:rsidRPr="00714EAE">
          <w:rPr>
            <w:i/>
            <w:iCs/>
            <w:rtl/>
            <w:lang w:eastAsia="zh-TW"/>
          </w:rPr>
          <w:t>فاضل ضد سويسرا</w:t>
        </w:r>
        <w:r w:rsidRPr="00EE77FD">
          <w:rPr>
            <w:rtl/>
            <w:lang w:eastAsia="zh-TW"/>
          </w:rPr>
          <w:t xml:space="preserve"> (</w:t>
        </w:r>
        <w:r w:rsidRPr="00606EB3">
          <w:rPr>
            <w:lang w:eastAsia="zh-TW"/>
          </w:rPr>
          <w:t>CAT/C/53/D/450/2011</w:t>
        </w:r>
        <w:r>
          <w:rPr>
            <w:rtl/>
            <w:lang w:eastAsia="zh-TW"/>
          </w:rPr>
          <w:t xml:space="preserve">)، الفقرتين 7-6 و7-8؛ </w:t>
        </w:r>
        <w:proofErr w:type="spellStart"/>
        <w:r w:rsidRPr="00714EAE">
          <w:rPr>
            <w:i/>
            <w:iCs/>
            <w:rtl/>
            <w:lang w:eastAsia="zh-TW"/>
          </w:rPr>
          <w:t>وم</w:t>
        </w:r>
        <w:proofErr w:type="spellEnd"/>
        <w:r w:rsidRPr="00714EAE">
          <w:rPr>
            <w:i/>
            <w:iCs/>
            <w:rtl/>
            <w:lang w:eastAsia="zh-TW"/>
          </w:rPr>
          <w:t>. ب. وآخرون ضد الدانمرك</w:t>
        </w:r>
        <w:r w:rsidRPr="00EE77FD">
          <w:rPr>
            <w:rtl/>
            <w:lang w:eastAsia="zh-TW"/>
          </w:rPr>
          <w:t xml:space="preserve"> (</w:t>
        </w:r>
        <w:r w:rsidRPr="00606EB3">
          <w:rPr>
            <w:lang w:eastAsia="zh-TW"/>
          </w:rPr>
          <w:t>CAT/C/59/D/634/2014</w:t>
        </w:r>
        <w:r w:rsidRPr="00EE77FD">
          <w:rPr>
            <w:rtl/>
            <w:lang w:eastAsia="zh-TW"/>
          </w:rPr>
          <w:t>)، الفقرة 9-</w:t>
        </w:r>
        <w:proofErr w:type="gramStart"/>
        <w:r w:rsidRPr="00EE77FD">
          <w:rPr>
            <w:rtl/>
            <w:lang w:eastAsia="zh-TW"/>
          </w:rPr>
          <w:t>8.</w:t>
        </w:r>
        <w:r w:rsidRPr="00EE77FD">
          <w:t>‬</w:t>
        </w:r>
        <w:r w:rsidRPr="00EE77FD">
          <w:t>‬</w:t>
        </w:r>
        <w:proofErr w:type="gramEnd"/>
        <w:r w:rsidR="002F142B">
          <w:t>‬</w:t>
        </w:r>
        <w:r w:rsidR="00DA073F">
          <w:t>‬</w:t>
        </w:r>
        <w:r w:rsidR="006535F6">
          <w:t>‬</w:t>
        </w:r>
      </w:dir>
    </w:p>
  </w:footnote>
  <w:footnote w:id="24">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انظر، على سبيل المثال، الملاحظات الختامية بشأن التقرير الدوري السابع لفنلندا (</w:t>
      </w:r>
      <w:r>
        <w:t>CAT/C/FIN/CO/7</w:t>
      </w:r>
      <w:r w:rsidRPr="00EE77FD">
        <w:rPr>
          <w:rtl/>
          <w:lang w:eastAsia="zh-TW"/>
        </w:rPr>
        <w:t xml:space="preserve"> و</w:t>
      </w:r>
      <w:r w:rsidRPr="00EE77FD">
        <w:t>CAT/C/FIN/CO/7/Corr.1</w:t>
      </w:r>
      <w:r w:rsidRPr="00EE77FD">
        <w:rPr>
          <w:rtl/>
          <w:lang w:eastAsia="zh-TW"/>
        </w:rPr>
        <w:t xml:space="preserve">)، الفقرة ١٣؛ والملاحظات الختامية بشأن </w:t>
      </w:r>
      <w:r w:rsidRPr="00EE77FD">
        <w:rPr>
          <w:rtl/>
        </w:rPr>
        <w:t>التقرير</w:t>
      </w:r>
      <w:r w:rsidRPr="00EE77FD">
        <w:rPr>
          <w:rtl/>
          <w:lang w:eastAsia="zh-TW"/>
        </w:rPr>
        <w:t xml:space="preserve"> الدوري الثالث لسلوفينيا (</w:t>
      </w:r>
      <w:r w:rsidRPr="00EE77FD">
        <w:t>CAT/C/SVN/CO/3</w:t>
      </w:r>
      <w:r w:rsidRPr="00EE77FD">
        <w:rPr>
          <w:rtl/>
          <w:lang w:eastAsia="zh-TW"/>
        </w:rPr>
        <w:t>)، الفقرة 17.</w:t>
      </w:r>
      <w:r w:rsidRPr="00EE77FD">
        <w:rPr>
          <w:rFonts w:cs="Times New Roman" w:hint="cs"/>
          <w:rtl/>
          <w:lang w:eastAsia="zh-TW"/>
        </w:rPr>
        <w:t>‬</w:t>
      </w:r>
      <w:r w:rsidRPr="00EE77FD">
        <w:rPr>
          <w:rtl/>
          <w:lang w:eastAsia="zh-TW"/>
        </w:rPr>
        <w:t xml:space="preserve"> والملاحظات الختامية بشأن التقرير الدوري الثاني لطاجيكستان (</w:t>
      </w:r>
      <w:r w:rsidRPr="00EE77FD">
        <w:t>CAT/C/TJK/CO/2</w:t>
      </w:r>
      <w:r w:rsidRPr="00EE77FD">
        <w:rPr>
          <w:rtl/>
          <w:lang w:eastAsia="zh-TW"/>
        </w:rPr>
        <w:t>)، الفقرة 18؛ وانظر</w:t>
      </w:r>
      <w:r w:rsidR="00F30E70">
        <w:rPr>
          <w:rtl/>
          <w:lang w:eastAsia="zh-TW"/>
        </w:rPr>
        <w:t xml:space="preserve"> أيضاً </w:t>
      </w:r>
      <w:r w:rsidRPr="00EE77FD">
        <w:rPr>
          <w:rtl/>
          <w:lang w:eastAsia="zh-TW"/>
        </w:rPr>
        <w:t>الملاحظات الختامية بشأن التقرير الجامع للتقريرين الدوريين الخامس والسادس لليونان (</w:t>
      </w:r>
      <w:r w:rsidRPr="00EE77FD">
        <w:t>CAT/C/GRC/CO/5-6</w:t>
      </w:r>
      <w:r w:rsidRPr="00EE77FD">
        <w:rPr>
          <w:rtl/>
          <w:lang w:eastAsia="zh-TW"/>
        </w:rPr>
        <w:t>)، الفقرة 19؛ والملاحظات الختامية بشأن التقرير الجامع للتقريرين الدوريين الخامس والسادس لإيطاليا (</w:t>
      </w:r>
      <w:r w:rsidRPr="00EE77FD">
        <w:t>CAT/C/ITA/CO/5-6</w:t>
      </w:r>
      <w:r>
        <w:rPr>
          <w:rtl/>
          <w:lang w:eastAsia="zh-TW"/>
        </w:rPr>
        <w:t>)، الفقرة 21</w:t>
      </w:r>
      <w:r w:rsidRPr="00EE77FD">
        <w:rPr>
          <w:rtl/>
          <w:lang w:eastAsia="zh-TW"/>
        </w:rPr>
        <w:t>(ج)</w:t>
      </w:r>
      <w:r w:rsidR="00F30E70">
        <w:rPr>
          <w:rFonts w:hint="cs"/>
          <w:rtl/>
          <w:lang w:eastAsia="zh-TW"/>
        </w:rPr>
        <w:t>.</w:t>
      </w:r>
    </w:p>
  </w:footnote>
  <w:footnote w:id="25">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انظر، على سبيل المثال، الملاحظات الختامية بشأن التقرير الدوري الثاني لدولة بوليفيا المتعددة القوميات (</w:t>
      </w:r>
      <w:r w:rsidRPr="00EE77FD">
        <w:t>CAT/C/BOL/CO/2</w:t>
      </w:r>
      <w:r w:rsidRPr="00EE77FD">
        <w:rPr>
          <w:rtl/>
          <w:lang w:eastAsia="zh-TW"/>
        </w:rPr>
        <w:t>)، الفقرة ٢٢؛ و</w:t>
      </w:r>
      <w:dir w:val="rtl">
        <w:r w:rsidRPr="00EE77FD">
          <w:rPr>
            <w:rtl/>
            <w:lang w:eastAsia="zh-TW"/>
          </w:rPr>
          <w:t xml:space="preserve">الملاحظات الختامية بشأن </w:t>
        </w:r>
        <w:r w:rsidRPr="00EE77FD">
          <w:rPr>
            <w:rtl/>
          </w:rPr>
          <w:t>التقرير</w:t>
        </w:r>
        <w:r w:rsidRPr="00EE77FD">
          <w:rPr>
            <w:rtl/>
            <w:lang w:eastAsia="zh-TW"/>
          </w:rPr>
          <w:t xml:space="preserve"> الجامع للتقريرين الدوريين الرابع والخامس لبلغاريا (</w:t>
        </w:r>
        <w:r w:rsidRPr="00EE77FD">
          <w:t>CAT/C/BGR/CO/4-5</w:t>
        </w:r>
        <w:r w:rsidRPr="00EE77FD">
          <w:rPr>
            <w:rtl/>
            <w:lang w:eastAsia="zh-TW"/>
          </w:rPr>
          <w:t xml:space="preserve">)، الفقرة </w:t>
        </w:r>
        <w:proofErr w:type="gramStart"/>
        <w:r w:rsidRPr="00EE77FD">
          <w:rPr>
            <w:rtl/>
            <w:lang w:eastAsia="zh-TW"/>
          </w:rPr>
          <w:t>16.</w:t>
        </w:r>
        <w:r w:rsidRPr="00EE77FD">
          <w:t>‬</w:t>
        </w:r>
        <w:r w:rsidRPr="00EE77FD">
          <w:t>‬</w:t>
        </w:r>
        <w:proofErr w:type="gramEnd"/>
        <w:r w:rsidR="002F142B">
          <w:t>‬</w:t>
        </w:r>
        <w:r w:rsidR="00DA073F">
          <w:t>‬</w:t>
        </w:r>
        <w:r w:rsidR="006535F6">
          <w:t>‬</w:t>
        </w:r>
      </w:dir>
    </w:p>
  </w:footnote>
  <w:footnote w:id="26">
    <w:p w:rsidR="00714EAE" w:rsidRPr="00EE77FD" w:rsidRDefault="00714EAE" w:rsidP="00EE77FD">
      <w:pPr>
        <w:pStyle w:val="FootnoteText1"/>
        <w:textDirection w:val="tbRlV"/>
        <w:rPr>
          <w:rtl/>
          <w:lang w:eastAsia="zh-TW"/>
        </w:rPr>
      </w:pPr>
      <w:bookmarkStart w:id="5" w:name="_Hlk515547396"/>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77FD">
        <w:rPr>
          <w:rtl/>
        </w:rPr>
        <w:t>الملاحظات</w:t>
      </w:r>
      <w:r w:rsidRPr="00EE77FD">
        <w:rPr>
          <w:rtl/>
          <w:lang w:eastAsia="zh-TW"/>
        </w:rPr>
        <w:t xml:space="preserve"> الختامية بشأن التقرير الدوري السادس لنيوزيلندا (</w:t>
      </w:r>
      <w:r w:rsidRPr="00EE77FD">
        <w:t>CAT/C/NZL/CO/6</w:t>
      </w:r>
      <w:r w:rsidRPr="00EE77FD">
        <w:rPr>
          <w:rtl/>
          <w:lang w:eastAsia="zh-TW"/>
        </w:rPr>
        <w:t xml:space="preserve">)، الفقرة 18. </w:t>
      </w:r>
      <w:bookmarkEnd w:id="5"/>
    </w:p>
  </w:footnote>
  <w:footnote w:id="27">
    <w:p w:rsidR="00714EAE" w:rsidRPr="00EE77FD" w:rsidRDefault="00714EAE" w:rsidP="00714EAE">
      <w:pPr>
        <w:pStyle w:val="FootnoteText1"/>
        <w:textDirection w:val="tbRlV"/>
        <w:rPr>
          <w:rtl/>
          <w:lang w:eastAsia="zh-TW"/>
        </w:rPr>
      </w:pPr>
      <w:r w:rsidRPr="008C10B5">
        <w:rPr>
          <w:spacing w:val="-4"/>
          <w:rtl/>
        </w:rPr>
        <w:t>(</w:t>
      </w:r>
      <w:r w:rsidRPr="008C10B5">
        <w:rPr>
          <w:rStyle w:val="FootnoteReference"/>
          <w:spacing w:val="-4"/>
          <w:vertAlign w:val="baseline"/>
        </w:rPr>
        <w:footnoteRef/>
      </w:r>
      <w:r w:rsidRPr="008C10B5">
        <w:rPr>
          <w:spacing w:val="-4"/>
          <w:sz w:val="26"/>
          <w:rtl/>
        </w:rPr>
        <w:t>)</w:t>
      </w:r>
      <w:r w:rsidRPr="008C10B5">
        <w:rPr>
          <w:spacing w:val="-4"/>
          <w:sz w:val="26"/>
          <w:rtl/>
        </w:rPr>
        <w:tab/>
      </w:r>
      <w:r w:rsidRPr="008C10B5">
        <w:rPr>
          <w:spacing w:val="-4"/>
          <w:rtl/>
          <w:lang w:eastAsia="zh-TW"/>
        </w:rPr>
        <w:t xml:space="preserve">انظر </w:t>
      </w:r>
      <w:r w:rsidRPr="008C10B5">
        <w:rPr>
          <w:i/>
          <w:iCs/>
          <w:spacing w:val="-4"/>
          <w:rtl/>
          <w:lang w:eastAsia="zh-TW"/>
        </w:rPr>
        <w:t>أغيزا ضد السويد</w:t>
      </w:r>
      <w:r w:rsidRPr="008C10B5">
        <w:rPr>
          <w:spacing w:val="-4"/>
          <w:rtl/>
          <w:lang w:eastAsia="zh-TW"/>
        </w:rPr>
        <w:t xml:space="preserve">، الفقرة 13-4؛ </w:t>
      </w:r>
      <w:proofErr w:type="spellStart"/>
      <w:r w:rsidRPr="008C10B5">
        <w:rPr>
          <w:i/>
          <w:iCs/>
          <w:spacing w:val="-4"/>
          <w:rtl/>
          <w:lang w:eastAsia="zh-TW"/>
        </w:rPr>
        <w:t>وتورسونوف</w:t>
      </w:r>
      <w:proofErr w:type="spellEnd"/>
      <w:r w:rsidRPr="008C10B5">
        <w:rPr>
          <w:i/>
          <w:iCs/>
          <w:spacing w:val="-4"/>
          <w:rtl/>
          <w:lang w:eastAsia="zh-TW"/>
        </w:rPr>
        <w:t xml:space="preserve"> ضد كازاخستان</w:t>
      </w:r>
      <w:r w:rsidRPr="008C10B5">
        <w:rPr>
          <w:spacing w:val="-4"/>
          <w:rtl/>
          <w:lang w:eastAsia="zh-TW"/>
        </w:rPr>
        <w:t xml:space="preserve"> (</w:t>
      </w:r>
      <w:r w:rsidRPr="008C10B5">
        <w:rPr>
          <w:spacing w:val="-4"/>
          <w:lang w:eastAsia="zh-TW"/>
        </w:rPr>
        <w:t>CAT/C/54/D/538/2013</w:t>
      </w:r>
      <w:r w:rsidRPr="008C10B5">
        <w:rPr>
          <w:spacing w:val="-4"/>
          <w:rtl/>
          <w:lang w:eastAsia="zh-TW"/>
        </w:rPr>
        <w:t>)، الفقرة 9-10؛</w:t>
      </w:r>
      <w:r w:rsidR="008C10B5">
        <w:rPr>
          <w:rtl/>
          <w:lang w:eastAsia="zh-TW"/>
        </w:rPr>
        <w:t xml:space="preserve"> </w:t>
      </w:r>
      <w:r w:rsidR="008C10B5" w:rsidRPr="008C10B5">
        <w:rPr>
          <w:i/>
          <w:iCs/>
          <w:rtl/>
          <w:lang w:eastAsia="zh-TW"/>
        </w:rPr>
        <w:t>و</w:t>
      </w:r>
      <w:r w:rsidRPr="008C10B5">
        <w:rPr>
          <w:i/>
          <w:iCs/>
          <w:rtl/>
          <w:lang w:eastAsia="zh-TW"/>
        </w:rPr>
        <w:t>ه</w:t>
      </w:r>
      <w:r w:rsidR="008C10B5" w:rsidRPr="008C10B5">
        <w:rPr>
          <w:rFonts w:hint="cs"/>
          <w:i/>
          <w:iCs/>
          <w:rtl/>
          <w:lang w:eastAsia="zh-TW"/>
        </w:rPr>
        <w:t>ـ</w:t>
      </w:r>
      <w:r w:rsidRPr="008C10B5">
        <w:rPr>
          <w:i/>
          <w:iCs/>
          <w:rtl/>
          <w:lang w:eastAsia="zh-TW"/>
        </w:rPr>
        <w:t>. ي. ضد سويسرا</w:t>
      </w:r>
      <w:r w:rsidRPr="00EE77FD">
        <w:rPr>
          <w:rtl/>
          <w:lang w:eastAsia="zh-TW"/>
        </w:rPr>
        <w:t xml:space="preserve"> (</w:t>
      </w:r>
      <w:r w:rsidRPr="00714EAE">
        <w:rPr>
          <w:lang w:eastAsia="zh-TW"/>
        </w:rPr>
        <w:t>CAT/C/61/D/747/2016</w:t>
      </w:r>
      <w:r w:rsidRPr="00EE77FD">
        <w:rPr>
          <w:rtl/>
          <w:lang w:eastAsia="zh-TW"/>
        </w:rPr>
        <w:t>)، الفقرة 10-7. وانظر</w:t>
      </w:r>
      <w:r w:rsidR="00F30E70">
        <w:rPr>
          <w:rtl/>
          <w:lang w:eastAsia="zh-TW"/>
        </w:rPr>
        <w:t xml:space="preserve"> أيضاً </w:t>
      </w:r>
      <w:r w:rsidRPr="00EE77FD">
        <w:rPr>
          <w:rtl/>
          <w:lang w:eastAsia="zh-TW"/>
        </w:rPr>
        <w:t>الملاحظات الختامية بشأن التقرير الجامع للتقارير الدورية من الثالث إلى الخامس للولايات المتحدة الأمريكية (</w:t>
      </w:r>
      <w:r w:rsidRPr="00EE77FD">
        <w:t>CAT/C/USA/CO/3-5</w:t>
      </w:r>
      <w:r w:rsidRPr="00EE77FD">
        <w:rPr>
          <w:rtl/>
          <w:lang w:eastAsia="zh-TW"/>
        </w:rPr>
        <w:t xml:space="preserve">)، الفقرة ١٦؛ </w:t>
      </w:r>
      <w:r w:rsidRPr="00EE77FD">
        <w:rPr>
          <w:rtl/>
        </w:rPr>
        <w:t>والملاحظات</w:t>
      </w:r>
      <w:r w:rsidRPr="00EE77FD">
        <w:rPr>
          <w:rtl/>
          <w:lang w:eastAsia="zh-TW"/>
        </w:rPr>
        <w:t xml:space="preserve"> الختامية بشأن التقرير الدوري الرابع للمغرب (</w:t>
      </w:r>
      <w:r w:rsidRPr="00EE77FD">
        <w:t>CAT/C/MAR/CO/4</w:t>
      </w:r>
      <w:r w:rsidRPr="00EE77FD">
        <w:rPr>
          <w:rtl/>
          <w:lang w:eastAsia="zh-TW"/>
        </w:rPr>
        <w:t>)، الفقرة 9؛ والملاحظات الختامية بشأن التقرير الدوري الخامس لألمانيا (</w:t>
      </w:r>
      <w:r w:rsidRPr="00714EAE">
        <w:rPr>
          <w:lang w:eastAsia="zh-TW"/>
        </w:rPr>
        <w:t>CAT/C/DEU/CO/5</w:t>
      </w:r>
      <w:r w:rsidRPr="00EE77FD">
        <w:rPr>
          <w:rtl/>
          <w:lang w:eastAsia="zh-TW"/>
        </w:rPr>
        <w:t>)، الفقرة 25؛ والملاحظات الختامية بشأن التقرير الدوري الثاني لألبانيا (</w:t>
      </w:r>
      <w:r w:rsidRPr="00714EAE">
        <w:rPr>
          <w:lang w:eastAsia="zh-TW"/>
        </w:rPr>
        <w:t>CAT/C/ALB/CO/2</w:t>
      </w:r>
      <w:r w:rsidRPr="00EE77FD">
        <w:rPr>
          <w:rtl/>
          <w:lang w:eastAsia="zh-TW"/>
        </w:rPr>
        <w:t xml:space="preserve">)، الفقرة 19. </w:t>
      </w:r>
    </w:p>
  </w:footnote>
  <w:footnote w:id="28">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انظر التعليق العام رقم 3(</w:t>
      </w:r>
      <w:r w:rsidRPr="00EE77FD">
        <w:rPr>
          <w:rtl/>
        </w:rPr>
        <w:t>2012</w:t>
      </w:r>
      <w:r w:rsidRPr="00EE77FD">
        <w:rPr>
          <w:rtl/>
          <w:lang w:eastAsia="zh-TW"/>
        </w:rPr>
        <w:t xml:space="preserve">) بشأن تنفيذ المادة 14، الفقرة 2. </w:t>
      </w:r>
    </w:p>
  </w:footnote>
  <w:footnote w:id="29">
    <w:p w:rsidR="00714EAE" w:rsidRPr="00EE77FD" w:rsidRDefault="00714EAE" w:rsidP="00EE77FD">
      <w:pPr>
        <w:pStyle w:val="FootnoteText1"/>
        <w:textDirection w:val="tbRlV"/>
        <w:rPr>
          <w:rFonts w:eastAsia="Calibri"/>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يمكن للدول الأطراف في الاتفاقية التي هي</w:t>
      </w:r>
      <w:r w:rsidR="00F30E70">
        <w:rPr>
          <w:rtl/>
          <w:lang w:eastAsia="zh-TW"/>
        </w:rPr>
        <w:t xml:space="preserve"> أيضاً </w:t>
      </w:r>
      <w:r w:rsidRPr="00EE77FD">
        <w:rPr>
          <w:rtl/>
          <w:lang w:eastAsia="zh-TW"/>
        </w:rPr>
        <w:t xml:space="preserve">أطراف في معاهدات أخرى ذات صلة أن تطلع في الصكوك التالية على أمثلة لأحكام دولية أخرى ذات صلة مباشرة بتطبيق مبدأ "عدم </w:t>
      </w:r>
      <w:r w:rsidRPr="00EE77FD">
        <w:rPr>
          <w:rtl/>
        </w:rPr>
        <w:t>الإعادة</w:t>
      </w:r>
      <w:r w:rsidRPr="00EE77FD">
        <w:rPr>
          <w:rtl/>
          <w:lang w:eastAsia="zh-TW"/>
        </w:rPr>
        <w:t xml:space="preserve"> القسرية" في الحالات التي تنطوي على خطر تعرض شخص للتعذيب وغيره من ضروب سوء المعاملة في البلد الذي يجري ترحيله إليه: </w:t>
      </w:r>
    </w:p>
    <w:p w:rsidR="00714EAE" w:rsidRPr="00EE77FD" w:rsidRDefault="00714EAE" w:rsidP="008C10B5">
      <w:pPr>
        <w:pStyle w:val="FootnoteText1"/>
        <w:ind w:left="1268" w:firstLine="0"/>
        <w:textDirection w:val="tbRlV"/>
        <w:rPr>
          <w:rtl/>
        </w:rPr>
      </w:pPr>
      <w:r>
        <w:rPr>
          <w:rtl/>
          <w:lang w:eastAsia="zh-TW"/>
        </w:rPr>
        <w:tab/>
      </w:r>
      <w:r w:rsidRPr="00EE77FD">
        <w:rPr>
          <w:rtl/>
          <w:lang w:eastAsia="zh-TW"/>
        </w:rPr>
        <w:t>(أ)</w:t>
      </w:r>
      <w:r>
        <w:rPr>
          <w:rtl/>
          <w:lang w:eastAsia="zh-TW"/>
        </w:rPr>
        <w:tab/>
      </w:r>
      <w:r w:rsidRPr="00EE77FD">
        <w:rPr>
          <w:rtl/>
          <w:lang w:eastAsia="zh-TW"/>
        </w:rPr>
        <w:t xml:space="preserve">الاتفاقية الدولية لحماية </w:t>
      </w:r>
      <w:r w:rsidRPr="00EE77FD">
        <w:rPr>
          <w:rtl/>
        </w:rPr>
        <w:t>حقوق جميع العمال ال</w:t>
      </w:r>
      <w:r>
        <w:rPr>
          <w:rtl/>
        </w:rPr>
        <w:t>مهاجرين وأفراد أسرهم (المادة 56</w:t>
      </w:r>
      <w:r w:rsidRPr="00EE77FD">
        <w:rPr>
          <w:rtl/>
        </w:rPr>
        <w:t xml:space="preserve">(3))؛ </w:t>
      </w:r>
    </w:p>
    <w:p w:rsidR="00714EAE" w:rsidRPr="00EE77FD" w:rsidRDefault="00714EAE" w:rsidP="008C10B5">
      <w:pPr>
        <w:pStyle w:val="FootnoteText1"/>
        <w:ind w:left="1268" w:firstLine="0"/>
        <w:textDirection w:val="tbRlV"/>
        <w:rPr>
          <w:rtl/>
        </w:rPr>
      </w:pPr>
      <w:r>
        <w:rPr>
          <w:rtl/>
        </w:rPr>
        <w:tab/>
      </w:r>
      <w:r w:rsidRPr="00EE77FD">
        <w:rPr>
          <w:rtl/>
        </w:rPr>
        <w:t>(ب)</w:t>
      </w:r>
      <w:r>
        <w:rPr>
          <w:rtl/>
        </w:rPr>
        <w:tab/>
      </w:r>
      <w:r w:rsidRPr="00EE77FD">
        <w:rPr>
          <w:rtl/>
        </w:rPr>
        <w:t>الاتفاقية الدولية لحماية جميع الأشخا</w:t>
      </w:r>
      <w:r>
        <w:rPr>
          <w:rtl/>
        </w:rPr>
        <w:t>ص من الاختفاء القسري (المادة 16</w:t>
      </w:r>
      <w:r w:rsidRPr="00EE77FD">
        <w:rPr>
          <w:rtl/>
        </w:rPr>
        <w:t>(1))؛</w:t>
      </w:r>
    </w:p>
    <w:p w:rsidR="00714EAE" w:rsidRPr="00EE77FD" w:rsidRDefault="00714EAE" w:rsidP="008C10B5">
      <w:pPr>
        <w:pStyle w:val="FootnoteText1"/>
        <w:ind w:left="1268" w:firstLine="0"/>
        <w:textDirection w:val="tbRlV"/>
        <w:rPr>
          <w:rtl/>
        </w:rPr>
      </w:pPr>
      <w:r>
        <w:rPr>
          <w:rtl/>
        </w:rPr>
        <w:tab/>
      </w:r>
      <w:r w:rsidRPr="00EE77FD">
        <w:rPr>
          <w:rtl/>
        </w:rPr>
        <w:t>(ج)</w:t>
      </w:r>
      <w:r>
        <w:rPr>
          <w:rtl/>
        </w:rPr>
        <w:tab/>
      </w:r>
      <w:r w:rsidRPr="00EE77FD">
        <w:rPr>
          <w:rtl/>
        </w:rPr>
        <w:t xml:space="preserve">الاتفاقية </w:t>
      </w:r>
      <w:r>
        <w:rPr>
          <w:rtl/>
        </w:rPr>
        <w:t>الخاصة بوضع اللاجئين (المادة 33</w:t>
      </w:r>
      <w:r w:rsidRPr="00EE77FD">
        <w:rPr>
          <w:rtl/>
        </w:rPr>
        <w:t xml:space="preserve">(1))؛ </w:t>
      </w:r>
    </w:p>
    <w:p w:rsidR="00714EAE" w:rsidRPr="00EE77FD" w:rsidRDefault="00714EAE" w:rsidP="008C10B5">
      <w:pPr>
        <w:pStyle w:val="FootnoteText1"/>
        <w:ind w:left="1268" w:firstLine="0"/>
        <w:textDirection w:val="tbRlV"/>
        <w:rPr>
          <w:rtl/>
        </w:rPr>
      </w:pPr>
      <w:r>
        <w:rPr>
          <w:rtl/>
        </w:rPr>
        <w:tab/>
      </w:r>
      <w:r w:rsidRPr="00EE77FD">
        <w:rPr>
          <w:rtl/>
        </w:rPr>
        <w:t>(د)</w:t>
      </w:r>
      <w:r>
        <w:rPr>
          <w:rtl/>
        </w:rPr>
        <w:tab/>
      </w:r>
      <w:r w:rsidRPr="00EE77FD">
        <w:rPr>
          <w:rtl/>
        </w:rPr>
        <w:t>ميثاق الحقوق الأسا</w:t>
      </w:r>
      <w:r>
        <w:rPr>
          <w:rtl/>
        </w:rPr>
        <w:t>سية للاتحاد الأوروبي (المادة 19</w:t>
      </w:r>
      <w:r w:rsidRPr="00EE77FD">
        <w:rPr>
          <w:rtl/>
        </w:rPr>
        <w:t xml:space="preserve">(2))؛ </w:t>
      </w:r>
    </w:p>
    <w:p w:rsidR="00714EAE" w:rsidRPr="00EE77FD" w:rsidRDefault="00714EAE" w:rsidP="008C10B5">
      <w:pPr>
        <w:pStyle w:val="FootnoteText1"/>
        <w:ind w:left="1268" w:firstLine="0"/>
        <w:textDirection w:val="tbRlV"/>
        <w:rPr>
          <w:rtl/>
        </w:rPr>
      </w:pPr>
      <w:r>
        <w:rPr>
          <w:rtl/>
        </w:rPr>
        <w:tab/>
      </w:r>
      <w:r w:rsidRPr="00EE77FD">
        <w:rPr>
          <w:rtl/>
        </w:rPr>
        <w:t>(هـ)</w:t>
      </w:r>
      <w:r>
        <w:rPr>
          <w:rtl/>
        </w:rPr>
        <w:tab/>
      </w:r>
      <w:r w:rsidRPr="00EE77FD">
        <w:rPr>
          <w:rtl/>
        </w:rPr>
        <w:t>اتفاقية البلدان الأمريكية لمنع التعذيب والمعاقبة عليه (الفقرة الأخيرة من المادة 13)؛</w:t>
      </w:r>
    </w:p>
    <w:p w:rsidR="00714EAE" w:rsidRPr="00EE77FD" w:rsidRDefault="00714EAE" w:rsidP="008C10B5">
      <w:pPr>
        <w:pStyle w:val="FootnoteText1"/>
        <w:ind w:left="1268" w:firstLine="0"/>
        <w:textDirection w:val="tbRlV"/>
        <w:rPr>
          <w:rtl/>
        </w:rPr>
      </w:pPr>
      <w:r>
        <w:rPr>
          <w:rtl/>
        </w:rPr>
        <w:tab/>
      </w:r>
      <w:r>
        <w:rPr>
          <w:rFonts w:hint="cs"/>
          <w:rtl/>
        </w:rPr>
        <w:t>(</w:t>
      </w:r>
      <w:r w:rsidRPr="00EE77FD">
        <w:rPr>
          <w:rtl/>
        </w:rPr>
        <w:t>و)</w:t>
      </w:r>
      <w:r>
        <w:rPr>
          <w:rtl/>
        </w:rPr>
        <w:tab/>
      </w:r>
      <w:r w:rsidRPr="00EE77FD">
        <w:rPr>
          <w:rtl/>
        </w:rPr>
        <w:t>الاتفاقية الأ</w:t>
      </w:r>
      <w:r>
        <w:rPr>
          <w:rtl/>
        </w:rPr>
        <w:t>مريكية لحقوق الإنسان (المادة 22</w:t>
      </w:r>
      <w:r w:rsidRPr="00EE77FD">
        <w:rPr>
          <w:rtl/>
        </w:rPr>
        <w:t xml:space="preserve">(8) و(9))؛ </w:t>
      </w:r>
    </w:p>
    <w:p w:rsidR="00714EAE" w:rsidRPr="00EE77FD" w:rsidRDefault="00714EAE" w:rsidP="008C10B5">
      <w:pPr>
        <w:pStyle w:val="FootnoteText1"/>
        <w:ind w:left="1268" w:firstLine="0"/>
        <w:textDirection w:val="tbRlV"/>
        <w:rPr>
          <w:rtl/>
        </w:rPr>
      </w:pPr>
      <w:r>
        <w:rPr>
          <w:rtl/>
        </w:rPr>
        <w:tab/>
      </w:r>
      <w:r w:rsidRPr="00EE77FD">
        <w:rPr>
          <w:rtl/>
        </w:rPr>
        <w:t>(ز)</w:t>
      </w:r>
      <w:r>
        <w:rPr>
          <w:rtl/>
        </w:rPr>
        <w:tab/>
      </w:r>
      <w:r w:rsidRPr="00EE77FD">
        <w:rPr>
          <w:rtl/>
        </w:rPr>
        <w:t>الميثاق الأفريقي لحقوق الإنسان والشعوب (المادة 12 (3))؛</w:t>
      </w:r>
    </w:p>
    <w:p w:rsidR="00714EAE" w:rsidRPr="00EE77FD" w:rsidRDefault="00714EAE" w:rsidP="008C10B5">
      <w:pPr>
        <w:pStyle w:val="FootnoteText1"/>
        <w:ind w:left="1268" w:firstLine="0"/>
        <w:textDirection w:val="tbRlV"/>
        <w:rPr>
          <w:rtl/>
          <w:lang w:eastAsia="zh-TW"/>
        </w:rPr>
      </w:pPr>
      <w:r>
        <w:rPr>
          <w:rtl/>
        </w:rPr>
        <w:tab/>
      </w:r>
      <w:r w:rsidRPr="00EE77FD">
        <w:rPr>
          <w:rtl/>
        </w:rPr>
        <w:t>(ح)</w:t>
      </w:r>
      <w:r>
        <w:rPr>
          <w:rtl/>
        </w:rPr>
        <w:tab/>
      </w:r>
      <w:r w:rsidRPr="00EE77FD">
        <w:rPr>
          <w:rtl/>
        </w:rPr>
        <w:t>اتفاقية منظمة الوحدة الأفريقية التي تحكم</w:t>
      </w:r>
      <w:r w:rsidRPr="00EE77FD">
        <w:rPr>
          <w:rtl/>
          <w:lang w:eastAsia="zh-TW"/>
        </w:rPr>
        <w:t xml:space="preserve"> المظاهر الخاصة بمشكلات اللاجئين في أفريقيا (المادتين ثانيا</w:t>
      </w:r>
      <w:r w:rsidR="008C10B5">
        <w:rPr>
          <w:rFonts w:hint="cs"/>
          <w:rtl/>
          <w:lang w:eastAsia="zh-TW"/>
        </w:rPr>
        <w:t xml:space="preserve">ً </w:t>
      </w:r>
      <w:r w:rsidRPr="00EE77FD">
        <w:rPr>
          <w:rtl/>
          <w:lang w:eastAsia="zh-TW"/>
        </w:rPr>
        <w:t>(3) وخامساً (1)).</w:t>
      </w:r>
    </w:p>
  </w:footnote>
  <w:footnote w:id="30">
    <w:p w:rsidR="00714EAE" w:rsidRPr="00EE77FD" w:rsidRDefault="00714EAE" w:rsidP="008C10B5">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lang w:eastAsia="zh-TW"/>
        </w:rPr>
        <w:t>غ. ر. ب. ضد السويد</w:t>
      </w:r>
      <w:r w:rsidRPr="00EE77FD">
        <w:rPr>
          <w:rtl/>
          <w:lang w:eastAsia="zh-TW"/>
        </w:rPr>
        <w:t xml:space="preserve">، الفقرة 6-3؛ </w:t>
      </w:r>
      <w:r w:rsidRPr="008C10B5">
        <w:rPr>
          <w:i/>
          <w:iCs/>
          <w:rtl/>
          <w:lang w:eastAsia="zh-TW"/>
        </w:rPr>
        <w:t>و</w:t>
      </w:r>
      <w:r w:rsidR="008C10B5" w:rsidRPr="008C10B5">
        <w:rPr>
          <w:rFonts w:hint="cs"/>
          <w:i/>
          <w:iCs/>
          <w:rtl/>
          <w:lang w:eastAsia="zh-TW"/>
        </w:rPr>
        <w:t>هـ</w:t>
      </w:r>
      <w:r w:rsidRPr="008C10B5">
        <w:rPr>
          <w:i/>
          <w:iCs/>
          <w:rtl/>
          <w:lang w:eastAsia="zh-TW"/>
        </w:rPr>
        <w:t xml:space="preserve">. م. ه. إ. ضد أستراليا </w:t>
      </w:r>
      <w:r w:rsidRPr="008C10B5">
        <w:rPr>
          <w:spacing w:val="-4"/>
          <w:rtl/>
          <w:lang w:eastAsia="zh-TW"/>
        </w:rPr>
        <w:t>(</w:t>
      </w:r>
      <w:r w:rsidRPr="008C10B5">
        <w:rPr>
          <w:spacing w:val="-4"/>
          <w:lang w:eastAsia="zh-TW"/>
        </w:rPr>
        <w:t>CAT/C/28/D/177/2001</w:t>
      </w:r>
      <w:r w:rsidR="008C10B5" w:rsidRPr="008C10B5">
        <w:rPr>
          <w:spacing w:val="-4"/>
          <w:rtl/>
          <w:lang w:eastAsia="zh-TW"/>
        </w:rPr>
        <w:t xml:space="preserve">)، الفقرة 6-5؛ </w:t>
      </w:r>
      <w:proofErr w:type="spellStart"/>
      <w:r w:rsidR="008C10B5" w:rsidRPr="008C10B5">
        <w:rPr>
          <w:i/>
          <w:iCs/>
          <w:spacing w:val="-4"/>
          <w:rtl/>
          <w:lang w:eastAsia="zh-TW"/>
        </w:rPr>
        <w:t>و</w:t>
      </w:r>
      <w:r w:rsidRPr="008C10B5">
        <w:rPr>
          <w:i/>
          <w:iCs/>
          <w:spacing w:val="-4"/>
          <w:rtl/>
          <w:lang w:eastAsia="zh-TW"/>
        </w:rPr>
        <w:t>س</w:t>
      </w:r>
      <w:proofErr w:type="spellEnd"/>
      <w:r w:rsidRPr="008C10B5">
        <w:rPr>
          <w:i/>
          <w:iCs/>
          <w:spacing w:val="-4"/>
          <w:rtl/>
          <w:lang w:eastAsia="zh-TW"/>
        </w:rPr>
        <w:t>. ب. أ. ضد كندا</w:t>
      </w:r>
      <w:r w:rsidRPr="008C10B5">
        <w:rPr>
          <w:spacing w:val="-4"/>
          <w:rtl/>
          <w:lang w:eastAsia="zh-TW"/>
        </w:rPr>
        <w:t>، (</w:t>
      </w:r>
      <w:r w:rsidRPr="008C10B5">
        <w:rPr>
          <w:spacing w:val="-4"/>
          <w:lang w:eastAsia="zh-TW"/>
        </w:rPr>
        <w:t>CAT/C/37/D/282/2005</w:t>
      </w:r>
      <w:r w:rsidRPr="008C10B5">
        <w:rPr>
          <w:spacing w:val="-4"/>
          <w:rtl/>
          <w:lang w:eastAsia="zh-TW"/>
        </w:rPr>
        <w:t>)، الفقرة 7-1؛</w:t>
      </w:r>
      <w:r w:rsidR="008C10B5">
        <w:rPr>
          <w:rtl/>
          <w:lang w:eastAsia="zh-TW"/>
        </w:rPr>
        <w:t xml:space="preserve"> </w:t>
      </w:r>
      <w:proofErr w:type="spellStart"/>
      <w:r w:rsidR="008C10B5" w:rsidRPr="008C10B5">
        <w:rPr>
          <w:i/>
          <w:iCs/>
          <w:rtl/>
          <w:lang w:eastAsia="zh-TW"/>
        </w:rPr>
        <w:t>و</w:t>
      </w:r>
      <w:r w:rsidRPr="008C10B5">
        <w:rPr>
          <w:i/>
          <w:iCs/>
          <w:rtl/>
          <w:lang w:eastAsia="zh-TW"/>
        </w:rPr>
        <w:t>ت</w:t>
      </w:r>
      <w:proofErr w:type="spellEnd"/>
      <w:r w:rsidRPr="008C10B5">
        <w:rPr>
          <w:i/>
          <w:iCs/>
          <w:rtl/>
          <w:lang w:eastAsia="zh-TW"/>
        </w:rPr>
        <w:t>. إ. ضد كندا</w:t>
      </w:r>
      <w:r w:rsidRPr="00EE77FD">
        <w:rPr>
          <w:rtl/>
          <w:lang w:eastAsia="zh-TW"/>
        </w:rPr>
        <w:t xml:space="preserve"> (</w:t>
      </w:r>
      <w:r w:rsidRPr="00714EAE">
        <w:rPr>
          <w:lang w:eastAsia="zh-TW"/>
        </w:rPr>
        <w:t>CAT/C/45/D/333/2007</w:t>
      </w:r>
      <w:r w:rsidR="008C10B5">
        <w:rPr>
          <w:rtl/>
          <w:lang w:eastAsia="zh-TW"/>
        </w:rPr>
        <w:t xml:space="preserve">)، الفقرة 7-3؛ </w:t>
      </w:r>
      <w:proofErr w:type="spellStart"/>
      <w:r w:rsidR="008C10B5" w:rsidRPr="008C10B5">
        <w:rPr>
          <w:i/>
          <w:iCs/>
          <w:rtl/>
          <w:lang w:eastAsia="zh-TW"/>
        </w:rPr>
        <w:t>و</w:t>
      </w:r>
      <w:r w:rsidRPr="008C10B5">
        <w:rPr>
          <w:i/>
          <w:iCs/>
          <w:rtl/>
          <w:lang w:eastAsia="zh-TW"/>
        </w:rPr>
        <w:t>أ</w:t>
      </w:r>
      <w:proofErr w:type="spellEnd"/>
      <w:r w:rsidRPr="008C10B5">
        <w:rPr>
          <w:i/>
          <w:iCs/>
          <w:rtl/>
          <w:lang w:eastAsia="zh-TW"/>
        </w:rPr>
        <w:t xml:space="preserve">. م. أ. ضد سويسرا </w:t>
      </w:r>
      <w:r w:rsidRPr="008C10B5">
        <w:rPr>
          <w:spacing w:val="-4"/>
          <w:rtl/>
          <w:lang w:eastAsia="zh-TW"/>
        </w:rPr>
        <w:t>(</w:t>
      </w:r>
      <w:r w:rsidRPr="008C10B5">
        <w:rPr>
          <w:spacing w:val="-4"/>
          <w:lang w:eastAsia="zh-TW"/>
        </w:rPr>
        <w:t>CAT/C/45/D/344/2008</w:t>
      </w:r>
      <w:r w:rsidR="008C10B5" w:rsidRPr="008C10B5">
        <w:rPr>
          <w:spacing w:val="-4"/>
          <w:rtl/>
          <w:lang w:eastAsia="zh-TW"/>
        </w:rPr>
        <w:t xml:space="preserve">)، الفقرة 7-2؛ </w:t>
      </w:r>
      <w:proofErr w:type="spellStart"/>
      <w:r w:rsidR="008C10B5" w:rsidRPr="008C10B5">
        <w:rPr>
          <w:i/>
          <w:iCs/>
          <w:spacing w:val="-4"/>
          <w:rtl/>
          <w:lang w:eastAsia="zh-TW"/>
        </w:rPr>
        <w:t>و</w:t>
      </w:r>
      <w:r w:rsidRPr="008C10B5">
        <w:rPr>
          <w:i/>
          <w:iCs/>
          <w:spacing w:val="-4"/>
          <w:rtl/>
          <w:lang w:eastAsia="zh-TW"/>
        </w:rPr>
        <w:t>إ</w:t>
      </w:r>
      <w:proofErr w:type="spellEnd"/>
      <w:r w:rsidRPr="008C10B5">
        <w:rPr>
          <w:i/>
          <w:iCs/>
          <w:spacing w:val="-4"/>
          <w:rtl/>
          <w:lang w:eastAsia="zh-TW"/>
        </w:rPr>
        <w:t>. ك. و. ضد فنلندا</w:t>
      </w:r>
      <w:r w:rsidRPr="008C10B5">
        <w:rPr>
          <w:spacing w:val="-4"/>
          <w:rtl/>
          <w:lang w:eastAsia="zh-TW"/>
        </w:rPr>
        <w:t xml:space="preserve"> (</w:t>
      </w:r>
      <w:r w:rsidRPr="008C10B5">
        <w:rPr>
          <w:spacing w:val="-4"/>
          <w:lang w:eastAsia="zh-TW"/>
        </w:rPr>
        <w:t>CAT/C/54/D/490/2012</w:t>
      </w:r>
      <w:r w:rsidRPr="008C10B5">
        <w:rPr>
          <w:spacing w:val="-4"/>
          <w:rtl/>
          <w:lang w:eastAsia="zh-TW"/>
        </w:rPr>
        <w:t>)، الفقرتين 9-3</w:t>
      </w:r>
      <w:r w:rsidRPr="00EE77FD">
        <w:rPr>
          <w:rtl/>
          <w:lang w:eastAsia="zh-TW"/>
        </w:rPr>
        <w:t xml:space="preserve"> و9-7.</w:t>
      </w:r>
    </w:p>
  </w:footnote>
  <w:footnote w:id="31">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w:t>
      </w:r>
      <w:r w:rsidRPr="00EE77FD">
        <w:rPr>
          <w:rtl/>
        </w:rPr>
        <w:t>المثال</w:t>
      </w:r>
      <w:r w:rsidRPr="00EE77FD">
        <w:rPr>
          <w:rtl/>
          <w:lang w:eastAsia="zh-TW"/>
        </w:rPr>
        <w:t xml:space="preserve">، </w:t>
      </w:r>
      <w:r w:rsidRPr="008C10B5">
        <w:rPr>
          <w:i/>
          <w:iCs/>
          <w:rtl/>
          <w:lang w:eastAsia="zh-TW"/>
        </w:rPr>
        <w:t>علي فاضل ضد سويسرا</w:t>
      </w:r>
      <w:r w:rsidRPr="00EE77FD">
        <w:rPr>
          <w:rtl/>
          <w:lang w:eastAsia="zh-TW"/>
        </w:rPr>
        <w:t>، الفقرتين 7-7 و7-8.</w:t>
      </w:r>
    </w:p>
  </w:footnote>
  <w:footnote w:id="32">
    <w:p w:rsidR="00714EAE" w:rsidRPr="00EE77FD" w:rsidRDefault="00714EAE" w:rsidP="00714EAE">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rPr>
        <w:t>سيلفي</w:t>
      </w:r>
      <w:r w:rsidRPr="008C10B5">
        <w:rPr>
          <w:i/>
          <w:iCs/>
          <w:rtl/>
          <w:lang w:eastAsia="zh-TW"/>
        </w:rPr>
        <w:t xml:space="preserve"> </w:t>
      </w:r>
      <w:proofErr w:type="spellStart"/>
      <w:r w:rsidRPr="008C10B5">
        <w:rPr>
          <w:i/>
          <w:iCs/>
          <w:rtl/>
          <w:lang w:eastAsia="zh-TW"/>
        </w:rPr>
        <w:t>باكاتو</w:t>
      </w:r>
      <w:proofErr w:type="spellEnd"/>
      <w:r w:rsidR="008C10B5" w:rsidRPr="008C10B5">
        <w:rPr>
          <w:rFonts w:hint="cs"/>
          <w:i/>
          <w:iCs/>
          <w:rtl/>
          <w:lang w:eastAsia="zh-TW"/>
        </w:rPr>
        <w:t xml:space="preserve"> </w:t>
      </w:r>
      <w:r w:rsidRPr="008C10B5">
        <w:rPr>
          <w:i/>
          <w:iCs/>
          <w:rtl/>
          <w:lang w:eastAsia="zh-TW"/>
        </w:rPr>
        <w:t>-</w:t>
      </w:r>
      <w:r w:rsidR="008C10B5" w:rsidRPr="008C10B5">
        <w:rPr>
          <w:rFonts w:hint="cs"/>
          <w:i/>
          <w:iCs/>
          <w:rtl/>
          <w:lang w:eastAsia="zh-TW"/>
        </w:rPr>
        <w:t xml:space="preserve"> </w:t>
      </w:r>
      <w:proofErr w:type="spellStart"/>
      <w:r w:rsidRPr="008C10B5">
        <w:rPr>
          <w:i/>
          <w:iCs/>
          <w:rtl/>
          <w:lang w:eastAsia="zh-TW"/>
        </w:rPr>
        <w:t>بيا</w:t>
      </w:r>
      <w:proofErr w:type="spellEnd"/>
      <w:r w:rsidRPr="008C10B5">
        <w:rPr>
          <w:i/>
          <w:iCs/>
          <w:rtl/>
          <w:lang w:eastAsia="zh-TW"/>
        </w:rPr>
        <w:t xml:space="preserve"> ضد السويد</w:t>
      </w:r>
      <w:r w:rsidRPr="00EE77FD">
        <w:rPr>
          <w:rtl/>
          <w:lang w:eastAsia="zh-TW"/>
        </w:rPr>
        <w:t xml:space="preserve"> (</w:t>
      </w:r>
      <w:r w:rsidRPr="00714EAE">
        <w:rPr>
          <w:lang w:eastAsia="zh-TW"/>
        </w:rPr>
        <w:t>CAT/C/46/D/379/2009</w:t>
      </w:r>
      <w:r w:rsidRPr="00EE77FD">
        <w:rPr>
          <w:rtl/>
          <w:lang w:eastAsia="zh-TW"/>
        </w:rPr>
        <w:t xml:space="preserve">)، الفقرتين 2-2 و10-5؛ </w:t>
      </w:r>
      <w:r w:rsidRPr="008C10B5">
        <w:rPr>
          <w:i/>
          <w:iCs/>
          <w:rtl/>
          <w:lang w:eastAsia="zh-TW"/>
        </w:rPr>
        <w:t>وعلي فاضل ضد سويسرا</w:t>
      </w:r>
      <w:r w:rsidRPr="00EE77FD">
        <w:rPr>
          <w:rtl/>
          <w:lang w:eastAsia="zh-TW"/>
        </w:rPr>
        <w:t>، الفقرة 7-7.</w:t>
      </w:r>
    </w:p>
  </w:footnote>
  <w:footnote w:id="33">
    <w:p w:rsidR="00714EAE" w:rsidRPr="00EE77FD" w:rsidRDefault="00714EAE" w:rsidP="008C10B5">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proofErr w:type="spellStart"/>
      <w:r w:rsidRPr="008C10B5">
        <w:rPr>
          <w:i/>
          <w:iCs/>
          <w:rtl/>
          <w:lang w:eastAsia="zh-TW"/>
        </w:rPr>
        <w:t>راميرو</w:t>
      </w:r>
      <w:proofErr w:type="spellEnd"/>
      <w:r w:rsidRPr="008C10B5">
        <w:rPr>
          <w:i/>
          <w:iCs/>
          <w:rtl/>
          <w:lang w:eastAsia="zh-TW"/>
        </w:rPr>
        <w:t xml:space="preserve"> </w:t>
      </w:r>
      <w:proofErr w:type="spellStart"/>
      <w:r w:rsidRPr="008C10B5">
        <w:rPr>
          <w:i/>
          <w:iCs/>
          <w:rtl/>
        </w:rPr>
        <w:t>راميريز</w:t>
      </w:r>
      <w:proofErr w:type="spellEnd"/>
      <w:r w:rsidRPr="008C10B5">
        <w:rPr>
          <w:i/>
          <w:iCs/>
          <w:rtl/>
          <w:lang w:eastAsia="zh-TW"/>
        </w:rPr>
        <w:t xml:space="preserve"> مارتينيز وآخرون ضد المكسيك</w:t>
      </w:r>
      <w:r w:rsidRPr="00EE77FD">
        <w:rPr>
          <w:rtl/>
          <w:lang w:eastAsia="zh-TW"/>
        </w:rPr>
        <w:t xml:space="preserve"> (</w:t>
      </w:r>
      <w:r w:rsidRPr="00714EAE">
        <w:rPr>
          <w:lang w:eastAsia="zh-TW"/>
        </w:rPr>
        <w:t>CAT/C/55/D/500/2012</w:t>
      </w:r>
      <w:r w:rsidRPr="00EE77FD">
        <w:rPr>
          <w:rtl/>
          <w:lang w:eastAsia="zh-TW"/>
        </w:rPr>
        <w:t>)، الفقرة</w:t>
      </w:r>
      <w:r w:rsidR="008C10B5">
        <w:rPr>
          <w:rFonts w:hint="cs"/>
          <w:rtl/>
          <w:lang w:eastAsia="zh-TW"/>
        </w:rPr>
        <w:t> </w:t>
      </w:r>
      <w:r w:rsidRPr="00EE77FD">
        <w:rPr>
          <w:rtl/>
          <w:lang w:eastAsia="zh-TW"/>
        </w:rPr>
        <w:t xml:space="preserve">17-5؛ </w:t>
      </w:r>
      <w:r w:rsidRPr="008C10B5">
        <w:rPr>
          <w:i/>
          <w:iCs/>
          <w:rtl/>
          <w:lang w:eastAsia="zh-TW"/>
        </w:rPr>
        <w:t xml:space="preserve">وباتريس </w:t>
      </w:r>
      <w:proofErr w:type="spellStart"/>
      <w:r w:rsidRPr="008C10B5">
        <w:rPr>
          <w:i/>
          <w:iCs/>
          <w:rtl/>
          <w:lang w:eastAsia="zh-TW"/>
        </w:rPr>
        <w:t>غاهونغو</w:t>
      </w:r>
      <w:proofErr w:type="spellEnd"/>
      <w:r w:rsidRPr="008C10B5">
        <w:rPr>
          <w:i/>
          <w:iCs/>
          <w:rtl/>
          <w:lang w:eastAsia="zh-TW"/>
        </w:rPr>
        <w:t xml:space="preserve"> ضد بوروندي</w:t>
      </w:r>
      <w:r w:rsidRPr="00EE77FD">
        <w:rPr>
          <w:rtl/>
          <w:lang w:eastAsia="zh-TW"/>
        </w:rPr>
        <w:t xml:space="preserve"> (</w:t>
      </w:r>
      <w:r w:rsidRPr="00714EAE">
        <w:rPr>
          <w:lang w:eastAsia="zh-TW"/>
        </w:rPr>
        <w:t>CAT/C/55/D/522/2012</w:t>
      </w:r>
      <w:r w:rsidRPr="00EE77FD">
        <w:rPr>
          <w:rtl/>
          <w:lang w:eastAsia="zh-TW"/>
        </w:rPr>
        <w:t xml:space="preserve">)، الفقرة 7-6. </w:t>
      </w:r>
    </w:p>
  </w:footnote>
  <w:footnote w:id="34">
    <w:p w:rsidR="00714EAE" w:rsidRPr="00EE77FD" w:rsidRDefault="00714EAE" w:rsidP="00714EAE">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lang w:eastAsia="zh-TW"/>
        </w:rPr>
        <w:t>توني شاهين ضد السويد</w:t>
      </w:r>
      <w:r w:rsidRPr="00EE77FD">
        <w:rPr>
          <w:rtl/>
          <w:lang w:eastAsia="zh-TW"/>
        </w:rPr>
        <w:t xml:space="preserve"> (</w:t>
      </w:r>
      <w:r w:rsidRPr="00714EAE">
        <w:rPr>
          <w:lang w:eastAsia="zh-TW"/>
        </w:rPr>
        <w:t>CAT/C/46/D/310/2007</w:t>
      </w:r>
      <w:r w:rsidRPr="00EE77FD">
        <w:rPr>
          <w:rtl/>
          <w:lang w:eastAsia="zh-TW"/>
        </w:rPr>
        <w:t xml:space="preserve">)، الفقرة 9-٤؛ </w:t>
      </w:r>
      <w:proofErr w:type="spellStart"/>
      <w:r w:rsidRPr="008C10B5">
        <w:rPr>
          <w:i/>
          <w:iCs/>
          <w:rtl/>
          <w:lang w:eastAsia="zh-TW"/>
        </w:rPr>
        <w:t>وناصيروف</w:t>
      </w:r>
      <w:proofErr w:type="spellEnd"/>
      <w:r w:rsidRPr="008C10B5">
        <w:rPr>
          <w:i/>
          <w:iCs/>
          <w:rtl/>
          <w:lang w:eastAsia="zh-TW"/>
        </w:rPr>
        <w:t xml:space="preserve"> ضد كازاخستان</w:t>
      </w:r>
      <w:r w:rsidRPr="00EE77FD">
        <w:rPr>
          <w:rtl/>
          <w:lang w:eastAsia="zh-TW"/>
        </w:rPr>
        <w:t>، الفقرات 2-2 و11-6 و11-9.</w:t>
      </w:r>
    </w:p>
  </w:footnote>
  <w:footnote w:id="35">
    <w:p w:rsidR="00714EAE" w:rsidRPr="00EE77FD" w:rsidRDefault="00714EAE" w:rsidP="00714EAE">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proofErr w:type="spellStart"/>
      <w:r w:rsidRPr="008C10B5">
        <w:rPr>
          <w:i/>
          <w:iCs/>
          <w:rtl/>
          <w:lang w:eastAsia="zh-TW"/>
        </w:rPr>
        <w:t>راميرو</w:t>
      </w:r>
      <w:proofErr w:type="spellEnd"/>
      <w:r w:rsidRPr="008C10B5">
        <w:rPr>
          <w:i/>
          <w:iCs/>
          <w:rtl/>
          <w:lang w:eastAsia="zh-TW"/>
        </w:rPr>
        <w:t xml:space="preserve"> </w:t>
      </w:r>
      <w:proofErr w:type="spellStart"/>
      <w:r w:rsidRPr="008C10B5">
        <w:rPr>
          <w:i/>
          <w:iCs/>
          <w:rtl/>
          <w:lang w:eastAsia="zh-TW"/>
        </w:rPr>
        <w:t>راميريز</w:t>
      </w:r>
      <w:proofErr w:type="spellEnd"/>
      <w:r w:rsidRPr="008C10B5">
        <w:rPr>
          <w:i/>
          <w:iCs/>
          <w:rtl/>
          <w:lang w:eastAsia="zh-TW"/>
        </w:rPr>
        <w:t xml:space="preserve"> مارتينيز وآخرون ضد المكسيك</w:t>
      </w:r>
      <w:r w:rsidRPr="00EE77FD">
        <w:rPr>
          <w:rtl/>
          <w:lang w:eastAsia="zh-TW"/>
        </w:rPr>
        <w:t xml:space="preserve">، الفقرة 17-5؛ </w:t>
      </w:r>
      <w:r w:rsidRPr="008C10B5">
        <w:rPr>
          <w:i/>
          <w:iCs/>
          <w:rtl/>
          <w:lang w:eastAsia="zh-TW"/>
        </w:rPr>
        <w:t xml:space="preserve">وباتريس </w:t>
      </w:r>
      <w:proofErr w:type="spellStart"/>
      <w:r w:rsidRPr="008C10B5">
        <w:rPr>
          <w:i/>
          <w:iCs/>
          <w:rtl/>
          <w:lang w:eastAsia="zh-TW"/>
        </w:rPr>
        <w:t>غاهونغو</w:t>
      </w:r>
      <w:proofErr w:type="spellEnd"/>
      <w:r w:rsidRPr="008C10B5">
        <w:rPr>
          <w:i/>
          <w:iCs/>
          <w:rtl/>
          <w:lang w:eastAsia="zh-TW"/>
        </w:rPr>
        <w:t xml:space="preserve"> ضد بوروندي</w:t>
      </w:r>
      <w:r w:rsidRPr="00EE77FD">
        <w:rPr>
          <w:rtl/>
          <w:lang w:eastAsia="zh-TW"/>
        </w:rPr>
        <w:t xml:space="preserve">، الفقرة 7-7؛ </w:t>
      </w:r>
      <w:r w:rsidRPr="008C10B5">
        <w:rPr>
          <w:i/>
          <w:iCs/>
          <w:rtl/>
          <w:lang w:eastAsia="zh-TW"/>
        </w:rPr>
        <w:t>وإكس ضد بوروندي</w:t>
      </w:r>
      <w:r w:rsidRPr="00EE77FD">
        <w:rPr>
          <w:rtl/>
          <w:lang w:eastAsia="zh-TW"/>
        </w:rPr>
        <w:t xml:space="preserve"> (</w:t>
      </w:r>
      <w:r w:rsidRPr="00714EAE">
        <w:rPr>
          <w:lang w:eastAsia="zh-TW"/>
        </w:rPr>
        <w:t>CAT/C/55/D/553/2013</w:t>
      </w:r>
      <w:r w:rsidRPr="00EE77FD">
        <w:rPr>
          <w:rtl/>
          <w:lang w:eastAsia="zh-TW"/>
        </w:rPr>
        <w:t>)، الفقرة 7-5.</w:t>
      </w:r>
    </w:p>
  </w:footnote>
  <w:footnote w:id="36">
    <w:p w:rsidR="00714EAE" w:rsidRPr="00EE77FD" w:rsidRDefault="00714EAE" w:rsidP="008C10B5">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proofErr w:type="spellStart"/>
      <w:r w:rsidRPr="008C10B5">
        <w:rPr>
          <w:i/>
          <w:iCs/>
          <w:rtl/>
        </w:rPr>
        <w:t>كومباي</w:t>
      </w:r>
      <w:proofErr w:type="spellEnd"/>
      <w:r w:rsidRPr="008C10B5">
        <w:rPr>
          <w:i/>
          <w:iCs/>
          <w:rtl/>
          <w:lang w:eastAsia="zh-TW"/>
        </w:rPr>
        <w:t xml:space="preserve"> برايس </w:t>
      </w:r>
      <w:proofErr w:type="spellStart"/>
      <w:r w:rsidRPr="008C10B5">
        <w:rPr>
          <w:i/>
          <w:iCs/>
          <w:rtl/>
          <w:lang w:eastAsia="zh-TW"/>
        </w:rPr>
        <w:t>ماغلوار</w:t>
      </w:r>
      <w:proofErr w:type="spellEnd"/>
      <w:r w:rsidRPr="008C10B5">
        <w:rPr>
          <w:i/>
          <w:iCs/>
          <w:rtl/>
          <w:lang w:eastAsia="zh-TW"/>
        </w:rPr>
        <w:t xml:space="preserve"> </w:t>
      </w:r>
      <w:proofErr w:type="spellStart"/>
      <w:r w:rsidRPr="008C10B5">
        <w:rPr>
          <w:i/>
          <w:iCs/>
          <w:rtl/>
          <w:lang w:eastAsia="zh-TW"/>
        </w:rPr>
        <w:t>غبادجافي</w:t>
      </w:r>
      <w:proofErr w:type="spellEnd"/>
      <w:r w:rsidRPr="008C10B5">
        <w:rPr>
          <w:i/>
          <w:iCs/>
          <w:rtl/>
          <w:lang w:eastAsia="zh-TW"/>
        </w:rPr>
        <w:t xml:space="preserve"> ضد سويسرا</w:t>
      </w:r>
      <w:r w:rsidRPr="00EE77FD">
        <w:rPr>
          <w:rtl/>
          <w:lang w:eastAsia="zh-TW"/>
        </w:rPr>
        <w:t xml:space="preserve"> (</w:t>
      </w:r>
      <w:r w:rsidRPr="00714EAE">
        <w:rPr>
          <w:lang w:eastAsia="zh-TW"/>
        </w:rPr>
        <w:t>CAT/C/48/D/396/2009</w:t>
      </w:r>
      <w:r w:rsidRPr="00EE77FD">
        <w:rPr>
          <w:rtl/>
          <w:lang w:eastAsia="zh-TW"/>
        </w:rPr>
        <w:t>)، الفقرات</w:t>
      </w:r>
      <w:r w:rsidR="008C10B5">
        <w:rPr>
          <w:rFonts w:hint="cs"/>
          <w:rtl/>
          <w:lang w:eastAsia="zh-TW"/>
        </w:rPr>
        <w:t> </w:t>
      </w:r>
      <w:r w:rsidRPr="00EE77FD">
        <w:rPr>
          <w:rtl/>
          <w:lang w:eastAsia="zh-TW"/>
        </w:rPr>
        <w:t xml:space="preserve">2-1 ومن 7-5 إلى 7-8؛ </w:t>
      </w:r>
      <w:r w:rsidRPr="008C10B5">
        <w:rPr>
          <w:i/>
          <w:iCs/>
          <w:rtl/>
          <w:lang w:eastAsia="zh-TW"/>
        </w:rPr>
        <w:t>وعلي فاضل ضد سويسرا</w:t>
      </w:r>
      <w:r w:rsidRPr="00EE77FD">
        <w:rPr>
          <w:rtl/>
          <w:lang w:eastAsia="zh-TW"/>
        </w:rPr>
        <w:t>، الفقرات 2-4 ومن 7-6 إلى 7-8.</w:t>
      </w:r>
    </w:p>
  </w:footnote>
  <w:footnote w:id="37">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proofErr w:type="spellStart"/>
      <w:r w:rsidRPr="008C10B5">
        <w:rPr>
          <w:i/>
          <w:iCs/>
          <w:rtl/>
          <w:lang w:eastAsia="zh-TW"/>
        </w:rPr>
        <w:t>راميرو</w:t>
      </w:r>
      <w:proofErr w:type="spellEnd"/>
      <w:r w:rsidRPr="008C10B5">
        <w:rPr>
          <w:i/>
          <w:iCs/>
          <w:rtl/>
          <w:lang w:eastAsia="zh-TW"/>
        </w:rPr>
        <w:t xml:space="preserve"> </w:t>
      </w:r>
      <w:proofErr w:type="spellStart"/>
      <w:r w:rsidRPr="008C10B5">
        <w:rPr>
          <w:i/>
          <w:iCs/>
          <w:rtl/>
          <w:lang w:eastAsia="zh-TW"/>
        </w:rPr>
        <w:t>راميريز</w:t>
      </w:r>
      <w:proofErr w:type="spellEnd"/>
      <w:r w:rsidRPr="008C10B5">
        <w:rPr>
          <w:i/>
          <w:iCs/>
          <w:rtl/>
          <w:lang w:eastAsia="zh-TW"/>
        </w:rPr>
        <w:t xml:space="preserve"> مارتينيز وآخرون ضد المكسيك</w:t>
      </w:r>
      <w:r w:rsidRPr="00EE77FD">
        <w:rPr>
          <w:rtl/>
          <w:lang w:eastAsia="zh-TW"/>
        </w:rPr>
        <w:t xml:space="preserve">، الفقرتين 17-5 و17-6؛ </w:t>
      </w:r>
      <w:r w:rsidRPr="008C10B5">
        <w:rPr>
          <w:i/>
          <w:iCs/>
          <w:rtl/>
          <w:lang w:eastAsia="zh-TW"/>
        </w:rPr>
        <w:t xml:space="preserve">وباتريس </w:t>
      </w:r>
      <w:proofErr w:type="spellStart"/>
      <w:r w:rsidRPr="008C10B5">
        <w:rPr>
          <w:i/>
          <w:iCs/>
          <w:rtl/>
          <w:lang w:eastAsia="zh-TW"/>
        </w:rPr>
        <w:t>غاهونغو</w:t>
      </w:r>
      <w:proofErr w:type="spellEnd"/>
      <w:r w:rsidRPr="008C10B5">
        <w:rPr>
          <w:i/>
          <w:iCs/>
          <w:rtl/>
          <w:lang w:eastAsia="zh-TW"/>
        </w:rPr>
        <w:t xml:space="preserve"> ضد بوروندي</w:t>
      </w:r>
      <w:r w:rsidRPr="00EE77FD">
        <w:rPr>
          <w:rtl/>
          <w:lang w:eastAsia="zh-TW"/>
        </w:rPr>
        <w:t xml:space="preserve">، الفقرة 7-7؛ </w:t>
      </w:r>
      <w:r w:rsidRPr="008C10B5">
        <w:rPr>
          <w:i/>
          <w:iCs/>
          <w:rtl/>
          <w:lang w:eastAsia="zh-TW"/>
        </w:rPr>
        <w:t>وإكس ضد بوروندي</w:t>
      </w:r>
      <w:r w:rsidRPr="00EE77FD">
        <w:rPr>
          <w:rtl/>
          <w:lang w:eastAsia="zh-TW"/>
        </w:rPr>
        <w:t>، الفقرتين 7-5 و7-6.</w:t>
      </w:r>
    </w:p>
  </w:footnote>
  <w:footnote w:id="38">
    <w:p w:rsidR="00714EAE" w:rsidRPr="00EE77FD" w:rsidRDefault="00714EAE" w:rsidP="00714EAE">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lang w:eastAsia="zh-TW"/>
        </w:rPr>
        <w:t>ف. ك. ضد الدانمرك</w:t>
      </w:r>
      <w:r w:rsidRPr="00EE77FD">
        <w:rPr>
          <w:rtl/>
          <w:lang w:eastAsia="zh-TW"/>
        </w:rPr>
        <w:t xml:space="preserve"> (</w:t>
      </w:r>
      <w:r w:rsidRPr="00714EAE">
        <w:rPr>
          <w:lang w:eastAsia="zh-TW"/>
        </w:rPr>
        <w:t>CAT/C/56/D/580/2014</w:t>
      </w:r>
      <w:r w:rsidRPr="00EE77FD">
        <w:rPr>
          <w:rtl/>
          <w:lang w:eastAsia="zh-TW"/>
        </w:rPr>
        <w:t>)، الفقرتين 7-5 و7-6.</w:t>
      </w:r>
    </w:p>
  </w:footnote>
  <w:footnote w:id="39">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lang w:eastAsia="zh-TW"/>
        </w:rPr>
        <w:t xml:space="preserve">سيلفي </w:t>
      </w:r>
      <w:proofErr w:type="spellStart"/>
      <w:r w:rsidRPr="008C10B5">
        <w:rPr>
          <w:i/>
          <w:iCs/>
          <w:rtl/>
        </w:rPr>
        <w:t>باكاتو</w:t>
      </w:r>
      <w:proofErr w:type="spellEnd"/>
      <w:r w:rsidR="008C10B5" w:rsidRPr="008C10B5">
        <w:rPr>
          <w:rFonts w:hint="cs"/>
          <w:i/>
          <w:iCs/>
          <w:rtl/>
        </w:rPr>
        <w:t xml:space="preserve"> </w:t>
      </w:r>
      <w:r w:rsidRPr="008C10B5">
        <w:rPr>
          <w:i/>
          <w:iCs/>
          <w:rtl/>
          <w:lang w:eastAsia="zh-TW"/>
        </w:rPr>
        <w:t>-</w:t>
      </w:r>
      <w:r w:rsidR="008C10B5" w:rsidRPr="008C10B5">
        <w:rPr>
          <w:rFonts w:hint="cs"/>
          <w:i/>
          <w:iCs/>
          <w:rtl/>
          <w:lang w:eastAsia="zh-TW"/>
        </w:rPr>
        <w:t xml:space="preserve"> </w:t>
      </w:r>
      <w:proofErr w:type="spellStart"/>
      <w:r w:rsidRPr="008C10B5">
        <w:rPr>
          <w:i/>
          <w:iCs/>
          <w:rtl/>
          <w:lang w:eastAsia="zh-TW"/>
        </w:rPr>
        <w:t>بيا</w:t>
      </w:r>
      <w:proofErr w:type="spellEnd"/>
      <w:r w:rsidRPr="008C10B5">
        <w:rPr>
          <w:i/>
          <w:iCs/>
          <w:rtl/>
          <w:lang w:eastAsia="zh-TW"/>
        </w:rPr>
        <w:t xml:space="preserve"> ضد السويد</w:t>
      </w:r>
      <w:r w:rsidRPr="00EE77FD">
        <w:rPr>
          <w:rtl/>
          <w:lang w:eastAsia="zh-TW"/>
        </w:rPr>
        <w:t>، الفقرات 10-5 إلى 10-7.</w:t>
      </w:r>
    </w:p>
  </w:footnote>
  <w:footnote w:id="40">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lang w:eastAsia="zh-TW"/>
        </w:rPr>
        <w:t>أغيزا ضد السويد</w:t>
      </w:r>
      <w:r w:rsidRPr="00EE77FD">
        <w:rPr>
          <w:rtl/>
          <w:lang w:eastAsia="zh-TW"/>
        </w:rPr>
        <w:t>، الفقرة 13-4؛ و</w:t>
      </w:r>
      <w:r w:rsidRPr="00F30E70">
        <w:rPr>
          <w:i/>
          <w:iCs/>
          <w:rtl/>
          <w:lang w:eastAsia="zh-TW"/>
        </w:rPr>
        <w:t>علي فاضل ضد سويسرا</w:t>
      </w:r>
      <w:r w:rsidRPr="00EE77FD">
        <w:rPr>
          <w:rtl/>
          <w:lang w:eastAsia="zh-TW"/>
        </w:rPr>
        <w:t>، الفقرة 7-8.</w:t>
      </w:r>
    </w:p>
  </w:footnote>
  <w:footnote w:id="41">
    <w:p w:rsidR="00714EAE" w:rsidRPr="00EE77FD" w:rsidRDefault="00714EAE" w:rsidP="00F30E70">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lang w:eastAsia="zh-TW"/>
        </w:rPr>
        <w:t>توني شاهين ضد السويد</w:t>
      </w:r>
      <w:r w:rsidRPr="00EE77FD">
        <w:rPr>
          <w:rtl/>
          <w:lang w:eastAsia="zh-TW"/>
        </w:rPr>
        <w:t xml:space="preserve">، الفقرة 9-5؛ </w:t>
      </w:r>
      <w:proofErr w:type="spellStart"/>
      <w:r w:rsidRPr="008C10B5">
        <w:rPr>
          <w:i/>
          <w:iCs/>
          <w:rtl/>
          <w:lang w:eastAsia="zh-TW"/>
        </w:rPr>
        <w:t>وتورسونوف</w:t>
      </w:r>
      <w:proofErr w:type="spellEnd"/>
      <w:r w:rsidRPr="008C10B5">
        <w:rPr>
          <w:i/>
          <w:iCs/>
          <w:rtl/>
          <w:lang w:eastAsia="zh-TW"/>
        </w:rPr>
        <w:t xml:space="preserve"> ضد كازاخستان</w:t>
      </w:r>
      <w:r w:rsidRPr="00EE77FD">
        <w:rPr>
          <w:rtl/>
          <w:lang w:eastAsia="zh-TW"/>
        </w:rPr>
        <w:t>، الفقرة 9-8</w:t>
      </w:r>
      <w:r w:rsidR="00F30E70">
        <w:rPr>
          <w:rFonts w:hint="cs"/>
          <w:rtl/>
          <w:lang w:eastAsia="zh-TW"/>
        </w:rPr>
        <w:t>.</w:t>
      </w:r>
    </w:p>
  </w:footnote>
  <w:footnote w:id="42">
    <w:p w:rsidR="00714EAE" w:rsidRPr="00EE77FD" w:rsidRDefault="00714EAE" w:rsidP="00714EAE">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lang w:eastAsia="zh-TW"/>
        </w:rPr>
        <w:t>رُبى الحاج علي ضد المغرب</w:t>
      </w:r>
      <w:r w:rsidRPr="00EE77FD">
        <w:rPr>
          <w:rtl/>
          <w:lang w:eastAsia="zh-TW"/>
        </w:rPr>
        <w:t xml:space="preserve"> (</w:t>
      </w:r>
      <w:r w:rsidRPr="00714EAE">
        <w:rPr>
          <w:lang w:eastAsia="zh-TW"/>
        </w:rPr>
        <w:t>CAT/C/58/D/682/2015</w:t>
      </w:r>
      <w:r w:rsidRPr="00EE77FD">
        <w:rPr>
          <w:rtl/>
          <w:lang w:eastAsia="zh-TW"/>
        </w:rPr>
        <w:t>)، الفقرات 8-5 إلى 8-8.</w:t>
      </w:r>
    </w:p>
  </w:footnote>
  <w:footnote w:id="43">
    <w:p w:rsidR="00714EAE" w:rsidRPr="00EE77FD" w:rsidRDefault="00714EAE" w:rsidP="00714EAE">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الماثل، </w:t>
      </w:r>
      <w:dir w:val="rtl">
        <w:r w:rsidRPr="00EE77FD">
          <w:rPr>
            <w:rtl/>
            <w:lang w:eastAsia="zh-TW"/>
          </w:rPr>
          <w:t>الملاحظات الختامية بشأن التقرير الجامع للتقريرين الدوريين الرابع والخامس لكرواتيا (</w:t>
        </w:r>
        <w:r w:rsidRPr="00714EAE">
          <w:rPr>
            <w:lang w:eastAsia="zh-TW"/>
          </w:rPr>
          <w:t>CAT/C/HRV/CO/4-5</w:t>
        </w:r>
        <w:r w:rsidRPr="00EE77FD">
          <w:rPr>
            <w:rtl/>
            <w:lang w:eastAsia="zh-TW"/>
          </w:rPr>
          <w:t xml:space="preserve">)، الفقرة 11؛ والملاحظات الختامية </w:t>
        </w:r>
        <w:r w:rsidRPr="00EE77FD">
          <w:rPr>
            <w:rtl/>
          </w:rPr>
          <w:t>بشأن</w:t>
        </w:r>
        <w:r w:rsidRPr="00EE77FD">
          <w:rPr>
            <w:rtl/>
            <w:lang w:eastAsia="zh-TW"/>
          </w:rPr>
          <w:t xml:space="preserve"> التقرير الدوري الثالث لجمهورية مقدونيا اليوغوسلافية سابقاً (</w:t>
        </w:r>
        <w:r w:rsidRPr="00714EAE">
          <w:rPr>
            <w:lang w:eastAsia="zh-TW"/>
          </w:rPr>
          <w:t>CAT/C/MKD/CO/3</w:t>
        </w:r>
        <w:r w:rsidRPr="00EE77FD">
          <w:rPr>
            <w:rtl/>
            <w:lang w:eastAsia="zh-TW"/>
          </w:rPr>
          <w:t xml:space="preserve">)، الفقرة ١٦. </w:t>
        </w:r>
        <w:r w:rsidRPr="00EE77FD">
          <w:t>‬</w:t>
        </w:r>
        <w:r w:rsidRPr="00EE77FD">
          <w:t>‬</w:t>
        </w:r>
        <w:r w:rsidR="002F142B">
          <w:t>‬</w:t>
        </w:r>
        <w:r w:rsidR="00DA073F">
          <w:t>‬</w:t>
        </w:r>
        <w:r w:rsidR="006535F6">
          <w:t>‬</w:t>
        </w:r>
      </w:dir>
    </w:p>
  </w:footnote>
  <w:footnote w:id="44">
    <w:p w:rsidR="00714EAE" w:rsidRPr="00EE77FD" w:rsidRDefault="00714EAE" w:rsidP="00FF10D1">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رغم أن اللجنة لم تقتبس مباشرة أحكام اتفاقيات جنيف وبروتوكولاتها الإضافية، فإنها أشارت في اجتهاداتها إلى </w:t>
      </w:r>
      <w:r w:rsidRPr="00EF3CE9">
        <w:rPr>
          <w:spacing w:val="-4"/>
          <w:rtl/>
          <w:lang w:eastAsia="zh-TW"/>
        </w:rPr>
        <w:t xml:space="preserve">حالات مشمولة بتلك الأحكام، في الملاحظات الختامية بشأن التقرير </w:t>
      </w:r>
      <w:r w:rsidRPr="00EF3CE9">
        <w:rPr>
          <w:spacing w:val="-4"/>
          <w:rtl/>
        </w:rPr>
        <w:t>الدوري</w:t>
      </w:r>
      <w:r w:rsidRPr="00EF3CE9">
        <w:rPr>
          <w:spacing w:val="-4"/>
          <w:rtl/>
          <w:lang w:eastAsia="zh-TW"/>
        </w:rPr>
        <w:t xml:space="preserve"> الرابع تركيا (</w:t>
      </w:r>
      <w:r w:rsidRPr="00EF3CE9">
        <w:rPr>
          <w:spacing w:val="-4"/>
          <w:lang w:eastAsia="zh-TW"/>
        </w:rPr>
        <w:t>CAT/C/TUR/CO/4</w:t>
      </w:r>
      <w:r w:rsidRPr="00EF3CE9">
        <w:rPr>
          <w:spacing w:val="-4"/>
          <w:rtl/>
          <w:lang w:eastAsia="zh-TW"/>
        </w:rPr>
        <w:t>،</w:t>
      </w:r>
      <w:r w:rsidRPr="00EE77FD">
        <w:rPr>
          <w:rtl/>
          <w:lang w:eastAsia="zh-TW"/>
        </w:rPr>
        <w:t xml:space="preserve"> الفقرات ١٢ و٢٣</w:t>
      </w:r>
      <w:r w:rsidR="008C10B5">
        <w:rPr>
          <w:rFonts w:hint="cs"/>
          <w:rtl/>
          <w:lang w:eastAsia="zh-TW"/>
        </w:rPr>
        <w:t>-</w:t>
      </w:r>
      <w:r w:rsidRPr="00EE77FD">
        <w:rPr>
          <w:rtl/>
          <w:lang w:eastAsia="zh-TW"/>
        </w:rPr>
        <w:t>٢٦)؛ والملاحظات الختامية بشأن التقرير الجامع للتقريرين الدوريين الخامس والسادس لإيطاليا (</w:t>
      </w:r>
      <w:r w:rsidRPr="00714EAE">
        <w:rPr>
          <w:lang w:eastAsia="zh-TW"/>
        </w:rPr>
        <w:t>CAT/C/ITA/CO/5-6</w:t>
      </w:r>
      <w:r w:rsidRPr="00EE77FD">
        <w:rPr>
          <w:rtl/>
          <w:lang w:eastAsia="zh-TW"/>
        </w:rPr>
        <w:t>)، الفقرات 20-23، بين مراجع أخرى</w:t>
      </w:r>
      <w:r w:rsidR="00FF10D1">
        <w:rPr>
          <w:rFonts w:hint="cs"/>
          <w:rtl/>
          <w:lang w:eastAsia="zh-TW"/>
        </w:rPr>
        <w:t>.</w:t>
      </w:r>
      <w:r w:rsidRPr="00EE77FD">
        <w:rPr>
          <w:rtl/>
          <w:lang w:eastAsia="zh-TW"/>
        </w:rPr>
        <w:t xml:space="preserve"> </w:t>
      </w:r>
    </w:p>
  </w:footnote>
  <w:footnote w:id="45">
    <w:p w:rsidR="00714EAE" w:rsidRPr="00EE77FD" w:rsidRDefault="00714EAE" w:rsidP="008C10B5">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008C10B5">
        <w:rPr>
          <w:rtl/>
          <w:lang w:eastAsia="zh-TW"/>
        </w:rPr>
        <w:t>تنص المادة ٣(١)</w:t>
      </w:r>
      <w:r w:rsidRPr="00EE77FD">
        <w:rPr>
          <w:rtl/>
          <w:lang w:eastAsia="zh-TW"/>
        </w:rPr>
        <w:t xml:space="preserve">(أ) من اتفاقيات جنيف الأربع على أنه في حالة نشوب نزاع مسلح ليس له طابع دولي، يكون العنف ضد الحياة والأشخاص، وبخاصة القتل بجميع أشكاله، والتشويه، </w:t>
      </w:r>
      <w:r w:rsidRPr="00EE77FD">
        <w:rPr>
          <w:rtl/>
        </w:rPr>
        <w:t>والمعاملة</w:t>
      </w:r>
      <w:r w:rsidRPr="00EE77FD">
        <w:rPr>
          <w:rtl/>
          <w:lang w:eastAsia="zh-TW"/>
        </w:rPr>
        <w:t xml:space="preserve"> القاسية، والتعذيب، محظوراً ويظل محظوراً فيما يتعلق بالأشخاص الذين لا يشاركون مشاركة نشطة في أعمال القتال. انظر، على </w:t>
      </w:r>
      <w:r w:rsidRPr="0007182E">
        <w:rPr>
          <w:spacing w:val="-4"/>
          <w:rtl/>
          <w:lang w:eastAsia="zh-TW"/>
        </w:rPr>
        <w:t>سبيل المثال، الملاحظات الختامية بشأن التقرير الدوري الرابع للاتحاد الروسي (</w:t>
      </w:r>
      <w:r w:rsidRPr="0007182E">
        <w:rPr>
          <w:spacing w:val="-4"/>
          <w:lang w:eastAsia="zh-TW"/>
        </w:rPr>
        <w:t>CAT/C/RUS/CO/4</w:t>
      </w:r>
      <w:r w:rsidRPr="0007182E">
        <w:rPr>
          <w:spacing w:val="-4"/>
          <w:rtl/>
          <w:lang w:eastAsia="zh-TW"/>
        </w:rPr>
        <w:t>)، الفقرة</w:t>
      </w:r>
      <w:r w:rsidR="008C10B5" w:rsidRPr="0007182E">
        <w:rPr>
          <w:rFonts w:hint="cs"/>
          <w:spacing w:val="-4"/>
          <w:rtl/>
          <w:lang w:eastAsia="zh-TW"/>
        </w:rPr>
        <w:t> </w:t>
      </w:r>
      <w:r w:rsidRPr="0007182E">
        <w:rPr>
          <w:spacing w:val="-4"/>
          <w:rtl/>
          <w:lang w:eastAsia="zh-TW"/>
        </w:rPr>
        <w:t>24؛</w:t>
      </w:r>
      <w:r w:rsidRPr="00EE77FD">
        <w:rPr>
          <w:rtl/>
          <w:lang w:eastAsia="zh-TW"/>
        </w:rPr>
        <w:t xml:space="preserve"> والملاحظات الختامية بشأن التقرير الدوري السادس لأوكرانيا (</w:t>
      </w:r>
      <w:r w:rsidRPr="00714EAE">
        <w:rPr>
          <w:lang w:eastAsia="zh-TW"/>
        </w:rPr>
        <w:t>CAT/C/UKR/CO/6</w:t>
      </w:r>
      <w:r w:rsidR="00FF10D1">
        <w:rPr>
          <w:rtl/>
          <w:lang w:eastAsia="zh-TW"/>
        </w:rPr>
        <w:t>)، الفقرة 11</w:t>
      </w:r>
      <w:r w:rsidR="00FF10D1">
        <w:rPr>
          <w:rFonts w:hint="cs"/>
          <w:rtl/>
          <w:lang w:eastAsia="zh-TW"/>
        </w:rPr>
        <w:t>.</w:t>
      </w:r>
      <w:r w:rsidRPr="00EE77FD">
        <w:rPr>
          <w:rtl/>
          <w:lang w:eastAsia="zh-TW"/>
        </w:rPr>
        <w:t xml:space="preserve"> </w:t>
      </w:r>
    </w:p>
  </w:footnote>
  <w:footnote w:id="46">
    <w:p w:rsidR="00714EAE" w:rsidRPr="00EE77FD" w:rsidRDefault="00714EAE" w:rsidP="00FF10D1">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تنص الما</w:t>
      </w:r>
      <w:r w:rsidR="008C10B5">
        <w:rPr>
          <w:rtl/>
          <w:lang w:eastAsia="zh-TW"/>
        </w:rPr>
        <w:t>دة ٤</w:t>
      </w:r>
      <w:r w:rsidRPr="00EE77FD">
        <w:rPr>
          <w:rtl/>
          <w:lang w:eastAsia="zh-TW"/>
        </w:rPr>
        <w:t>(١) من البروتوكول الثاني، الذي اعتمد في ٨ حزيران/</w:t>
      </w:r>
      <w:proofErr w:type="gramStart"/>
      <w:r w:rsidRPr="00EE77FD">
        <w:rPr>
          <w:rtl/>
          <w:lang w:eastAsia="zh-TW"/>
        </w:rPr>
        <w:t>يونيه</w:t>
      </w:r>
      <w:proofErr w:type="gramEnd"/>
      <w:r w:rsidRPr="00EE77FD">
        <w:rPr>
          <w:rtl/>
          <w:lang w:eastAsia="zh-TW"/>
        </w:rPr>
        <w:t xml:space="preserve"> ١٩٧٧، على أن جميع الأشخاص الذين لا يشاركون مشاركة مباشرة أو الذين كفوا عن المشاركة في أعمال القتال (بالإشارة إلى النزاعات المسلحة المشار إليها في الفقرة ٢ من اتفاقيات جنيف والمادة 1 من بروتوكولاتها الإضافية)، سواء كانت حريتهم قد قُيِّدت أم لم تُقيَّد، </w:t>
      </w:r>
      <w:r w:rsidRPr="00EE77FD">
        <w:rPr>
          <w:rtl/>
        </w:rPr>
        <w:t>لهم</w:t>
      </w:r>
      <w:r w:rsidRPr="00EE77FD">
        <w:rPr>
          <w:rtl/>
          <w:lang w:eastAsia="zh-TW"/>
        </w:rPr>
        <w:t xml:space="preserve"> الحق في أن يُحترَم شخصهم وشرفهم ومعتقداتهم وم</w:t>
      </w:r>
      <w:r w:rsidR="008C10B5">
        <w:rPr>
          <w:rtl/>
          <w:lang w:eastAsia="zh-TW"/>
        </w:rPr>
        <w:t>مارساتهم الدينية. وتنص المادة ٤</w:t>
      </w:r>
      <w:r w:rsidRPr="00EE77FD">
        <w:rPr>
          <w:rtl/>
          <w:lang w:eastAsia="zh-TW"/>
        </w:rPr>
        <w:t>(٢) من البروتوكول على أن الأفعال التالية ضد ا</w:t>
      </w:r>
      <w:r w:rsidR="008C10B5">
        <w:rPr>
          <w:rtl/>
          <w:lang w:eastAsia="zh-TW"/>
        </w:rPr>
        <w:t>لأشخاص المشار إليهم في المادة ٤</w:t>
      </w:r>
      <w:r w:rsidRPr="00EE77FD">
        <w:rPr>
          <w:rtl/>
          <w:lang w:eastAsia="zh-TW"/>
        </w:rPr>
        <w:t>(١) محظورة وستظل محظورة في أي زمان ومكان: (أ) العنف ضد الحياة والصحة البدنية أو العقلية للأشخاص، ولا سيما القتل والمعاملة القاسية من قبيل التعذيب أو التشويه أو أي شكل من أشكال العقوبة البدنية؛ (ب) العقوبات الجماعية؛ (ج)</w:t>
      </w:r>
      <w:r w:rsidR="008C10B5">
        <w:rPr>
          <w:rFonts w:hint="cs"/>
          <w:rtl/>
          <w:lang w:eastAsia="zh-TW"/>
        </w:rPr>
        <w:t> </w:t>
      </w:r>
      <w:r w:rsidRPr="00EE77FD">
        <w:rPr>
          <w:rtl/>
          <w:lang w:eastAsia="zh-TW"/>
        </w:rPr>
        <w:t>أخذ الرهائن؛ (د) الأعمال الإرهابية؛ (هـ) انتهاك الكرامة الشخصية، وبوجه خاص المعاملة المهينة والمحطة من قدره الإنسان والاغتصاب والإكراه علي الدعارة وأية صورة من صور خدش الحياء؛ (و) الرق وتجارة الرقيق بجميع أشكالها؛ (ز) النهب؛ (ح) التهديد بارتكاب أي من الأفعال المذكورة آنفاً. انظر، على سبيل المثال، الملاحظات الختامية بشأن التقرير الأولي للبنان (</w:t>
      </w:r>
      <w:r w:rsidRPr="00EE77FD">
        <w:t>CAT/C/LBN/CO/1</w:t>
      </w:r>
      <w:r w:rsidRPr="00EE77FD">
        <w:rPr>
          <w:rtl/>
          <w:lang w:eastAsia="zh-TW"/>
        </w:rPr>
        <w:t>)، الفقرة 11؛ والملاحظات الختامية بشأن التقرير الدوري الرابع لتركيا (</w:t>
      </w:r>
      <w:r w:rsidRPr="00EE77FD">
        <w:t>CAT/C/TUR/CO/4</w:t>
      </w:r>
      <w:r w:rsidRPr="00EE77FD">
        <w:rPr>
          <w:rtl/>
          <w:lang w:eastAsia="zh-TW"/>
        </w:rPr>
        <w:t>)، الفقرة 12</w:t>
      </w:r>
      <w:r w:rsidR="00FF10D1">
        <w:rPr>
          <w:rFonts w:hint="cs"/>
          <w:rtl/>
          <w:lang w:eastAsia="zh-TW"/>
        </w:rPr>
        <w:t>.</w:t>
      </w:r>
    </w:p>
  </w:footnote>
  <w:footnote w:id="47">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تنص المادة 12 من اتفاقية جنيف الثالثة، في جملة أمور أخرى، على أنه لا يجوز للدولة الحاجزة نقل أسرى الحرب إلا إلى دولة طرف في الاتفاقية، وبعد أن تقتنع الدولة الحاجزة برغبة </w:t>
      </w:r>
      <w:r w:rsidRPr="00EE77FD">
        <w:rPr>
          <w:rtl/>
        </w:rPr>
        <w:t>الدولة</w:t>
      </w:r>
      <w:r w:rsidRPr="00EE77FD">
        <w:rPr>
          <w:rtl/>
          <w:lang w:eastAsia="zh-TW"/>
        </w:rPr>
        <w:t xml:space="preserve"> المعنية في تطبيق الاتفاقية </w:t>
      </w:r>
      <w:r w:rsidRPr="0007182E">
        <w:rPr>
          <w:spacing w:val="-4"/>
          <w:rtl/>
          <w:lang w:eastAsia="zh-TW"/>
        </w:rPr>
        <w:t>وقدرتها على ذلك. انظر، على سبيل المثال، الملاحظات الختامية بشأن التقرير الأولي لتشاد (</w:t>
      </w:r>
      <w:r w:rsidRPr="0007182E">
        <w:rPr>
          <w:spacing w:val="-4"/>
        </w:rPr>
        <w:t>CAT/C/TCD/CO/1</w:t>
      </w:r>
      <w:r w:rsidRPr="0007182E">
        <w:rPr>
          <w:spacing w:val="-4"/>
          <w:rtl/>
          <w:lang w:eastAsia="zh-TW"/>
        </w:rPr>
        <w:t>)،</w:t>
      </w:r>
      <w:r w:rsidRPr="00EE77FD">
        <w:rPr>
          <w:rtl/>
          <w:lang w:eastAsia="zh-TW"/>
        </w:rPr>
        <w:t xml:space="preserve"> الفقرة 17. </w:t>
      </w:r>
    </w:p>
  </w:footnote>
  <w:footnote w:id="48">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تنص المادة 45 من اتفاقية جنيف الرابعة، في جملة أمور أخرى، على أنه لا يجوز للدولة الحاجزة نقل أسرى الحرب إلا إلى دولة طرف في الاتفاقية، وبعد أن تقتنع الدولة الحاجزة برغبة الدولة المعنية في تطبيق الاتفاقية وقدرتها على ذلك. </w:t>
      </w:r>
    </w:p>
  </w:footnote>
  <w:footnote w:id="49">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تنص المادة ٧٥ (٢) من البروتوكول الإضافي الأول على أنه تحظر الأفعال التالية حالاً واستقبالاً في أي زمان ومكان سواء ارتكبها معتمدون مدنيون أم عسكريون : </w:t>
      </w:r>
      <w:r w:rsidR="00F30E70">
        <w:rPr>
          <w:rFonts w:hint="cs"/>
          <w:rtl/>
          <w:lang w:eastAsia="zh-TW"/>
        </w:rPr>
        <w:t>(</w:t>
      </w:r>
      <w:r w:rsidRPr="00EE77FD">
        <w:rPr>
          <w:rtl/>
          <w:lang w:eastAsia="zh-TW"/>
        </w:rPr>
        <w:t xml:space="preserve">أ) ممارسة العنف إزاء </w:t>
      </w:r>
      <w:r w:rsidRPr="00EE77FD">
        <w:rPr>
          <w:rtl/>
        </w:rPr>
        <w:t>حياة</w:t>
      </w:r>
      <w:r w:rsidRPr="00EE77FD">
        <w:rPr>
          <w:rtl/>
          <w:lang w:eastAsia="zh-TW"/>
        </w:rPr>
        <w:t xml:space="preserve"> الأشخاص أو صحتهم أو</w:t>
      </w:r>
      <w:r w:rsidR="008C10B5">
        <w:rPr>
          <w:rFonts w:hint="cs"/>
          <w:rtl/>
          <w:lang w:eastAsia="zh-TW"/>
        </w:rPr>
        <w:t> </w:t>
      </w:r>
      <w:r w:rsidRPr="00EE77FD">
        <w:rPr>
          <w:rtl/>
          <w:lang w:eastAsia="zh-TW"/>
        </w:rPr>
        <w:t>سلامت</w:t>
      </w:r>
      <w:r w:rsidR="008C10B5">
        <w:rPr>
          <w:rtl/>
          <w:lang w:eastAsia="zh-TW"/>
        </w:rPr>
        <w:t>هم البدنية أو العقلية وبوجه خاص</w:t>
      </w:r>
      <w:r w:rsidRPr="00EE77FD">
        <w:rPr>
          <w:rtl/>
          <w:lang w:eastAsia="zh-TW"/>
        </w:rPr>
        <w:t xml:space="preserve">: </w:t>
      </w:r>
      <w:r w:rsidR="008C10B5">
        <w:rPr>
          <w:rFonts w:hint="cs"/>
          <w:rtl/>
          <w:lang w:eastAsia="zh-TW"/>
        </w:rPr>
        <w:t>‘</w:t>
      </w:r>
      <w:r w:rsidRPr="00EE77FD">
        <w:rPr>
          <w:rtl/>
          <w:lang w:eastAsia="zh-TW"/>
        </w:rPr>
        <w:t xml:space="preserve">1‘ القتل؛ </w:t>
      </w:r>
      <w:r w:rsidR="008C10B5">
        <w:rPr>
          <w:rFonts w:hint="cs"/>
          <w:rtl/>
          <w:lang w:eastAsia="zh-TW"/>
        </w:rPr>
        <w:t>‘</w:t>
      </w:r>
      <w:r w:rsidRPr="00EE77FD">
        <w:rPr>
          <w:rtl/>
          <w:lang w:eastAsia="zh-TW"/>
        </w:rPr>
        <w:t>2‘ التعذيب بشتى صوره بدنياً كان أم</w:t>
      </w:r>
      <w:r w:rsidR="008C10B5">
        <w:rPr>
          <w:rFonts w:hint="cs"/>
          <w:rtl/>
          <w:lang w:eastAsia="zh-TW"/>
        </w:rPr>
        <w:t> </w:t>
      </w:r>
      <w:r w:rsidRPr="00EE77FD">
        <w:rPr>
          <w:rtl/>
          <w:lang w:eastAsia="zh-TW"/>
        </w:rPr>
        <w:t xml:space="preserve">عقلياً؛ </w:t>
      </w:r>
      <w:r w:rsidR="008C10B5">
        <w:rPr>
          <w:rFonts w:hint="cs"/>
          <w:rtl/>
          <w:lang w:eastAsia="zh-TW"/>
        </w:rPr>
        <w:t>‘</w:t>
      </w:r>
      <w:r w:rsidRPr="00EE77FD">
        <w:rPr>
          <w:rtl/>
          <w:lang w:eastAsia="zh-TW"/>
        </w:rPr>
        <w:t xml:space="preserve">3‘ العقوبات البدنية؛ </w:t>
      </w:r>
      <w:r w:rsidR="008C10B5">
        <w:rPr>
          <w:rFonts w:hint="cs"/>
          <w:rtl/>
          <w:lang w:eastAsia="zh-TW"/>
        </w:rPr>
        <w:t>‘</w:t>
      </w:r>
      <w:r w:rsidRPr="00EE77FD">
        <w:rPr>
          <w:rtl/>
          <w:lang w:eastAsia="zh-TW"/>
        </w:rPr>
        <w:t xml:space="preserve">4‘ التشويه؛ </w:t>
      </w:r>
      <w:r w:rsidR="00F30E70">
        <w:rPr>
          <w:rFonts w:hint="cs"/>
          <w:rtl/>
          <w:lang w:eastAsia="zh-TW"/>
        </w:rPr>
        <w:t>(</w:t>
      </w:r>
      <w:r w:rsidRPr="00EE77FD">
        <w:rPr>
          <w:rtl/>
          <w:lang w:eastAsia="zh-TW"/>
        </w:rPr>
        <w:t xml:space="preserve">ب) انتهاك الكرامة الشخصية وبوجه خاص المعاملة المهينة للإنسان والمحطة من قدره والإكراه على الدعارة وأية صورة من صور خدش الحياء؛ </w:t>
      </w:r>
      <w:r w:rsidR="00F30E70">
        <w:rPr>
          <w:rFonts w:hint="cs"/>
          <w:rtl/>
          <w:lang w:eastAsia="zh-TW"/>
        </w:rPr>
        <w:t>(</w:t>
      </w:r>
      <w:r w:rsidRPr="00EE77FD">
        <w:rPr>
          <w:rtl/>
          <w:lang w:eastAsia="zh-TW"/>
        </w:rPr>
        <w:t xml:space="preserve">ج) أخذ الرهائن؛ </w:t>
      </w:r>
      <w:r w:rsidR="00F30E70">
        <w:rPr>
          <w:rFonts w:hint="cs"/>
          <w:rtl/>
          <w:lang w:eastAsia="zh-TW"/>
        </w:rPr>
        <w:t>(</w:t>
      </w:r>
      <w:r w:rsidRPr="00EE77FD">
        <w:rPr>
          <w:rtl/>
          <w:lang w:eastAsia="zh-TW"/>
        </w:rPr>
        <w:t xml:space="preserve">د) العقوبات الجماعية؛ </w:t>
      </w:r>
      <w:r w:rsidR="00F30E70">
        <w:rPr>
          <w:rFonts w:hint="cs"/>
          <w:rtl/>
          <w:lang w:eastAsia="zh-TW"/>
        </w:rPr>
        <w:t>(</w:t>
      </w:r>
      <w:r w:rsidRPr="00EE77FD">
        <w:rPr>
          <w:rtl/>
          <w:lang w:eastAsia="zh-TW"/>
        </w:rPr>
        <w:t>ه) التهديد بارتكاب أي من الأفعال المذكورة آنفاً. انظر، على سبيل المثال، الملاحظات الختامية بشأن التقرير الأولي لتشاد (</w:t>
      </w:r>
      <w:r w:rsidRPr="00714EAE">
        <w:rPr>
          <w:lang w:eastAsia="zh-TW"/>
        </w:rPr>
        <w:t>CAT/C/TCD/CO/1</w:t>
      </w:r>
      <w:r w:rsidRPr="00EE77FD">
        <w:rPr>
          <w:rtl/>
          <w:lang w:eastAsia="zh-TW"/>
        </w:rPr>
        <w:t xml:space="preserve">)، الفقرة 34. </w:t>
      </w:r>
    </w:p>
  </w:footnote>
  <w:footnote w:id="50">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77FD">
        <w:rPr>
          <w:rtl/>
        </w:rPr>
        <w:t>الملاحظات</w:t>
      </w:r>
      <w:r w:rsidRPr="00EE77FD">
        <w:rPr>
          <w:rtl/>
          <w:lang w:eastAsia="zh-TW"/>
        </w:rPr>
        <w:t xml:space="preserve"> الختامية بشأن التقرير الدوري الثاني لبلجيكا (</w:t>
      </w:r>
      <w:r w:rsidRPr="00714EAE">
        <w:rPr>
          <w:lang w:eastAsia="zh-TW"/>
        </w:rPr>
        <w:t>CAT/C/BEL/CO/2</w:t>
      </w:r>
      <w:r w:rsidRPr="00EE77FD">
        <w:rPr>
          <w:rtl/>
          <w:lang w:eastAsia="zh-TW"/>
        </w:rPr>
        <w:t xml:space="preserve">)، الفقرة 10. </w:t>
      </w:r>
    </w:p>
  </w:footnote>
  <w:footnote w:id="51">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8C10B5">
        <w:rPr>
          <w:i/>
          <w:iCs/>
          <w:rtl/>
        </w:rPr>
        <w:t>رُبى</w:t>
      </w:r>
      <w:r w:rsidRPr="008C10B5">
        <w:rPr>
          <w:i/>
          <w:iCs/>
          <w:rtl/>
          <w:lang w:eastAsia="zh-TW"/>
        </w:rPr>
        <w:t xml:space="preserve"> الحاج علي ضد المغرب</w:t>
      </w:r>
      <w:r w:rsidRPr="00EE77FD">
        <w:rPr>
          <w:rtl/>
          <w:lang w:eastAsia="zh-TW"/>
        </w:rPr>
        <w:t>، الفقرات من 8-5 إلى 8-8.</w:t>
      </w:r>
    </w:p>
  </w:footnote>
  <w:footnote w:id="52">
    <w:p w:rsidR="00714EAE" w:rsidRPr="00EE77FD" w:rsidRDefault="00714EAE" w:rsidP="00F30E70">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w:t>
      </w:r>
      <w:r w:rsidRPr="00EE77FD">
        <w:rPr>
          <w:rtl/>
        </w:rPr>
        <w:t>سبيل</w:t>
      </w:r>
      <w:r w:rsidRPr="00EE77FD">
        <w:rPr>
          <w:rtl/>
          <w:lang w:eastAsia="zh-TW"/>
        </w:rPr>
        <w:t xml:space="preserve"> المثال، </w:t>
      </w:r>
      <w:r w:rsidRPr="008C10B5">
        <w:rPr>
          <w:i/>
          <w:iCs/>
          <w:rtl/>
          <w:lang w:eastAsia="zh-TW"/>
        </w:rPr>
        <w:t>إكس ضد سويسرا</w:t>
      </w:r>
      <w:r w:rsidRPr="00EE77FD">
        <w:rPr>
          <w:rtl/>
          <w:lang w:eastAsia="zh-TW"/>
        </w:rPr>
        <w:t xml:space="preserve"> (</w:t>
      </w:r>
      <w:r w:rsidRPr="00714EAE">
        <w:rPr>
          <w:lang w:eastAsia="zh-TW"/>
        </w:rPr>
        <w:t>CAT/C/53/D/470/2011</w:t>
      </w:r>
      <w:r w:rsidRPr="00EE77FD">
        <w:rPr>
          <w:rtl/>
          <w:lang w:eastAsia="zh-TW"/>
        </w:rPr>
        <w:t xml:space="preserve">)، الفقرة 7-8؛ </w:t>
      </w:r>
      <w:r w:rsidRPr="008C10B5">
        <w:rPr>
          <w:i/>
          <w:iCs/>
          <w:rtl/>
          <w:lang w:eastAsia="zh-TW"/>
        </w:rPr>
        <w:t xml:space="preserve">وأصغر </w:t>
      </w:r>
      <w:proofErr w:type="spellStart"/>
      <w:r w:rsidRPr="008C10B5">
        <w:rPr>
          <w:i/>
          <w:iCs/>
          <w:rtl/>
          <w:lang w:eastAsia="zh-TW"/>
        </w:rPr>
        <w:t>تاهموريسي</w:t>
      </w:r>
      <w:proofErr w:type="spellEnd"/>
      <w:r w:rsidRPr="008C10B5">
        <w:rPr>
          <w:i/>
          <w:iCs/>
          <w:rtl/>
          <w:lang w:eastAsia="zh-TW"/>
        </w:rPr>
        <w:t xml:space="preserve"> ضد سويسرا</w:t>
      </w:r>
      <w:r w:rsidRPr="00EE77FD">
        <w:rPr>
          <w:rtl/>
          <w:lang w:eastAsia="zh-TW"/>
        </w:rPr>
        <w:t xml:space="preserve"> (</w:t>
      </w:r>
      <w:r w:rsidRPr="00714EAE">
        <w:rPr>
          <w:lang w:eastAsia="zh-TW"/>
        </w:rPr>
        <w:t>CAT/C/53/D/489/2012</w:t>
      </w:r>
      <w:r w:rsidRPr="00EE77FD">
        <w:rPr>
          <w:rtl/>
          <w:lang w:eastAsia="zh-TW"/>
        </w:rPr>
        <w:t>)، الفقرة ٧-5</w:t>
      </w:r>
      <w:r w:rsidR="00F30E70">
        <w:rPr>
          <w:rFonts w:hint="cs"/>
          <w:rtl/>
          <w:lang w:eastAsia="zh-TW"/>
        </w:rPr>
        <w:t>.</w:t>
      </w:r>
    </w:p>
  </w:footnote>
  <w:footnote w:id="53">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انظر، على سبيل المثال، الملاحظات الختامية بشأن التقرير الدوري الثاني لأفغانستان (</w:t>
      </w:r>
      <w:r w:rsidRPr="00714EAE">
        <w:rPr>
          <w:lang w:eastAsia="zh-TW"/>
        </w:rPr>
        <w:t>CAT/C/AFG/CO/2</w:t>
      </w:r>
      <w:r w:rsidR="008C10B5">
        <w:rPr>
          <w:rtl/>
          <w:lang w:eastAsia="zh-TW"/>
        </w:rPr>
        <w:t>)، الفقرة 34</w:t>
      </w:r>
      <w:r w:rsidRPr="00EE77FD">
        <w:rPr>
          <w:rtl/>
          <w:lang w:eastAsia="zh-TW"/>
        </w:rPr>
        <w:t xml:space="preserve">(ج). </w:t>
      </w:r>
    </w:p>
  </w:footnote>
  <w:footnote w:id="54">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الملاحظات الختامية </w:t>
      </w:r>
      <w:r w:rsidRPr="00EE77FD">
        <w:rPr>
          <w:rtl/>
        </w:rPr>
        <w:t>المتعلقة</w:t>
      </w:r>
      <w:r w:rsidRPr="00EE77FD">
        <w:rPr>
          <w:rtl/>
          <w:lang w:eastAsia="zh-TW"/>
        </w:rPr>
        <w:t xml:space="preserve"> بالتقرير الجامع للتقارير الدورية الثالث والرابع والخامس لجمهورية كوريا (</w:t>
      </w:r>
      <w:r w:rsidRPr="00EE77FD">
        <w:t>CAT/C/KOR/CO/3-5</w:t>
      </w:r>
      <w:r w:rsidR="008C10B5">
        <w:rPr>
          <w:rtl/>
          <w:lang w:eastAsia="zh-TW"/>
        </w:rPr>
        <w:t>)، الفقرة 30</w:t>
      </w:r>
      <w:r w:rsidRPr="00EE77FD">
        <w:rPr>
          <w:rtl/>
          <w:lang w:eastAsia="zh-TW"/>
        </w:rPr>
        <w:t>(ب).</w:t>
      </w:r>
    </w:p>
  </w:footnote>
  <w:footnote w:id="55">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77FD">
        <w:rPr>
          <w:rtl/>
        </w:rPr>
        <w:t>الملاحظات</w:t>
      </w:r>
      <w:r w:rsidRPr="00EE77FD">
        <w:rPr>
          <w:rtl/>
          <w:lang w:eastAsia="zh-TW"/>
        </w:rPr>
        <w:t xml:space="preserve"> الختامية بشأن التقرير الدوري الثاني لأفغانستان (</w:t>
      </w:r>
      <w:r w:rsidRPr="00714EAE">
        <w:rPr>
          <w:lang w:eastAsia="zh-TW"/>
        </w:rPr>
        <w:t>CAT/C/AFG/CO/2</w:t>
      </w:r>
      <w:r w:rsidRPr="00EE77FD">
        <w:rPr>
          <w:rtl/>
          <w:lang w:eastAsia="zh-TW"/>
        </w:rPr>
        <w:t>)، الفقرة 34؛ والملاحظات الختامية بشأن التقرير الدوري الثاني لمنغوليا (</w:t>
      </w:r>
      <w:r w:rsidRPr="00714EAE">
        <w:rPr>
          <w:lang w:eastAsia="zh-TW"/>
        </w:rPr>
        <w:t>CAT/C/MNG/CO/2</w:t>
      </w:r>
      <w:r w:rsidRPr="00EE77FD">
        <w:rPr>
          <w:rtl/>
          <w:lang w:eastAsia="zh-TW"/>
        </w:rPr>
        <w:t xml:space="preserve">)، الفقرة 22. </w:t>
      </w:r>
    </w:p>
  </w:footnote>
  <w:footnote w:id="56">
    <w:p w:rsidR="00714EAE" w:rsidRPr="004341FB" w:rsidRDefault="00714EAE" w:rsidP="00714EAE">
      <w:pPr>
        <w:pStyle w:val="FootnoteText1"/>
        <w:textDirection w:val="tbRlV"/>
        <w:rPr>
          <w:spacing w:val="-2"/>
          <w:rtl/>
          <w:lang w:eastAsia="zh-TW"/>
        </w:rPr>
      </w:pPr>
      <w:r w:rsidRPr="004341FB">
        <w:rPr>
          <w:spacing w:val="-2"/>
          <w:rtl/>
        </w:rPr>
        <w:t>(</w:t>
      </w:r>
      <w:r w:rsidRPr="004341FB">
        <w:rPr>
          <w:rStyle w:val="FootnoteReference"/>
          <w:spacing w:val="-2"/>
          <w:vertAlign w:val="baseline"/>
        </w:rPr>
        <w:footnoteRef/>
      </w:r>
      <w:r w:rsidRPr="004341FB">
        <w:rPr>
          <w:spacing w:val="-2"/>
          <w:sz w:val="26"/>
          <w:rtl/>
        </w:rPr>
        <w:t>)</w:t>
      </w:r>
      <w:r w:rsidRPr="004341FB">
        <w:rPr>
          <w:spacing w:val="-2"/>
          <w:sz w:val="26"/>
          <w:rtl/>
        </w:rPr>
        <w:tab/>
      </w:r>
      <w:r w:rsidRPr="004341FB">
        <w:rPr>
          <w:spacing w:val="-2"/>
          <w:rtl/>
          <w:lang w:eastAsia="zh-TW"/>
        </w:rPr>
        <w:t xml:space="preserve">انظر، على سبيل المثال، </w:t>
      </w:r>
      <w:r w:rsidRPr="004341FB">
        <w:rPr>
          <w:i/>
          <w:iCs/>
          <w:spacing w:val="-2"/>
          <w:rtl/>
        </w:rPr>
        <w:t>حسين</w:t>
      </w:r>
      <w:r w:rsidRPr="004341FB">
        <w:rPr>
          <w:i/>
          <w:iCs/>
          <w:spacing w:val="-2"/>
          <w:rtl/>
          <w:lang w:eastAsia="zh-TW"/>
        </w:rPr>
        <w:t xml:space="preserve"> خادمي وآخرون ضد سويسرا</w:t>
      </w:r>
      <w:r w:rsidRPr="004341FB">
        <w:rPr>
          <w:spacing w:val="-2"/>
          <w:rtl/>
          <w:lang w:eastAsia="zh-TW"/>
        </w:rPr>
        <w:t xml:space="preserve"> (</w:t>
      </w:r>
      <w:r w:rsidRPr="004341FB">
        <w:rPr>
          <w:spacing w:val="-2"/>
          <w:lang w:eastAsia="zh-TW"/>
        </w:rPr>
        <w:t>CAT/C/53/D/473/2011</w:t>
      </w:r>
      <w:r w:rsidRPr="004341FB">
        <w:rPr>
          <w:spacing w:val="-2"/>
          <w:rtl/>
          <w:lang w:eastAsia="zh-TW"/>
        </w:rPr>
        <w:t xml:space="preserve">)، الفقرات 7-4 إلى 7-6؛ </w:t>
      </w:r>
      <w:proofErr w:type="spellStart"/>
      <w:r w:rsidRPr="004341FB">
        <w:rPr>
          <w:i/>
          <w:iCs/>
          <w:spacing w:val="-2"/>
          <w:rtl/>
          <w:lang w:eastAsia="zh-TW"/>
        </w:rPr>
        <w:t>وناصيروف</w:t>
      </w:r>
      <w:proofErr w:type="spellEnd"/>
      <w:r w:rsidRPr="004341FB">
        <w:rPr>
          <w:i/>
          <w:iCs/>
          <w:spacing w:val="-2"/>
          <w:rtl/>
          <w:lang w:eastAsia="zh-TW"/>
        </w:rPr>
        <w:t xml:space="preserve"> ضد كازاخستان</w:t>
      </w:r>
      <w:r w:rsidRPr="004341FB">
        <w:rPr>
          <w:spacing w:val="-2"/>
          <w:rtl/>
          <w:lang w:eastAsia="zh-TW"/>
        </w:rPr>
        <w:t xml:space="preserve">، الفقرة 11-9؛ انظر </w:t>
      </w:r>
      <w:r w:rsidRPr="004341FB">
        <w:rPr>
          <w:i/>
          <w:iCs/>
          <w:spacing w:val="-2"/>
          <w:rtl/>
          <w:lang w:eastAsia="zh-TW"/>
        </w:rPr>
        <w:t>ن.</w:t>
      </w:r>
      <w:r w:rsidR="004341FB" w:rsidRPr="004341FB">
        <w:rPr>
          <w:rFonts w:hint="cs"/>
          <w:i/>
          <w:iCs/>
          <w:spacing w:val="-2"/>
          <w:rtl/>
          <w:lang w:eastAsia="zh-TW"/>
        </w:rPr>
        <w:t xml:space="preserve"> </w:t>
      </w:r>
      <w:r w:rsidRPr="004341FB">
        <w:rPr>
          <w:i/>
          <w:iCs/>
          <w:spacing w:val="-2"/>
          <w:rtl/>
          <w:lang w:eastAsia="zh-TW"/>
        </w:rPr>
        <w:t>أ.</w:t>
      </w:r>
      <w:r w:rsidR="004341FB" w:rsidRPr="004341FB">
        <w:rPr>
          <w:rFonts w:hint="cs"/>
          <w:i/>
          <w:iCs/>
          <w:spacing w:val="-2"/>
          <w:rtl/>
          <w:lang w:eastAsia="zh-TW"/>
        </w:rPr>
        <w:t xml:space="preserve"> </w:t>
      </w:r>
      <w:r w:rsidRPr="004341FB">
        <w:rPr>
          <w:i/>
          <w:iCs/>
          <w:spacing w:val="-2"/>
          <w:rtl/>
          <w:lang w:eastAsia="zh-TW"/>
        </w:rPr>
        <w:t>أ</w:t>
      </w:r>
      <w:r w:rsidR="004341FB" w:rsidRPr="004341FB">
        <w:rPr>
          <w:i/>
          <w:iCs/>
          <w:spacing w:val="-2"/>
          <w:rtl/>
          <w:lang w:eastAsia="zh-TW"/>
        </w:rPr>
        <w:t xml:space="preserve">. </w:t>
      </w:r>
      <w:r w:rsidRPr="004341FB">
        <w:rPr>
          <w:i/>
          <w:iCs/>
          <w:spacing w:val="-2"/>
          <w:rtl/>
          <w:lang w:eastAsia="zh-TW"/>
        </w:rPr>
        <w:t xml:space="preserve">ضد سويسرا </w:t>
      </w:r>
      <w:r w:rsidRPr="004341FB">
        <w:rPr>
          <w:spacing w:val="-2"/>
          <w:rtl/>
          <w:lang w:eastAsia="zh-TW"/>
        </w:rPr>
        <w:t>(</w:t>
      </w:r>
      <w:r w:rsidRPr="004341FB">
        <w:rPr>
          <w:spacing w:val="-2"/>
          <w:lang w:eastAsia="zh-TW"/>
        </w:rPr>
        <w:t>CAT/C/60/D/639/2014</w:t>
      </w:r>
      <w:r w:rsidRPr="004341FB">
        <w:rPr>
          <w:spacing w:val="-2"/>
          <w:rtl/>
          <w:lang w:eastAsia="zh-TW"/>
        </w:rPr>
        <w:t xml:space="preserve">)، الفقرات 7-7 إلى 7-11. </w:t>
      </w:r>
    </w:p>
  </w:footnote>
  <w:footnote w:id="57">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4341FB">
        <w:rPr>
          <w:i/>
          <w:iCs/>
          <w:rtl/>
          <w:lang w:eastAsia="zh-TW"/>
        </w:rPr>
        <w:t xml:space="preserve">توني </w:t>
      </w:r>
      <w:r w:rsidRPr="004341FB">
        <w:rPr>
          <w:i/>
          <w:iCs/>
          <w:rtl/>
        </w:rPr>
        <w:t>شاهين</w:t>
      </w:r>
      <w:r w:rsidRPr="004341FB">
        <w:rPr>
          <w:i/>
          <w:iCs/>
          <w:rtl/>
          <w:lang w:eastAsia="zh-TW"/>
        </w:rPr>
        <w:t xml:space="preserve"> ضد السويد</w:t>
      </w:r>
      <w:r w:rsidRPr="00EE77FD">
        <w:rPr>
          <w:rtl/>
          <w:lang w:eastAsia="zh-TW"/>
        </w:rPr>
        <w:t>، الفقرة 9-5.</w:t>
      </w:r>
    </w:p>
  </w:footnote>
  <w:footnote w:id="58">
    <w:p w:rsidR="00714EAE" w:rsidRPr="00EE77FD" w:rsidRDefault="00714EAE" w:rsidP="00714EAE">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77FD">
        <w:rPr>
          <w:rtl/>
        </w:rPr>
        <w:t>الملاحظات</w:t>
      </w:r>
      <w:r w:rsidRPr="00EE77FD">
        <w:rPr>
          <w:rtl/>
          <w:lang w:eastAsia="zh-TW"/>
        </w:rPr>
        <w:t xml:space="preserve"> الختامية بشأن التقرير الأولي لتشاد (</w:t>
      </w:r>
      <w:r w:rsidRPr="00714EAE">
        <w:rPr>
          <w:lang w:eastAsia="zh-TW"/>
        </w:rPr>
        <w:t>CAT/C/TCD/CO/1</w:t>
      </w:r>
      <w:r w:rsidRPr="00EE77FD">
        <w:rPr>
          <w:rtl/>
          <w:lang w:eastAsia="zh-TW"/>
        </w:rPr>
        <w:t xml:space="preserve">)، الفقرة 34. </w:t>
      </w:r>
    </w:p>
  </w:footnote>
  <w:footnote w:id="59">
    <w:p w:rsidR="00714EAE" w:rsidRPr="00EE77FD" w:rsidRDefault="00714EAE" w:rsidP="00714EAE">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4341FB">
        <w:rPr>
          <w:i/>
          <w:iCs/>
          <w:rtl/>
          <w:lang w:eastAsia="zh-TW"/>
        </w:rPr>
        <w:t>س. س. علمي ضد أستراليا</w:t>
      </w:r>
      <w:r w:rsidRPr="00EE77FD">
        <w:rPr>
          <w:rtl/>
          <w:lang w:eastAsia="zh-TW"/>
        </w:rPr>
        <w:t xml:space="preserve"> (</w:t>
      </w:r>
      <w:r w:rsidRPr="00714EAE">
        <w:rPr>
          <w:lang w:eastAsia="zh-TW"/>
        </w:rPr>
        <w:t>CAT/C/22/D/120/1998</w:t>
      </w:r>
      <w:r w:rsidR="004341FB">
        <w:rPr>
          <w:rtl/>
          <w:lang w:eastAsia="zh-TW"/>
        </w:rPr>
        <w:t xml:space="preserve">)، الفقرتين 6-8 و6-9؛ </w:t>
      </w:r>
      <w:proofErr w:type="spellStart"/>
      <w:r w:rsidR="004341FB" w:rsidRPr="004341FB">
        <w:rPr>
          <w:i/>
          <w:iCs/>
          <w:rtl/>
          <w:lang w:eastAsia="zh-TW"/>
        </w:rPr>
        <w:t>و</w:t>
      </w:r>
      <w:r w:rsidRPr="004341FB">
        <w:rPr>
          <w:i/>
          <w:iCs/>
          <w:rtl/>
          <w:lang w:eastAsia="zh-TW"/>
        </w:rPr>
        <w:t>م</w:t>
      </w:r>
      <w:proofErr w:type="spellEnd"/>
      <w:r w:rsidRPr="004341FB">
        <w:rPr>
          <w:i/>
          <w:iCs/>
          <w:rtl/>
          <w:lang w:eastAsia="zh-TW"/>
        </w:rPr>
        <w:t>. ك. م. ضد أستراليا</w:t>
      </w:r>
      <w:r w:rsidRPr="00EE77FD">
        <w:rPr>
          <w:rtl/>
          <w:lang w:eastAsia="zh-TW"/>
        </w:rPr>
        <w:t xml:space="preserve"> (</w:t>
      </w:r>
      <w:r w:rsidRPr="00714EAE">
        <w:rPr>
          <w:lang w:eastAsia="zh-TW"/>
        </w:rPr>
        <w:t>CAT/C/60/D/681/2015</w:t>
      </w:r>
      <w:r w:rsidRPr="00EE77FD">
        <w:rPr>
          <w:rtl/>
          <w:lang w:eastAsia="zh-TW"/>
        </w:rPr>
        <w:t xml:space="preserve">)، الفقرة 8-9. </w:t>
      </w:r>
    </w:p>
  </w:footnote>
  <w:footnote w:id="60">
    <w:p w:rsidR="00714EAE" w:rsidRPr="00EE77FD" w:rsidRDefault="00714EAE" w:rsidP="00714EAE">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4341FB">
        <w:rPr>
          <w:i/>
          <w:iCs/>
          <w:rtl/>
          <w:lang w:eastAsia="zh-TW"/>
        </w:rPr>
        <w:t>ن. ز. ضد فنلندا</w:t>
      </w:r>
      <w:r w:rsidRPr="00EE77FD">
        <w:rPr>
          <w:rtl/>
          <w:lang w:eastAsia="zh-TW"/>
        </w:rPr>
        <w:t xml:space="preserve"> (</w:t>
      </w:r>
      <w:r w:rsidRPr="00714EAE">
        <w:rPr>
          <w:lang w:eastAsia="zh-TW"/>
        </w:rPr>
        <w:t>CAT/C/53/D/495/2012</w:t>
      </w:r>
      <w:r w:rsidRPr="00EE77FD">
        <w:rPr>
          <w:rtl/>
          <w:lang w:eastAsia="zh-TW"/>
        </w:rPr>
        <w:t xml:space="preserve">)، الفقرة 12-3. </w:t>
      </w:r>
    </w:p>
  </w:footnote>
  <w:footnote w:id="61">
    <w:p w:rsidR="00714EAE" w:rsidRPr="008161B4" w:rsidRDefault="00714EAE" w:rsidP="00F30E70">
      <w:pPr>
        <w:pStyle w:val="FootnoteText1"/>
        <w:textDirection w:val="tbRlV"/>
        <w:rPr>
          <w:spacing w:val="-2"/>
          <w:rtl/>
          <w:lang w:eastAsia="zh-TW"/>
        </w:rPr>
      </w:pPr>
      <w:r w:rsidRPr="008161B4">
        <w:rPr>
          <w:spacing w:val="-2"/>
          <w:rtl/>
        </w:rPr>
        <w:t>(</w:t>
      </w:r>
      <w:r w:rsidRPr="008161B4">
        <w:rPr>
          <w:rStyle w:val="FootnoteReference"/>
          <w:spacing w:val="-2"/>
          <w:vertAlign w:val="baseline"/>
        </w:rPr>
        <w:footnoteRef/>
      </w:r>
      <w:r w:rsidRPr="008161B4">
        <w:rPr>
          <w:spacing w:val="-2"/>
          <w:sz w:val="26"/>
          <w:rtl/>
        </w:rPr>
        <w:t>)</w:t>
      </w:r>
      <w:r w:rsidRPr="008161B4">
        <w:rPr>
          <w:spacing w:val="-2"/>
          <w:sz w:val="26"/>
          <w:rtl/>
        </w:rPr>
        <w:tab/>
      </w:r>
      <w:r w:rsidRPr="008161B4">
        <w:rPr>
          <w:spacing w:val="-2"/>
          <w:rtl/>
          <w:lang w:eastAsia="zh-TW"/>
        </w:rPr>
        <w:t xml:space="preserve">انظر، على سبيل المثال، </w:t>
      </w:r>
      <w:r w:rsidRPr="008161B4">
        <w:rPr>
          <w:i/>
          <w:iCs/>
          <w:spacing w:val="-2"/>
          <w:rtl/>
          <w:lang w:eastAsia="zh-TW"/>
        </w:rPr>
        <w:t>أ.</w:t>
      </w:r>
      <w:r w:rsidR="004341FB" w:rsidRPr="008161B4">
        <w:rPr>
          <w:rFonts w:hint="cs"/>
          <w:i/>
          <w:iCs/>
          <w:spacing w:val="-2"/>
          <w:rtl/>
          <w:lang w:eastAsia="zh-TW"/>
        </w:rPr>
        <w:t xml:space="preserve"> </w:t>
      </w:r>
      <w:r w:rsidRPr="008161B4">
        <w:rPr>
          <w:i/>
          <w:iCs/>
          <w:spacing w:val="-2"/>
          <w:rtl/>
          <w:lang w:eastAsia="zh-TW"/>
        </w:rPr>
        <w:t>أ. ضد أذربيجان</w:t>
      </w:r>
      <w:r w:rsidRPr="008161B4">
        <w:rPr>
          <w:spacing w:val="-2"/>
          <w:rtl/>
          <w:lang w:eastAsia="zh-TW"/>
        </w:rPr>
        <w:t xml:space="preserve"> (</w:t>
      </w:r>
      <w:hyperlink r:id="rId6" w:history="1">
        <w:r w:rsidRPr="008161B4">
          <w:rPr>
            <w:spacing w:val="-2"/>
          </w:rPr>
          <w:t>CAT/C/35/D/247/2004</w:t>
        </w:r>
      </w:hyperlink>
      <w:r w:rsidR="002F142B">
        <w:rPr>
          <w:spacing w:val="-2"/>
          <w:rtl/>
          <w:lang w:eastAsia="zh-TW"/>
        </w:rPr>
        <w:t xml:space="preserve">)، الفقرة 6-8؛ </w:t>
      </w:r>
      <w:proofErr w:type="spellStart"/>
      <w:r w:rsidR="002F142B" w:rsidRPr="002F142B">
        <w:rPr>
          <w:i/>
          <w:iCs/>
          <w:spacing w:val="-2"/>
          <w:rtl/>
          <w:lang w:eastAsia="zh-TW"/>
        </w:rPr>
        <w:t>و</w:t>
      </w:r>
      <w:r w:rsidRPr="002F142B">
        <w:rPr>
          <w:i/>
          <w:iCs/>
          <w:spacing w:val="-2"/>
          <w:rtl/>
          <w:lang w:eastAsia="zh-TW"/>
        </w:rPr>
        <w:t>إ</w:t>
      </w:r>
      <w:proofErr w:type="spellEnd"/>
      <w:r w:rsidRPr="002F142B">
        <w:rPr>
          <w:i/>
          <w:iCs/>
          <w:spacing w:val="-2"/>
          <w:rtl/>
          <w:lang w:eastAsia="zh-TW"/>
        </w:rPr>
        <w:t>. إ. ضد الاتحاد الروسي</w:t>
      </w:r>
      <w:r w:rsidRPr="008161B4">
        <w:rPr>
          <w:spacing w:val="-2"/>
          <w:rtl/>
          <w:lang w:eastAsia="zh-TW"/>
        </w:rPr>
        <w:t xml:space="preserve"> (</w:t>
      </w:r>
      <w:hyperlink r:id="rId7" w:history="1">
        <w:r w:rsidRPr="008161B4">
          <w:rPr>
            <w:spacing w:val="-2"/>
          </w:rPr>
          <w:t>CAT/C/50/D/479/2011</w:t>
        </w:r>
      </w:hyperlink>
      <w:r w:rsidR="004341FB" w:rsidRPr="008161B4">
        <w:rPr>
          <w:spacing w:val="-2"/>
          <w:rtl/>
          <w:lang w:eastAsia="zh-TW"/>
        </w:rPr>
        <w:t xml:space="preserve">)، الفقرة 8-4؛ </w:t>
      </w:r>
      <w:proofErr w:type="spellStart"/>
      <w:r w:rsidR="004341FB" w:rsidRPr="008161B4">
        <w:rPr>
          <w:i/>
          <w:iCs/>
          <w:spacing w:val="-2"/>
          <w:rtl/>
          <w:lang w:eastAsia="zh-TW"/>
        </w:rPr>
        <w:t>و</w:t>
      </w:r>
      <w:r w:rsidRPr="008161B4">
        <w:rPr>
          <w:i/>
          <w:iCs/>
          <w:spacing w:val="-2"/>
          <w:rtl/>
          <w:lang w:eastAsia="zh-TW"/>
        </w:rPr>
        <w:t>ن</w:t>
      </w:r>
      <w:proofErr w:type="spellEnd"/>
      <w:r w:rsidRPr="008161B4">
        <w:rPr>
          <w:i/>
          <w:iCs/>
          <w:spacing w:val="-2"/>
          <w:rtl/>
          <w:lang w:eastAsia="zh-TW"/>
        </w:rPr>
        <w:t xml:space="preserve">. ب. ضد الاتحاد الروسي </w:t>
      </w:r>
      <w:r w:rsidRPr="008161B4">
        <w:rPr>
          <w:spacing w:val="-2"/>
          <w:rtl/>
          <w:lang w:eastAsia="zh-TW"/>
        </w:rPr>
        <w:t>(</w:t>
      </w:r>
      <w:hyperlink r:id="rId8" w:history="1">
        <w:r w:rsidRPr="008161B4">
          <w:rPr>
            <w:spacing w:val="-2"/>
          </w:rPr>
          <w:t>CAT/C/56/D/577/2013</w:t>
        </w:r>
      </w:hyperlink>
      <w:r w:rsidR="004341FB" w:rsidRPr="008161B4">
        <w:rPr>
          <w:spacing w:val="-2"/>
          <w:rtl/>
          <w:lang w:eastAsia="zh-TW"/>
        </w:rPr>
        <w:t xml:space="preserve">)، الفقرة 8-2؛ </w:t>
      </w:r>
      <w:proofErr w:type="spellStart"/>
      <w:r w:rsidR="004341FB" w:rsidRPr="008161B4">
        <w:rPr>
          <w:i/>
          <w:iCs/>
          <w:spacing w:val="-2"/>
          <w:rtl/>
          <w:lang w:eastAsia="zh-TW"/>
        </w:rPr>
        <w:t>و</w:t>
      </w:r>
      <w:r w:rsidRPr="008161B4">
        <w:rPr>
          <w:i/>
          <w:iCs/>
          <w:spacing w:val="-2"/>
          <w:rtl/>
          <w:lang w:eastAsia="zh-TW"/>
        </w:rPr>
        <w:t>م</w:t>
      </w:r>
      <w:proofErr w:type="spellEnd"/>
      <w:r w:rsidRPr="008161B4">
        <w:rPr>
          <w:i/>
          <w:iCs/>
          <w:spacing w:val="-2"/>
          <w:rtl/>
          <w:lang w:eastAsia="zh-TW"/>
        </w:rPr>
        <w:t>. ت. ضد السويد</w:t>
      </w:r>
      <w:r w:rsidRPr="008161B4">
        <w:rPr>
          <w:spacing w:val="-2"/>
          <w:rtl/>
          <w:lang w:eastAsia="zh-TW"/>
        </w:rPr>
        <w:t xml:space="preserve"> (</w:t>
      </w:r>
      <w:hyperlink r:id="rId9" w:history="1">
        <w:r w:rsidRPr="008161B4">
          <w:rPr>
            <w:spacing w:val="-2"/>
          </w:rPr>
          <w:t>CAT/C/55/D/642/2014</w:t>
        </w:r>
      </w:hyperlink>
      <w:r w:rsidRPr="008161B4">
        <w:rPr>
          <w:spacing w:val="-2"/>
          <w:rtl/>
          <w:lang w:eastAsia="zh-TW"/>
        </w:rPr>
        <w:t>)،</w:t>
      </w:r>
      <w:r w:rsidR="004341FB" w:rsidRPr="008161B4">
        <w:rPr>
          <w:rFonts w:hint="cs"/>
          <w:spacing w:val="-2"/>
          <w:rtl/>
          <w:lang w:eastAsia="zh-TW"/>
        </w:rPr>
        <w:t xml:space="preserve"> </w:t>
      </w:r>
      <w:r w:rsidRPr="008161B4">
        <w:rPr>
          <w:spacing w:val="-2"/>
          <w:rtl/>
          <w:lang w:eastAsia="zh-TW"/>
        </w:rPr>
        <w:t xml:space="preserve">الفقرة 8-3؛ </w:t>
      </w:r>
      <w:r w:rsidRPr="008161B4">
        <w:rPr>
          <w:i/>
          <w:iCs/>
          <w:spacing w:val="-2"/>
          <w:rtl/>
          <w:lang w:eastAsia="zh-TW"/>
        </w:rPr>
        <w:t>والسيد أُ. ضد السويد</w:t>
      </w:r>
      <w:r w:rsidRPr="008161B4">
        <w:rPr>
          <w:spacing w:val="-2"/>
          <w:rtl/>
          <w:lang w:eastAsia="zh-TW"/>
        </w:rPr>
        <w:t xml:space="preserve"> (</w:t>
      </w:r>
      <w:hyperlink r:id="rId10" w:history="1">
        <w:r w:rsidRPr="008161B4">
          <w:rPr>
            <w:spacing w:val="-2"/>
          </w:rPr>
          <w:t>CAT/C/56/D/643/2014</w:t>
        </w:r>
      </w:hyperlink>
      <w:r w:rsidRPr="008161B4">
        <w:rPr>
          <w:spacing w:val="-2"/>
          <w:rtl/>
          <w:lang w:eastAsia="zh-TW"/>
        </w:rPr>
        <w:t>)، الفقرة 6-4</w:t>
      </w:r>
      <w:r w:rsidR="00F30E70">
        <w:rPr>
          <w:rFonts w:hint="cs"/>
          <w:spacing w:val="-2"/>
          <w:rtl/>
          <w:lang w:eastAsia="zh-TW"/>
        </w:rPr>
        <w:t>.</w:t>
      </w:r>
    </w:p>
  </w:footnote>
  <w:footnote w:id="62">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w:t>
      </w:r>
      <w:r w:rsidRPr="00EE77FD">
        <w:rPr>
          <w:rtl/>
        </w:rPr>
        <w:t>المثال</w:t>
      </w:r>
      <w:r w:rsidRPr="00EE77FD">
        <w:rPr>
          <w:rtl/>
          <w:lang w:eastAsia="zh-TW"/>
        </w:rPr>
        <w:t xml:space="preserve">، </w:t>
      </w:r>
      <w:r w:rsidRPr="004341FB">
        <w:rPr>
          <w:i/>
          <w:iCs/>
          <w:rtl/>
          <w:lang w:eastAsia="zh-TW"/>
        </w:rPr>
        <w:t xml:space="preserve">السيد ي. ضد كندا </w:t>
      </w:r>
      <w:r w:rsidRPr="00EE77FD">
        <w:rPr>
          <w:rtl/>
          <w:lang w:eastAsia="zh-TW"/>
        </w:rPr>
        <w:t>(</w:t>
      </w:r>
      <w:hyperlink r:id="rId11" w:history="1">
        <w:r w:rsidRPr="00EE77FD">
          <w:t>CAT/C/55/D/512/2012</w:t>
        </w:r>
      </w:hyperlink>
      <w:r w:rsidRPr="00EE77FD">
        <w:rPr>
          <w:rtl/>
          <w:lang w:eastAsia="zh-TW"/>
        </w:rPr>
        <w:t xml:space="preserve">)، الفقرة 7-2؛ </w:t>
      </w:r>
      <w:r w:rsidRPr="004341FB">
        <w:rPr>
          <w:i/>
          <w:iCs/>
          <w:rtl/>
          <w:lang w:eastAsia="zh-TW"/>
        </w:rPr>
        <w:t xml:space="preserve">والسيدة أولغا </w:t>
      </w:r>
      <w:proofErr w:type="spellStart"/>
      <w:r w:rsidRPr="004341FB">
        <w:rPr>
          <w:i/>
          <w:iCs/>
          <w:rtl/>
          <w:lang w:eastAsia="zh-TW"/>
        </w:rPr>
        <w:t>شيستاكوفا</w:t>
      </w:r>
      <w:proofErr w:type="spellEnd"/>
      <w:r w:rsidRPr="004341FB">
        <w:rPr>
          <w:i/>
          <w:iCs/>
          <w:rtl/>
          <w:lang w:eastAsia="zh-TW"/>
        </w:rPr>
        <w:t xml:space="preserve"> ضد الاتحاد الروسي</w:t>
      </w:r>
      <w:r w:rsidRPr="00EE77FD">
        <w:rPr>
          <w:rtl/>
          <w:lang w:eastAsia="zh-TW"/>
        </w:rPr>
        <w:t xml:space="preserve"> (</w:t>
      </w:r>
      <w:hyperlink r:id="rId12" w:history="1">
        <w:r w:rsidRPr="00EE77FD">
          <w:t>CAT/C/62/D/712/2015</w:t>
        </w:r>
      </w:hyperlink>
      <w:r w:rsidRPr="00EE77FD">
        <w:rPr>
          <w:rtl/>
          <w:lang w:eastAsia="zh-TW"/>
        </w:rPr>
        <w:t xml:space="preserve">)، الفقرة 6-4. </w:t>
      </w:r>
    </w:p>
  </w:footnote>
  <w:footnote w:id="63">
    <w:p w:rsidR="00714EAE" w:rsidRPr="00EE77FD" w:rsidRDefault="00714EAE" w:rsidP="004341FB">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4341FB">
        <w:rPr>
          <w:i/>
          <w:iCs/>
          <w:rtl/>
          <w:lang w:eastAsia="zh-TW"/>
        </w:rPr>
        <w:t>أ. إ. ضد سويسرا</w:t>
      </w:r>
      <w:r w:rsidRPr="00EE77FD">
        <w:rPr>
          <w:rtl/>
          <w:lang w:eastAsia="zh-TW"/>
        </w:rPr>
        <w:t xml:space="preserve"> (</w:t>
      </w:r>
      <w:hyperlink r:id="rId13" w:history="1">
        <w:r w:rsidRPr="00EE77FD">
          <w:t>CAT/C/14/D/24/1995</w:t>
        </w:r>
      </w:hyperlink>
      <w:r w:rsidRPr="00EE77FD">
        <w:rPr>
          <w:rtl/>
          <w:lang w:eastAsia="zh-TW"/>
        </w:rPr>
        <w:t xml:space="preserve">)، الفقرة 4؛ </w:t>
      </w:r>
      <w:proofErr w:type="spellStart"/>
      <w:r w:rsidRPr="004341FB">
        <w:rPr>
          <w:i/>
          <w:iCs/>
          <w:rtl/>
          <w:lang w:eastAsia="zh-TW"/>
        </w:rPr>
        <w:t>وإيفلويف</w:t>
      </w:r>
      <w:proofErr w:type="spellEnd"/>
      <w:r w:rsidRPr="004341FB">
        <w:rPr>
          <w:i/>
          <w:iCs/>
          <w:rtl/>
          <w:lang w:eastAsia="zh-TW"/>
        </w:rPr>
        <w:t xml:space="preserve"> ضد كازاخستان </w:t>
      </w:r>
      <w:r w:rsidRPr="00EE77FD">
        <w:rPr>
          <w:rtl/>
          <w:lang w:eastAsia="zh-TW"/>
        </w:rPr>
        <w:t>(</w:t>
      </w:r>
      <w:hyperlink r:id="rId14" w:history="1">
        <w:r w:rsidRPr="00EE77FD">
          <w:t>CAT/C/51/D/441/2010</w:t>
        </w:r>
      </w:hyperlink>
      <w:r w:rsidRPr="00EE77FD">
        <w:rPr>
          <w:rtl/>
          <w:lang w:eastAsia="zh-TW"/>
        </w:rPr>
        <w:t xml:space="preserve">)، الفقرة 8-6. وقضية </w:t>
      </w:r>
      <w:r w:rsidRPr="004341FB">
        <w:rPr>
          <w:i/>
          <w:iCs/>
          <w:rtl/>
          <w:lang w:eastAsia="zh-TW"/>
        </w:rPr>
        <w:t>و.</w:t>
      </w:r>
      <w:r w:rsidR="004341FB" w:rsidRPr="004341FB">
        <w:rPr>
          <w:rFonts w:hint="cs"/>
          <w:i/>
          <w:iCs/>
          <w:rtl/>
          <w:lang w:eastAsia="zh-TW"/>
        </w:rPr>
        <w:t xml:space="preserve"> </w:t>
      </w:r>
      <w:r w:rsidRPr="004341FB">
        <w:rPr>
          <w:i/>
          <w:iCs/>
          <w:rtl/>
          <w:lang w:eastAsia="zh-TW"/>
        </w:rPr>
        <w:t>ج.</w:t>
      </w:r>
      <w:r w:rsidR="004341FB" w:rsidRPr="004341FB">
        <w:rPr>
          <w:rFonts w:hint="cs"/>
          <w:i/>
          <w:iCs/>
          <w:rtl/>
          <w:lang w:eastAsia="zh-TW"/>
        </w:rPr>
        <w:t xml:space="preserve"> </w:t>
      </w:r>
      <w:r w:rsidRPr="004341FB">
        <w:rPr>
          <w:i/>
          <w:iCs/>
          <w:rtl/>
          <w:lang w:eastAsia="zh-TW"/>
        </w:rPr>
        <w:t>د. ضد كندا</w:t>
      </w:r>
      <w:r w:rsidRPr="00EE77FD">
        <w:rPr>
          <w:rtl/>
          <w:lang w:eastAsia="zh-TW"/>
        </w:rPr>
        <w:t xml:space="preserve"> (</w:t>
      </w:r>
      <w:hyperlink r:id="rId15" w:history="1">
        <w:r w:rsidRPr="00EE77FD">
          <w:t>CAT/C/53/D/520/2012</w:t>
        </w:r>
      </w:hyperlink>
      <w:r w:rsidRPr="00EE77FD">
        <w:rPr>
          <w:rtl/>
          <w:lang w:eastAsia="zh-TW"/>
        </w:rPr>
        <w:t>)، الفقرة</w:t>
      </w:r>
      <w:r w:rsidR="004341FB">
        <w:rPr>
          <w:rFonts w:hint="cs"/>
          <w:rtl/>
          <w:lang w:eastAsia="zh-TW"/>
        </w:rPr>
        <w:t> </w:t>
      </w:r>
      <w:r w:rsidRPr="00EE77FD">
        <w:rPr>
          <w:rtl/>
          <w:lang w:eastAsia="zh-TW"/>
        </w:rPr>
        <w:t xml:space="preserve">٧-٤. </w:t>
      </w:r>
    </w:p>
  </w:footnote>
  <w:footnote w:id="64">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4341FB">
        <w:rPr>
          <w:i/>
          <w:iCs/>
          <w:rtl/>
          <w:lang w:eastAsia="zh-TW"/>
        </w:rPr>
        <w:t>و. ج. د ضد كندا</w:t>
      </w:r>
      <w:r w:rsidRPr="00EE77FD">
        <w:rPr>
          <w:rtl/>
          <w:lang w:eastAsia="zh-TW"/>
        </w:rPr>
        <w:t>، الفقرة 7-4.</w:t>
      </w:r>
    </w:p>
  </w:footnote>
  <w:footnote w:id="65">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4341FB">
        <w:rPr>
          <w:i/>
          <w:iCs/>
          <w:rtl/>
          <w:lang w:eastAsia="zh-TW"/>
        </w:rPr>
        <w:t>و. ج. د ضد كندا</w:t>
      </w:r>
      <w:r w:rsidR="004341FB">
        <w:rPr>
          <w:rtl/>
          <w:lang w:eastAsia="zh-TW"/>
        </w:rPr>
        <w:t xml:space="preserve">، الفقرة 7-4؛ </w:t>
      </w:r>
      <w:proofErr w:type="spellStart"/>
      <w:r w:rsidR="004341FB" w:rsidRPr="004341FB">
        <w:rPr>
          <w:i/>
          <w:iCs/>
          <w:rtl/>
          <w:lang w:eastAsia="zh-TW"/>
        </w:rPr>
        <w:t>و</w:t>
      </w:r>
      <w:r w:rsidRPr="004341FB">
        <w:rPr>
          <w:i/>
          <w:iCs/>
          <w:rtl/>
          <w:lang w:eastAsia="zh-TW"/>
        </w:rPr>
        <w:t>ج</w:t>
      </w:r>
      <w:proofErr w:type="spellEnd"/>
      <w:r w:rsidRPr="004341FB">
        <w:rPr>
          <w:i/>
          <w:iCs/>
          <w:rtl/>
          <w:lang w:eastAsia="zh-TW"/>
        </w:rPr>
        <w:t>. ك. ضد كندا</w:t>
      </w:r>
      <w:r w:rsidRPr="00EE77FD">
        <w:rPr>
          <w:rtl/>
          <w:lang w:eastAsia="zh-TW"/>
        </w:rPr>
        <w:t xml:space="preserve"> (</w:t>
      </w:r>
      <w:hyperlink r:id="rId16" w:history="1">
        <w:r w:rsidRPr="00EE77FD">
          <w:t>CAT/C/56/D/562/2013</w:t>
        </w:r>
      </w:hyperlink>
      <w:r w:rsidRPr="00EE77FD">
        <w:rPr>
          <w:rtl/>
          <w:lang w:eastAsia="zh-TW"/>
        </w:rPr>
        <w:t>)، الفقرة 9-2.</w:t>
      </w:r>
    </w:p>
  </w:footnote>
  <w:footnote w:id="66">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w:t>
      </w:r>
      <w:proofErr w:type="spellStart"/>
      <w:r w:rsidRPr="004341FB">
        <w:rPr>
          <w:i/>
          <w:iCs/>
          <w:rtl/>
          <w:lang w:eastAsia="zh-TW"/>
        </w:rPr>
        <w:t>كالينيتشنكو</w:t>
      </w:r>
      <w:proofErr w:type="spellEnd"/>
      <w:r w:rsidRPr="004341FB">
        <w:rPr>
          <w:i/>
          <w:iCs/>
          <w:rtl/>
          <w:lang w:eastAsia="zh-TW"/>
        </w:rPr>
        <w:t xml:space="preserve"> ضد المغرب</w:t>
      </w:r>
      <w:r w:rsidRPr="00EE77FD">
        <w:rPr>
          <w:rtl/>
          <w:lang w:eastAsia="zh-TW"/>
        </w:rPr>
        <w:t xml:space="preserve"> (</w:t>
      </w:r>
      <w:hyperlink r:id="rId17" w:history="1">
        <w:r w:rsidRPr="00EE77FD">
          <w:t>CAT/C/47/D/428/2010</w:t>
        </w:r>
      </w:hyperlink>
      <w:r w:rsidRPr="00EE77FD">
        <w:rPr>
          <w:rtl/>
          <w:lang w:eastAsia="zh-TW"/>
        </w:rPr>
        <w:t xml:space="preserve">)، الفقرات 13-1 و13-2 و16؛ </w:t>
      </w:r>
      <w:proofErr w:type="spellStart"/>
      <w:r w:rsidRPr="004341FB">
        <w:rPr>
          <w:i/>
          <w:iCs/>
          <w:rtl/>
          <w:lang w:eastAsia="zh-TW"/>
        </w:rPr>
        <w:t>وتورسونوف</w:t>
      </w:r>
      <w:proofErr w:type="spellEnd"/>
      <w:r w:rsidRPr="004341FB">
        <w:rPr>
          <w:i/>
          <w:iCs/>
          <w:rtl/>
          <w:lang w:eastAsia="zh-TW"/>
        </w:rPr>
        <w:t xml:space="preserve"> ضد كازاخستان</w:t>
      </w:r>
      <w:r w:rsidRPr="00EE77FD">
        <w:rPr>
          <w:rtl/>
          <w:lang w:eastAsia="zh-TW"/>
        </w:rPr>
        <w:t xml:space="preserve">، الفقرة 10؛ </w:t>
      </w:r>
      <w:r w:rsidRPr="004341FB">
        <w:rPr>
          <w:i/>
          <w:iCs/>
          <w:rtl/>
          <w:lang w:eastAsia="zh-TW"/>
        </w:rPr>
        <w:t>وإكس ضد الاتحاد الروسي</w:t>
      </w:r>
      <w:r w:rsidRPr="00EE77FD">
        <w:rPr>
          <w:rtl/>
          <w:lang w:eastAsia="zh-TW"/>
        </w:rPr>
        <w:t xml:space="preserve"> (</w:t>
      </w:r>
      <w:hyperlink r:id="rId18" w:history="1">
        <w:r w:rsidRPr="00EE77FD">
          <w:t>CAT/C/54/D/542/2013</w:t>
        </w:r>
      </w:hyperlink>
      <w:r w:rsidRPr="00EE77FD">
        <w:rPr>
          <w:rtl/>
          <w:lang w:eastAsia="zh-TW"/>
        </w:rPr>
        <w:t xml:space="preserve">)، الفقرتين 9-2 و12؛ </w:t>
      </w:r>
      <w:r w:rsidR="004341FB">
        <w:rPr>
          <w:i/>
          <w:iCs/>
          <w:rtl/>
          <w:lang w:eastAsia="zh-TW"/>
        </w:rPr>
        <w:t>و</w:t>
      </w:r>
      <w:r w:rsidRPr="004341FB">
        <w:rPr>
          <w:i/>
          <w:iCs/>
          <w:rtl/>
          <w:lang w:eastAsia="zh-TW"/>
        </w:rPr>
        <w:t xml:space="preserve">د. إ. س. ضد هنغاريا </w:t>
      </w:r>
      <w:r w:rsidRPr="00EE77FD">
        <w:rPr>
          <w:rtl/>
          <w:lang w:eastAsia="zh-TW"/>
        </w:rPr>
        <w:t>(</w:t>
      </w:r>
      <w:hyperlink r:id="rId19" w:history="1">
        <w:r w:rsidRPr="00EE77FD">
          <w:t>CAT/C/56/D/671/2015</w:t>
        </w:r>
      </w:hyperlink>
      <w:r w:rsidRPr="00EE77FD">
        <w:rPr>
          <w:rtl/>
          <w:lang w:eastAsia="zh-TW"/>
        </w:rPr>
        <w:t xml:space="preserve">)، الفقرات 9-1 إلى 9-3. </w:t>
      </w:r>
    </w:p>
  </w:footnote>
  <w:footnote w:id="67">
    <w:p w:rsidR="00714EAE" w:rsidRPr="00EE77FD" w:rsidRDefault="00714EAE" w:rsidP="00714EAE">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4341FB">
        <w:rPr>
          <w:i/>
          <w:iCs/>
          <w:rtl/>
          <w:lang w:eastAsia="zh-TW"/>
        </w:rPr>
        <w:t>س. ت. ضد أستراليا</w:t>
      </w:r>
      <w:r w:rsidRPr="00EE77FD">
        <w:rPr>
          <w:rtl/>
          <w:lang w:eastAsia="zh-TW"/>
        </w:rPr>
        <w:t xml:space="preserve"> (</w:t>
      </w:r>
      <w:r w:rsidRPr="00714EAE">
        <w:rPr>
          <w:lang w:eastAsia="zh-TW"/>
        </w:rPr>
        <w:t>CAT/C/61/D/614/2014</w:t>
      </w:r>
      <w:r w:rsidRPr="00EE77FD">
        <w:rPr>
          <w:rtl/>
          <w:lang w:eastAsia="zh-TW"/>
        </w:rPr>
        <w:t xml:space="preserve">)، الفقرتين 9 و10؛ </w:t>
      </w:r>
      <w:r w:rsidRPr="004341FB">
        <w:rPr>
          <w:i/>
          <w:iCs/>
          <w:rtl/>
          <w:lang w:eastAsia="zh-TW"/>
        </w:rPr>
        <w:t>وإكس ضد الاتحاد الروسي</w:t>
      </w:r>
      <w:r w:rsidRPr="00EE77FD">
        <w:rPr>
          <w:rtl/>
          <w:lang w:eastAsia="zh-TW"/>
        </w:rPr>
        <w:t>، الفقرة ١٢.</w:t>
      </w:r>
    </w:p>
  </w:footnote>
  <w:footnote w:id="68">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w:t>
      </w:r>
      <w:proofErr w:type="spellStart"/>
      <w:r w:rsidRPr="004341FB">
        <w:rPr>
          <w:i/>
          <w:iCs/>
          <w:rtl/>
          <w:lang w:eastAsia="zh-TW"/>
        </w:rPr>
        <w:t>سيفاغناناراتنام</w:t>
      </w:r>
      <w:proofErr w:type="spellEnd"/>
      <w:r w:rsidRPr="004341FB">
        <w:rPr>
          <w:i/>
          <w:iCs/>
          <w:rtl/>
          <w:lang w:eastAsia="zh-TW"/>
        </w:rPr>
        <w:t xml:space="preserve"> ضد الدانمرك</w:t>
      </w:r>
      <w:r w:rsidRPr="00EE77FD">
        <w:rPr>
          <w:rtl/>
          <w:lang w:eastAsia="zh-TW"/>
        </w:rPr>
        <w:t xml:space="preserve"> (</w:t>
      </w:r>
      <w:hyperlink r:id="rId20" w:history="1">
        <w:r w:rsidRPr="00EE77FD">
          <w:t>CAT/C/51/D/429/2010</w:t>
        </w:r>
      </w:hyperlink>
      <w:r w:rsidRPr="00EE77FD">
        <w:rPr>
          <w:rtl/>
          <w:lang w:eastAsia="zh-TW"/>
        </w:rPr>
        <w:t xml:space="preserve">)، الفقرتين 10-5 و10-6 </w:t>
      </w:r>
      <w:r w:rsidRPr="004341FB">
        <w:rPr>
          <w:i/>
          <w:iCs/>
          <w:rtl/>
          <w:lang w:eastAsia="zh-TW"/>
        </w:rPr>
        <w:t>والسيد أ. ر. ضد هولندا</w:t>
      </w:r>
      <w:r w:rsidRPr="00EE77FD">
        <w:rPr>
          <w:rtl/>
          <w:lang w:eastAsia="zh-TW"/>
        </w:rPr>
        <w:t xml:space="preserve"> (</w:t>
      </w:r>
      <w:hyperlink r:id="rId21" w:history="1">
        <w:r w:rsidRPr="00EE77FD">
          <w:t>CAT/C/31/D/203/2002</w:t>
        </w:r>
      </w:hyperlink>
      <w:r w:rsidRPr="00EE77FD">
        <w:rPr>
          <w:rtl/>
          <w:lang w:eastAsia="zh-TW"/>
        </w:rPr>
        <w:t xml:space="preserve">)، الفقرة ٧-٣؛ </w:t>
      </w:r>
      <w:r w:rsidRPr="004341FB">
        <w:rPr>
          <w:i/>
          <w:iCs/>
          <w:rtl/>
          <w:lang w:eastAsia="zh-TW"/>
        </w:rPr>
        <w:t xml:space="preserve">وآرثر </w:t>
      </w:r>
      <w:proofErr w:type="spellStart"/>
      <w:r w:rsidRPr="004341FB">
        <w:rPr>
          <w:i/>
          <w:iCs/>
          <w:rtl/>
          <w:lang w:eastAsia="zh-TW"/>
        </w:rPr>
        <w:t>كاسومبولا</w:t>
      </w:r>
      <w:proofErr w:type="spellEnd"/>
      <w:r w:rsidRPr="004341FB">
        <w:rPr>
          <w:i/>
          <w:iCs/>
          <w:rtl/>
          <w:lang w:eastAsia="zh-TW"/>
        </w:rPr>
        <w:t xml:space="preserve"> </w:t>
      </w:r>
      <w:proofErr w:type="spellStart"/>
      <w:r w:rsidRPr="004341FB">
        <w:rPr>
          <w:i/>
          <w:iCs/>
          <w:rtl/>
          <w:lang w:eastAsia="zh-TW"/>
        </w:rPr>
        <w:t>كالونزو</w:t>
      </w:r>
      <w:proofErr w:type="spellEnd"/>
      <w:r w:rsidRPr="004341FB">
        <w:rPr>
          <w:i/>
          <w:iCs/>
          <w:rtl/>
          <w:lang w:eastAsia="zh-TW"/>
        </w:rPr>
        <w:t xml:space="preserve"> ضد كندا </w:t>
      </w:r>
      <w:r w:rsidRPr="00EE77FD">
        <w:rPr>
          <w:rtl/>
          <w:lang w:eastAsia="zh-TW"/>
        </w:rPr>
        <w:t>(</w:t>
      </w:r>
      <w:hyperlink r:id="rId22" w:history="1">
        <w:r w:rsidRPr="00EE77FD">
          <w:rPr>
            <w:lang w:val="es-ES"/>
          </w:rPr>
          <w:t>CAT/C/48/D/343/2008</w:t>
        </w:r>
      </w:hyperlink>
      <w:r w:rsidRPr="00EE77FD">
        <w:rPr>
          <w:rtl/>
          <w:lang w:eastAsia="zh-TW"/>
        </w:rPr>
        <w:t xml:space="preserve">)، الفقرة ٩-٣؛ </w:t>
      </w:r>
      <w:r w:rsidRPr="004341FB">
        <w:rPr>
          <w:i/>
          <w:iCs/>
          <w:rtl/>
          <w:lang w:eastAsia="zh-TW"/>
        </w:rPr>
        <w:t>وإكس ضد الدانمرك</w:t>
      </w:r>
      <w:r w:rsidRPr="00EE77FD">
        <w:rPr>
          <w:rtl/>
          <w:lang w:eastAsia="zh-TW"/>
        </w:rPr>
        <w:t xml:space="preserve"> (</w:t>
      </w:r>
      <w:hyperlink r:id="rId23" w:history="1">
        <w:r w:rsidRPr="00EE77FD">
          <w:rPr>
            <w:lang w:val="es-ES"/>
          </w:rPr>
          <w:t>CAT/C/53/D/458/2011</w:t>
        </w:r>
      </w:hyperlink>
      <w:r w:rsidR="00EE5C81">
        <w:rPr>
          <w:rtl/>
          <w:lang w:eastAsia="zh-TW"/>
        </w:rPr>
        <w:t xml:space="preserve">)، الفقرة ٩-٣؛ </w:t>
      </w:r>
      <w:proofErr w:type="spellStart"/>
      <w:r w:rsidR="00EE5C81" w:rsidRPr="00EE5C81">
        <w:rPr>
          <w:i/>
          <w:iCs/>
          <w:rtl/>
          <w:lang w:eastAsia="zh-TW"/>
        </w:rPr>
        <w:t>و</w:t>
      </w:r>
      <w:r w:rsidRPr="00EE5C81">
        <w:rPr>
          <w:i/>
          <w:iCs/>
          <w:rtl/>
          <w:lang w:eastAsia="zh-TW"/>
        </w:rPr>
        <w:t>و</w:t>
      </w:r>
      <w:proofErr w:type="spellEnd"/>
      <w:r w:rsidRPr="00EE5C81">
        <w:rPr>
          <w:i/>
          <w:iCs/>
          <w:rtl/>
          <w:lang w:eastAsia="zh-TW"/>
        </w:rPr>
        <w:t>. ج. د. ضد كندا</w:t>
      </w:r>
      <w:r w:rsidR="00EE5C81">
        <w:rPr>
          <w:rtl/>
          <w:lang w:eastAsia="zh-TW"/>
        </w:rPr>
        <w:t xml:space="preserve">، الفقرة 8-4؛ </w:t>
      </w:r>
      <w:proofErr w:type="spellStart"/>
      <w:r w:rsidR="00EE5C81" w:rsidRPr="00EE5C81">
        <w:rPr>
          <w:i/>
          <w:iCs/>
          <w:rtl/>
          <w:lang w:eastAsia="zh-TW"/>
        </w:rPr>
        <w:t>و</w:t>
      </w:r>
      <w:r w:rsidRPr="00EE5C81">
        <w:rPr>
          <w:i/>
          <w:iCs/>
          <w:rtl/>
          <w:lang w:eastAsia="zh-TW"/>
        </w:rPr>
        <w:t>ت</w:t>
      </w:r>
      <w:proofErr w:type="spellEnd"/>
      <w:r w:rsidRPr="00EE5C81">
        <w:rPr>
          <w:i/>
          <w:iCs/>
          <w:rtl/>
          <w:lang w:eastAsia="zh-TW"/>
        </w:rPr>
        <w:t>. ز. ضد سويسرا</w:t>
      </w:r>
      <w:r w:rsidRPr="00EE77FD">
        <w:rPr>
          <w:rtl/>
          <w:lang w:eastAsia="zh-TW"/>
        </w:rPr>
        <w:t xml:space="preserve"> (</w:t>
      </w:r>
      <w:hyperlink r:id="rId24" w:history="1">
        <w:r w:rsidRPr="00EE77FD">
          <w:rPr>
            <w:lang w:val="es-ES"/>
          </w:rPr>
          <w:t>CAT/C/62/D/688/</w:t>
        </w:r>
        <w:r w:rsidRPr="00EE77FD">
          <w:t>2015</w:t>
        </w:r>
      </w:hyperlink>
      <w:r w:rsidRPr="00EE77FD">
        <w:rPr>
          <w:rtl/>
          <w:lang w:eastAsia="zh-TW"/>
        </w:rPr>
        <w:t xml:space="preserve">)، الفقرة 8-4. </w:t>
      </w:r>
    </w:p>
  </w:footnote>
  <w:footnote w:id="69">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للمقارنة، انظر </w:t>
      </w:r>
      <w:r w:rsidRPr="00EE5C81">
        <w:rPr>
          <w:i/>
          <w:iCs/>
          <w:rtl/>
          <w:lang w:eastAsia="zh-TW"/>
        </w:rPr>
        <w:t>س. ب. أ. ضد كندا</w:t>
      </w:r>
      <w:r w:rsidR="002F142B">
        <w:rPr>
          <w:rtl/>
          <w:lang w:eastAsia="zh-TW"/>
        </w:rPr>
        <w:t xml:space="preserve">، الفقرة 7-5؛ </w:t>
      </w:r>
      <w:proofErr w:type="spellStart"/>
      <w:r w:rsidR="002F142B" w:rsidRPr="002F142B">
        <w:rPr>
          <w:i/>
          <w:iCs/>
          <w:rtl/>
          <w:lang w:eastAsia="zh-TW"/>
        </w:rPr>
        <w:t>و</w:t>
      </w:r>
      <w:r w:rsidRPr="002F142B">
        <w:rPr>
          <w:i/>
          <w:iCs/>
          <w:rtl/>
          <w:lang w:eastAsia="zh-TW"/>
        </w:rPr>
        <w:t>ج</w:t>
      </w:r>
      <w:proofErr w:type="spellEnd"/>
      <w:r w:rsidRPr="002F142B">
        <w:rPr>
          <w:i/>
          <w:iCs/>
          <w:rtl/>
          <w:lang w:eastAsia="zh-TW"/>
        </w:rPr>
        <w:t>. ك. ضد كندا</w:t>
      </w:r>
      <w:r w:rsidRPr="00EE77FD">
        <w:rPr>
          <w:rtl/>
          <w:lang w:eastAsia="zh-TW"/>
        </w:rPr>
        <w:t xml:space="preserve">، الفقرة 10-4. </w:t>
      </w:r>
    </w:p>
  </w:footnote>
  <w:footnote w:id="70">
    <w:p w:rsidR="00714EAE" w:rsidRPr="00EE5C81" w:rsidRDefault="00714EAE" w:rsidP="00EE5C81">
      <w:pPr>
        <w:pStyle w:val="FootnoteText1"/>
        <w:textDirection w:val="tbRlV"/>
        <w:rPr>
          <w:spacing w:val="-2"/>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الملاحظات </w:t>
      </w:r>
      <w:r w:rsidRPr="00EE77FD">
        <w:rPr>
          <w:rtl/>
        </w:rPr>
        <w:t>الختامية</w:t>
      </w:r>
      <w:r w:rsidRPr="00EE77FD">
        <w:rPr>
          <w:rtl/>
          <w:lang w:eastAsia="zh-TW"/>
        </w:rPr>
        <w:t xml:space="preserve"> بشأن التقرير الدوري الرابع لهولندا (</w:t>
      </w:r>
      <w:r w:rsidRPr="00EE77FD">
        <w:t>CAT/C/NET/CO/4</w:t>
      </w:r>
      <w:r w:rsidRPr="00EE77FD">
        <w:rPr>
          <w:rtl/>
          <w:lang w:eastAsia="zh-TW"/>
        </w:rPr>
        <w:t xml:space="preserve">)، </w:t>
      </w:r>
      <w:r w:rsidRPr="00EE5C81">
        <w:rPr>
          <w:spacing w:val="-2"/>
          <w:rtl/>
          <w:lang w:eastAsia="zh-TW"/>
        </w:rPr>
        <w:t>الفقرة</w:t>
      </w:r>
      <w:r w:rsidR="00EE5C81" w:rsidRPr="00EE5C81">
        <w:rPr>
          <w:rFonts w:hint="cs"/>
          <w:spacing w:val="-2"/>
          <w:rtl/>
          <w:lang w:eastAsia="zh-TW"/>
        </w:rPr>
        <w:t> </w:t>
      </w:r>
      <w:r w:rsidRPr="00EE5C81">
        <w:rPr>
          <w:spacing w:val="-2"/>
          <w:rtl/>
          <w:lang w:eastAsia="zh-TW"/>
        </w:rPr>
        <w:t>7؛ والملاحظات الختامية بشأن التقرير الدوري الرابع لقبرص (</w:t>
      </w:r>
      <w:r w:rsidRPr="00EE5C81">
        <w:rPr>
          <w:spacing w:val="-2"/>
        </w:rPr>
        <w:t>CAT/C/CYP/CO/4</w:t>
      </w:r>
      <w:r w:rsidRPr="00EE5C81">
        <w:rPr>
          <w:spacing w:val="-2"/>
          <w:rtl/>
          <w:lang w:eastAsia="zh-TW"/>
        </w:rPr>
        <w:t>)، الفقرتين ١٣ و١٤.</w:t>
      </w:r>
    </w:p>
  </w:footnote>
  <w:footnote w:id="71">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003561EB">
        <w:rPr>
          <w:rtl/>
          <w:lang w:eastAsia="zh-TW"/>
        </w:rPr>
        <w:t xml:space="preserve">انظر، </w:t>
      </w:r>
      <w:r w:rsidRPr="00EE77FD">
        <w:rPr>
          <w:rtl/>
          <w:lang w:eastAsia="zh-TW"/>
        </w:rPr>
        <w:t xml:space="preserve">على </w:t>
      </w:r>
      <w:r w:rsidRPr="00EE77FD">
        <w:rPr>
          <w:rtl/>
        </w:rPr>
        <w:t>سبيل</w:t>
      </w:r>
      <w:r w:rsidRPr="00EE77FD">
        <w:rPr>
          <w:rtl/>
          <w:lang w:eastAsia="zh-TW"/>
        </w:rPr>
        <w:t xml:space="preserve"> المثال، </w:t>
      </w:r>
      <w:r w:rsidRPr="003561EB">
        <w:rPr>
          <w:i/>
          <w:iCs/>
          <w:rtl/>
          <w:lang w:eastAsia="zh-TW"/>
        </w:rPr>
        <w:t xml:space="preserve">م. ب. </w:t>
      </w:r>
      <w:r w:rsidRPr="003561EB">
        <w:rPr>
          <w:i/>
          <w:iCs/>
          <w:rtl/>
        </w:rPr>
        <w:t>وآخرون</w:t>
      </w:r>
      <w:r w:rsidRPr="003561EB">
        <w:rPr>
          <w:i/>
          <w:iCs/>
          <w:rtl/>
          <w:lang w:eastAsia="zh-TW"/>
        </w:rPr>
        <w:t xml:space="preserve"> ضد الدانمرك</w:t>
      </w:r>
      <w:r w:rsidRPr="00EE77FD">
        <w:rPr>
          <w:rtl/>
          <w:lang w:eastAsia="zh-TW"/>
        </w:rPr>
        <w:t>، الفقرة 9-8.</w:t>
      </w:r>
    </w:p>
  </w:footnote>
  <w:footnote w:id="72">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الحواشي 23 إلى </w:t>
      </w:r>
      <w:r w:rsidRPr="00EE77FD">
        <w:rPr>
          <w:rtl/>
        </w:rPr>
        <w:t>30</w:t>
      </w:r>
      <w:r w:rsidRPr="00EE77FD">
        <w:rPr>
          <w:rtl/>
          <w:lang w:eastAsia="zh-TW"/>
        </w:rPr>
        <w:t xml:space="preserve"> أعلاه. </w:t>
      </w:r>
    </w:p>
  </w:footnote>
  <w:footnote w:id="73">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proofErr w:type="spellStart"/>
      <w:r w:rsidRPr="00EE5C81">
        <w:rPr>
          <w:i/>
          <w:iCs/>
          <w:rtl/>
          <w:lang w:eastAsia="zh-TW"/>
        </w:rPr>
        <w:t>آلان</w:t>
      </w:r>
      <w:proofErr w:type="spellEnd"/>
      <w:r w:rsidRPr="00EE5C81">
        <w:rPr>
          <w:i/>
          <w:iCs/>
          <w:rtl/>
          <w:lang w:eastAsia="zh-TW"/>
        </w:rPr>
        <w:t xml:space="preserve"> ضد سويسرا</w:t>
      </w:r>
      <w:r w:rsidRPr="00EE77FD">
        <w:rPr>
          <w:rtl/>
          <w:lang w:eastAsia="zh-TW"/>
        </w:rPr>
        <w:t xml:space="preserve"> (</w:t>
      </w:r>
      <w:hyperlink r:id="rId25" w:history="1">
        <w:r w:rsidRPr="00EE77FD">
          <w:t>CAT/C/16/D/21/1995</w:t>
        </w:r>
      </w:hyperlink>
      <w:r w:rsidRPr="00EE77FD">
        <w:rPr>
          <w:rtl/>
          <w:lang w:eastAsia="zh-TW"/>
        </w:rPr>
        <w:t xml:space="preserve">)، الفقرة 11-3؛ </w:t>
      </w:r>
      <w:proofErr w:type="spellStart"/>
      <w:r w:rsidRPr="00EE5C81">
        <w:rPr>
          <w:i/>
          <w:iCs/>
          <w:rtl/>
          <w:lang w:eastAsia="zh-TW"/>
        </w:rPr>
        <w:t>وكيسوكي</w:t>
      </w:r>
      <w:proofErr w:type="spellEnd"/>
      <w:r w:rsidRPr="00EE5C81">
        <w:rPr>
          <w:i/>
          <w:iCs/>
          <w:rtl/>
          <w:lang w:eastAsia="zh-TW"/>
        </w:rPr>
        <w:t xml:space="preserve"> ضد السويد </w:t>
      </w:r>
      <w:r w:rsidRPr="00EE77FD">
        <w:rPr>
          <w:rtl/>
          <w:lang w:eastAsia="zh-TW"/>
        </w:rPr>
        <w:t>(</w:t>
      </w:r>
      <w:hyperlink r:id="rId26" w:history="1">
        <w:r w:rsidRPr="00EE77FD">
          <w:rPr>
            <w:lang w:val="es-ES"/>
          </w:rPr>
          <w:t>CAT/C/16/D/41/1996</w:t>
        </w:r>
      </w:hyperlink>
      <w:r w:rsidRPr="00EE77FD">
        <w:rPr>
          <w:rtl/>
          <w:lang w:eastAsia="zh-TW"/>
        </w:rPr>
        <w:t xml:space="preserve">)، الفقرة 9-3؛ </w:t>
      </w:r>
      <w:r w:rsidRPr="00EE5C81">
        <w:rPr>
          <w:i/>
          <w:iCs/>
          <w:rtl/>
          <w:lang w:eastAsia="zh-TW"/>
        </w:rPr>
        <w:t>وهايدن ضد السويد</w:t>
      </w:r>
      <w:r w:rsidRPr="00EE77FD">
        <w:rPr>
          <w:rtl/>
          <w:lang w:eastAsia="zh-TW"/>
        </w:rPr>
        <w:t xml:space="preserve"> (</w:t>
      </w:r>
      <w:hyperlink r:id="rId27" w:history="1">
        <w:r w:rsidRPr="00EE77FD">
          <w:rPr>
            <w:lang w:val="es-ES"/>
          </w:rPr>
          <w:t>CAT/C/21/D/101/1997</w:t>
        </w:r>
      </w:hyperlink>
      <w:r w:rsidR="00EE5C81">
        <w:rPr>
          <w:rtl/>
          <w:lang w:eastAsia="zh-TW"/>
        </w:rPr>
        <w:t xml:space="preserve">)، الفقرتين 6-6 و6-7؛ </w:t>
      </w:r>
      <w:r w:rsidR="00EE5C81" w:rsidRPr="00EE5C81">
        <w:rPr>
          <w:i/>
          <w:iCs/>
          <w:rtl/>
          <w:lang w:eastAsia="zh-TW"/>
        </w:rPr>
        <w:t>و</w:t>
      </w:r>
      <w:r w:rsidRPr="00EE5C81">
        <w:rPr>
          <w:i/>
          <w:iCs/>
          <w:rtl/>
          <w:lang w:eastAsia="zh-TW"/>
        </w:rPr>
        <w:t>ك. ت. وك. م. ضد السويد</w:t>
      </w:r>
      <w:r w:rsidRPr="00EE77FD">
        <w:rPr>
          <w:rtl/>
          <w:lang w:eastAsia="zh-TW"/>
        </w:rPr>
        <w:t xml:space="preserve"> (</w:t>
      </w:r>
      <w:hyperlink r:id="rId28" w:history="1">
        <w:r w:rsidRPr="00EE77FD">
          <w:t>CAT/C/37/D/279/2005</w:t>
        </w:r>
      </w:hyperlink>
      <w:r w:rsidR="00EE5C81">
        <w:rPr>
          <w:rtl/>
          <w:lang w:eastAsia="zh-TW"/>
        </w:rPr>
        <w:t xml:space="preserve">)، الفقرة 7-6؛ </w:t>
      </w:r>
      <w:proofErr w:type="spellStart"/>
      <w:r w:rsidR="00EE5C81" w:rsidRPr="00EE5C81">
        <w:rPr>
          <w:i/>
          <w:iCs/>
          <w:rtl/>
          <w:lang w:eastAsia="zh-TW"/>
        </w:rPr>
        <w:t>و</w:t>
      </w:r>
      <w:r w:rsidRPr="00EE5C81">
        <w:rPr>
          <w:i/>
          <w:iCs/>
          <w:rtl/>
          <w:lang w:eastAsia="zh-TW"/>
        </w:rPr>
        <w:t>إ</w:t>
      </w:r>
      <w:proofErr w:type="spellEnd"/>
      <w:r w:rsidRPr="00EE5C81">
        <w:rPr>
          <w:i/>
          <w:iCs/>
          <w:rtl/>
          <w:lang w:eastAsia="zh-TW"/>
        </w:rPr>
        <w:t>. ك. و. ضد فنلندا</w:t>
      </w:r>
      <w:r w:rsidR="00EE5C81">
        <w:rPr>
          <w:rtl/>
          <w:lang w:eastAsia="zh-TW"/>
        </w:rPr>
        <w:t xml:space="preserve">، الفقرة 9-6؛ </w:t>
      </w:r>
      <w:proofErr w:type="spellStart"/>
      <w:r w:rsidR="00EE5C81" w:rsidRPr="00EE5C81">
        <w:rPr>
          <w:i/>
          <w:iCs/>
          <w:rtl/>
          <w:lang w:eastAsia="zh-TW"/>
        </w:rPr>
        <w:t>و</w:t>
      </w:r>
      <w:r w:rsidRPr="00EE5C81">
        <w:rPr>
          <w:i/>
          <w:iCs/>
          <w:rtl/>
          <w:lang w:eastAsia="zh-TW"/>
        </w:rPr>
        <w:t>م</w:t>
      </w:r>
      <w:proofErr w:type="spellEnd"/>
      <w:r w:rsidRPr="00EE5C81">
        <w:rPr>
          <w:i/>
          <w:iCs/>
          <w:rtl/>
          <w:lang w:eastAsia="zh-TW"/>
        </w:rPr>
        <w:t xml:space="preserve">. ب. </w:t>
      </w:r>
      <w:r w:rsidRPr="00EE5C81">
        <w:rPr>
          <w:i/>
          <w:iCs/>
          <w:rtl/>
        </w:rPr>
        <w:t>وآخرون</w:t>
      </w:r>
      <w:r w:rsidRPr="00EE5C81">
        <w:rPr>
          <w:i/>
          <w:iCs/>
          <w:rtl/>
          <w:lang w:eastAsia="zh-TW"/>
        </w:rPr>
        <w:t xml:space="preserve"> ضد الدانمرك</w:t>
      </w:r>
      <w:r w:rsidRPr="00EE77FD">
        <w:rPr>
          <w:rtl/>
          <w:lang w:eastAsia="zh-TW"/>
        </w:rPr>
        <w:t xml:space="preserve">، الفقرة 9-6. </w:t>
      </w:r>
    </w:p>
  </w:footnote>
  <w:footnote w:id="74">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rPr>
        <w:t>إكس</w:t>
      </w:r>
      <w:r w:rsidRPr="00EE5C81">
        <w:rPr>
          <w:i/>
          <w:iCs/>
          <w:rtl/>
          <w:lang w:eastAsia="zh-TW"/>
        </w:rPr>
        <w:t xml:space="preserve"> ضد كازاخستان</w:t>
      </w:r>
      <w:r w:rsidRPr="00EE77FD">
        <w:rPr>
          <w:rtl/>
          <w:lang w:eastAsia="zh-TW"/>
        </w:rPr>
        <w:t xml:space="preserve"> (</w:t>
      </w:r>
      <w:hyperlink r:id="rId29" w:history="1">
        <w:r w:rsidRPr="00EE77FD">
          <w:t>CAT/C/55/D/554/2013</w:t>
        </w:r>
      </w:hyperlink>
      <w:r w:rsidRPr="00EE77FD">
        <w:rPr>
          <w:rtl/>
          <w:lang w:eastAsia="zh-TW"/>
        </w:rPr>
        <w:t>)، الفقرة 12-7.</w:t>
      </w:r>
    </w:p>
  </w:footnote>
  <w:footnote w:id="75">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002F142B">
        <w:rPr>
          <w:i/>
          <w:iCs/>
          <w:rtl/>
          <w:lang w:eastAsia="zh-TW"/>
        </w:rPr>
        <w:t xml:space="preserve">ب. س. ب. </w:t>
      </w:r>
      <w:proofErr w:type="spellStart"/>
      <w:r w:rsidR="002F142B">
        <w:rPr>
          <w:i/>
          <w:iCs/>
          <w:rtl/>
          <w:lang w:eastAsia="zh-TW"/>
        </w:rPr>
        <w:t>و</w:t>
      </w:r>
      <w:r w:rsidRPr="00EE5C81">
        <w:rPr>
          <w:i/>
          <w:iCs/>
          <w:rtl/>
          <w:lang w:eastAsia="zh-TW"/>
        </w:rPr>
        <w:t>ت</w:t>
      </w:r>
      <w:proofErr w:type="spellEnd"/>
      <w:r w:rsidRPr="00EE5C81">
        <w:rPr>
          <w:i/>
          <w:iCs/>
          <w:rtl/>
          <w:lang w:eastAsia="zh-TW"/>
        </w:rPr>
        <w:t>. ك. ضد كندا</w:t>
      </w:r>
      <w:r w:rsidRPr="00EE77FD">
        <w:rPr>
          <w:rtl/>
          <w:lang w:eastAsia="zh-TW"/>
        </w:rPr>
        <w:t xml:space="preserve"> (</w:t>
      </w:r>
      <w:hyperlink r:id="rId30" w:history="1">
        <w:r w:rsidRPr="00EE77FD">
          <w:t>CAT/C/55/D/505/2012</w:t>
        </w:r>
      </w:hyperlink>
      <w:r w:rsidRPr="00EE77FD">
        <w:rPr>
          <w:rtl/>
          <w:lang w:eastAsia="zh-TW"/>
        </w:rPr>
        <w:t>)، الفقرة 8-3.</w:t>
      </w:r>
    </w:p>
  </w:footnote>
  <w:footnote w:id="76">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proofErr w:type="spellStart"/>
      <w:r w:rsidRPr="00EE5C81">
        <w:rPr>
          <w:i/>
          <w:iCs/>
          <w:rtl/>
        </w:rPr>
        <w:t>سوباركران</w:t>
      </w:r>
      <w:proofErr w:type="spellEnd"/>
      <w:r w:rsidRPr="00EE5C81">
        <w:rPr>
          <w:i/>
          <w:iCs/>
          <w:rtl/>
          <w:lang w:eastAsia="zh-TW"/>
        </w:rPr>
        <w:t xml:space="preserve"> ر. </w:t>
      </w:r>
      <w:proofErr w:type="spellStart"/>
      <w:r w:rsidRPr="00EE5C81">
        <w:rPr>
          <w:i/>
          <w:iCs/>
          <w:rtl/>
          <w:lang w:eastAsia="zh-TW"/>
        </w:rPr>
        <w:t>ثيروغناناسامبانثار</w:t>
      </w:r>
      <w:proofErr w:type="spellEnd"/>
      <w:r w:rsidRPr="00EE5C81">
        <w:rPr>
          <w:i/>
          <w:iCs/>
          <w:rtl/>
          <w:lang w:eastAsia="zh-TW"/>
        </w:rPr>
        <w:t xml:space="preserve"> ضد أستراليا</w:t>
      </w:r>
      <w:r w:rsidRPr="00EE77FD">
        <w:rPr>
          <w:rtl/>
          <w:lang w:eastAsia="zh-TW"/>
        </w:rPr>
        <w:t>، الفقرة 8-7.</w:t>
      </w:r>
    </w:p>
  </w:footnote>
  <w:footnote w:id="77">
    <w:p w:rsidR="00714EAE" w:rsidRPr="00EE77FD" w:rsidRDefault="00714EAE" w:rsidP="00714EAE">
      <w:pPr>
        <w:pStyle w:val="FootnoteText1"/>
        <w:textDirection w:val="tbRlV"/>
        <w:rPr>
          <w:rtl/>
          <w:lang w:eastAsia="zh-TW" w:bidi="ar-DZ"/>
        </w:rPr>
      </w:pPr>
      <w:r w:rsidRPr="00EE77FD">
        <w:rPr>
          <w:rtl/>
        </w:rPr>
        <w:t>(</w:t>
      </w:r>
      <w:r w:rsidRPr="00EE77FD">
        <w:rPr>
          <w:rStyle w:val="FootnoteReference"/>
          <w:vertAlign w:val="baseline"/>
        </w:rPr>
        <w:footnoteRef/>
      </w:r>
      <w:r>
        <w:rPr>
          <w:sz w:val="26"/>
          <w:rtl/>
        </w:rPr>
        <w:t>)</w:t>
      </w:r>
      <w:r>
        <w:rPr>
          <w:sz w:val="26"/>
          <w:rtl/>
        </w:rPr>
        <w:tab/>
      </w:r>
      <w:r>
        <w:rPr>
          <w:rFonts w:hint="cs"/>
          <w:sz w:val="26"/>
          <w:rtl/>
        </w:rPr>
        <w:t>ا</w:t>
      </w:r>
      <w:r w:rsidRPr="00EE77FD">
        <w:rPr>
          <w:rtl/>
          <w:lang w:eastAsia="zh-TW"/>
        </w:rPr>
        <w:t xml:space="preserve">نظر، على سبيل المثال، </w:t>
      </w:r>
      <w:r w:rsidRPr="00EE77FD">
        <w:rPr>
          <w:rtl/>
        </w:rPr>
        <w:t>الملاحظات</w:t>
      </w:r>
      <w:r w:rsidRPr="00EE77FD">
        <w:rPr>
          <w:rtl/>
          <w:lang w:eastAsia="zh-TW"/>
        </w:rPr>
        <w:t xml:space="preserve"> الختامية بشأن التقرير الأولي العراق (</w:t>
      </w:r>
      <w:r>
        <w:t>CAT/C/IRQ/CO/1</w:t>
      </w:r>
      <w:r w:rsidRPr="00EE77FD">
        <w:rPr>
          <w:rtl/>
          <w:lang w:eastAsia="zh-TW"/>
        </w:rPr>
        <w:t xml:space="preserve"> و</w:t>
      </w:r>
      <w:r w:rsidRPr="00EE77FD">
        <w:t>CAT/C/IRQ/CO/1/Corr.1</w:t>
      </w:r>
      <w:r>
        <w:rPr>
          <w:rtl/>
          <w:lang w:eastAsia="zh-TW"/>
        </w:rPr>
        <w:t>)، الفقرتين ١١ و</w:t>
      </w:r>
      <w:r w:rsidRPr="00EE77FD">
        <w:rPr>
          <w:rtl/>
          <w:lang w:eastAsia="zh-TW"/>
        </w:rPr>
        <w:t xml:space="preserve">١٢. </w:t>
      </w:r>
    </w:p>
  </w:footnote>
  <w:footnote w:id="78">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w:t>
      </w:r>
      <w:r w:rsidRPr="00EE77FD">
        <w:rPr>
          <w:rtl/>
        </w:rPr>
        <w:t>المثال</w:t>
      </w:r>
      <w:r w:rsidRPr="00EE77FD">
        <w:rPr>
          <w:rtl/>
          <w:lang w:eastAsia="zh-TW"/>
        </w:rPr>
        <w:t xml:space="preserve">، </w:t>
      </w:r>
      <w:r w:rsidRPr="00EE5C81">
        <w:rPr>
          <w:i/>
          <w:iCs/>
          <w:rtl/>
          <w:lang w:eastAsia="zh-TW"/>
        </w:rPr>
        <w:t>ج. ك. ضد كندا</w:t>
      </w:r>
      <w:r w:rsidRPr="00EE77FD">
        <w:rPr>
          <w:rtl/>
          <w:lang w:eastAsia="zh-TW"/>
        </w:rPr>
        <w:t>، الفقرتين 10-5 و10-6.</w:t>
      </w:r>
    </w:p>
  </w:footnote>
  <w:footnote w:id="79">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الماثل، </w:t>
      </w:r>
      <w:r w:rsidRPr="00EE5C81">
        <w:rPr>
          <w:i/>
          <w:iCs/>
          <w:rtl/>
          <w:lang w:eastAsia="zh-TW"/>
        </w:rPr>
        <w:t>عابد عزيزي ضد سويسرا</w:t>
      </w:r>
      <w:r w:rsidRPr="00EE77FD">
        <w:rPr>
          <w:rtl/>
          <w:lang w:eastAsia="zh-TW"/>
        </w:rPr>
        <w:t xml:space="preserve"> (</w:t>
      </w:r>
      <w:hyperlink r:id="rId31" w:history="1">
        <w:r w:rsidRPr="00EE77FD">
          <w:t>CAT/C/53/D/492/2012</w:t>
        </w:r>
      </w:hyperlink>
      <w:r w:rsidRPr="00EE77FD">
        <w:rPr>
          <w:rtl/>
          <w:lang w:eastAsia="zh-TW"/>
        </w:rPr>
        <w:t>)، الفقرات 8-5 إلى 8-8.</w:t>
      </w:r>
    </w:p>
  </w:footnote>
  <w:footnote w:id="80">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77FD">
        <w:rPr>
          <w:rtl/>
        </w:rPr>
        <w:t>الملاحظات</w:t>
      </w:r>
      <w:r w:rsidRPr="00EE77FD">
        <w:rPr>
          <w:rtl/>
          <w:lang w:eastAsia="zh-TW"/>
        </w:rPr>
        <w:t xml:space="preserve"> الختامية بشأن التقرير الأولي لتشاد (</w:t>
      </w:r>
      <w:r w:rsidRPr="00EE77FD">
        <w:t>CAT/C/TCD/CO/1</w:t>
      </w:r>
      <w:r w:rsidRPr="00EE77FD">
        <w:rPr>
          <w:rtl/>
          <w:lang w:eastAsia="zh-TW"/>
        </w:rPr>
        <w:t>)، الفقرة 22.</w:t>
      </w:r>
    </w:p>
  </w:footnote>
  <w:footnote w:id="81">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المادة 118 </w:t>
      </w:r>
      <w:r w:rsidRPr="00EE77FD">
        <w:rPr>
          <w:rtl/>
        </w:rPr>
        <w:t>من</w:t>
      </w:r>
      <w:r w:rsidRPr="00EE77FD">
        <w:rPr>
          <w:rtl/>
          <w:lang w:eastAsia="zh-TW"/>
        </w:rPr>
        <w:t xml:space="preserve"> النظام الداخلي للجنة. </w:t>
      </w:r>
    </w:p>
  </w:footnote>
  <w:footnote w:id="82">
    <w:p w:rsidR="00714EAE" w:rsidRPr="00EE77FD" w:rsidRDefault="00714EAE" w:rsidP="00392A5C">
      <w:pPr>
        <w:pStyle w:val="FootnoteText1"/>
        <w:spacing w:line="280" w:lineRule="exact"/>
        <w:textDirection w:val="tbRlV"/>
        <w:rPr>
          <w:rtl/>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lang w:eastAsia="zh-TW"/>
        </w:rPr>
        <w:t xml:space="preserve">ز. ضد </w:t>
      </w:r>
      <w:r w:rsidRPr="00EE5C81">
        <w:rPr>
          <w:i/>
          <w:iCs/>
          <w:rtl/>
        </w:rPr>
        <w:t>الدانمرك</w:t>
      </w:r>
      <w:r w:rsidRPr="00EE77FD">
        <w:rPr>
          <w:rtl/>
          <w:lang w:eastAsia="zh-TW"/>
        </w:rPr>
        <w:t xml:space="preserve"> (</w:t>
      </w:r>
      <w:hyperlink r:id="rId32" w:history="1">
        <w:r w:rsidRPr="00EE77FD">
          <w:t>CAT/C/55/D/555/2013</w:t>
        </w:r>
      </w:hyperlink>
      <w:r w:rsidR="00EE5C81">
        <w:rPr>
          <w:rtl/>
          <w:lang w:eastAsia="zh-TW"/>
        </w:rPr>
        <w:t xml:space="preserve">)، الفقرتين 5-2 و7-8؛ </w:t>
      </w:r>
      <w:proofErr w:type="spellStart"/>
      <w:r w:rsidR="00EE5C81" w:rsidRPr="00EE5C81">
        <w:rPr>
          <w:i/>
          <w:iCs/>
          <w:rtl/>
          <w:lang w:eastAsia="zh-TW"/>
        </w:rPr>
        <w:t>و</w:t>
      </w:r>
      <w:r w:rsidRPr="00EE5C81">
        <w:rPr>
          <w:i/>
          <w:iCs/>
          <w:rtl/>
          <w:lang w:eastAsia="zh-TW"/>
        </w:rPr>
        <w:t>م</w:t>
      </w:r>
      <w:proofErr w:type="spellEnd"/>
      <w:r w:rsidRPr="00EE5C81">
        <w:rPr>
          <w:i/>
          <w:iCs/>
          <w:rtl/>
          <w:lang w:eastAsia="zh-TW"/>
        </w:rPr>
        <w:t>. ب. وآخرون ضد الدانمرك</w:t>
      </w:r>
      <w:r w:rsidRPr="00EE77FD">
        <w:rPr>
          <w:rtl/>
          <w:lang w:eastAsia="zh-TW"/>
        </w:rPr>
        <w:t>، الفقرات 2-1 و2-</w:t>
      </w:r>
      <w:r w:rsidRPr="00EE77FD">
        <w:rPr>
          <w:rtl/>
        </w:rPr>
        <w:t xml:space="preserve">2 و9-7. </w:t>
      </w:r>
    </w:p>
  </w:footnote>
  <w:footnote w:id="83">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lang w:eastAsia="zh-TW"/>
        </w:rPr>
        <w:t>ت. د. ضد سويسرا</w:t>
      </w:r>
      <w:r w:rsidRPr="00EE77FD">
        <w:rPr>
          <w:rtl/>
          <w:lang w:eastAsia="zh-TW"/>
        </w:rPr>
        <w:t xml:space="preserve"> (</w:t>
      </w:r>
      <w:hyperlink r:id="rId33" w:history="1">
        <w:r w:rsidRPr="00EE77FD">
          <w:t>CAT/C/46/D/375/2009</w:t>
        </w:r>
      </w:hyperlink>
      <w:r w:rsidRPr="00EE77FD">
        <w:rPr>
          <w:rtl/>
          <w:lang w:eastAsia="zh-TW"/>
        </w:rPr>
        <w:t xml:space="preserve">)، الفقرة ٧-8. </w:t>
      </w:r>
    </w:p>
  </w:footnote>
  <w:footnote w:id="84">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proofErr w:type="spellStart"/>
      <w:r w:rsidRPr="00EE5C81">
        <w:rPr>
          <w:i/>
          <w:iCs/>
          <w:rtl/>
        </w:rPr>
        <w:t>ناصيروف</w:t>
      </w:r>
      <w:proofErr w:type="spellEnd"/>
      <w:r w:rsidRPr="00EE5C81">
        <w:rPr>
          <w:i/>
          <w:iCs/>
          <w:rtl/>
          <w:lang w:eastAsia="zh-TW"/>
        </w:rPr>
        <w:t xml:space="preserve"> ضد كازاخستان</w:t>
      </w:r>
      <w:r w:rsidRPr="00EE77FD">
        <w:rPr>
          <w:rtl/>
          <w:lang w:eastAsia="zh-TW"/>
        </w:rPr>
        <w:t xml:space="preserve">، الفقرتين 7-6 و11-9. </w:t>
      </w:r>
    </w:p>
  </w:footnote>
  <w:footnote w:id="85">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lang w:eastAsia="zh-TW"/>
        </w:rPr>
        <w:t xml:space="preserve">أغيزا ضد </w:t>
      </w:r>
      <w:r w:rsidRPr="00EE5C81">
        <w:rPr>
          <w:i/>
          <w:iCs/>
          <w:rtl/>
        </w:rPr>
        <w:t>السويد</w:t>
      </w:r>
      <w:r w:rsidRPr="00EE77FD">
        <w:rPr>
          <w:rtl/>
          <w:lang w:eastAsia="zh-TW"/>
        </w:rPr>
        <w:t xml:space="preserve">، الفقرة 13-4؛ </w:t>
      </w:r>
      <w:r w:rsidRPr="00EE5C81">
        <w:rPr>
          <w:i/>
          <w:iCs/>
          <w:rtl/>
          <w:lang w:eastAsia="zh-TW"/>
        </w:rPr>
        <w:t>وعلي فاضل ضد سويسرا</w:t>
      </w:r>
      <w:r w:rsidRPr="00EE77FD">
        <w:rPr>
          <w:rtl/>
          <w:lang w:eastAsia="zh-TW"/>
        </w:rPr>
        <w:t xml:space="preserve">، الفقرة 7-8. </w:t>
      </w:r>
    </w:p>
  </w:footnote>
  <w:footnote w:id="86">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proofErr w:type="spellStart"/>
      <w:r w:rsidRPr="00EE5C81">
        <w:rPr>
          <w:i/>
          <w:iCs/>
          <w:rtl/>
        </w:rPr>
        <w:t>أوتام</w:t>
      </w:r>
      <w:proofErr w:type="spellEnd"/>
      <w:r w:rsidRPr="00EE5C81">
        <w:rPr>
          <w:i/>
          <w:iCs/>
          <w:rtl/>
          <w:lang w:eastAsia="zh-TW"/>
        </w:rPr>
        <w:t xml:space="preserve"> </w:t>
      </w:r>
      <w:proofErr w:type="spellStart"/>
      <w:r w:rsidRPr="00EE5C81">
        <w:rPr>
          <w:i/>
          <w:iCs/>
          <w:rtl/>
          <w:lang w:eastAsia="zh-TW"/>
        </w:rPr>
        <w:t>موندال</w:t>
      </w:r>
      <w:proofErr w:type="spellEnd"/>
      <w:r w:rsidRPr="00EE5C81">
        <w:rPr>
          <w:i/>
          <w:iCs/>
          <w:rtl/>
          <w:lang w:eastAsia="zh-TW"/>
        </w:rPr>
        <w:t xml:space="preserve"> ضد السويد</w:t>
      </w:r>
      <w:r w:rsidRPr="00EE77FD">
        <w:rPr>
          <w:rtl/>
          <w:lang w:eastAsia="zh-TW"/>
        </w:rPr>
        <w:t xml:space="preserve"> (</w:t>
      </w:r>
      <w:r w:rsidRPr="00714EAE">
        <w:rPr>
          <w:lang w:eastAsia="zh-TW"/>
        </w:rPr>
        <w:t>CAT/C/46/D/338/2008</w:t>
      </w:r>
      <w:r w:rsidRPr="00EE77FD">
        <w:rPr>
          <w:rtl/>
          <w:lang w:eastAsia="zh-TW"/>
        </w:rPr>
        <w:t xml:space="preserve">)، الفقرة 7-7. </w:t>
      </w:r>
    </w:p>
  </w:footnote>
  <w:footnote w:id="87">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proofErr w:type="spellStart"/>
      <w:r w:rsidRPr="00EE5C81">
        <w:rPr>
          <w:i/>
          <w:iCs/>
          <w:rtl/>
          <w:lang w:eastAsia="zh-TW"/>
        </w:rPr>
        <w:t>دادار</w:t>
      </w:r>
      <w:proofErr w:type="spellEnd"/>
      <w:r w:rsidRPr="00EE5C81">
        <w:rPr>
          <w:i/>
          <w:iCs/>
          <w:rtl/>
          <w:lang w:eastAsia="zh-TW"/>
        </w:rPr>
        <w:t xml:space="preserve"> </w:t>
      </w:r>
      <w:r w:rsidRPr="00EE5C81">
        <w:rPr>
          <w:i/>
          <w:iCs/>
          <w:rtl/>
        </w:rPr>
        <w:t>ضد</w:t>
      </w:r>
      <w:r w:rsidRPr="00EE5C81">
        <w:rPr>
          <w:i/>
          <w:iCs/>
          <w:rtl/>
          <w:lang w:eastAsia="zh-TW"/>
        </w:rPr>
        <w:t xml:space="preserve"> كندا</w:t>
      </w:r>
      <w:r w:rsidRPr="00EE77FD">
        <w:rPr>
          <w:rtl/>
          <w:lang w:eastAsia="zh-TW"/>
        </w:rPr>
        <w:t xml:space="preserve">، الفقرة 8-5. </w:t>
      </w:r>
    </w:p>
  </w:footnote>
  <w:footnote w:id="88">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lang w:eastAsia="zh-TW"/>
        </w:rPr>
        <w:t xml:space="preserve">عبد </w:t>
      </w:r>
      <w:proofErr w:type="spellStart"/>
      <w:r w:rsidRPr="00EE5C81">
        <w:rPr>
          <w:i/>
          <w:iCs/>
          <w:rtl/>
        </w:rPr>
        <w:t>الصمتوف</w:t>
      </w:r>
      <w:proofErr w:type="spellEnd"/>
      <w:r w:rsidRPr="00EE5C81">
        <w:rPr>
          <w:i/>
          <w:iCs/>
          <w:rtl/>
          <w:lang w:eastAsia="zh-TW"/>
        </w:rPr>
        <w:t xml:space="preserve"> وآخرون ضد كازاخستان</w:t>
      </w:r>
      <w:r w:rsidRPr="00EE77FD">
        <w:rPr>
          <w:rtl/>
          <w:lang w:eastAsia="zh-TW"/>
        </w:rPr>
        <w:t xml:space="preserve">، الفقرة 13-8. </w:t>
      </w:r>
    </w:p>
  </w:footnote>
  <w:footnote w:id="89">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lang w:eastAsia="zh-TW"/>
        </w:rPr>
        <w:t xml:space="preserve">عابد </w:t>
      </w:r>
      <w:r w:rsidRPr="00EE5C81">
        <w:rPr>
          <w:i/>
          <w:iCs/>
          <w:rtl/>
        </w:rPr>
        <w:t>عزيزي</w:t>
      </w:r>
      <w:r w:rsidRPr="00EE5C81">
        <w:rPr>
          <w:i/>
          <w:iCs/>
          <w:rtl/>
          <w:lang w:eastAsia="zh-TW"/>
        </w:rPr>
        <w:t xml:space="preserve"> ضد سويسرا</w:t>
      </w:r>
      <w:r w:rsidRPr="00EE77FD">
        <w:rPr>
          <w:rtl/>
          <w:lang w:eastAsia="zh-TW"/>
        </w:rPr>
        <w:t xml:space="preserve">، الفقرتين 3-2 و8-8. </w:t>
      </w:r>
    </w:p>
  </w:footnote>
  <w:footnote w:id="90">
    <w:p w:rsidR="00714EAE" w:rsidRPr="00EE77FD" w:rsidRDefault="00714EAE" w:rsidP="00F30E70">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77FD">
        <w:rPr>
          <w:rtl/>
        </w:rPr>
        <w:t>التعليق</w:t>
      </w:r>
      <w:r w:rsidR="00EE5C81">
        <w:rPr>
          <w:rtl/>
          <w:lang w:eastAsia="zh-TW"/>
        </w:rPr>
        <w:t xml:space="preserve"> العام رقم 1</w:t>
      </w:r>
      <w:r w:rsidRPr="00EE77FD">
        <w:rPr>
          <w:rtl/>
          <w:lang w:eastAsia="zh-TW"/>
        </w:rPr>
        <w:t xml:space="preserve">(1997) بشأن تنفيذ الفقرة 2 من المادة 3؛ </w:t>
      </w:r>
      <w:proofErr w:type="spellStart"/>
      <w:r w:rsidRPr="00EE5C81">
        <w:rPr>
          <w:i/>
          <w:iCs/>
          <w:rtl/>
          <w:lang w:eastAsia="zh-TW"/>
        </w:rPr>
        <w:t>وأفيديس</w:t>
      </w:r>
      <w:proofErr w:type="spellEnd"/>
      <w:r w:rsidRPr="00EE5C81">
        <w:rPr>
          <w:i/>
          <w:iCs/>
          <w:rtl/>
          <w:lang w:eastAsia="zh-TW"/>
        </w:rPr>
        <w:t xml:space="preserve"> </w:t>
      </w:r>
      <w:proofErr w:type="spellStart"/>
      <w:r w:rsidRPr="00EE5C81">
        <w:rPr>
          <w:i/>
          <w:iCs/>
          <w:rtl/>
          <w:lang w:eastAsia="zh-TW"/>
        </w:rPr>
        <w:t>حاماياك</w:t>
      </w:r>
      <w:proofErr w:type="spellEnd"/>
      <w:r w:rsidRPr="00EE5C81">
        <w:rPr>
          <w:i/>
          <w:iCs/>
          <w:rtl/>
          <w:lang w:eastAsia="zh-TW"/>
        </w:rPr>
        <w:t xml:space="preserve"> قربان ضد السويد</w:t>
      </w:r>
      <w:r w:rsidRPr="00EE77FD">
        <w:rPr>
          <w:rtl/>
          <w:lang w:eastAsia="zh-TW"/>
        </w:rPr>
        <w:t xml:space="preserve"> (</w:t>
      </w:r>
      <w:hyperlink r:id="rId34" w:history="1">
        <w:r w:rsidRPr="00EE77FD">
          <w:t>CAT/C/21/D/88/1997</w:t>
        </w:r>
      </w:hyperlink>
      <w:r w:rsidR="00EE5C81">
        <w:rPr>
          <w:rtl/>
          <w:lang w:eastAsia="zh-TW"/>
        </w:rPr>
        <w:t xml:space="preserve">)، الفقرة 7؛ </w:t>
      </w:r>
      <w:r w:rsidR="00EE5C81" w:rsidRPr="00EE5C81">
        <w:rPr>
          <w:i/>
          <w:iCs/>
          <w:rtl/>
          <w:lang w:eastAsia="zh-TW"/>
        </w:rPr>
        <w:t>و</w:t>
      </w:r>
      <w:r w:rsidRPr="00EE5C81">
        <w:rPr>
          <w:i/>
          <w:iCs/>
          <w:rtl/>
          <w:lang w:eastAsia="zh-TW"/>
        </w:rPr>
        <w:t>ز. ت. ضد أستراليا</w:t>
      </w:r>
      <w:r w:rsidRPr="00EE77FD">
        <w:rPr>
          <w:rtl/>
          <w:lang w:eastAsia="zh-TW"/>
        </w:rPr>
        <w:t xml:space="preserve"> (</w:t>
      </w:r>
      <w:hyperlink r:id="rId35" w:history="1">
        <w:r w:rsidRPr="00EE77FD">
          <w:t>CAT/C/31/D/153/2000</w:t>
        </w:r>
      </w:hyperlink>
      <w:r w:rsidRPr="00EE77FD">
        <w:rPr>
          <w:rtl/>
          <w:lang w:eastAsia="zh-TW"/>
        </w:rPr>
        <w:t>)، الفقرة 6-4؛ والملاحظات الختامية بشأن التقرير الجامع للتقريرين الدوريين الخامس والسادس لليونان (</w:t>
      </w:r>
      <w:r w:rsidRPr="00EE77FD">
        <w:t>CAT/C/GRC/CO/5-6</w:t>
      </w:r>
      <w:r w:rsidRPr="00EE77FD">
        <w:rPr>
          <w:rtl/>
          <w:lang w:eastAsia="zh-TW"/>
        </w:rPr>
        <w:t>)، الفقرة 19؛ والملاحظات الختامية بشأن التقرير الدوري الثاني لصربيا (</w:t>
      </w:r>
      <w:r w:rsidRPr="00EE77FD">
        <w:t>CAT/C/SRB/CO/2</w:t>
      </w:r>
      <w:r w:rsidRPr="00EE77FD">
        <w:rPr>
          <w:rtl/>
          <w:lang w:eastAsia="zh-TW"/>
        </w:rPr>
        <w:t>)، الفقرة 15</w:t>
      </w:r>
      <w:r w:rsidR="00F30E70">
        <w:rPr>
          <w:rFonts w:hint="cs"/>
          <w:rtl/>
          <w:lang w:eastAsia="zh-TW"/>
        </w:rPr>
        <w:t>.</w:t>
      </w:r>
    </w:p>
  </w:footnote>
  <w:footnote w:id="91">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lang w:eastAsia="zh-TW"/>
        </w:rPr>
        <w:t>إ. ك. و. ضد فنلندا</w:t>
      </w:r>
      <w:r w:rsidRPr="00EE77FD">
        <w:rPr>
          <w:rtl/>
          <w:lang w:eastAsia="zh-TW"/>
        </w:rPr>
        <w:t xml:space="preserve">، الفقرتين 9-6 و9-7. </w:t>
      </w:r>
    </w:p>
  </w:footnote>
  <w:footnote w:id="92">
    <w:p w:rsidR="00714EAE" w:rsidRPr="00EE77FD" w:rsidRDefault="00714EAE" w:rsidP="00392A5C">
      <w:pPr>
        <w:pStyle w:val="FootnoteText1"/>
        <w:spacing w:line="280" w:lineRule="exact"/>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proofErr w:type="spellStart"/>
      <w:r w:rsidRPr="00EE5C81">
        <w:rPr>
          <w:i/>
          <w:iCs/>
          <w:rtl/>
          <w:lang w:eastAsia="zh-TW"/>
        </w:rPr>
        <w:t>أوتام</w:t>
      </w:r>
      <w:proofErr w:type="spellEnd"/>
      <w:r w:rsidRPr="00EE5C81">
        <w:rPr>
          <w:i/>
          <w:iCs/>
          <w:rtl/>
          <w:lang w:eastAsia="zh-TW"/>
        </w:rPr>
        <w:t xml:space="preserve"> </w:t>
      </w:r>
      <w:proofErr w:type="spellStart"/>
      <w:r w:rsidRPr="00EE5C81">
        <w:rPr>
          <w:i/>
          <w:iCs/>
          <w:rtl/>
          <w:lang w:eastAsia="zh-TW"/>
        </w:rPr>
        <w:t>موندال</w:t>
      </w:r>
      <w:proofErr w:type="spellEnd"/>
      <w:r w:rsidRPr="00EE5C81">
        <w:rPr>
          <w:i/>
          <w:iCs/>
          <w:rtl/>
          <w:lang w:eastAsia="zh-TW"/>
        </w:rPr>
        <w:t xml:space="preserve"> ضد السويد</w:t>
      </w:r>
      <w:r w:rsidRPr="00EE77FD">
        <w:rPr>
          <w:rtl/>
          <w:lang w:eastAsia="zh-TW"/>
        </w:rPr>
        <w:t xml:space="preserve">، الفقرة ٧-٤. </w:t>
      </w:r>
    </w:p>
  </w:footnote>
  <w:footnote w:id="93">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EE5C81">
        <w:rPr>
          <w:i/>
          <w:iCs/>
          <w:rtl/>
          <w:lang w:eastAsia="zh-TW"/>
        </w:rPr>
        <w:t>م. ك. م. ضد أستراليا</w:t>
      </w:r>
      <w:r w:rsidRPr="00EE77FD">
        <w:rPr>
          <w:rtl/>
          <w:lang w:eastAsia="zh-TW"/>
        </w:rPr>
        <w:t xml:space="preserve">، الفقرة 8-9. </w:t>
      </w:r>
    </w:p>
  </w:footnote>
  <w:footnote w:id="94">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الملاحظات </w:t>
      </w:r>
      <w:r w:rsidRPr="00EE77FD">
        <w:rPr>
          <w:rtl/>
        </w:rPr>
        <w:t>الختامية</w:t>
      </w:r>
      <w:r w:rsidRPr="00EE77FD">
        <w:rPr>
          <w:rtl/>
          <w:lang w:eastAsia="zh-TW"/>
        </w:rPr>
        <w:t xml:space="preserve"> بشأن التقرير الجامع للتقريرين الدوريين الخامس والسادس للأرجنتين (</w:t>
      </w:r>
      <w:r w:rsidRPr="00EE77FD">
        <w:t>CAT/C/ARG/CO/5-6</w:t>
      </w:r>
      <w:r w:rsidRPr="00EE77FD">
        <w:rPr>
          <w:rtl/>
          <w:lang w:eastAsia="zh-TW"/>
        </w:rPr>
        <w:t>)، الفقرات 9 إلى 12 و30؛ والملاحظات الختامية بشأن التقرير الدوري السادس بلغاريا (</w:t>
      </w:r>
      <w:r w:rsidRPr="00EE77FD">
        <w:t>CAT/C/BGR/CO/6</w:t>
      </w:r>
      <w:r w:rsidRPr="00EE77FD">
        <w:rPr>
          <w:rtl/>
          <w:lang w:eastAsia="zh-TW"/>
        </w:rPr>
        <w:t>)، الفقرات 7 و8 و11 و12.</w:t>
      </w:r>
    </w:p>
  </w:footnote>
  <w:footnote w:id="95">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F30E70">
        <w:rPr>
          <w:i/>
          <w:iCs/>
          <w:rtl/>
          <w:lang w:eastAsia="zh-TW"/>
        </w:rPr>
        <w:t>س. ب. أ. ضد كندا</w:t>
      </w:r>
      <w:r w:rsidRPr="00EE77FD">
        <w:rPr>
          <w:rtl/>
          <w:lang w:eastAsia="zh-TW"/>
        </w:rPr>
        <w:t xml:space="preserve">، الفقرة 7-5. </w:t>
      </w:r>
    </w:p>
  </w:footnote>
  <w:footnote w:id="96">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714EAE">
        <w:rPr>
          <w:i/>
          <w:iCs/>
          <w:rtl/>
          <w:lang w:eastAsia="zh-TW"/>
        </w:rPr>
        <w:t>ت. د. ضد سويسرا</w:t>
      </w:r>
      <w:r w:rsidRPr="00EE77FD">
        <w:rPr>
          <w:rtl/>
          <w:lang w:eastAsia="zh-TW"/>
        </w:rPr>
        <w:t xml:space="preserve">، الفقرة 7-7؛ </w:t>
      </w:r>
      <w:r w:rsidRPr="00714EAE">
        <w:rPr>
          <w:i/>
          <w:iCs/>
          <w:rtl/>
          <w:lang w:eastAsia="zh-TW"/>
        </w:rPr>
        <w:t>وألب ضد الدانمرك</w:t>
      </w:r>
      <w:r w:rsidRPr="00EE77FD">
        <w:rPr>
          <w:rtl/>
          <w:lang w:eastAsia="zh-TW"/>
        </w:rPr>
        <w:t xml:space="preserve"> (</w:t>
      </w:r>
      <w:hyperlink r:id="rId36" w:history="1">
        <w:r w:rsidRPr="00EE77FD">
          <w:t>CAT/C/52/D/466/2011</w:t>
        </w:r>
      </w:hyperlink>
      <w:r w:rsidRPr="00EE77FD">
        <w:rPr>
          <w:rtl/>
          <w:lang w:eastAsia="zh-TW"/>
        </w:rPr>
        <w:t xml:space="preserve">)، الفقرة ٨-٣. </w:t>
      </w:r>
    </w:p>
  </w:footnote>
  <w:footnote w:id="97">
    <w:p w:rsidR="00714EAE" w:rsidRPr="00EE77FD" w:rsidRDefault="00714EAE" w:rsidP="00EE77FD">
      <w:pPr>
        <w:pStyle w:val="FootnoteText1"/>
        <w:textDirection w:val="tbRlV"/>
        <w:rPr>
          <w:rtl/>
          <w:lang w:eastAsia="zh-TW"/>
        </w:rPr>
      </w:pPr>
      <w:r w:rsidRPr="00EE77FD">
        <w:rPr>
          <w:rtl/>
        </w:rPr>
        <w:t>(</w:t>
      </w:r>
      <w:r w:rsidRPr="00EE77FD">
        <w:rPr>
          <w:rStyle w:val="FootnoteReference"/>
          <w:vertAlign w:val="baseline"/>
        </w:rPr>
        <w:footnoteRef/>
      </w:r>
      <w:r>
        <w:rPr>
          <w:sz w:val="26"/>
          <w:rtl/>
        </w:rPr>
        <w:t>)</w:t>
      </w:r>
      <w:r>
        <w:rPr>
          <w:sz w:val="26"/>
          <w:rtl/>
        </w:rPr>
        <w:tab/>
      </w:r>
      <w:r w:rsidRPr="00EE77FD">
        <w:rPr>
          <w:rtl/>
          <w:lang w:eastAsia="zh-TW"/>
        </w:rPr>
        <w:t xml:space="preserve">انظر، على سبيل المثال، </w:t>
      </w:r>
      <w:r w:rsidRPr="00714EAE">
        <w:rPr>
          <w:i/>
          <w:iCs/>
          <w:rtl/>
          <w:lang w:eastAsia="zh-TW"/>
        </w:rPr>
        <w:t xml:space="preserve">إ. أ. ضد </w:t>
      </w:r>
      <w:r w:rsidRPr="00714EAE">
        <w:rPr>
          <w:i/>
          <w:iCs/>
          <w:rtl/>
        </w:rPr>
        <w:t>سويسرا</w:t>
      </w:r>
      <w:r w:rsidRPr="00EE77FD">
        <w:rPr>
          <w:rtl/>
          <w:lang w:eastAsia="zh-TW"/>
        </w:rPr>
        <w:t xml:space="preserve"> (</w:t>
      </w:r>
      <w:hyperlink r:id="rId37" w:history="1">
        <w:r w:rsidRPr="00EE77FD">
          <w:t>CAT/C/62/D/683/2015</w:t>
        </w:r>
      </w:hyperlink>
      <w:r w:rsidRPr="00EE77FD">
        <w:rPr>
          <w:rtl/>
          <w:lang w:eastAsia="zh-TW"/>
        </w:rPr>
        <w:t xml:space="preserve">)، الفقرة ٧-4.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AE" w:rsidRPr="00EE77FD" w:rsidRDefault="00714EAE" w:rsidP="00EE77FD">
    <w:pPr>
      <w:pStyle w:val="Header"/>
      <w:jc w:val="right"/>
    </w:pPr>
    <w:r w:rsidRPr="00EE77FD">
      <w:t>CAT/C/GC/4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EAE" w:rsidRPr="00EE77FD" w:rsidRDefault="00714EAE" w:rsidP="00EE77FD">
    <w:pPr>
      <w:pStyle w:val="Header"/>
      <w:jc w:val="left"/>
    </w:pPr>
    <w:r w:rsidRPr="00EE77FD">
      <w:t>CAT/C/GC/4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2575A"/>
    <w:rsid w:val="000076D5"/>
    <w:rsid w:val="00043663"/>
    <w:rsid w:val="000505CF"/>
    <w:rsid w:val="0007182E"/>
    <w:rsid w:val="000A2113"/>
    <w:rsid w:val="000D701C"/>
    <w:rsid w:val="000E2A71"/>
    <w:rsid w:val="00160263"/>
    <w:rsid w:val="00167825"/>
    <w:rsid w:val="00181F96"/>
    <w:rsid w:val="001A1371"/>
    <w:rsid w:val="001B346A"/>
    <w:rsid w:val="001D6F10"/>
    <w:rsid w:val="001E1CAD"/>
    <w:rsid w:val="001E290D"/>
    <w:rsid w:val="002144FA"/>
    <w:rsid w:val="0023469A"/>
    <w:rsid w:val="00243C8A"/>
    <w:rsid w:val="00267A0E"/>
    <w:rsid w:val="002901D9"/>
    <w:rsid w:val="002976C2"/>
    <w:rsid w:val="002F142B"/>
    <w:rsid w:val="003260FF"/>
    <w:rsid w:val="00343D95"/>
    <w:rsid w:val="0035348D"/>
    <w:rsid w:val="003561EB"/>
    <w:rsid w:val="00374341"/>
    <w:rsid w:val="00384DA7"/>
    <w:rsid w:val="00387E27"/>
    <w:rsid w:val="00392A5C"/>
    <w:rsid w:val="003D1062"/>
    <w:rsid w:val="00400B95"/>
    <w:rsid w:val="00420D7B"/>
    <w:rsid w:val="004341FB"/>
    <w:rsid w:val="00450B21"/>
    <w:rsid w:val="00453B63"/>
    <w:rsid w:val="00455780"/>
    <w:rsid w:val="004956DC"/>
    <w:rsid w:val="004B0A1C"/>
    <w:rsid w:val="004D298E"/>
    <w:rsid w:val="0052575A"/>
    <w:rsid w:val="0054472E"/>
    <w:rsid w:val="005662A9"/>
    <w:rsid w:val="005827D4"/>
    <w:rsid w:val="0059622A"/>
    <w:rsid w:val="005A3015"/>
    <w:rsid w:val="005C5489"/>
    <w:rsid w:val="005C5878"/>
    <w:rsid w:val="005C7CEA"/>
    <w:rsid w:val="005D3C0B"/>
    <w:rsid w:val="005E5217"/>
    <w:rsid w:val="005F0FA4"/>
    <w:rsid w:val="005F30EE"/>
    <w:rsid w:val="0060473A"/>
    <w:rsid w:val="00606EB3"/>
    <w:rsid w:val="00656392"/>
    <w:rsid w:val="006646E9"/>
    <w:rsid w:val="0068781D"/>
    <w:rsid w:val="006959B0"/>
    <w:rsid w:val="006B3E27"/>
    <w:rsid w:val="006B6507"/>
    <w:rsid w:val="006C104C"/>
    <w:rsid w:val="00704BE8"/>
    <w:rsid w:val="00714EAE"/>
    <w:rsid w:val="00733704"/>
    <w:rsid w:val="00761849"/>
    <w:rsid w:val="0078071A"/>
    <w:rsid w:val="00806A25"/>
    <w:rsid w:val="008161B4"/>
    <w:rsid w:val="00817373"/>
    <w:rsid w:val="00852A9A"/>
    <w:rsid w:val="00893A8A"/>
    <w:rsid w:val="008B1696"/>
    <w:rsid w:val="008C10B5"/>
    <w:rsid w:val="008F49E1"/>
    <w:rsid w:val="0090370F"/>
    <w:rsid w:val="009269D2"/>
    <w:rsid w:val="00942135"/>
    <w:rsid w:val="009521B0"/>
    <w:rsid w:val="00981C12"/>
    <w:rsid w:val="009A7E9F"/>
    <w:rsid w:val="009E5018"/>
    <w:rsid w:val="00A12B37"/>
    <w:rsid w:val="00A34EA8"/>
    <w:rsid w:val="00A67AF5"/>
    <w:rsid w:val="00A94CA3"/>
    <w:rsid w:val="00AB592A"/>
    <w:rsid w:val="00AB6758"/>
    <w:rsid w:val="00AD1E51"/>
    <w:rsid w:val="00B13763"/>
    <w:rsid w:val="00B477A4"/>
    <w:rsid w:val="00B54045"/>
    <w:rsid w:val="00C438D7"/>
    <w:rsid w:val="00C81B50"/>
    <w:rsid w:val="00C87F1F"/>
    <w:rsid w:val="00CD1801"/>
    <w:rsid w:val="00CD22F5"/>
    <w:rsid w:val="00D10EF1"/>
    <w:rsid w:val="00D42810"/>
    <w:rsid w:val="00D914A7"/>
    <w:rsid w:val="00DA0611"/>
    <w:rsid w:val="00DA073F"/>
    <w:rsid w:val="00DB516C"/>
    <w:rsid w:val="00DC1D29"/>
    <w:rsid w:val="00DD13C3"/>
    <w:rsid w:val="00DD596E"/>
    <w:rsid w:val="00DD621E"/>
    <w:rsid w:val="00DF0575"/>
    <w:rsid w:val="00E70E04"/>
    <w:rsid w:val="00E76499"/>
    <w:rsid w:val="00EC05A7"/>
    <w:rsid w:val="00EC4B6B"/>
    <w:rsid w:val="00EE5C81"/>
    <w:rsid w:val="00EE77FD"/>
    <w:rsid w:val="00EF1EE5"/>
    <w:rsid w:val="00EF3CE9"/>
    <w:rsid w:val="00F30E70"/>
    <w:rsid w:val="00F763B4"/>
    <w:rsid w:val="00F900C3"/>
    <w:rsid w:val="00FF10D1"/>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A4E325"/>
  <w15:docId w15:val="{3BB1450C-515B-41F3-95EC-B79C5CE5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1A1371"/>
    <w:pPr>
      <w:spacing w:line="240" w:lineRule="auto"/>
    </w:pPr>
    <w:rPr>
      <w:szCs w:val="20"/>
    </w:rPr>
  </w:style>
  <w:style w:type="character" w:customStyle="1" w:styleId="FootnoteTextChar">
    <w:name w:val="Footnote Text Char"/>
    <w:aliases w:val="5_G Char"/>
    <w:basedOn w:val="DefaultParagraphFont"/>
    <w:link w:val="FootnoteText"/>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HChG">
    <w:name w:val="_ H _Ch_G"/>
    <w:basedOn w:val="Normal"/>
    <w:next w:val="Normal"/>
    <w:rsid w:val="00EE77FD"/>
    <w:pPr>
      <w:keepNext/>
      <w:keepLines/>
      <w:tabs>
        <w:tab w:val="right" w:pos="851"/>
      </w:tabs>
      <w:suppressAutoHyphens/>
      <w:bidi w:val="0"/>
      <w:spacing w:before="360" w:after="240" w:line="300" w:lineRule="exact"/>
      <w:ind w:left="1134" w:right="1134" w:hanging="1134"/>
      <w:jc w:val="left"/>
    </w:pPr>
    <w:rPr>
      <w:rFonts w:eastAsia="SimSun" w:hAnsiTheme="minorHAnsi" w:hint="cs"/>
      <w:b/>
      <w:sz w:val="28"/>
      <w:lang w:val="en-GB"/>
    </w:rPr>
  </w:style>
  <w:style w:type="paragraph" w:customStyle="1" w:styleId="H1G">
    <w:name w:val="_ H_1_G"/>
    <w:basedOn w:val="Normal"/>
    <w:next w:val="Normal"/>
    <w:rsid w:val="00EE77FD"/>
    <w:pPr>
      <w:keepNext/>
      <w:keepLines/>
      <w:tabs>
        <w:tab w:val="right" w:pos="851"/>
      </w:tabs>
      <w:suppressAutoHyphens/>
      <w:bidi w:val="0"/>
      <w:spacing w:before="360" w:after="240" w:line="270" w:lineRule="exact"/>
      <w:ind w:left="1134" w:right="1134" w:hanging="1134"/>
      <w:jc w:val="left"/>
    </w:pPr>
    <w:rPr>
      <w:rFonts w:eastAsia="SimSun" w:hAnsiTheme="minorHAnsi" w:hint="cs"/>
      <w:b/>
      <w:sz w:val="24"/>
      <w:lang w:val="en-GB"/>
    </w:rPr>
  </w:style>
  <w:style w:type="paragraph" w:customStyle="1" w:styleId="H56G">
    <w:name w:val="_ H_5/6_G"/>
    <w:basedOn w:val="Normal"/>
    <w:next w:val="Normal"/>
    <w:rsid w:val="00EE77FD"/>
    <w:pPr>
      <w:keepNext/>
      <w:keepLines/>
      <w:tabs>
        <w:tab w:val="right" w:pos="851"/>
      </w:tabs>
      <w:suppressAutoHyphens/>
      <w:bidi w:val="0"/>
      <w:spacing w:before="240" w:after="120" w:line="240" w:lineRule="exact"/>
      <w:ind w:left="1134" w:right="1134" w:hanging="1134"/>
      <w:jc w:val="left"/>
    </w:pPr>
    <w:rPr>
      <w:rFonts w:eastAsia="SimSun" w:hAnsiTheme="minorHAnsi" w:hint="cs"/>
      <w:lang w:val="en-GB"/>
    </w:rPr>
  </w:style>
  <w:style w:type="paragraph" w:customStyle="1" w:styleId="SingleTxtG">
    <w:name w:val="_ Single Txt_G"/>
    <w:basedOn w:val="Normal"/>
    <w:link w:val="SingleTxtGChar"/>
    <w:rsid w:val="00EE77FD"/>
    <w:pPr>
      <w:suppressAutoHyphens/>
      <w:bidi w:val="0"/>
      <w:spacing w:after="120"/>
      <w:ind w:left="1134" w:right="1134"/>
      <w:jc w:val="both"/>
    </w:pPr>
    <w:rPr>
      <w:rFonts w:eastAsia="SimSun" w:hAnsiTheme="minorHAnsi"/>
      <w:lang w:val="en-GB" w:eastAsia="zh-CN"/>
    </w:rPr>
  </w:style>
  <w:style w:type="character" w:customStyle="1" w:styleId="SingleTxtGChar">
    <w:name w:val="_ Single Txt_G Char"/>
    <w:basedOn w:val="DefaultParagraphFont"/>
    <w:link w:val="SingleTxtG"/>
    <w:locked/>
    <w:rsid w:val="00EE77FD"/>
    <w:rPr>
      <w:rFonts w:ascii="Times New Roman" w:eastAsia="SimSun" w:cs="Traditional Arabic"/>
      <w:sz w:val="20"/>
      <w:szCs w:val="3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CAT/C/56/D/577/2013" TargetMode="External"/><Relationship Id="rId13" Type="http://schemas.openxmlformats.org/officeDocument/2006/relationships/hyperlink" Target="http://undocs.org/CAT/C/14/D/24/1995" TargetMode="External"/><Relationship Id="rId18" Type="http://schemas.openxmlformats.org/officeDocument/2006/relationships/hyperlink" Target="http://undocs.org/CAT/C/54/D/542/2013" TargetMode="External"/><Relationship Id="rId26" Type="http://schemas.openxmlformats.org/officeDocument/2006/relationships/hyperlink" Target="http://undocs.org/CAT/C/16/D/41/1996" TargetMode="External"/><Relationship Id="rId3" Type="http://schemas.openxmlformats.org/officeDocument/2006/relationships/hyperlink" Target="http://undocs.org/CAT/C/61/D/614/2014" TargetMode="External"/><Relationship Id="rId21" Type="http://schemas.openxmlformats.org/officeDocument/2006/relationships/hyperlink" Target="http://undocs.org/CAT/C/31/D/203/2002" TargetMode="External"/><Relationship Id="rId34" Type="http://schemas.openxmlformats.org/officeDocument/2006/relationships/hyperlink" Target="http://undocs.org/CAT/C/21/D/88/1997" TargetMode="External"/><Relationship Id="rId7" Type="http://schemas.openxmlformats.org/officeDocument/2006/relationships/hyperlink" Target="http://undocs.org/CAT/C/50/D/479/2011" TargetMode="External"/><Relationship Id="rId12" Type="http://schemas.openxmlformats.org/officeDocument/2006/relationships/hyperlink" Target="http://undocs.org/CAT/C/62/D/712/2015" TargetMode="External"/><Relationship Id="rId17" Type="http://schemas.openxmlformats.org/officeDocument/2006/relationships/hyperlink" Target="http://undocs.org/CAT/C/47/D/428/2010" TargetMode="External"/><Relationship Id="rId25" Type="http://schemas.openxmlformats.org/officeDocument/2006/relationships/hyperlink" Target="http://undocs.org/CAT/C/16/D/21/1995" TargetMode="External"/><Relationship Id="rId33" Type="http://schemas.openxmlformats.org/officeDocument/2006/relationships/hyperlink" Target="http://undocs.org/CAT/C/46/D/375/2009" TargetMode="External"/><Relationship Id="rId2" Type="http://schemas.openxmlformats.org/officeDocument/2006/relationships/hyperlink" Target="http://undocs.org/CAT/C/34/D/226/2003" TargetMode="External"/><Relationship Id="rId16" Type="http://schemas.openxmlformats.org/officeDocument/2006/relationships/hyperlink" Target="http://undocs.org/CAT/C/56/D/562/2013" TargetMode="External"/><Relationship Id="rId20" Type="http://schemas.openxmlformats.org/officeDocument/2006/relationships/hyperlink" Target="http://undocs.org/CAT/C/51/D/429/2010" TargetMode="External"/><Relationship Id="rId29" Type="http://schemas.openxmlformats.org/officeDocument/2006/relationships/hyperlink" Target="http://undocs.org/CAT/C/55/D/554/2013" TargetMode="External"/><Relationship Id="rId1" Type="http://schemas.openxmlformats.org/officeDocument/2006/relationships/hyperlink" Target="http://undocs.org/CAT/C/35/D/258/2004" TargetMode="External"/><Relationship Id="rId6" Type="http://schemas.openxmlformats.org/officeDocument/2006/relationships/hyperlink" Target="http://undocs.org/CAT/C/35/D/247/2004" TargetMode="External"/><Relationship Id="rId11" Type="http://schemas.openxmlformats.org/officeDocument/2006/relationships/hyperlink" Target="http://undocs.org/CAT/C/55/D/512/2012" TargetMode="External"/><Relationship Id="rId24" Type="http://schemas.openxmlformats.org/officeDocument/2006/relationships/hyperlink" Target="http://undocs.org/CAT/C/62/D/688/2015" TargetMode="External"/><Relationship Id="rId32" Type="http://schemas.openxmlformats.org/officeDocument/2006/relationships/hyperlink" Target="http://undocs.org/CAT/C/55/D/555/2013" TargetMode="External"/><Relationship Id="rId37" Type="http://schemas.openxmlformats.org/officeDocument/2006/relationships/hyperlink" Target="http://undocs.org/CAT/C/62/D/683/2015" TargetMode="External"/><Relationship Id="rId5" Type="http://schemas.openxmlformats.org/officeDocument/2006/relationships/hyperlink" Target="http://undocs.org/CAT/C/31/D/153/2000" TargetMode="External"/><Relationship Id="rId15" Type="http://schemas.openxmlformats.org/officeDocument/2006/relationships/hyperlink" Target="http://undocs.org/CAT/C/53/D/520/2012" TargetMode="External"/><Relationship Id="rId23" Type="http://schemas.openxmlformats.org/officeDocument/2006/relationships/hyperlink" Target="http://undocs.org/CAT/C/53/D/458/2011" TargetMode="External"/><Relationship Id="rId28" Type="http://schemas.openxmlformats.org/officeDocument/2006/relationships/hyperlink" Target="http://undocs.org/CAT/C/37/D/279/2005" TargetMode="External"/><Relationship Id="rId36" Type="http://schemas.openxmlformats.org/officeDocument/2006/relationships/hyperlink" Target="http://undocs.org/CAT/C/52/D/466/2011" TargetMode="External"/><Relationship Id="rId10" Type="http://schemas.openxmlformats.org/officeDocument/2006/relationships/hyperlink" Target="http://undocs.org/CAT/C/56/D/643/2014" TargetMode="External"/><Relationship Id="rId19" Type="http://schemas.openxmlformats.org/officeDocument/2006/relationships/hyperlink" Target="http://undocs.org/CAT/C/56/D/671/2015" TargetMode="External"/><Relationship Id="rId31" Type="http://schemas.openxmlformats.org/officeDocument/2006/relationships/hyperlink" Target="http://undocs.org/CAT/C/53/D/492/2012" TargetMode="External"/><Relationship Id="rId4" Type="http://schemas.openxmlformats.org/officeDocument/2006/relationships/hyperlink" Target="http://undocs.org/CAT/C/21/D/88/1997" TargetMode="External"/><Relationship Id="rId9" Type="http://schemas.openxmlformats.org/officeDocument/2006/relationships/hyperlink" Target="http://undocs.org/CAT/C/55/D/642/2014" TargetMode="External"/><Relationship Id="rId14" Type="http://schemas.openxmlformats.org/officeDocument/2006/relationships/hyperlink" Target="http://undocs.org/CAT/C/51/D/441/2010" TargetMode="External"/><Relationship Id="rId22" Type="http://schemas.openxmlformats.org/officeDocument/2006/relationships/hyperlink" Target="http://undocs.org/CAT/C/48/D/343/2008" TargetMode="External"/><Relationship Id="rId27" Type="http://schemas.openxmlformats.org/officeDocument/2006/relationships/hyperlink" Target="http://undocs.org/CAT/C/21/D/101/1997" TargetMode="External"/><Relationship Id="rId30" Type="http://schemas.openxmlformats.org/officeDocument/2006/relationships/hyperlink" Target="http://undocs.org/CAT/C/55/D/505/2012" TargetMode="External"/><Relationship Id="rId35" Type="http://schemas.openxmlformats.org/officeDocument/2006/relationships/hyperlink" Target="http://undocs.org/CAT/C/31/D/153/2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98B6-14A2-4955-A429-CD8AC3B7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CAT.dotm</Template>
  <TotalTime>0</TotalTime>
  <Pages>18</Pages>
  <Words>4294</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CAT/C/GC/4</vt:lpstr>
    </vt:vector>
  </TitlesOfParts>
  <Company>DCM</Company>
  <LinksUpToDate>false</LinksUpToDate>
  <CharactersWithSpaces>28713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CAT/C/GC/4</dc:title>
  <dc:subject>GE. 1813033A</dc:subject>
  <dc:creator>Gamal Mahmoud</dc:creator>
  <cp:keywords>ODS No. 1826819</cp:keywords>
  <dc:description>Distribution: General_x000d_
Original: English_x000d_
Date: 4 September 2018</dc:description>
  <cp:lastModifiedBy>Gamal Mohamed Abdelhamid Mahmoud</cp:lastModifiedBy>
  <cp:revision>2</cp:revision>
  <cp:lastPrinted>2018-10-19T13:26:00Z</cp:lastPrinted>
  <dcterms:created xsi:type="dcterms:W3CDTF">2018-10-19T15:14:00Z</dcterms:created>
  <dcterms:modified xsi:type="dcterms:W3CDTF">2018-10-19T15:14:00Z</dcterms:modified>
  <cp:category>Final</cp:category>
</cp:coreProperties>
</file>