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BD" w:rsidRDefault="00432BC6" w:rsidP="00362DBD">
      <w:pPr>
        <w:pStyle w:val="HChG"/>
      </w:pPr>
      <w:r>
        <w:t xml:space="preserve">Annex </w:t>
      </w:r>
    </w:p>
    <w:p w:rsidR="00432BC6" w:rsidRPr="00983B9E" w:rsidRDefault="00362DBD" w:rsidP="00362DBD">
      <w:pPr>
        <w:pStyle w:val="HChG"/>
      </w:pPr>
      <w:r>
        <w:tab/>
      </w:r>
      <w:r>
        <w:tab/>
      </w:r>
      <w:r w:rsidR="00432BC6" w:rsidRPr="00983B9E">
        <w:t xml:space="preserve">Guidelines on </w:t>
      </w:r>
      <w:r w:rsidR="00A377FA">
        <w:t>i</w:t>
      </w:r>
      <w:r w:rsidR="00432BC6" w:rsidRPr="00983B9E">
        <w:t xml:space="preserve">ndependent </w:t>
      </w:r>
      <w:r w:rsidR="00A377FA">
        <w:t>m</w:t>
      </w:r>
      <w:r w:rsidR="00432BC6" w:rsidRPr="00983B9E">
        <w:t xml:space="preserve">onitoring </w:t>
      </w:r>
      <w:r w:rsidR="00A377FA">
        <w:t>f</w:t>
      </w:r>
      <w:r w:rsidR="00432BC6" w:rsidRPr="00983B9E">
        <w:t>rameworks and their participation in the work of the Committee</w:t>
      </w:r>
      <w:r w:rsidR="00A377FA" w:rsidRPr="00A377FA">
        <w:t xml:space="preserve"> </w:t>
      </w:r>
      <w:r w:rsidR="00A377FA" w:rsidRPr="00432BC6">
        <w:t>on the Rights of Persons with Disabilities</w:t>
      </w:r>
    </w:p>
    <w:p w:rsidR="00432BC6" w:rsidRPr="00432BC6" w:rsidRDefault="00983B9E" w:rsidP="00A35DD8">
      <w:pPr>
        <w:pStyle w:val="HChG"/>
      </w:pPr>
      <w:r>
        <w:tab/>
      </w:r>
      <w:r w:rsidR="00CD188A">
        <w:t>I.</w:t>
      </w:r>
      <w:r>
        <w:tab/>
      </w:r>
      <w:r w:rsidR="00432BC6" w:rsidRPr="00432BC6">
        <w:t xml:space="preserve">Introduction </w:t>
      </w:r>
    </w:p>
    <w:p w:rsidR="00432BC6" w:rsidRPr="00432BC6" w:rsidRDefault="00A35DD8" w:rsidP="00A35DD8">
      <w:pPr>
        <w:pStyle w:val="SingleTxtG"/>
      </w:pPr>
      <w:r w:rsidRPr="00432BC6">
        <w:t>1.</w:t>
      </w:r>
      <w:r w:rsidRPr="00432BC6">
        <w:tab/>
      </w:r>
      <w:r w:rsidR="00432BC6" w:rsidRPr="00432BC6">
        <w:t xml:space="preserve">Since 2009, when it was established, the Committee on the Rights of Persons with Disabilities has regularly interacted with independent </w:t>
      </w:r>
      <w:r w:rsidR="00362DBD">
        <w:t>m</w:t>
      </w:r>
      <w:r w:rsidR="00432BC6" w:rsidRPr="00432BC6">
        <w:t xml:space="preserve">onitoring </w:t>
      </w:r>
      <w:r w:rsidR="00362DBD">
        <w:t>f</w:t>
      </w:r>
      <w:r w:rsidR="00432BC6" w:rsidRPr="00432BC6">
        <w:t>rameworks</w:t>
      </w:r>
      <w:r w:rsidR="00362DBD">
        <w:t>, including</w:t>
      </w:r>
      <w:r w:rsidR="00432BC6" w:rsidRPr="00432BC6">
        <w:t xml:space="preserve"> </w:t>
      </w:r>
      <w:r w:rsidR="00362DBD">
        <w:t>n</w:t>
      </w:r>
      <w:r w:rsidR="00432BC6" w:rsidRPr="00432BC6">
        <w:t xml:space="preserve">ational </w:t>
      </w:r>
      <w:r w:rsidR="00362DBD">
        <w:t>h</w:t>
      </w:r>
      <w:r w:rsidR="00432BC6" w:rsidRPr="00432BC6">
        <w:t xml:space="preserve">uman </w:t>
      </w:r>
      <w:r w:rsidR="00362DBD">
        <w:t>r</w:t>
      </w:r>
      <w:r w:rsidR="00432BC6" w:rsidRPr="00432BC6">
        <w:t xml:space="preserve">ights </w:t>
      </w:r>
      <w:r w:rsidR="00362DBD">
        <w:t>i</w:t>
      </w:r>
      <w:r w:rsidR="00432BC6" w:rsidRPr="00432BC6">
        <w:t xml:space="preserve">nstitutions </w:t>
      </w:r>
      <w:r w:rsidR="00362DBD">
        <w:t>that</w:t>
      </w:r>
      <w:r w:rsidR="00432BC6" w:rsidRPr="00432BC6">
        <w:t xml:space="preserve"> monitor the implementation of the Convention </w:t>
      </w:r>
      <w:r w:rsidR="00362DBD">
        <w:t>on the Rights of Persons with Disabilities, which</w:t>
      </w:r>
      <w:r w:rsidR="00432BC6" w:rsidRPr="00432BC6">
        <w:t xml:space="preserve"> have made effective contributions to the Committee’s reporting and inquiry procedures. In September 2014, the Committee held its first meeting with independent </w:t>
      </w:r>
      <w:r w:rsidR="00362DBD">
        <w:t>m</w:t>
      </w:r>
      <w:r w:rsidR="00432BC6" w:rsidRPr="00432BC6">
        <w:t xml:space="preserve">onitoring </w:t>
      </w:r>
      <w:r w:rsidR="00362DBD">
        <w:t>f</w:t>
      </w:r>
      <w:r w:rsidR="00432BC6" w:rsidRPr="00432BC6">
        <w:t xml:space="preserve">rameworks to discuss </w:t>
      </w:r>
      <w:r w:rsidR="006B5F42">
        <w:t xml:space="preserve">how efforts </w:t>
      </w:r>
      <w:r w:rsidR="00362DBD">
        <w:t>to strengthen activities to promote implementation of</w:t>
      </w:r>
      <w:r w:rsidR="00432BC6" w:rsidRPr="00432BC6">
        <w:t xml:space="preserve"> the Convention at the national and international levels could be mutually reinforced. Between September 2014 and November 2015, several informal consultations and one formal consultation </w:t>
      </w:r>
      <w:r w:rsidR="00362DBD">
        <w:t>were held</w:t>
      </w:r>
      <w:r w:rsidR="00432BC6" w:rsidRPr="00432BC6">
        <w:t xml:space="preserve"> with the purpose of collecting the views of independent monitoring frameworks on </w:t>
      </w:r>
      <w:r w:rsidR="00362DBD">
        <w:t>a set</w:t>
      </w:r>
      <w:r w:rsidR="00432BC6" w:rsidRPr="00432BC6">
        <w:t xml:space="preserve"> of guidelines </w:t>
      </w:r>
      <w:r w:rsidR="00362DBD">
        <w:t>for</w:t>
      </w:r>
      <w:r w:rsidR="00432BC6" w:rsidRPr="00432BC6">
        <w:t xml:space="preserve"> such collaboration, </w:t>
      </w:r>
      <w:r w:rsidR="00362DBD">
        <w:t>the</w:t>
      </w:r>
      <w:r w:rsidR="00432BC6" w:rsidRPr="00432BC6">
        <w:t xml:space="preserve"> time</w:t>
      </w:r>
      <w:r w:rsidR="00362DBD">
        <w:t xml:space="preserve"> </w:t>
      </w:r>
      <w:r w:rsidR="00432BC6" w:rsidRPr="00432BC6">
        <w:t>frame</w:t>
      </w:r>
      <w:r w:rsidR="00362DBD">
        <w:t xml:space="preserve"> for developing the guidelines and</w:t>
      </w:r>
      <w:r w:rsidR="00432BC6" w:rsidRPr="00432BC6">
        <w:t xml:space="preserve"> the modalities of the consultation process.</w:t>
      </w:r>
    </w:p>
    <w:p w:rsidR="00432BC6" w:rsidRPr="00432BC6" w:rsidRDefault="00A35DD8" w:rsidP="00A35DD8">
      <w:pPr>
        <w:pStyle w:val="SingleTxtG"/>
      </w:pPr>
      <w:r w:rsidRPr="00432BC6">
        <w:t>2.</w:t>
      </w:r>
      <w:r w:rsidRPr="00432BC6">
        <w:tab/>
      </w:r>
      <w:r w:rsidR="00432BC6" w:rsidRPr="00432BC6">
        <w:t>Along with the Optional Protocol to the Convention against Torture and Other Cruel, Inhuman or Degrading Treatment or Punishment</w:t>
      </w:r>
      <w:r w:rsidR="006B5F42">
        <w:t>,</w:t>
      </w:r>
      <w:r w:rsidR="00362DBD">
        <w:t xml:space="preserve"> </w:t>
      </w:r>
      <w:r w:rsidR="00432BC6" w:rsidRPr="00432BC6">
        <w:t xml:space="preserve">the Convention on the Rights of Persons with Disabilities is one of the human rights treaties </w:t>
      </w:r>
      <w:r w:rsidR="00CF21F9">
        <w:t>that</w:t>
      </w:r>
      <w:r w:rsidR="00432BC6" w:rsidRPr="00432BC6">
        <w:t xml:space="preserve"> expressly </w:t>
      </w:r>
      <w:r w:rsidR="00FD18C0">
        <w:t>request</w:t>
      </w:r>
      <w:r w:rsidR="006B5F42">
        <w:t>s</w:t>
      </w:r>
      <w:r w:rsidR="00FD18C0">
        <w:t xml:space="preserve"> States parties to</w:t>
      </w:r>
      <w:r w:rsidR="00432BC6" w:rsidRPr="00432BC6">
        <w:t xml:space="preserve"> establish a framework for monitoring its provisions at the national level. The Convention goes even further</w:t>
      </w:r>
      <w:r w:rsidR="009E287B">
        <w:t xml:space="preserve"> than the Optional Protocol</w:t>
      </w:r>
      <w:r w:rsidR="00432BC6" w:rsidRPr="00432BC6">
        <w:t>, and is unique in this regard among human rights treaties, in requiring that</w:t>
      </w:r>
      <w:r w:rsidR="009E287B">
        <w:t>,</w:t>
      </w:r>
      <w:r w:rsidR="00432BC6" w:rsidRPr="00432BC6">
        <w:t xml:space="preserve"> in establish</w:t>
      </w:r>
      <w:r w:rsidR="009E287B">
        <w:t>ing</w:t>
      </w:r>
      <w:r w:rsidR="00432BC6" w:rsidRPr="00432BC6">
        <w:t xml:space="preserve"> a monitoring framework</w:t>
      </w:r>
      <w:r w:rsidR="009E287B">
        <w:t>,</w:t>
      </w:r>
      <w:r w:rsidR="00432BC6" w:rsidRPr="00432BC6">
        <w:t xml:space="preserve"> States parties take into account the </w:t>
      </w:r>
      <w:r w:rsidR="009E287B">
        <w:t>p</w:t>
      </w:r>
      <w:r w:rsidR="00432BC6" w:rsidRPr="00432BC6">
        <w:t xml:space="preserve">rinciples relating to the status of national institutions for </w:t>
      </w:r>
      <w:r w:rsidR="009E287B">
        <w:t xml:space="preserve">the </w:t>
      </w:r>
      <w:r w:rsidR="00432BC6" w:rsidRPr="00432BC6">
        <w:t>protection and promotion of human rights (</w:t>
      </w:r>
      <w:r w:rsidR="009E287B">
        <w:t xml:space="preserve">the </w:t>
      </w:r>
      <w:r w:rsidR="00432BC6" w:rsidRPr="00432BC6">
        <w:t xml:space="preserve">Paris Principles) and that </w:t>
      </w:r>
      <w:r w:rsidR="009E287B">
        <w:t xml:space="preserve">members of </w:t>
      </w:r>
      <w:r w:rsidR="00432BC6" w:rsidRPr="00432BC6">
        <w:t xml:space="preserve">civil society, </w:t>
      </w:r>
      <w:r w:rsidR="009E287B">
        <w:t xml:space="preserve">in </w:t>
      </w:r>
      <w:r w:rsidR="00432BC6" w:rsidRPr="00432BC6">
        <w:t>particular persons with disabilities and their representative organi</w:t>
      </w:r>
      <w:r w:rsidR="009E287B">
        <w:t>z</w:t>
      </w:r>
      <w:r w:rsidR="00432BC6" w:rsidRPr="00432BC6">
        <w:t>ations</w:t>
      </w:r>
      <w:r w:rsidR="009E287B">
        <w:t>,</w:t>
      </w:r>
      <w:r w:rsidR="00432BC6" w:rsidRPr="00432BC6">
        <w:t xml:space="preserve"> fully participate in the monitoring process. </w:t>
      </w:r>
    </w:p>
    <w:p w:rsidR="00432BC6" w:rsidRPr="00432BC6" w:rsidRDefault="00A35DD8" w:rsidP="00A35DD8">
      <w:pPr>
        <w:pStyle w:val="SingleTxtG"/>
      </w:pPr>
      <w:r w:rsidRPr="00432BC6">
        <w:t>3.</w:t>
      </w:r>
      <w:r w:rsidRPr="00432BC6">
        <w:tab/>
      </w:r>
      <w:r w:rsidR="009E287B">
        <w:t>States parties are called upon to</w:t>
      </w:r>
      <w:r w:rsidR="00432BC6" w:rsidRPr="00432BC6">
        <w:t xml:space="preserve"> monitor the implementation of the Convention </w:t>
      </w:r>
      <w:r w:rsidR="009E287B">
        <w:t xml:space="preserve">at </w:t>
      </w:r>
      <w:r w:rsidR="00432BC6" w:rsidRPr="00432BC6">
        <w:t xml:space="preserve">both the international and national levels. At the international level, </w:t>
      </w:r>
      <w:r w:rsidR="009E287B">
        <w:t>implementation is</w:t>
      </w:r>
      <w:r w:rsidR="00432BC6" w:rsidRPr="00432BC6">
        <w:t xml:space="preserve"> monitor</w:t>
      </w:r>
      <w:r w:rsidR="009E287B">
        <w:t>ed</w:t>
      </w:r>
      <w:r w:rsidR="00432BC6" w:rsidRPr="00432BC6">
        <w:t xml:space="preserve"> th</w:t>
      </w:r>
      <w:r w:rsidR="009E287B">
        <w:t>r</w:t>
      </w:r>
      <w:r w:rsidR="00432BC6" w:rsidRPr="00432BC6">
        <w:t xml:space="preserve">ough the reporting, communication and inquiry procedures </w:t>
      </w:r>
      <w:r w:rsidR="006905D5">
        <w:t>of</w:t>
      </w:r>
      <w:r w:rsidR="00432BC6" w:rsidRPr="00432BC6">
        <w:t xml:space="preserve"> the Committee. At the national level</w:t>
      </w:r>
      <w:r w:rsidR="009E287B">
        <w:t>,</w:t>
      </w:r>
      <w:r w:rsidR="00432BC6" w:rsidRPr="00432BC6">
        <w:t xml:space="preserve"> and pursuant to </w:t>
      </w:r>
      <w:r w:rsidR="009E287B">
        <w:t>a</w:t>
      </w:r>
      <w:r w:rsidR="00432BC6" w:rsidRPr="00432BC6">
        <w:t xml:space="preserve">rticle 33 </w:t>
      </w:r>
      <w:r w:rsidR="009E287B">
        <w:t>(</w:t>
      </w:r>
      <w:r w:rsidR="00432BC6" w:rsidRPr="00432BC6">
        <w:t>2</w:t>
      </w:r>
      <w:r w:rsidR="009E287B">
        <w:t>)</w:t>
      </w:r>
      <w:r w:rsidR="00432BC6" w:rsidRPr="00432BC6">
        <w:t xml:space="preserve"> of the Convention, States </w:t>
      </w:r>
      <w:r w:rsidR="00362DBD">
        <w:t>p</w:t>
      </w:r>
      <w:r w:rsidR="00432BC6" w:rsidRPr="00432BC6">
        <w:t xml:space="preserve">arties shall, in accordance with their legal and administrative systems, maintain, strengthen, designate or establish within the State </w:t>
      </w:r>
      <w:r w:rsidR="008B19B3">
        <w:t>p</w:t>
      </w:r>
      <w:r w:rsidR="00432BC6" w:rsidRPr="00432BC6">
        <w:t xml:space="preserve">arty, a framework, including one or more independent mechanisms, as appropriate, to promote, protect and monitor implementation of the present Convention. When designating or establishing such framework and mechanisms, States </w:t>
      </w:r>
      <w:r w:rsidR="00362DBD">
        <w:t>p</w:t>
      </w:r>
      <w:r w:rsidR="00432BC6" w:rsidRPr="00432BC6">
        <w:t xml:space="preserve">arties shall take into account the Paris Principles. Article 33 </w:t>
      </w:r>
      <w:r w:rsidR="008B19B3">
        <w:t>(</w:t>
      </w:r>
      <w:r w:rsidR="00432BC6" w:rsidRPr="00432BC6">
        <w:t>3</w:t>
      </w:r>
      <w:r w:rsidR="008B19B3">
        <w:t>)</w:t>
      </w:r>
      <w:r w:rsidR="00432BC6" w:rsidRPr="00432BC6">
        <w:t xml:space="preserve"> of the Convention establishes that civil society, in particular persons with disabilities and their representative organi</w:t>
      </w:r>
      <w:r w:rsidR="008B19B3">
        <w:t>z</w:t>
      </w:r>
      <w:r w:rsidR="00432BC6" w:rsidRPr="00432BC6">
        <w:t>ations, shall be involved and participate fully in the monitoring process.</w:t>
      </w:r>
    </w:p>
    <w:p w:rsidR="00432BC6" w:rsidRPr="00432BC6" w:rsidRDefault="00A35DD8" w:rsidP="00A35DD8">
      <w:pPr>
        <w:pStyle w:val="SingleTxtG"/>
      </w:pPr>
      <w:r w:rsidRPr="00432BC6">
        <w:t>4.</w:t>
      </w:r>
      <w:r w:rsidRPr="00432BC6">
        <w:tab/>
      </w:r>
      <w:r w:rsidR="00432BC6" w:rsidRPr="00432BC6">
        <w:t xml:space="preserve">The Committee recognizes the importance of establishing, maintaining and furthering a close interaction and relationship with independent </w:t>
      </w:r>
      <w:r w:rsidR="00EA47A3">
        <w:t>m</w:t>
      </w:r>
      <w:r w:rsidR="00432BC6" w:rsidRPr="00432BC6">
        <w:t xml:space="preserve">onitoring </w:t>
      </w:r>
      <w:r w:rsidR="00EA47A3">
        <w:t>f</w:t>
      </w:r>
      <w:r w:rsidR="00432BC6" w:rsidRPr="00432BC6">
        <w:t xml:space="preserve">rameworks and </w:t>
      </w:r>
      <w:r w:rsidR="00EA47A3">
        <w:t>n</w:t>
      </w:r>
      <w:r w:rsidR="00432BC6" w:rsidRPr="00432BC6">
        <w:t xml:space="preserve">ational </w:t>
      </w:r>
      <w:r w:rsidR="00EA47A3">
        <w:t>h</w:t>
      </w:r>
      <w:r w:rsidR="00432BC6" w:rsidRPr="00432BC6">
        <w:t xml:space="preserve">uman </w:t>
      </w:r>
      <w:r w:rsidR="00EA47A3">
        <w:t>r</w:t>
      </w:r>
      <w:r w:rsidR="00432BC6" w:rsidRPr="00432BC6">
        <w:t xml:space="preserve">ights </w:t>
      </w:r>
      <w:r w:rsidR="00EA47A3">
        <w:t>i</w:t>
      </w:r>
      <w:r w:rsidR="00432BC6" w:rsidRPr="00432BC6">
        <w:t xml:space="preserve">nstitutions at all stages and </w:t>
      </w:r>
      <w:r w:rsidR="00B83EF2">
        <w:t>in all aspects of the Committee’</w:t>
      </w:r>
      <w:r w:rsidR="00432BC6" w:rsidRPr="00432BC6">
        <w:t>s work. International</w:t>
      </w:r>
      <w:r w:rsidR="00EA47A3">
        <w:t>-</w:t>
      </w:r>
      <w:r w:rsidR="00432BC6" w:rsidRPr="00432BC6">
        <w:t xml:space="preserve"> and national</w:t>
      </w:r>
      <w:r w:rsidR="00EA47A3">
        <w:t>-level</w:t>
      </w:r>
      <w:r w:rsidR="00432BC6" w:rsidRPr="00432BC6">
        <w:t xml:space="preserve"> monitoring should be complementary and mutually reinforc</w:t>
      </w:r>
      <w:r w:rsidR="00EA47A3">
        <w:t>ing in order for</w:t>
      </w:r>
      <w:r w:rsidR="00432BC6" w:rsidRPr="00432BC6">
        <w:t xml:space="preserve"> human rights </w:t>
      </w:r>
      <w:r w:rsidR="00EA47A3">
        <w:t xml:space="preserve">to be realized in a manner consistent </w:t>
      </w:r>
      <w:r w:rsidR="00432BC6" w:rsidRPr="00432BC6">
        <w:t xml:space="preserve">with </w:t>
      </w:r>
      <w:r w:rsidR="00432BC6" w:rsidRPr="00432BC6">
        <w:lastRenderedPageBreak/>
        <w:t xml:space="preserve">international human rights instruments. </w:t>
      </w:r>
      <w:r w:rsidR="00EA47A3">
        <w:t>A</w:t>
      </w:r>
      <w:r w:rsidR="00432BC6" w:rsidRPr="00432BC6">
        <w:t>ctivities</w:t>
      </w:r>
      <w:r w:rsidR="00EA47A3">
        <w:t xml:space="preserve"> to monitor implementation</w:t>
      </w:r>
      <w:r w:rsidR="00432BC6" w:rsidRPr="00432BC6">
        <w:t xml:space="preserve"> of the Convention </w:t>
      </w:r>
      <w:r w:rsidR="00EA47A3">
        <w:t xml:space="preserve">should reflect </w:t>
      </w:r>
      <w:r w:rsidR="00432BC6" w:rsidRPr="00432BC6">
        <w:t xml:space="preserve">the principles, </w:t>
      </w:r>
      <w:r w:rsidR="00EA47A3">
        <w:t xml:space="preserve">the </w:t>
      </w:r>
      <w:r w:rsidR="00432BC6" w:rsidRPr="00432BC6">
        <w:t xml:space="preserve">object and </w:t>
      </w:r>
      <w:r w:rsidR="00EA47A3">
        <w:t xml:space="preserve">the </w:t>
      </w:r>
      <w:r w:rsidR="00432BC6" w:rsidRPr="00432BC6">
        <w:t xml:space="preserve">purpose of the Convention, as well as </w:t>
      </w:r>
      <w:r w:rsidR="00EA47A3">
        <w:t>a</w:t>
      </w:r>
      <w:r w:rsidR="00432BC6" w:rsidRPr="00432BC6">
        <w:t xml:space="preserve"> paradigm shift to the human rights model of disability, according to which persons with disabilities are considered right</w:t>
      </w:r>
      <w:r w:rsidR="00EA47A3">
        <w:t>s</w:t>
      </w:r>
      <w:r w:rsidR="00432BC6" w:rsidRPr="00432BC6">
        <w:t xml:space="preserve">-holders and their dignity and contribution to society are fully acknowledged, promoted and protected. </w:t>
      </w:r>
    </w:p>
    <w:p w:rsidR="00432BC6" w:rsidRPr="00432BC6" w:rsidRDefault="00A35DD8" w:rsidP="00A35DD8">
      <w:pPr>
        <w:pStyle w:val="SingleTxtG"/>
      </w:pPr>
      <w:r w:rsidRPr="00432BC6">
        <w:t>5.</w:t>
      </w:r>
      <w:r w:rsidRPr="00432BC6">
        <w:tab/>
      </w:r>
      <w:r w:rsidR="00432BC6" w:rsidRPr="00432BC6">
        <w:t xml:space="preserve">The Committee acknowledges the important role that </w:t>
      </w:r>
      <w:r w:rsidR="00EA47A3">
        <w:t>n</w:t>
      </w:r>
      <w:r w:rsidR="00432BC6" w:rsidRPr="00432BC6">
        <w:t xml:space="preserve">ational </w:t>
      </w:r>
      <w:r w:rsidR="00EA47A3">
        <w:t>h</w:t>
      </w:r>
      <w:r w:rsidR="00432BC6" w:rsidRPr="00432BC6">
        <w:t xml:space="preserve">uman </w:t>
      </w:r>
      <w:r w:rsidR="00EA47A3">
        <w:t>r</w:t>
      </w:r>
      <w:r w:rsidR="00432BC6" w:rsidRPr="00432BC6">
        <w:t>ights institutions play, inter alia, in promoting the harmonization of national legislation and policies with the Convention</w:t>
      </w:r>
      <w:r w:rsidR="00EA47A3">
        <w:t xml:space="preserve"> and</w:t>
      </w:r>
      <w:r w:rsidR="00432BC6" w:rsidRPr="00432BC6">
        <w:t xml:space="preserve"> the ratification of the Convention, </w:t>
      </w:r>
      <w:r w:rsidR="00EA47A3">
        <w:t>in</w:t>
      </w:r>
      <w:r w:rsidR="00432BC6" w:rsidRPr="00432BC6">
        <w:t xml:space="preserve"> raising awareness of its provisions</w:t>
      </w:r>
      <w:r w:rsidR="00D95767">
        <w:t>,</w:t>
      </w:r>
      <w:r w:rsidR="00432BC6" w:rsidRPr="00432BC6">
        <w:t xml:space="preserve"> </w:t>
      </w:r>
      <w:r w:rsidR="00EA47A3">
        <w:t>in</w:t>
      </w:r>
      <w:r w:rsidR="00432BC6" w:rsidRPr="00432BC6">
        <w:t xml:space="preserve"> provi</w:t>
      </w:r>
      <w:r w:rsidR="00EA47A3">
        <w:t>ding</w:t>
      </w:r>
      <w:r w:rsidR="00432BC6" w:rsidRPr="00432BC6">
        <w:t xml:space="preserve"> advice to </w:t>
      </w:r>
      <w:r w:rsidR="00D95767">
        <w:t xml:space="preserve">the </w:t>
      </w:r>
      <w:r w:rsidR="00432BC6" w:rsidRPr="00432BC6">
        <w:t>authorities tasked with implement</w:t>
      </w:r>
      <w:r w:rsidR="009F10A9">
        <w:t>ing its provisions</w:t>
      </w:r>
      <w:r w:rsidR="00432BC6" w:rsidRPr="00432BC6">
        <w:t xml:space="preserve"> and, when the enabling legislation allow</w:t>
      </w:r>
      <w:r w:rsidR="00EA47A3">
        <w:t>s</w:t>
      </w:r>
      <w:r w:rsidR="00432BC6" w:rsidRPr="00432BC6">
        <w:t xml:space="preserve">, </w:t>
      </w:r>
      <w:r w:rsidR="00D95767">
        <w:t>in</w:t>
      </w:r>
      <w:r w:rsidR="00EA47A3">
        <w:t xml:space="preserve"> carrying out </w:t>
      </w:r>
      <w:r w:rsidR="00432BC6" w:rsidRPr="00432BC6">
        <w:t>investigation</w:t>
      </w:r>
      <w:r w:rsidR="00EA47A3">
        <w:t>s</w:t>
      </w:r>
      <w:r w:rsidR="00432BC6" w:rsidRPr="00432BC6">
        <w:t xml:space="preserve"> </w:t>
      </w:r>
      <w:r w:rsidR="00EA47A3">
        <w:t xml:space="preserve">into </w:t>
      </w:r>
      <w:r w:rsidR="00432BC6" w:rsidRPr="00432BC6">
        <w:t xml:space="preserve">and handling individual and group complaints alleging violations of the rights guaranteed under the Convention. The Committee recognizes the important role of </w:t>
      </w:r>
      <w:r w:rsidR="009F10A9">
        <w:t>n</w:t>
      </w:r>
      <w:r w:rsidR="00432BC6" w:rsidRPr="00432BC6">
        <w:t xml:space="preserve">ational </w:t>
      </w:r>
      <w:r w:rsidR="009F10A9">
        <w:t>h</w:t>
      </w:r>
      <w:r w:rsidR="00432BC6" w:rsidRPr="00432BC6">
        <w:t xml:space="preserve">uman </w:t>
      </w:r>
      <w:r w:rsidR="009F10A9">
        <w:t>r</w:t>
      </w:r>
      <w:r w:rsidR="00432BC6" w:rsidRPr="00432BC6">
        <w:t xml:space="preserve">ights </w:t>
      </w:r>
      <w:r w:rsidR="009F10A9">
        <w:t>i</w:t>
      </w:r>
      <w:r w:rsidR="00432BC6" w:rsidRPr="00432BC6">
        <w:t xml:space="preserve">nstitutions in monitoring </w:t>
      </w:r>
      <w:r w:rsidR="009F10A9">
        <w:t xml:space="preserve">implementation </w:t>
      </w:r>
      <w:r w:rsidR="00432BC6" w:rsidRPr="00432BC6">
        <w:t xml:space="preserve">of the Convention to promote compliance at the national level. The Committee acknowledges the role of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432BC6" w:rsidRPr="00432BC6">
        <w:t xml:space="preserve">in </w:t>
      </w:r>
      <w:r w:rsidR="00C26068">
        <w:t xml:space="preserve">creating </w:t>
      </w:r>
      <w:r w:rsidR="00432BC6" w:rsidRPr="00432BC6">
        <w:t>bridg</w:t>
      </w:r>
      <w:r w:rsidR="00C26068">
        <w:t>es</w:t>
      </w:r>
      <w:r w:rsidR="00432BC6" w:rsidRPr="00432BC6">
        <w:t xml:space="preserve"> </w:t>
      </w:r>
      <w:r w:rsidR="00C26068">
        <w:t xml:space="preserve">between </w:t>
      </w:r>
      <w:r w:rsidR="00432BC6" w:rsidRPr="00432BC6">
        <w:t xml:space="preserve">national </w:t>
      </w:r>
      <w:r w:rsidR="00C26068">
        <w:t>entities</w:t>
      </w:r>
      <w:r w:rsidR="00432BC6" w:rsidRPr="00432BC6">
        <w:t xml:space="preserve">, including State institutions and civil society, </w:t>
      </w:r>
      <w:r w:rsidR="00C26068">
        <w:t xml:space="preserve">in </w:t>
      </w:r>
      <w:r w:rsidR="00432BC6" w:rsidRPr="00432BC6">
        <w:t>particular persons with disabilities and their representative organi</w:t>
      </w:r>
      <w:r w:rsidR="00C26068">
        <w:t>z</w:t>
      </w:r>
      <w:r w:rsidR="00432BC6" w:rsidRPr="00432BC6">
        <w:t xml:space="preserve">ations, </w:t>
      </w:r>
      <w:r w:rsidR="00C26068">
        <w:t>and</w:t>
      </w:r>
      <w:r w:rsidR="00432BC6" w:rsidRPr="00432BC6">
        <w:t xml:space="preserve"> the international system for the protection and promotion of human rights. The Committee acknowledges the importance of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432BC6" w:rsidRPr="00432BC6">
        <w:t xml:space="preserve">being established, accredited and strengthened in compliance with the Paris Principles. The Committee fully endorses the </w:t>
      </w:r>
      <w:r w:rsidR="00C26068">
        <w:t xml:space="preserve">efforts made by the </w:t>
      </w:r>
      <w:r w:rsidR="00432BC6" w:rsidRPr="00432BC6">
        <w:t xml:space="preserve">human rights treaty bodies </w:t>
      </w:r>
      <w:r w:rsidR="00C26068">
        <w:t>to</w:t>
      </w:r>
      <w:r w:rsidR="00432BC6" w:rsidRPr="00432BC6">
        <w:t xml:space="preserve"> enhanc</w:t>
      </w:r>
      <w:r w:rsidR="00C26068">
        <w:t>e</w:t>
      </w:r>
      <w:r w:rsidR="00432BC6" w:rsidRPr="00432BC6">
        <w:t xml:space="preserve"> and ensur</w:t>
      </w:r>
      <w:r w:rsidR="00C26068">
        <w:t>e</w:t>
      </w:r>
      <w:r w:rsidR="00432BC6" w:rsidRPr="00432BC6">
        <w:t xml:space="preserve"> the effective participation of </w:t>
      </w:r>
      <w:r w:rsidR="00C26068">
        <w:t>n</w:t>
      </w:r>
      <w:r w:rsidR="00432BC6" w:rsidRPr="00432BC6">
        <w:t xml:space="preserve">ational </w:t>
      </w:r>
      <w:r w:rsidR="00C26068">
        <w:t>h</w:t>
      </w:r>
      <w:r w:rsidR="00432BC6" w:rsidRPr="00432BC6">
        <w:t xml:space="preserve">uman </w:t>
      </w:r>
      <w:r w:rsidR="00C26068">
        <w:t>r</w:t>
      </w:r>
      <w:r w:rsidR="00432BC6" w:rsidRPr="00432BC6">
        <w:t xml:space="preserve">ights </w:t>
      </w:r>
      <w:r w:rsidR="00C26068">
        <w:t>i</w:t>
      </w:r>
      <w:r w:rsidR="00432BC6" w:rsidRPr="00432BC6">
        <w:t>nstitutions at all relevant stages of their work. The Committee is committed to mak</w:t>
      </w:r>
      <w:r w:rsidR="00C26068">
        <w:t>ing</w:t>
      </w:r>
      <w:r w:rsidR="00432BC6" w:rsidRPr="00432BC6">
        <w:t xml:space="preserve"> th</w:t>
      </w:r>
      <w:r w:rsidR="00C26068">
        <w:t>at</w:t>
      </w:r>
      <w:r w:rsidR="00432BC6" w:rsidRPr="00432BC6">
        <w:t xml:space="preserve"> participation meaningful and to ensur</w:t>
      </w:r>
      <w:r w:rsidR="00C26068">
        <w:t>ing</w:t>
      </w:r>
      <w:r w:rsidR="00432BC6" w:rsidRPr="00432BC6">
        <w:t xml:space="preserve"> the most effective contributions by </w:t>
      </w:r>
      <w:r w:rsidR="00C26068">
        <w:t>n</w:t>
      </w:r>
      <w:r w:rsidR="00432BC6" w:rsidRPr="00432BC6">
        <w:t xml:space="preserve">ational </w:t>
      </w:r>
      <w:r w:rsidR="00C26068">
        <w:t>h</w:t>
      </w:r>
      <w:r w:rsidR="00432BC6" w:rsidRPr="00432BC6">
        <w:t xml:space="preserve">uman </w:t>
      </w:r>
      <w:r w:rsidR="00C26068">
        <w:t>r</w:t>
      </w:r>
      <w:r w:rsidR="00432BC6" w:rsidRPr="00432BC6">
        <w:t xml:space="preserve">ights </w:t>
      </w:r>
      <w:r w:rsidR="00C26068">
        <w:t>i</w:t>
      </w:r>
      <w:r w:rsidR="00432BC6" w:rsidRPr="00432BC6">
        <w:t xml:space="preserve">nstitutions. The Committee welcomes the recommendation </w:t>
      </w:r>
      <w:r w:rsidR="00C26068">
        <w:t xml:space="preserve">of the </w:t>
      </w:r>
      <w:r w:rsidR="00C26068" w:rsidRPr="00432BC6">
        <w:t>General Assembly</w:t>
      </w:r>
      <w:r w:rsidR="00C26068">
        <w:t xml:space="preserve"> </w:t>
      </w:r>
      <w:r w:rsidR="00432BC6" w:rsidRPr="00432BC6">
        <w:t xml:space="preserve">that treaty bodies harmonize their engagement with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432BC6" w:rsidRPr="00432BC6">
        <w:t>(</w:t>
      </w:r>
      <w:r w:rsidR="00C26068">
        <w:t xml:space="preserve">see </w:t>
      </w:r>
      <w:r w:rsidR="00432BC6" w:rsidRPr="00432BC6">
        <w:t xml:space="preserve">Assembly resolution </w:t>
      </w:r>
      <w:r w:rsidR="00432BC6" w:rsidRPr="00A35DD8">
        <w:rPr>
          <w:bCs/>
        </w:rPr>
        <w:t>70/163</w:t>
      </w:r>
      <w:r w:rsidR="00432BC6" w:rsidRPr="00432BC6">
        <w:t xml:space="preserve">). </w:t>
      </w:r>
    </w:p>
    <w:p w:rsidR="00432BC6" w:rsidRPr="00432BC6" w:rsidRDefault="00A35DD8" w:rsidP="00A35DD8">
      <w:pPr>
        <w:pStyle w:val="SingleTxtG"/>
      </w:pPr>
      <w:r w:rsidRPr="00432BC6">
        <w:t>6.</w:t>
      </w:r>
      <w:r w:rsidRPr="00432BC6">
        <w:tab/>
      </w:r>
      <w:r w:rsidR="00432BC6" w:rsidRPr="00432BC6">
        <w:t xml:space="preserve">The Committee supports and further encourages all treaty bodies </w:t>
      </w:r>
      <w:r w:rsidR="00A24F4A">
        <w:t xml:space="preserve">to adopt </w:t>
      </w:r>
      <w:r w:rsidR="00A24F4A" w:rsidRPr="00432BC6">
        <w:t xml:space="preserve">a common approach </w:t>
      </w:r>
      <w:r w:rsidR="00A24F4A">
        <w:t>aimed at promoting</w:t>
      </w:r>
      <w:r w:rsidR="00432BC6" w:rsidRPr="00432BC6">
        <w:t xml:space="preserve"> the effective participation</w:t>
      </w:r>
      <w:r w:rsidR="00A24F4A">
        <w:t>,</w:t>
      </w:r>
      <w:r w:rsidR="00A24F4A" w:rsidRPr="00A24F4A">
        <w:t xml:space="preserve"> </w:t>
      </w:r>
      <w:r w:rsidR="00047DB7">
        <w:t>at</w:t>
      </w:r>
      <w:r w:rsidR="00A24F4A" w:rsidRPr="00432BC6">
        <w:t xml:space="preserve"> all stages of </w:t>
      </w:r>
      <w:r w:rsidR="00A24F4A">
        <w:t>their</w:t>
      </w:r>
      <w:r w:rsidR="00A24F4A" w:rsidRPr="00432BC6">
        <w:t xml:space="preserve"> work</w:t>
      </w:r>
      <w:r w:rsidR="00A24F4A">
        <w:t>,</w:t>
      </w:r>
      <w:r w:rsidR="00432BC6" w:rsidRPr="00432BC6">
        <w:t xml:space="preserve"> of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nstitutions </w:t>
      </w:r>
      <w:r w:rsidR="00A24F4A">
        <w:t xml:space="preserve">that are </w:t>
      </w:r>
      <w:r w:rsidR="00432BC6" w:rsidRPr="00432BC6">
        <w:t xml:space="preserve">compliant with the Paris Principles. </w:t>
      </w:r>
      <w:r w:rsidR="00047DB7">
        <w:t>R</w:t>
      </w:r>
      <w:r w:rsidR="00432BC6" w:rsidRPr="00432BC6">
        <w:t>eferences in the</w:t>
      </w:r>
      <w:r w:rsidR="00047DB7">
        <w:t xml:space="preserve"> present</w:t>
      </w:r>
      <w:r w:rsidR="00432BC6" w:rsidRPr="00432BC6">
        <w:t xml:space="preserve"> guidelines to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nstitutions</w:t>
      </w:r>
      <w:r w:rsidR="00432BC6" w:rsidRPr="00432BC6">
        <w:t xml:space="preserve"> build upon general comments, guidelines and directives </w:t>
      </w:r>
      <w:r w:rsidR="00047DB7" w:rsidRPr="00432BC6">
        <w:t>already adopted</w:t>
      </w:r>
      <w:r w:rsidR="00047DB7" w:rsidRPr="00432BC6" w:rsidDel="00362DBD">
        <w:t xml:space="preserve"> </w:t>
      </w:r>
      <w:r w:rsidR="00432BC6" w:rsidRPr="00432BC6">
        <w:t xml:space="preserve">by other treaty bodies, </w:t>
      </w:r>
      <w:r w:rsidR="00047DB7">
        <w:t>in</w:t>
      </w:r>
      <w:r w:rsidR="00432BC6" w:rsidRPr="00432BC6">
        <w:t xml:space="preserve"> particular the Human Rights Committee (CCPR/C/106/3), the Committee on the Rights of the Child (</w:t>
      </w:r>
      <w:r w:rsidR="00AE51AD">
        <w:t>general comment No. 2 (2002) on the role of independent national human rights institutions in the promotion and protection of the rights of the child</w:t>
      </w:r>
      <w:r w:rsidR="00432BC6" w:rsidRPr="00432BC6">
        <w:t>), the Committee on Enforced Disappearances (C</w:t>
      </w:r>
      <w:r w:rsidR="00047DB7">
        <w:t>E</w:t>
      </w:r>
      <w:r w:rsidR="00432BC6" w:rsidRPr="00432BC6">
        <w:t xml:space="preserve">D/C/6), the Committee on Economic, Social and Cultural Rights </w:t>
      </w:r>
      <w:r w:rsidR="00047DB7">
        <w:t>(g</w:t>
      </w:r>
      <w:r w:rsidR="00432BC6" w:rsidRPr="00432BC6">
        <w:t>eneral</w:t>
      </w:r>
      <w:r w:rsidR="00047DB7">
        <w:t xml:space="preserve"> c</w:t>
      </w:r>
      <w:r w:rsidR="00432BC6" w:rsidRPr="00432BC6">
        <w:t>omment No</w:t>
      </w:r>
      <w:r w:rsidR="00047DB7">
        <w:t>.</w:t>
      </w:r>
      <w:r w:rsidR="00432BC6" w:rsidRPr="00432BC6">
        <w:t xml:space="preserve"> 10</w:t>
      </w:r>
      <w:r w:rsidR="00C01BFE">
        <w:t xml:space="preserve"> (1998)</w:t>
      </w:r>
      <w:r w:rsidR="00047DB7">
        <w:t xml:space="preserve"> on t</w:t>
      </w:r>
      <w:r w:rsidR="00432BC6" w:rsidRPr="00432BC6">
        <w:t>he role of national human rights institutions in the protection of economic, social and cultural rights</w:t>
      </w:r>
      <w:r w:rsidR="00047DB7">
        <w:t>)</w:t>
      </w:r>
      <w:r w:rsidR="00432BC6" w:rsidRPr="00432BC6">
        <w:t xml:space="preserve"> and the Committee on the Elimination of Racial Discrimination </w:t>
      </w:r>
      <w:r w:rsidR="00047DB7">
        <w:t>(g</w:t>
      </w:r>
      <w:r w:rsidR="00432BC6" w:rsidRPr="00432BC6">
        <w:t xml:space="preserve">eneral </w:t>
      </w:r>
      <w:r w:rsidR="00C01BFE">
        <w:t>recommendation (1993)</w:t>
      </w:r>
      <w:r w:rsidR="00432BC6" w:rsidRPr="00432BC6">
        <w:t xml:space="preserve"> No</w:t>
      </w:r>
      <w:r w:rsidR="00047DB7">
        <w:t>.</w:t>
      </w:r>
      <w:r w:rsidR="00432BC6" w:rsidRPr="00432BC6">
        <w:t xml:space="preserve"> 17 on the establishment of national institutions to facilitate the implementation of the Convention</w:t>
      </w:r>
      <w:r w:rsidR="00047DB7">
        <w:t>)</w:t>
      </w:r>
      <w:r w:rsidR="00432BC6" w:rsidRPr="00432BC6">
        <w:t>.</w:t>
      </w:r>
    </w:p>
    <w:p w:rsidR="00432BC6" w:rsidRPr="00432BC6" w:rsidRDefault="00A35DD8" w:rsidP="00A35DD8">
      <w:pPr>
        <w:pStyle w:val="SingleTxtG"/>
      </w:pPr>
      <w:r w:rsidRPr="00432BC6">
        <w:t>7.</w:t>
      </w:r>
      <w:r w:rsidRPr="00432BC6">
        <w:tab/>
      </w:r>
      <w:r w:rsidR="00432BC6" w:rsidRPr="00432BC6">
        <w:t xml:space="preserve">The </w:t>
      </w:r>
      <w:r w:rsidR="00B037FC">
        <w:t xml:space="preserve">present </w:t>
      </w:r>
      <w:r w:rsidR="00432BC6" w:rsidRPr="00432BC6">
        <w:t xml:space="preserve">guidelines are applicable to both formally appointed monitoring frameworks, whether they consist of or include a </w:t>
      </w:r>
      <w:r w:rsidR="00B037FC">
        <w:t>n</w:t>
      </w:r>
      <w:r w:rsidR="00432BC6" w:rsidRPr="00432BC6">
        <w:t xml:space="preserve">ational </w:t>
      </w:r>
      <w:r w:rsidR="00B037FC">
        <w:t>h</w:t>
      </w:r>
      <w:r w:rsidR="00432BC6" w:rsidRPr="00432BC6">
        <w:t xml:space="preserve">uman </w:t>
      </w:r>
      <w:r w:rsidR="00B037FC">
        <w:t>r</w:t>
      </w:r>
      <w:r w:rsidR="00432BC6" w:rsidRPr="00432BC6">
        <w:t xml:space="preserve">ights </w:t>
      </w:r>
      <w:r w:rsidR="00B037FC">
        <w:t>i</w:t>
      </w:r>
      <w:r w:rsidR="00432BC6" w:rsidRPr="00432BC6">
        <w:t xml:space="preserve">nstitution, </w:t>
      </w:r>
      <w:r w:rsidR="00B037FC">
        <w:t xml:space="preserve">and </w:t>
      </w:r>
      <w:r w:rsidR="00432BC6" w:rsidRPr="00432BC6">
        <w:t xml:space="preserve">to </w:t>
      </w:r>
      <w:r w:rsidR="00B037FC">
        <w:t>n</w:t>
      </w:r>
      <w:r w:rsidR="00432BC6" w:rsidRPr="00432BC6">
        <w:t xml:space="preserve">ational </w:t>
      </w:r>
      <w:r w:rsidR="00B037FC">
        <w:t>h</w:t>
      </w:r>
      <w:r w:rsidR="00432BC6" w:rsidRPr="00432BC6">
        <w:t xml:space="preserve">uman </w:t>
      </w:r>
      <w:r w:rsidR="00B037FC">
        <w:t>r</w:t>
      </w:r>
      <w:r w:rsidR="00432BC6" w:rsidRPr="00432BC6">
        <w:t xml:space="preserve">ights </w:t>
      </w:r>
      <w:r w:rsidR="00B037FC">
        <w:t>i</w:t>
      </w:r>
      <w:r w:rsidR="00432BC6" w:rsidRPr="00432BC6">
        <w:t xml:space="preserve">nstitutions </w:t>
      </w:r>
      <w:r w:rsidR="00B037FC">
        <w:t>that</w:t>
      </w:r>
      <w:r w:rsidR="00432BC6" w:rsidRPr="00432BC6">
        <w:t xml:space="preserve">, in line with their mandates as defined in national and domestic legislation, monitor the implementation of the Convention, irrespectively of whether they have been formally appointed </w:t>
      </w:r>
      <w:r w:rsidR="00267FFD">
        <w:t>with reference to</w:t>
      </w:r>
      <w:r w:rsidR="00432BC6" w:rsidRPr="00432BC6">
        <w:t xml:space="preserve"> article 33</w:t>
      </w:r>
      <w:r w:rsidR="00B037FC">
        <w:t xml:space="preserve"> (</w:t>
      </w:r>
      <w:r w:rsidR="00432BC6" w:rsidRPr="00432BC6">
        <w:t>2</w:t>
      </w:r>
      <w:r w:rsidR="00B037FC">
        <w:t>)</w:t>
      </w:r>
      <w:r w:rsidR="00432BC6" w:rsidRPr="00432BC6">
        <w:t xml:space="preserve"> of the Convention.</w:t>
      </w:r>
    </w:p>
    <w:p w:rsidR="00432BC6" w:rsidRPr="00432BC6" w:rsidRDefault="00983B9E" w:rsidP="00267FFD">
      <w:pPr>
        <w:pStyle w:val="HChG"/>
      </w:pPr>
      <w:r>
        <w:tab/>
      </w:r>
      <w:r w:rsidR="00267FFD">
        <w:t>I</w:t>
      </w:r>
      <w:r w:rsidR="00CD188A">
        <w:t>I</w:t>
      </w:r>
      <w:r w:rsidR="00267FFD">
        <w:t>.</w:t>
      </w:r>
      <w:r>
        <w:tab/>
      </w:r>
      <w:r w:rsidR="00432BC6" w:rsidRPr="00432BC6">
        <w:t xml:space="preserve">Scope of article 33 </w:t>
      </w:r>
      <w:r w:rsidR="00267FFD">
        <w:t>(</w:t>
      </w:r>
      <w:r w:rsidR="00432BC6" w:rsidRPr="00432BC6">
        <w:t>2</w:t>
      </w:r>
      <w:r w:rsidR="00267FFD">
        <w:t>)</w:t>
      </w:r>
      <w:r w:rsidR="00432BC6" w:rsidRPr="00432BC6">
        <w:t xml:space="preserve"> and </w:t>
      </w:r>
      <w:r w:rsidR="00267FFD">
        <w:t>(</w:t>
      </w:r>
      <w:r w:rsidR="00432BC6" w:rsidRPr="00432BC6">
        <w:t>3</w:t>
      </w:r>
      <w:r w:rsidR="00267FFD">
        <w:t>)</w:t>
      </w:r>
      <w:r w:rsidR="00432BC6" w:rsidRPr="00432BC6">
        <w:t xml:space="preserve"> of the Convention </w:t>
      </w:r>
    </w:p>
    <w:p w:rsidR="00432BC6" w:rsidRPr="00432BC6" w:rsidRDefault="00A35DD8" w:rsidP="00A35DD8">
      <w:pPr>
        <w:pStyle w:val="SingleTxtG"/>
      </w:pPr>
      <w:r w:rsidRPr="00432BC6">
        <w:t>8.</w:t>
      </w:r>
      <w:r w:rsidRPr="00432BC6">
        <w:tab/>
      </w:r>
      <w:r w:rsidR="00965C04">
        <w:t>A</w:t>
      </w:r>
      <w:r w:rsidR="00965C04" w:rsidRPr="00432BC6">
        <w:t>rticle 33 requires States parties</w:t>
      </w:r>
      <w:r w:rsidR="00965C04">
        <w:t xml:space="preserve"> that have</w:t>
      </w:r>
      <w:r w:rsidR="00432BC6" w:rsidRPr="00432BC6">
        <w:t xml:space="preserve"> not done </w:t>
      </w:r>
      <w:r w:rsidR="00965C04">
        <w:t xml:space="preserve">so </w:t>
      </w:r>
      <w:r w:rsidR="00432BC6" w:rsidRPr="00432BC6">
        <w:t xml:space="preserve">before the entry into force of the Convention to designate or establish an independent framework </w:t>
      </w:r>
      <w:r w:rsidR="00965C04">
        <w:t>that</w:t>
      </w:r>
      <w:r w:rsidR="00432BC6" w:rsidRPr="00432BC6">
        <w:t xml:space="preserve"> includes one or more mechanisms with </w:t>
      </w:r>
      <w:r w:rsidR="00965C04">
        <w:t xml:space="preserve">the </w:t>
      </w:r>
      <w:r w:rsidR="00432BC6" w:rsidRPr="00432BC6">
        <w:t xml:space="preserve">competence to promote, protect and monitor the implementation of the Convention. The designation or establishment of the independent monitoring </w:t>
      </w:r>
      <w:r w:rsidR="00432BC6" w:rsidRPr="00432BC6">
        <w:lastRenderedPageBreak/>
        <w:t xml:space="preserve">framework should be done at the earliest possible opportunity after the entry into force of the Convention. Article 33 requires that States </w:t>
      </w:r>
      <w:r w:rsidR="00362DBD">
        <w:t>p</w:t>
      </w:r>
      <w:r w:rsidR="00432BC6" w:rsidRPr="00432BC6">
        <w:t xml:space="preserve">arties undertake a broad, inclusive consultation process with civil society organizations, </w:t>
      </w:r>
      <w:r w:rsidR="00C64848">
        <w:t>in</w:t>
      </w:r>
      <w:r w:rsidR="00432BC6" w:rsidRPr="00432BC6">
        <w:t xml:space="preserve"> particular with persons with disabilities and their representative organizations</w:t>
      </w:r>
      <w:r w:rsidR="00C64848">
        <w:t>,</w:t>
      </w:r>
      <w:r w:rsidR="00432BC6" w:rsidRPr="00432BC6">
        <w:t xml:space="preserve"> in order to designate or establish </w:t>
      </w:r>
      <w:r w:rsidR="00C64848">
        <w:t xml:space="preserve">an </w:t>
      </w:r>
      <w:r w:rsidR="00432BC6" w:rsidRPr="00432BC6">
        <w:t>independent monitoring framework.</w:t>
      </w:r>
    </w:p>
    <w:p w:rsidR="00432BC6" w:rsidRPr="00432BC6" w:rsidRDefault="00A35DD8" w:rsidP="00A35DD8">
      <w:pPr>
        <w:pStyle w:val="SingleTxtG"/>
      </w:pPr>
      <w:r w:rsidRPr="00432BC6">
        <w:t>9.</w:t>
      </w:r>
      <w:r w:rsidRPr="00432BC6">
        <w:tab/>
      </w:r>
      <w:r w:rsidR="00432BC6" w:rsidRPr="00432BC6">
        <w:t xml:space="preserve">While there is no specific formal requirement for designating or establishing such frameworks, and States parties can proceed </w:t>
      </w:r>
      <w:r w:rsidR="00C64848">
        <w:t>with</w:t>
      </w:r>
      <w:r w:rsidR="00432BC6" w:rsidRPr="00432BC6">
        <w:t xml:space="preserve"> their designation or establishment in accordance with their legal and administrative systems, article 33 requires </w:t>
      </w:r>
      <w:r w:rsidR="00C64848" w:rsidRPr="00432BC6">
        <w:t xml:space="preserve">States parties </w:t>
      </w:r>
      <w:r w:rsidR="00432BC6" w:rsidRPr="00432BC6">
        <w:t xml:space="preserve">to ensure that the monitoring frameworks are independent from the focal points appointed under article 33 </w:t>
      </w:r>
      <w:r w:rsidR="00C64848">
        <w:t>(</w:t>
      </w:r>
      <w:r w:rsidR="00432BC6" w:rsidRPr="00432BC6">
        <w:t>1</w:t>
      </w:r>
      <w:r w:rsidR="00C64848">
        <w:t>)</w:t>
      </w:r>
      <w:r w:rsidR="00432BC6" w:rsidRPr="00432BC6">
        <w:t xml:space="preserve"> of the Convention</w:t>
      </w:r>
      <w:r w:rsidR="00C64848">
        <w:t>.</w:t>
      </w:r>
      <w:r w:rsidR="00432BC6" w:rsidRPr="00432BC6">
        <w:t xml:space="preserve"> </w:t>
      </w:r>
    </w:p>
    <w:p w:rsidR="00432BC6" w:rsidRPr="00432BC6" w:rsidRDefault="00A35DD8" w:rsidP="00A35DD8">
      <w:pPr>
        <w:pStyle w:val="SingleTxtG"/>
      </w:pPr>
      <w:r w:rsidRPr="00432BC6">
        <w:t>10.</w:t>
      </w:r>
      <w:r w:rsidRPr="00432BC6">
        <w:tab/>
      </w:r>
      <w:r w:rsidR="00432BC6" w:rsidRPr="00432BC6">
        <w:t>If a monitoring framework is already in place at the time of the entry into force of the</w:t>
      </w:r>
      <w:r w:rsidR="00983B9E">
        <w:t xml:space="preserve"> </w:t>
      </w:r>
      <w:r w:rsidR="00432BC6" w:rsidRPr="00432BC6">
        <w:t xml:space="preserve">Convention, article 33 requires that States parties maintain and strengthen </w:t>
      </w:r>
      <w:r w:rsidR="00C64848">
        <w:t>it</w:t>
      </w:r>
      <w:r w:rsidR="00432BC6" w:rsidRPr="00432BC6">
        <w:t>.</w:t>
      </w:r>
    </w:p>
    <w:p w:rsidR="00432BC6" w:rsidRPr="00432BC6" w:rsidRDefault="00A35DD8" w:rsidP="00A35DD8">
      <w:pPr>
        <w:pStyle w:val="SingleTxtG"/>
      </w:pPr>
      <w:r w:rsidRPr="00432BC6">
        <w:t>11.</w:t>
      </w:r>
      <w:r w:rsidRPr="00432BC6">
        <w:tab/>
      </w:r>
      <w:r w:rsidR="00432BC6" w:rsidRPr="00432BC6">
        <w:t xml:space="preserve">Article 33 </w:t>
      </w:r>
      <w:r w:rsidR="00CD188A">
        <w:t xml:space="preserve">also </w:t>
      </w:r>
      <w:r w:rsidR="00432BC6" w:rsidRPr="00432BC6">
        <w:t xml:space="preserve">requires </w:t>
      </w:r>
      <w:r w:rsidR="00953B5B">
        <w:t xml:space="preserve">all </w:t>
      </w:r>
      <w:r w:rsidR="00432BC6" w:rsidRPr="00432BC6">
        <w:t>States parties to maintain and strengthen their monitoring framework</w:t>
      </w:r>
      <w:r w:rsidR="00953B5B">
        <w:t>, a duty that includes the obligation</w:t>
      </w:r>
      <w:r w:rsidR="00432BC6" w:rsidRPr="00432BC6">
        <w:t xml:space="preserve"> to ensure that </w:t>
      </w:r>
      <w:r w:rsidR="00953B5B">
        <w:t>the framework</w:t>
      </w:r>
      <w:r w:rsidR="00432BC6" w:rsidRPr="00432BC6">
        <w:t xml:space="preserve"> has a stable institutional basis </w:t>
      </w:r>
      <w:r w:rsidR="00953B5B">
        <w:t>that</w:t>
      </w:r>
      <w:r w:rsidR="00432BC6" w:rsidRPr="00432BC6">
        <w:t xml:space="preserve"> allows it to operate </w:t>
      </w:r>
      <w:r w:rsidR="00953B5B" w:rsidRPr="00432BC6">
        <w:t xml:space="preserve">properly </w:t>
      </w:r>
      <w:r w:rsidR="00432BC6" w:rsidRPr="00432BC6">
        <w:t>over time</w:t>
      </w:r>
      <w:r w:rsidR="00953B5B">
        <w:t xml:space="preserve"> and</w:t>
      </w:r>
      <w:r w:rsidR="00432BC6" w:rsidRPr="00432BC6">
        <w:t xml:space="preserve"> that </w:t>
      </w:r>
      <w:r w:rsidR="00953B5B">
        <w:t>it</w:t>
      </w:r>
      <w:r w:rsidR="00432BC6" w:rsidRPr="00432BC6">
        <w:t xml:space="preserve"> is appropriately funded and resourced (</w:t>
      </w:r>
      <w:r w:rsidR="00953B5B">
        <w:t xml:space="preserve">with </w:t>
      </w:r>
      <w:r w:rsidR="00432BC6" w:rsidRPr="00432BC6">
        <w:t>technical and human expertise) through allocations from the national budget.</w:t>
      </w:r>
    </w:p>
    <w:p w:rsidR="00432BC6" w:rsidRPr="00432BC6" w:rsidRDefault="00A35DD8" w:rsidP="00A35DD8">
      <w:pPr>
        <w:pStyle w:val="SingleTxtG"/>
      </w:pPr>
      <w:r w:rsidRPr="00432BC6">
        <w:t>12.</w:t>
      </w:r>
      <w:r w:rsidRPr="00432BC6">
        <w:tab/>
      </w:r>
      <w:r w:rsidR="00432BC6" w:rsidRPr="00432BC6">
        <w:t>The dut</w:t>
      </w:r>
      <w:r w:rsidR="00BC5F51">
        <w:t>y</w:t>
      </w:r>
      <w:r w:rsidR="00432BC6" w:rsidRPr="00432BC6">
        <w:t xml:space="preserve"> to maintain and strengthen</w:t>
      </w:r>
      <w:r w:rsidR="00BC5F51" w:rsidRPr="00BC5F51">
        <w:t xml:space="preserve"> </w:t>
      </w:r>
      <w:r w:rsidR="00432BC6" w:rsidRPr="00432BC6">
        <w:t>also oblige</w:t>
      </w:r>
      <w:r w:rsidR="00BC5F51">
        <w:t>s</w:t>
      </w:r>
      <w:r w:rsidR="00432BC6" w:rsidRPr="00432BC6">
        <w:t xml:space="preserve"> States parties to ensure that the independent monitoring framework can properly discharge its functions. </w:t>
      </w:r>
      <w:r w:rsidR="00BC5F51">
        <w:t xml:space="preserve">This means </w:t>
      </w:r>
      <w:r w:rsidR="00432BC6" w:rsidRPr="00432BC6">
        <w:t xml:space="preserve">that the framework </w:t>
      </w:r>
      <w:r w:rsidR="00BC5F51">
        <w:t xml:space="preserve">must </w:t>
      </w:r>
      <w:r w:rsidR="00432BC6" w:rsidRPr="00432BC6">
        <w:t xml:space="preserve">have expeditious and full access to information, databases, records, facilities and premises, both in urban and rural or remote areas; </w:t>
      </w:r>
      <w:r w:rsidR="00230298">
        <w:t xml:space="preserve">that it must have </w:t>
      </w:r>
      <w:r w:rsidR="00432BC6" w:rsidRPr="00432BC6">
        <w:t>unrestricted access to and interaction with any persons, entities, organi</w:t>
      </w:r>
      <w:r w:rsidR="00BC5F51">
        <w:t>z</w:t>
      </w:r>
      <w:r w:rsidR="00432BC6" w:rsidRPr="00432BC6">
        <w:t xml:space="preserve">ations or governmental bodies with which </w:t>
      </w:r>
      <w:r w:rsidR="00BC5F51">
        <w:t>it</w:t>
      </w:r>
      <w:r w:rsidR="00432BC6" w:rsidRPr="00432BC6">
        <w:t xml:space="preserve"> require</w:t>
      </w:r>
      <w:r w:rsidR="00BC5F51">
        <w:t>s</w:t>
      </w:r>
      <w:r w:rsidR="00432BC6" w:rsidRPr="00432BC6">
        <w:t xml:space="preserve"> to be in contact; </w:t>
      </w:r>
      <w:r w:rsidR="00230298">
        <w:t xml:space="preserve">that </w:t>
      </w:r>
      <w:r w:rsidR="00BC5F51">
        <w:t xml:space="preserve">its </w:t>
      </w:r>
      <w:r w:rsidR="00432BC6" w:rsidRPr="00432BC6">
        <w:t xml:space="preserve">requests </w:t>
      </w:r>
      <w:r w:rsidR="00230298">
        <w:t xml:space="preserve">are </w:t>
      </w:r>
      <w:r w:rsidR="00432BC6" w:rsidRPr="00432BC6">
        <w:t>addressed</w:t>
      </w:r>
      <w:r w:rsidR="00BC5F51">
        <w:t xml:space="preserve"> properly and</w:t>
      </w:r>
      <w:r w:rsidR="00432BC6" w:rsidRPr="00432BC6">
        <w:t xml:space="preserve"> in a timely manner by implementing bodies; and </w:t>
      </w:r>
      <w:r w:rsidR="00230298">
        <w:t xml:space="preserve">that </w:t>
      </w:r>
      <w:r w:rsidR="00432BC6" w:rsidRPr="00432BC6">
        <w:t xml:space="preserve">training is available to its staff on a continuous basis. </w:t>
      </w:r>
    </w:p>
    <w:p w:rsidR="00432BC6" w:rsidRPr="00432BC6" w:rsidRDefault="00A35DD8" w:rsidP="00A35DD8">
      <w:pPr>
        <w:pStyle w:val="SingleTxtG"/>
      </w:pPr>
      <w:r w:rsidRPr="00432BC6">
        <w:t>13.</w:t>
      </w:r>
      <w:r w:rsidRPr="00432BC6">
        <w:tab/>
      </w:r>
      <w:r w:rsidR="00432BC6" w:rsidRPr="00432BC6">
        <w:t>Article 33 should be read a</w:t>
      </w:r>
      <w:r w:rsidR="00230298">
        <w:t>s</w:t>
      </w:r>
      <w:r w:rsidR="00432BC6" w:rsidRPr="00432BC6">
        <w:t xml:space="preserve"> requiring States parties to refrain from directly or indirectly restricting, limiting or interfering with activities carried out by the independent monitoring framework in the promotion, protection and monitoring of the </w:t>
      </w:r>
      <w:r w:rsidR="00843A08">
        <w:t xml:space="preserve">implementation of the </w:t>
      </w:r>
      <w:r w:rsidR="00432BC6" w:rsidRPr="00432BC6">
        <w:t>Convention</w:t>
      </w:r>
      <w:r w:rsidR="00843A08">
        <w:t>.</w:t>
      </w:r>
      <w:r w:rsidR="00432BC6" w:rsidRPr="00432BC6">
        <w:t xml:space="preserve"> Promotion activities include raising awareness, building </w:t>
      </w:r>
      <w:r w:rsidR="00843A08">
        <w:t xml:space="preserve">capacity </w:t>
      </w:r>
      <w:r w:rsidR="00432BC6" w:rsidRPr="00432BC6">
        <w:t>and training</w:t>
      </w:r>
      <w:r w:rsidR="00843A08">
        <w:t>;</w:t>
      </w:r>
      <w:r w:rsidR="00432BC6" w:rsidRPr="00432BC6">
        <w:t xml:space="preserve"> regular</w:t>
      </w:r>
      <w:r w:rsidR="00843A08">
        <w:t>ly</w:t>
      </w:r>
      <w:r w:rsidR="00432BC6" w:rsidRPr="00432BC6">
        <w:t xml:space="preserve"> scrutin</w:t>
      </w:r>
      <w:r w:rsidR="00843A08">
        <w:t>izing</w:t>
      </w:r>
      <w:r w:rsidR="00432BC6" w:rsidRPr="00432BC6">
        <w:t xml:space="preserve"> existing national legislation, regulation</w:t>
      </w:r>
      <w:r w:rsidR="00843A08">
        <w:t>s</w:t>
      </w:r>
      <w:r w:rsidR="00432BC6" w:rsidRPr="00432BC6">
        <w:t xml:space="preserve"> and practices</w:t>
      </w:r>
      <w:r w:rsidR="00843A08">
        <w:t>,</w:t>
      </w:r>
      <w:r w:rsidR="00432BC6" w:rsidRPr="00432BC6">
        <w:t xml:space="preserve"> as well as draft bills and other proposals, to ensure that </w:t>
      </w:r>
      <w:r w:rsidR="00432BC6" w:rsidRPr="00A35DD8">
        <w:rPr>
          <w:bCs/>
        </w:rPr>
        <w:t>they</w:t>
      </w:r>
      <w:r w:rsidR="00432BC6" w:rsidRPr="00432BC6">
        <w:t xml:space="preserve"> are consistent with </w:t>
      </w:r>
      <w:r w:rsidR="00843A08">
        <w:t>C</w:t>
      </w:r>
      <w:r w:rsidR="00432BC6" w:rsidRPr="00432BC6">
        <w:t>onvention requirements</w:t>
      </w:r>
      <w:r w:rsidR="00843A08">
        <w:t>;</w:t>
      </w:r>
      <w:r w:rsidR="00432BC6" w:rsidRPr="00432BC6">
        <w:t xml:space="preserve"> </w:t>
      </w:r>
      <w:r w:rsidR="00843A08">
        <w:t>carrying out</w:t>
      </w:r>
      <w:r w:rsidR="00432BC6" w:rsidRPr="00432BC6">
        <w:t xml:space="preserve"> or facilitating research on the impact of the Convention o</w:t>
      </w:r>
      <w:r w:rsidR="00843A08">
        <w:t>n</w:t>
      </w:r>
      <w:r w:rsidR="00432BC6" w:rsidRPr="00432BC6">
        <w:t xml:space="preserve"> national legislation</w:t>
      </w:r>
      <w:r w:rsidR="00843A08">
        <w:t>;</w:t>
      </w:r>
      <w:r w:rsidR="00432BC6" w:rsidRPr="00432BC6">
        <w:t xml:space="preserve"> provi</w:t>
      </w:r>
      <w:r w:rsidR="00843A08">
        <w:t>ding</w:t>
      </w:r>
      <w:r w:rsidR="00432BC6" w:rsidRPr="00432BC6">
        <w:t xml:space="preserve"> technical advice to public authorities and other entities </w:t>
      </w:r>
      <w:r w:rsidR="00843A08">
        <w:t>o</w:t>
      </w:r>
      <w:r w:rsidR="00432BC6" w:rsidRPr="00432BC6">
        <w:t>n the implementation of the Convention; issu</w:t>
      </w:r>
      <w:r w:rsidR="00843A08">
        <w:t>ing</w:t>
      </w:r>
      <w:r w:rsidR="00432BC6" w:rsidRPr="00432BC6">
        <w:t xml:space="preserve"> reports at the initiative</w:t>
      </w:r>
      <w:r w:rsidR="00843A08">
        <w:t xml:space="preserve"> of the frameworks themselves</w:t>
      </w:r>
      <w:r w:rsidR="00432BC6" w:rsidRPr="00432BC6">
        <w:t>, when requested by a third party o</w:t>
      </w:r>
      <w:r w:rsidR="00843A08">
        <w:t>r</w:t>
      </w:r>
      <w:r w:rsidR="00432BC6" w:rsidRPr="00432BC6">
        <w:t xml:space="preserve"> a public authority</w:t>
      </w:r>
      <w:r w:rsidR="00843A08">
        <w:t>;</w:t>
      </w:r>
      <w:r w:rsidR="00432BC6" w:rsidRPr="00432BC6">
        <w:t xml:space="preserve"> encourag</w:t>
      </w:r>
      <w:r w:rsidR="00843A08">
        <w:t>ing</w:t>
      </w:r>
      <w:r w:rsidR="00432BC6" w:rsidRPr="00432BC6">
        <w:t xml:space="preserve"> the ratification of international human rights instruments; contributi</w:t>
      </w:r>
      <w:r w:rsidR="00843A08">
        <w:t>ng</w:t>
      </w:r>
      <w:r w:rsidR="00432BC6" w:rsidRPr="00432BC6">
        <w:t xml:space="preserve"> to the reports that States are required to submit to United Nations bodies and committees; </w:t>
      </w:r>
      <w:r w:rsidR="00843A08">
        <w:t xml:space="preserve">and </w:t>
      </w:r>
      <w:r w:rsidR="00432BC6" w:rsidRPr="00432BC6">
        <w:t>cooperati</w:t>
      </w:r>
      <w:r w:rsidR="00843A08">
        <w:t>ng</w:t>
      </w:r>
      <w:r w:rsidR="00432BC6" w:rsidRPr="00432BC6">
        <w:t xml:space="preserve"> with international, regional and other national human rights institutions</w:t>
      </w:r>
      <w:r w:rsidR="00843A08">
        <w:t>.</w:t>
      </w:r>
      <w:r w:rsidR="00432BC6" w:rsidRPr="00432BC6">
        <w:t xml:space="preserve"> </w:t>
      </w:r>
      <w:r w:rsidR="00843A08">
        <w:t>P</w:t>
      </w:r>
      <w:r w:rsidR="00432BC6" w:rsidRPr="00432BC6">
        <w:t xml:space="preserve">rotection activities include </w:t>
      </w:r>
      <w:r w:rsidR="00843A08">
        <w:t xml:space="preserve">taking into </w:t>
      </w:r>
      <w:r w:rsidR="00432BC6" w:rsidRPr="00432BC6">
        <w:t>consideration individual or group complaints alleging breaches of the Convention</w:t>
      </w:r>
      <w:r w:rsidR="00843A08">
        <w:t>;</w:t>
      </w:r>
      <w:r w:rsidR="00432BC6" w:rsidRPr="00432BC6">
        <w:t xml:space="preserve"> conducti</w:t>
      </w:r>
      <w:r w:rsidR="00843A08">
        <w:t>ng</w:t>
      </w:r>
      <w:r w:rsidR="00432BC6" w:rsidRPr="00432BC6">
        <w:t xml:space="preserve"> inquiries</w:t>
      </w:r>
      <w:r w:rsidR="00843A08">
        <w:t>;</w:t>
      </w:r>
      <w:r w:rsidR="00432BC6" w:rsidRPr="00432BC6">
        <w:t xml:space="preserve"> referr</w:t>
      </w:r>
      <w:r w:rsidR="00843A08">
        <w:t>ing</w:t>
      </w:r>
      <w:r w:rsidR="00432BC6" w:rsidRPr="00432BC6">
        <w:t xml:space="preserve"> cases to the courts</w:t>
      </w:r>
      <w:r w:rsidR="00843A08">
        <w:t>;</w:t>
      </w:r>
      <w:r w:rsidR="00432BC6" w:rsidRPr="00432BC6">
        <w:t xml:space="preserve"> participati</w:t>
      </w:r>
      <w:r w:rsidR="00843A08">
        <w:t>ng</w:t>
      </w:r>
      <w:r w:rsidR="00432BC6" w:rsidRPr="00432BC6">
        <w:t xml:space="preserve"> in judicial proceedings</w:t>
      </w:r>
      <w:r w:rsidR="00843A08">
        <w:t>;</w:t>
      </w:r>
      <w:r w:rsidR="00432BC6" w:rsidRPr="00432BC6">
        <w:t xml:space="preserve"> </w:t>
      </w:r>
      <w:r w:rsidR="00777FD4">
        <w:t xml:space="preserve">and </w:t>
      </w:r>
      <w:r w:rsidR="00432BC6" w:rsidRPr="00432BC6">
        <w:t>issu</w:t>
      </w:r>
      <w:r w:rsidR="00843A08">
        <w:t>ing</w:t>
      </w:r>
      <w:r w:rsidR="00432BC6" w:rsidRPr="00432BC6">
        <w:t xml:space="preserve"> reports related to complaints received and process</w:t>
      </w:r>
      <w:r w:rsidR="00843A08">
        <w:t>ed.</w:t>
      </w:r>
      <w:r w:rsidR="00432BC6" w:rsidRPr="00432BC6">
        <w:t xml:space="preserve"> </w:t>
      </w:r>
      <w:r w:rsidR="00843A08">
        <w:t>M</w:t>
      </w:r>
      <w:r w:rsidR="00432BC6" w:rsidRPr="00432BC6">
        <w:t xml:space="preserve">onitoring activities </w:t>
      </w:r>
      <w:r w:rsidR="00843A08">
        <w:t>include</w:t>
      </w:r>
      <w:r w:rsidR="00432BC6" w:rsidRPr="00432BC6">
        <w:t xml:space="preserve"> develop</w:t>
      </w:r>
      <w:r w:rsidR="00843A08">
        <w:t>ing</w:t>
      </w:r>
      <w:r w:rsidR="00432BC6" w:rsidRPr="00432BC6">
        <w:t xml:space="preserve"> a system to assess the impact of the implementation of legislation and policies</w:t>
      </w:r>
      <w:r w:rsidR="00843A08">
        <w:t>;</w:t>
      </w:r>
      <w:r w:rsidR="00432BC6" w:rsidRPr="00432BC6">
        <w:t xml:space="preserve"> develop</w:t>
      </w:r>
      <w:r w:rsidR="00843A08">
        <w:t>ing</w:t>
      </w:r>
      <w:r w:rsidR="00432BC6" w:rsidRPr="00432BC6">
        <w:t xml:space="preserve"> indicators and benchmarks</w:t>
      </w:r>
      <w:r w:rsidR="00843A08">
        <w:t xml:space="preserve">; </w:t>
      </w:r>
      <w:r w:rsidR="00432BC6" w:rsidRPr="00432BC6">
        <w:t>and maint</w:t>
      </w:r>
      <w:r w:rsidR="00843A08">
        <w:t>aining</w:t>
      </w:r>
      <w:r w:rsidR="00432BC6" w:rsidRPr="00432BC6">
        <w:t xml:space="preserve"> databases </w:t>
      </w:r>
      <w:r w:rsidR="00843A08">
        <w:t>containing information on</w:t>
      </w:r>
      <w:r w:rsidR="00432BC6" w:rsidRPr="00432BC6">
        <w:t xml:space="preserve"> practices </w:t>
      </w:r>
      <w:r w:rsidR="00843A08">
        <w:t>related to</w:t>
      </w:r>
      <w:r w:rsidR="00432BC6" w:rsidRPr="00432BC6">
        <w:t xml:space="preserve"> the implementation of the Convention. </w:t>
      </w:r>
    </w:p>
    <w:p w:rsidR="00432BC6" w:rsidRPr="00432BC6" w:rsidRDefault="00A35DD8" w:rsidP="00A35DD8">
      <w:pPr>
        <w:pStyle w:val="SingleTxtG"/>
      </w:pPr>
      <w:r w:rsidRPr="00432BC6">
        <w:t>14.</w:t>
      </w:r>
      <w:r w:rsidRPr="00432BC6">
        <w:tab/>
      </w:r>
      <w:r w:rsidR="00432BC6" w:rsidRPr="003F4AC7">
        <w:t xml:space="preserve">States parties have </w:t>
      </w:r>
      <w:r w:rsidR="00432BC6" w:rsidRPr="00DE3D3D">
        <w:t>a margin of appreciation</w:t>
      </w:r>
      <w:r w:rsidR="00432BC6" w:rsidRPr="003F4AC7">
        <w:t xml:space="preserve"> to decide whether or not the</w:t>
      </w:r>
      <w:r w:rsidR="00326CB8">
        <w:t>ir</w:t>
      </w:r>
      <w:r w:rsidR="00432BC6" w:rsidRPr="00432BC6">
        <w:t xml:space="preserve"> independent monitoring framework consist</w:t>
      </w:r>
      <w:r w:rsidR="00326CB8">
        <w:t>s</w:t>
      </w:r>
      <w:r w:rsidR="00432BC6" w:rsidRPr="00432BC6">
        <w:t xml:space="preserve"> of one or more monitoring mechanisms. When a single entity is appointed as a monitoring mechanism, </w:t>
      </w:r>
      <w:r w:rsidR="003F4AC7">
        <w:t>it</w:t>
      </w:r>
      <w:r w:rsidR="00432BC6" w:rsidRPr="00432BC6">
        <w:t xml:space="preserve"> is required to be independent from the </w:t>
      </w:r>
      <w:r w:rsidR="003F4AC7">
        <w:t>e</w:t>
      </w:r>
      <w:r w:rsidR="00432BC6" w:rsidRPr="00432BC6">
        <w:t xml:space="preserve">xecutive </w:t>
      </w:r>
      <w:r w:rsidR="003F4AC7">
        <w:t>b</w:t>
      </w:r>
      <w:r w:rsidR="00432BC6" w:rsidRPr="00432BC6">
        <w:t xml:space="preserve">ranch </w:t>
      </w:r>
      <w:r w:rsidR="003F4AC7">
        <w:t xml:space="preserve">of government </w:t>
      </w:r>
      <w:r w:rsidR="00432BC6" w:rsidRPr="00432BC6">
        <w:t xml:space="preserve">and </w:t>
      </w:r>
      <w:r w:rsidR="003F4AC7">
        <w:t xml:space="preserve">to </w:t>
      </w:r>
      <w:r w:rsidR="00432BC6" w:rsidRPr="00432BC6">
        <w:t xml:space="preserve">comply with the Paris Principles. If the monitoring framework consists of one or more mechanisms, all mechanisms are required to be independent from the </w:t>
      </w:r>
      <w:r w:rsidR="003F4AC7">
        <w:t>e</w:t>
      </w:r>
      <w:r w:rsidR="00432BC6" w:rsidRPr="00432BC6">
        <w:t xml:space="preserve">xecutive </w:t>
      </w:r>
      <w:r w:rsidR="003F4AC7">
        <w:t>b</w:t>
      </w:r>
      <w:r w:rsidR="00432BC6" w:rsidRPr="00432BC6">
        <w:t>ranch and at least one of the</w:t>
      </w:r>
      <w:r w:rsidR="003F4AC7">
        <w:t>m must</w:t>
      </w:r>
      <w:r w:rsidR="00432BC6" w:rsidRPr="00432BC6">
        <w:t xml:space="preserve"> be compliant with </w:t>
      </w:r>
      <w:r w:rsidR="00432BC6" w:rsidRPr="00432BC6">
        <w:lastRenderedPageBreak/>
        <w:t xml:space="preserve">the Paris Principles. When the monitoring framework comprises two or more mechanisms, article 33 requires States parties to ensure appropriate and close cooperation between all </w:t>
      </w:r>
      <w:r w:rsidR="003F4AC7">
        <w:t xml:space="preserve">the </w:t>
      </w:r>
      <w:r w:rsidR="00432BC6" w:rsidRPr="00432BC6">
        <w:t xml:space="preserve">entities </w:t>
      </w:r>
      <w:r w:rsidR="003F4AC7">
        <w:t xml:space="preserve">that </w:t>
      </w:r>
      <w:r w:rsidR="00432BC6" w:rsidRPr="00432BC6">
        <w:t>mak</w:t>
      </w:r>
      <w:r w:rsidR="003F4AC7">
        <w:t>e</w:t>
      </w:r>
      <w:r w:rsidR="00432BC6" w:rsidRPr="00432BC6">
        <w:t xml:space="preserve"> up the monitoring framework.</w:t>
      </w:r>
    </w:p>
    <w:p w:rsidR="00432BC6" w:rsidRPr="00432BC6" w:rsidRDefault="00A35DD8" w:rsidP="00A35DD8">
      <w:pPr>
        <w:pStyle w:val="SingleTxtG"/>
      </w:pPr>
      <w:r w:rsidRPr="00432BC6">
        <w:t>15.</w:t>
      </w:r>
      <w:r w:rsidRPr="00432BC6">
        <w:tab/>
      </w:r>
      <w:r w:rsidR="00432BC6" w:rsidRPr="00432BC6">
        <w:t xml:space="preserve">States parties should respect both </w:t>
      </w:r>
      <w:r w:rsidR="003F4AC7">
        <w:t xml:space="preserve">the </w:t>
      </w:r>
      <w:r w:rsidR="00432BC6" w:rsidRPr="00432BC6">
        <w:t xml:space="preserve">functional and </w:t>
      </w:r>
      <w:r w:rsidR="003F4AC7">
        <w:t xml:space="preserve">the </w:t>
      </w:r>
      <w:r w:rsidR="00432BC6" w:rsidRPr="00432BC6">
        <w:t xml:space="preserve">substantive independence of </w:t>
      </w:r>
      <w:r w:rsidR="00432BC6" w:rsidRPr="00F3148D">
        <w:t>monitoring frameworks. In order to respect their substantive independence</w:t>
      </w:r>
      <w:r w:rsidR="00F3148D">
        <w:t>,</w:t>
      </w:r>
      <w:r w:rsidR="00432BC6" w:rsidRPr="00F3148D">
        <w:t xml:space="preserve"> States parties</w:t>
      </w:r>
      <w:r w:rsidR="00432BC6" w:rsidRPr="00432BC6">
        <w:t xml:space="preserve"> </w:t>
      </w:r>
      <w:r w:rsidR="00326CB8">
        <w:t>should</w:t>
      </w:r>
      <w:r w:rsidR="00432BC6" w:rsidRPr="00432BC6">
        <w:t xml:space="preserve"> ensure that the mandate</w:t>
      </w:r>
      <w:r w:rsidR="00F3148D">
        <w:t xml:space="preserve"> of the frameworks</w:t>
      </w:r>
      <w:r w:rsidR="00432BC6" w:rsidRPr="00432BC6">
        <w:t xml:space="preserve"> is appropriately and </w:t>
      </w:r>
      <w:r w:rsidR="00F3148D">
        <w:t xml:space="preserve">sufficiently </w:t>
      </w:r>
      <w:r w:rsidR="00432BC6" w:rsidRPr="00432BC6">
        <w:t xml:space="preserve">broadly defined to encompass the promotion, protection and monitoring of all rights </w:t>
      </w:r>
      <w:r w:rsidR="00326CB8">
        <w:t>enshrined</w:t>
      </w:r>
      <w:r w:rsidR="00432BC6" w:rsidRPr="00432BC6">
        <w:t xml:space="preserve"> in the Convention</w:t>
      </w:r>
      <w:r w:rsidR="00F3148D">
        <w:t xml:space="preserve"> and that it</w:t>
      </w:r>
      <w:r w:rsidR="00F3148D" w:rsidRPr="00432BC6">
        <w:t xml:space="preserve"> </w:t>
      </w:r>
      <w:r w:rsidR="00432BC6" w:rsidRPr="00432BC6">
        <w:t xml:space="preserve">is </w:t>
      </w:r>
      <w:r w:rsidR="00F3148D">
        <w:t>set out</w:t>
      </w:r>
      <w:r w:rsidR="00432BC6" w:rsidRPr="00432BC6">
        <w:t xml:space="preserve"> in a constitutional or a legislative text; </w:t>
      </w:r>
      <w:r w:rsidR="00F3148D">
        <w:t xml:space="preserve">they </w:t>
      </w:r>
      <w:r w:rsidR="00326CB8">
        <w:t>should</w:t>
      </w:r>
      <w:r w:rsidR="00F3148D">
        <w:t xml:space="preserve"> also ensure </w:t>
      </w:r>
      <w:r w:rsidR="00F3148D" w:rsidRPr="00432BC6">
        <w:t xml:space="preserve">that the </w:t>
      </w:r>
      <w:r w:rsidR="00F3148D">
        <w:t>frameworks</w:t>
      </w:r>
      <w:r w:rsidR="00F3148D" w:rsidRPr="00432BC6">
        <w:t xml:space="preserve"> </w:t>
      </w:r>
      <w:r w:rsidR="00F3148D">
        <w:t xml:space="preserve">are </w:t>
      </w:r>
      <w:r w:rsidR="00432BC6" w:rsidRPr="00432BC6">
        <w:t xml:space="preserve">empowered </w:t>
      </w:r>
      <w:r w:rsidR="00F3148D">
        <w:t xml:space="preserve">and entrusted </w:t>
      </w:r>
      <w:r w:rsidR="00432BC6" w:rsidRPr="00432BC6">
        <w:t>with a wide range of responsibilities</w:t>
      </w:r>
      <w:r w:rsidR="00F3148D">
        <w:t xml:space="preserve">, </w:t>
      </w:r>
      <w:r w:rsidR="00432BC6" w:rsidRPr="00432BC6">
        <w:t>includ</w:t>
      </w:r>
      <w:r w:rsidR="00F3148D">
        <w:t>ing</w:t>
      </w:r>
      <w:r w:rsidR="00432BC6" w:rsidRPr="00432BC6">
        <w:t xml:space="preserve"> those referred to in paragraph</w:t>
      </w:r>
      <w:r w:rsidR="00F3148D">
        <w:t xml:space="preserve"> 14 above</w:t>
      </w:r>
      <w:r w:rsidR="00432BC6" w:rsidRPr="00432BC6">
        <w:t xml:space="preserve">. </w:t>
      </w:r>
      <w:r w:rsidR="00F3148D">
        <w:t>In order to r</w:t>
      </w:r>
      <w:r w:rsidR="00432BC6" w:rsidRPr="00432BC6">
        <w:t xml:space="preserve">espect </w:t>
      </w:r>
      <w:r w:rsidR="00F3148D">
        <w:t>the</w:t>
      </w:r>
      <w:r w:rsidR="00432BC6" w:rsidRPr="00432BC6">
        <w:t xml:space="preserve"> functional independence </w:t>
      </w:r>
      <w:r w:rsidR="00F3148D">
        <w:t xml:space="preserve">of the monitoring frameworks, </w:t>
      </w:r>
      <w:r w:rsidR="00432BC6" w:rsidRPr="00432BC6">
        <w:t xml:space="preserve">States parties </w:t>
      </w:r>
      <w:r w:rsidR="00F3148D">
        <w:t xml:space="preserve">shall </w:t>
      </w:r>
      <w:r w:rsidR="00432BC6" w:rsidRPr="00432BC6">
        <w:t xml:space="preserve">ensure that each </w:t>
      </w:r>
      <w:r w:rsidR="00F3148D">
        <w:t xml:space="preserve">constituent </w:t>
      </w:r>
      <w:r w:rsidR="00432BC6" w:rsidRPr="00432BC6">
        <w:t>mechanism is independent from the executive branch of the State party and that the monitoring framework</w:t>
      </w:r>
      <w:r w:rsidR="00F3148D">
        <w:t>s:</w:t>
      </w:r>
      <w:r w:rsidR="00432BC6" w:rsidRPr="00432BC6">
        <w:t xml:space="preserve"> (</w:t>
      </w:r>
      <w:r w:rsidR="00F3148D">
        <w:t>a</w:t>
      </w:r>
      <w:r w:rsidR="00432BC6" w:rsidRPr="00432BC6">
        <w:t>) ha</w:t>
      </w:r>
      <w:r w:rsidR="00F3148D">
        <w:t>ve</w:t>
      </w:r>
      <w:r w:rsidR="00432BC6" w:rsidRPr="00432BC6">
        <w:t xml:space="preserve"> members appointed in a public, democratic, transparent and participatory manner; </w:t>
      </w:r>
      <w:r w:rsidR="00F3148D">
        <w:t>(b)</w:t>
      </w:r>
      <w:r w:rsidR="00432BC6" w:rsidRPr="00432BC6">
        <w:t xml:space="preserve"> ha</w:t>
      </w:r>
      <w:r w:rsidR="00F3148D">
        <w:t>ve</w:t>
      </w:r>
      <w:r w:rsidR="00432BC6" w:rsidRPr="00432BC6">
        <w:t xml:space="preserve"> sufficient funding and technical and skilled human resources; </w:t>
      </w:r>
      <w:r w:rsidR="00F3148D">
        <w:t>(c)</w:t>
      </w:r>
      <w:r w:rsidR="00432BC6" w:rsidRPr="00432BC6">
        <w:t xml:space="preserve"> ha</w:t>
      </w:r>
      <w:r w:rsidR="00F3148D">
        <w:t>ve</w:t>
      </w:r>
      <w:r w:rsidR="00432BC6" w:rsidRPr="00432BC6">
        <w:t xml:space="preserve"> autonomy in </w:t>
      </w:r>
      <w:r w:rsidR="00F3148D">
        <w:t xml:space="preserve">the </w:t>
      </w:r>
      <w:r w:rsidR="00432BC6" w:rsidRPr="00432BC6">
        <w:t>manag</w:t>
      </w:r>
      <w:r w:rsidR="00F3148D">
        <w:t>ement of their</w:t>
      </w:r>
      <w:r w:rsidR="00432BC6" w:rsidRPr="00432BC6">
        <w:t xml:space="preserve"> budget; (</w:t>
      </w:r>
      <w:r w:rsidR="00F3148D">
        <w:t>d</w:t>
      </w:r>
      <w:r w:rsidR="00432BC6" w:rsidRPr="00432BC6">
        <w:t>) ha</w:t>
      </w:r>
      <w:r w:rsidR="00F3148D">
        <w:t>ve</w:t>
      </w:r>
      <w:r w:rsidR="00432BC6" w:rsidRPr="00432BC6">
        <w:t xml:space="preserve"> autonomy in deciding and considering which issues</w:t>
      </w:r>
      <w:r w:rsidR="00983B9E">
        <w:t xml:space="preserve"> fall </w:t>
      </w:r>
      <w:r w:rsidR="00F3148D">
        <w:t>within</w:t>
      </w:r>
      <w:r w:rsidR="00983B9E">
        <w:t xml:space="preserve"> its </w:t>
      </w:r>
      <w:r w:rsidR="00F3148D">
        <w:t>scope</w:t>
      </w:r>
      <w:r w:rsidR="00983B9E">
        <w:t xml:space="preserve">; </w:t>
      </w:r>
      <w:r w:rsidR="00F3148D">
        <w:t xml:space="preserve">(e) </w:t>
      </w:r>
      <w:r w:rsidR="00432BC6" w:rsidRPr="00432BC6">
        <w:t>can maintain and develop relations and engage in consultations with other bodies; and (</w:t>
      </w:r>
      <w:r w:rsidR="00F3148D">
        <w:t>f</w:t>
      </w:r>
      <w:r w:rsidR="00432BC6" w:rsidRPr="00432BC6">
        <w:t xml:space="preserve">) may hear and consider complaints put forward by individuals or groups alleging </w:t>
      </w:r>
      <w:r w:rsidR="00F3148D">
        <w:t>violations of</w:t>
      </w:r>
      <w:r w:rsidR="00432BC6" w:rsidRPr="00432BC6">
        <w:t xml:space="preserve"> their rights under the Convention. </w:t>
      </w:r>
    </w:p>
    <w:p w:rsidR="00432BC6" w:rsidRPr="00432BC6" w:rsidRDefault="00A35DD8" w:rsidP="00A35DD8">
      <w:pPr>
        <w:pStyle w:val="SingleTxtG"/>
      </w:pPr>
      <w:r w:rsidRPr="00432BC6">
        <w:t>16.</w:t>
      </w:r>
      <w:r w:rsidRPr="00432BC6">
        <w:tab/>
      </w:r>
      <w:r w:rsidR="00432BC6" w:rsidRPr="00432BC6">
        <w:t xml:space="preserve">States parties shall give due consideration to the recommendations issued by the monitoring framework in their annual, thematic or specific reports and to the framework’s decisions and views regarding individual cases. Appropriate follow-up should be provided to the monitoring framework’s recommendations, including </w:t>
      </w:r>
      <w:r w:rsidR="00AF7C9F">
        <w:t>through</w:t>
      </w:r>
      <w:r w:rsidR="00432BC6" w:rsidRPr="00432BC6">
        <w:t xml:space="preserve"> the submission of timely follow-up reports when they are requested or due. States parties are encouraged to implement the recommendations effectively and in a timely manner.</w:t>
      </w:r>
    </w:p>
    <w:p w:rsidR="00432BC6" w:rsidRPr="00432BC6" w:rsidRDefault="00A35DD8" w:rsidP="00A35DD8">
      <w:pPr>
        <w:pStyle w:val="SingleTxtG"/>
      </w:pPr>
      <w:r w:rsidRPr="00432BC6">
        <w:t>17.</w:t>
      </w:r>
      <w:r w:rsidRPr="00432BC6">
        <w:tab/>
      </w:r>
      <w:r w:rsidR="00432BC6" w:rsidRPr="00432BC6">
        <w:t xml:space="preserve">States parties are </w:t>
      </w:r>
      <w:r w:rsidR="00AF7C9F">
        <w:t xml:space="preserve">also </w:t>
      </w:r>
      <w:r w:rsidR="00432BC6" w:rsidRPr="00432BC6">
        <w:t xml:space="preserve">encouraged to </w:t>
      </w:r>
      <w:r w:rsidR="00AF7C9F">
        <w:t>appoint their Paris Principles-compliant</w:t>
      </w:r>
      <w:r w:rsidR="00432BC6" w:rsidRPr="00432BC6">
        <w:t xml:space="preserve"> </w:t>
      </w:r>
      <w:r w:rsidR="00362DBD">
        <w:t>n</w:t>
      </w:r>
      <w:r w:rsidR="00362DBD" w:rsidRPr="00432BC6">
        <w:t xml:space="preserve">ational </w:t>
      </w:r>
      <w:r w:rsidR="00362DBD">
        <w:t>h</w:t>
      </w:r>
      <w:r w:rsidR="00362DBD" w:rsidRPr="00432BC6">
        <w:t xml:space="preserve">uman </w:t>
      </w:r>
      <w:r w:rsidR="00362DBD">
        <w:t>r</w:t>
      </w:r>
      <w:r w:rsidR="00362DBD" w:rsidRPr="00432BC6">
        <w:t xml:space="preserve">ights </w:t>
      </w:r>
      <w:r w:rsidR="00362DBD">
        <w:t>i</w:t>
      </w:r>
      <w:r w:rsidR="00362DBD" w:rsidRPr="00432BC6">
        <w:t xml:space="preserve">nstitution </w:t>
      </w:r>
      <w:r w:rsidR="00432BC6" w:rsidRPr="00432BC6">
        <w:t xml:space="preserve">as the monitoring framework or </w:t>
      </w:r>
      <w:r w:rsidR="00BF0A0D">
        <w:t>the</w:t>
      </w:r>
      <w:r w:rsidR="00432BC6" w:rsidRPr="00432BC6">
        <w:t xml:space="preserve"> mechanism form</w:t>
      </w:r>
      <w:r w:rsidR="00BF0A0D">
        <w:t>ing</w:t>
      </w:r>
      <w:r w:rsidR="00432BC6" w:rsidRPr="00432BC6">
        <w:t xml:space="preserve"> part of the monitoring framework and to equip </w:t>
      </w:r>
      <w:r w:rsidR="00BF0A0D">
        <w:t>it</w:t>
      </w:r>
      <w:r w:rsidR="00432BC6" w:rsidRPr="00432BC6">
        <w:t xml:space="preserve"> with additional and adequate budgetary and skilled human resources to appropriately discharge </w:t>
      </w:r>
      <w:r w:rsidR="00BF0A0D">
        <w:t>its</w:t>
      </w:r>
      <w:r w:rsidR="00432BC6" w:rsidRPr="00432BC6">
        <w:t xml:space="preserve"> mandate under article 33</w:t>
      </w:r>
      <w:r w:rsidR="00BF0A0D">
        <w:t xml:space="preserve"> (</w:t>
      </w:r>
      <w:r w:rsidR="00432BC6" w:rsidRPr="00432BC6">
        <w:t>2</w:t>
      </w:r>
      <w:r w:rsidR="00BF0A0D">
        <w:t>)</w:t>
      </w:r>
      <w:r w:rsidR="00432BC6" w:rsidRPr="00432BC6">
        <w:t xml:space="preserve"> of the Convention. </w:t>
      </w:r>
    </w:p>
    <w:p w:rsidR="00432BC6" w:rsidRPr="00432BC6" w:rsidRDefault="00A35DD8" w:rsidP="00A35DD8">
      <w:pPr>
        <w:pStyle w:val="SingleTxtG"/>
      </w:pPr>
      <w:r w:rsidRPr="00432BC6">
        <w:t>18.</w:t>
      </w:r>
      <w:r w:rsidRPr="00432BC6">
        <w:tab/>
      </w:r>
      <w:r w:rsidR="00432BC6" w:rsidRPr="00432BC6">
        <w:t>States parties with federal or decentrali</w:t>
      </w:r>
      <w:r w:rsidR="006C6D3F">
        <w:t>z</w:t>
      </w:r>
      <w:r w:rsidR="00432BC6" w:rsidRPr="00432BC6">
        <w:t>ed administrations should ensure that the central monitoring framework can properly discharge its functions at the federal, state</w:t>
      </w:r>
      <w:r w:rsidR="006C6D3F">
        <w:t xml:space="preserve">, </w:t>
      </w:r>
      <w:r w:rsidR="00432BC6" w:rsidRPr="00432BC6">
        <w:t xml:space="preserve">provincial, regional and local levels. When monitoring frameworks exist at those levels, States parties shall ensure that the federal or national monitoring framework can properly interact and coordinate its activities with </w:t>
      </w:r>
      <w:r w:rsidR="000B7E2C">
        <w:t xml:space="preserve">the </w:t>
      </w:r>
      <w:r w:rsidR="00432BC6" w:rsidRPr="00432BC6">
        <w:t>state</w:t>
      </w:r>
      <w:r w:rsidR="000B7E2C">
        <w:t xml:space="preserve">, </w:t>
      </w:r>
      <w:r w:rsidR="00432BC6" w:rsidRPr="00432BC6">
        <w:t xml:space="preserve">provincial, regional, local or municipal monitoring frameworks. Where an independent monitoring framework does not solely consist of a </w:t>
      </w:r>
      <w:r w:rsidR="000B7E2C">
        <w:t>Paris Principles-compliant</w:t>
      </w:r>
      <w:r w:rsidR="000B7E2C" w:rsidRPr="00432BC6">
        <w:t xml:space="preserve"> </w:t>
      </w:r>
      <w:r w:rsidR="000B7E2C">
        <w:t>n</w:t>
      </w:r>
      <w:r w:rsidR="000B7E2C" w:rsidRPr="00432BC6">
        <w:t xml:space="preserve">ational </w:t>
      </w:r>
      <w:r w:rsidR="000B7E2C">
        <w:t>h</w:t>
      </w:r>
      <w:r w:rsidR="000B7E2C" w:rsidRPr="00432BC6">
        <w:t xml:space="preserve">uman </w:t>
      </w:r>
      <w:r w:rsidR="000B7E2C">
        <w:t>r</w:t>
      </w:r>
      <w:r w:rsidR="000B7E2C" w:rsidRPr="00432BC6">
        <w:t xml:space="preserve">ights </w:t>
      </w:r>
      <w:r w:rsidR="000B7E2C">
        <w:t>i</w:t>
      </w:r>
      <w:r w:rsidR="000B7E2C" w:rsidRPr="00432BC6">
        <w:t>nstitution</w:t>
      </w:r>
      <w:r w:rsidR="00432BC6" w:rsidRPr="00432BC6">
        <w:t xml:space="preserve">, States </w:t>
      </w:r>
      <w:r w:rsidR="00362DBD">
        <w:t>p</w:t>
      </w:r>
      <w:r w:rsidR="00432BC6" w:rsidRPr="00432BC6">
        <w:t xml:space="preserve">arties are encouraged to </w:t>
      </w:r>
      <w:r w:rsidR="000B7E2C">
        <w:t>mandate</w:t>
      </w:r>
      <w:r w:rsidR="00432BC6" w:rsidRPr="00432BC6">
        <w:t xml:space="preserve"> the </w:t>
      </w:r>
      <w:r w:rsidR="000B7E2C">
        <w:t>i</w:t>
      </w:r>
      <w:r w:rsidR="000B7E2C" w:rsidRPr="00432BC6">
        <w:t>nstitution</w:t>
      </w:r>
      <w:r w:rsidR="000B7E2C" w:rsidRPr="00432BC6" w:rsidDel="000B7E2C">
        <w:t xml:space="preserve"> </w:t>
      </w:r>
      <w:r w:rsidR="00432BC6" w:rsidRPr="00432BC6">
        <w:t xml:space="preserve">with facilitating and coordinating interaction </w:t>
      </w:r>
      <w:r w:rsidR="000B7E2C">
        <w:t>between</w:t>
      </w:r>
      <w:r w:rsidR="00432BC6" w:rsidRPr="00432BC6">
        <w:t xml:space="preserve"> the monitoring framework </w:t>
      </w:r>
      <w:r w:rsidR="000B7E2C">
        <w:t>and</w:t>
      </w:r>
      <w:r w:rsidR="00432BC6" w:rsidRPr="00432BC6">
        <w:t xml:space="preserve"> its regional and local counterparts.</w:t>
      </w:r>
    </w:p>
    <w:p w:rsidR="00432BC6" w:rsidRPr="00432BC6" w:rsidRDefault="00A35DD8" w:rsidP="00A35DD8">
      <w:pPr>
        <w:pStyle w:val="SingleTxtG"/>
      </w:pPr>
      <w:r w:rsidRPr="00432BC6">
        <w:t>19.</w:t>
      </w:r>
      <w:r w:rsidRPr="00432BC6">
        <w:tab/>
      </w:r>
      <w:r w:rsidR="00432BC6" w:rsidRPr="00DE3D3D">
        <w:t>In cases in which the framework is composed of one or more monitoring</w:t>
      </w:r>
      <w:r w:rsidR="00432BC6" w:rsidRPr="00432BC6">
        <w:t xml:space="preserve"> mechanisms, States parties shall provide the appropriate support, upon the request of the framework, </w:t>
      </w:r>
      <w:r w:rsidR="00FB5A6A">
        <w:t>so that</w:t>
      </w:r>
      <w:r w:rsidR="00432BC6" w:rsidRPr="00432BC6">
        <w:t xml:space="preserve"> the framework</w:t>
      </w:r>
      <w:r w:rsidR="00FB5A6A">
        <w:t xml:space="preserve"> can</w:t>
      </w:r>
      <w:r w:rsidR="00432BC6" w:rsidRPr="00432BC6">
        <w:t xml:space="preserve"> regular</w:t>
      </w:r>
      <w:r w:rsidR="00FB5A6A">
        <w:t>ly</w:t>
      </w:r>
      <w:r w:rsidR="00432BC6" w:rsidRPr="00432BC6">
        <w:t xml:space="preserve"> and adequate</w:t>
      </w:r>
      <w:r w:rsidR="00FB5A6A">
        <w:t>ly</w:t>
      </w:r>
      <w:r w:rsidR="00432BC6" w:rsidRPr="00432BC6">
        <w:t xml:space="preserve"> operate and discharge its functions.</w:t>
      </w:r>
    </w:p>
    <w:p w:rsidR="00432BC6" w:rsidRPr="00432BC6" w:rsidRDefault="00A35DD8" w:rsidP="00A35DD8">
      <w:pPr>
        <w:pStyle w:val="SingleTxtG"/>
      </w:pPr>
      <w:r w:rsidRPr="00432BC6">
        <w:t>20.</w:t>
      </w:r>
      <w:r w:rsidRPr="00432BC6">
        <w:tab/>
      </w:r>
      <w:r w:rsidR="00432BC6" w:rsidRPr="00432BC6">
        <w:t>The independent monitoring framework should ensure the full involvement and participation of persons with disabilities</w:t>
      </w:r>
      <w:r w:rsidR="00326CB8">
        <w:t xml:space="preserve"> and</w:t>
      </w:r>
      <w:r w:rsidR="00432BC6" w:rsidRPr="00432BC6">
        <w:t xml:space="preserve"> their representative organizations in all areas of its work. The Committee considers organi</w:t>
      </w:r>
      <w:r w:rsidR="00FB5A6A">
        <w:t>z</w:t>
      </w:r>
      <w:r w:rsidR="00432BC6" w:rsidRPr="00432BC6">
        <w:t xml:space="preserve">ations of persons with disabilities to be </w:t>
      </w:r>
      <w:r w:rsidR="00FB5A6A" w:rsidRPr="00432BC6">
        <w:t>organi</w:t>
      </w:r>
      <w:r w:rsidR="00FB5A6A">
        <w:t>z</w:t>
      </w:r>
      <w:r w:rsidR="00FB5A6A" w:rsidRPr="00432BC6">
        <w:t xml:space="preserve">ations </w:t>
      </w:r>
      <w:r w:rsidR="00FB5A6A">
        <w:t xml:space="preserve">with </w:t>
      </w:r>
      <w:r w:rsidR="00432BC6" w:rsidRPr="00432BC6">
        <w:t>a majority of</w:t>
      </w:r>
      <w:r w:rsidR="00FB5A6A">
        <w:t xml:space="preserve"> members being</w:t>
      </w:r>
      <w:r w:rsidR="00432BC6" w:rsidRPr="00432BC6">
        <w:t xml:space="preserve"> persons with disabilities </w:t>
      </w:r>
      <w:r w:rsidR="00CF21F9">
        <w:t>(</w:t>
      </w:r>
      <w:r w:rsidR="00432BC6" w:rsidRPr="00432BC6">
        <w:t>at least half of its membership</w:t>
      </w:r>
      <w:r w:rsidR="00CF21F9">
        <w:t>)</w:t>
      </w:r>
      <w:r w:rsidR="00FB5A6A">
        <w:t xml:space="preserve"> and that are</w:t>
      </w:r>
      <w:r w:rsidR="00432BC6" w:rsidRPr="00432BC6">
        <w:t xml:space="preserve"> governed, led and directed by persons with disabilities. Involvement and participation should be meaningful and </w:t>
      </w:r>
      <w:r w:rsidR="00FB5A6A">
        <w:t>take place</w:t>
      </w:r>
      <w:r w:rsidR="00432BC6" w:rsidRPr="00432BC6">
        <w:t xml:space="preserve"> at all the stages of the monitoring process, which should be accessible, respectful of the diversity of persons with </w:t>
      </w:r>
      <w:r w:rsidR="00432BC6" w:rsidRPr="00432BC6">
        <w:lastRenderedPageBreak/>
        <w:t>disability</w:t>
      </w:r>
      <w:r w:rsidR="00FB5A6A">
        <w:t xml:space="preserve"> and</w:t>
      </w:r>
      <w:r w:rsidR="00432BC6" w:rsidRPr="00432BC6">
        <w:t xml:space="preserve"> gender</w:t>
      </w:r>
      <w:r w:rsidR="00FB5A6A">
        <w:t>-</w:t>
      </w:r>
      <w:r w:rsidR="00432BC6" w:rsidRPr="00432BC6">
        <w:t xml:space="preserve"> and age</w:t>
      </w:r>
      <w:r w:rsidR="00FB5A6A">
        <w:t>-</w:t>
      </w:r>
      <w:r w:rsidR="00432BC6" w:rsidRPr="00432BC6">
        <w:t>sensitive. Article 33</w:t>
      </w:r>
      <w:r w:rsidR="00FB5A6A">
        <w:t xml:space="preserve"> (</w:t>
      </w:r>
      <w:r w:rsidR="00432BC6" w:rsidRPr="00432BC6">
        <w:t>3</w:t>
      </w:r>
      <w:r w:rsidR="00FB5A6A">
        <w:t>) of the Convention,</w:t>
      </w:r>
      <w:r w:rsidR="00432BC6" w:rsidRPr="00432BC6">
        <w:t xml:space="preserve"> read in conjunction with article 4</w:t>
      </w:r>
      <w:r w:rsidR="00FB5A6A">
        <w:t xml:space="preserve"> (</w:t>
      </w:r>
      <w:r w:rsidR="00432BC6" w:rsidRPr="00432BC6">
        <w:t>3</w:t>
      </w:r>
      <w:r w:rsidR="00FB5A6A">
        <w:t>),</w:t>
      </w:r>
      <w:r w:rsidR="00432BC6" w:rsidRPr="00432BC6">
        <w:t xml:space="preserve"> requires </w:t>
      </w:r>
      <w:r w:rsidR="00432BC6" w:rsidRPr="00432BC6">
        <w:rPr>
          <w:lang w:val="en-NZ"/>
        </w:rPr>
        <w:t>State</w:t>
      </w:r>
      <w:r w:rsidR="00A377FA">
        <w:rPr>
          <w:lang w:val="en-NZ"/>
        </w:rPr>
        <w:t>s</w:t>
      </w:r>
      <w:r w:rsidR="00432BC6" w:rsidRPr="00432BC6">
        <w:rPr>
          <w:lang w:val="en-NZ"/>
        </w:rPr>
        <w:t xml:space="preserve"> </w:t>
      </w:r>
      <w:r w:rsidR="00A377FA">
        <w:rPr>
          <w:lang w:val="en-NZ"/>
        </w:rPr>
        <w:t>p</w:t>
      </w:r>
      <w:r w:rsidR="00432BC6" w:rsidRPr="00432BC6">
        <w:rPr>
          <w:lang w:val="en-NZ"/>
        </w:rPr>
        <w:t xml:space="preserve">arties to provide persons with disabilities and their representative organizations, including organizations of women with disabilities and organizations of children with disabilities, with appropriate funding and resources to enable </w:t>
      </w:r>
      <w:r w:rsidR="00384F18">
        <w:rPr>
          <w:lang w:val="en-NZ"/>
        </w:rPr>
        <w:t xml:space="preserve">the </w:t>
      </w:r>
      <w:r w:rsidR="00432BC6" w:rsidRPr="00432BC6">
        <w:rPr>
          <w:lang w:val="en-NZ"/>
        </w:rPr>
        <w:t xml:space="preserve">effective and meaningful participation </w:t>
      </w:r>
      <w:r w:rsidR="00384F18">
        <w:rPr>
          <w:lang w:val="en-NZ"/>
        </w:rPr>
        <w:t xml:space="preserve">of persons with disabilities </w:t>
      </w:r>
      <w:r w:rsidR="00432BC6" w:rsidRPr="00432BC6">
        <w:rPr>
          <w:lang w:val="en-NZ"/>
        </w:rPr>
        <w:t>in the monitoring framework.</w:t>
      </w:r>
    </w:p>
    <w:p w:rsidR="00432BC6" w:rsidRPr="006F4E50" w:rsidRDefault="00A35DD8" w:rsidP="00A35DD8">
      <w:pPr>
        <w:pStyle w:val="SingleTxtG"/>
      </w:pPr>
      <w:r w:rsidRPr="006F4E50">
        <w:t>21.</w:t>
      </w:r>
      <w:r w:rsidRPr="006F4E50">
        <w:tab/>
      </w:r>
      <w:r w:rsidR="00432BC6" w:rsidRPr="00432BC6">
        <w:t xml:space="preserve">States </w:t>
      </w:r>
      <w:r w:rsidR="00432BC6" w:rsidRPr="00983B9E">
        <w:rPr>
          <w:lang w:val="en-NZ"/>
        </w:rPr>
        <w:t>parties</w:t>
      </w:r>
      <w:r w:rsidR="00432BC6" w:rsidRPr="00432BC6">
        <w:t xml:space="preserve"> shall ensure that monitoring frameworks can </w:t>
      </w:r>
      <w:r w:rsidR="00384F18">
        <w:t xml:space="preserve">interact, in a </w:t>
      </w:r>
      <w:r w:rsidR="00432BC6" w:rsidRPr="00432BC6">
        <w:t xml:space="preserve">regular, meaningful and timely </w:t>
      </w:r>
      <w:r w:rsidR="00384F18">
        <w:t xml:space="preserve">manner, </w:t>
      </w:r>
      <w:r w:rsidR="00432BC6" w:rsidRPr="00432BC6">
        <w:t xml:space="preserve">with focal points and coordinating mechanisms appointed pursuant to article 33 </w:t>
      </w:r>
      <w:r w:rsidR="00384F18">
        <w:t>(</w:t>
      </w:r>
      <w:r w:rsidR="00432BC6" w:rsidRPr="00432BC6">
        <w:t>1</w:t>
      </w:r>
      <w:r w:rsidR="00384F18">
        <w:t>)</w:t>
      </w:r>
      <w:r w:rsidR="00432BC6" w:rsidRPr="00432BC6">
        <w:t xml:space="preserve"> of the Convention for the implementation of the provisions of the Convention, in order to ensure that the views and recommendations of the monitoring framework are duly considered in decision-making processes. </w:t>
      </w:r>
      <w:r w:rsidR="00432BC6" w:rsidRPr="00432BC6">
        <w:rPr>
          <w:lang w:val="en-NZ"/>
        </w:rPr>
        <w:t xml:space="preserve">States </w:t>
      </w:r>
      <w:r w:rsidR="00362DBD">
        <w:rPr>
          <w:lang w:val="en-NZ"/>
        </w:rPr>
        <w:t>p</w:t>
      </w:r>
      <w:r w:rsidR="00432BC6" w:rsidRPr="00432BC6">
        <w:rPr>
          <w:lang w:val="en-NZ"/>
        </w:rPr>
        <w:t>arties are encouraged to formali</w:t>
      </w:r>
      <w:r w:rsidR="00384F18">
        <w:rPr>
          <w:lang w:val="en-NZ"/>
        </w:rPr>
        <w:t>z</w:t>
      </w:r>
      <w:r w:rsidR="00432BC6" w:rsidRPr="00432BC6">
        <w:rPr>
          <w:lang w:val="en-NZ"/>
        </w:rPr>
        <w:t xml:space="preserve">e the process </w:t>
      </w:r>
      <w:r w:rsidR="00384F18">
        <w:rPr>
          <w:lang w:val="en-NZ"/>
        </w:rPr>
        <w:t xml:space="preserve">of engagement </w:t>
      </w:r>
      <w:r w:rsidR="00432BC6" w:rsidRPr="00432BC6">
        <w:rPr>
          <w:lang w:val="en-NZ"/>
        </w:rPr>
        <w:t>between</w:t>
      </w:r>
      <w:r w:rsidR="00384F18">
        <w:rPr>
          <w:lang w:val="en-NZ"/>
        </w:rPr>
        <w:t xml:space="preserve"> entities established pursuant to article </w:t>
      </w:r>
      <w:r w:rsidR="00432BC6" w:rsidRPr="00432BC6">
        <w:rPr>
          <w:lang w:val="en-NZ"/>
        </w:rPr>
        <w:t>33</w:t>
      </w:r>
      <w:r w:rsidR="00384F18">
        <w:rPr>
          <w:lang w:val="en-NZ"/>
        </w:rPr>
        <w:t xml:space="preserve"> (</w:t>
      </w:r>
      <w:r w:rsidR="00432BC6" w:rsidRPr="00432BC6">
        <w:rPr>
          <w:lang w:val="en-NZ"/>
        </w:rPr>
        <w:t>1</w:t>
      </w:r>
      <w:r w:rsidR="00384F18">
        <w:rPr>
          <w:lang w:val="en-NZ"/>
        </w:rPr>
        <w:t>)</w:t>
      </w:r>
      <w:r w:rsidR="00432BC6" w:rsidRPr="00432BC6">
        <w:rPr>
          <w:lang w:val="en-NZ"/>
        </w:rPr>
        <w:t xml:space="preserve"> and </w:t>
      </w:r>
      <w:r w:rsidR="00384F18">
        <w:rPr>
          <w:lang w:val="en-NZ"/>
        </w:rPr>
        <w:t>(</w:t>
      </w:r>
      <w:r w:rsidR="00432BC6" w:rsidRPr="00432BC6">
        <w:rPr>
          <w:lang w:val="en-NZ"/>
        </w:rPr>
        <w:t>2</w:t>
      </w:r>
      <w:r w:rsidR="00384F18">
        <w:rPr>
          <w:lang w:val="en-NZ"/>
        </w:rPr>
        <w:t>)</w:t>
      </w:r>
      <w:r w:rsidR="00432BC6" w:rsidRPr="00432BC6">
        <w:rPr>
          <w:lang w:val="en-NZ"/>
        </w:rPr>
        <w:t>, whether through legislation, regulation</w:t>
      </w:r>
      <w:r w:rsidR="00F068C3">
        <w:rPr>
          <w:lang w:val="en-NZ"/>
        </w:rPr>
        <w:t>s</w:t>
      </w:r>
      <w:r w:rsidR="00432BC6" w:rsidRPr="00432BC6">
        <w:rPr>
          <w:lang w:val="en-NZ"/>
        </w:rPr>
        <w:t xml:space="preserve"> or </w:t>
      </w:r>
      <w:r w:rsidR="00F068C3">
        <w:rPr>
          <w:lang w:val="en-NZ"/>
        </w:rPr>
        <w:t xml:space="preserve">a </w:t>
      </w:r>
      <w:r w:rsidR="00432BC6" w:rsidRPr="00432BC6">
        <w:rPr>
          <w:lang w:val="en-NZ"/>
        </w:rPr>
        <w:t>duly authori</w:t>
      </w:r>
      <w:r w:rsidR="00F068C3">
        <w:rPr>
          <w:lang w:val="en-NZ"/>
        </w:rPr>
        <w:t>z</w:t>
      </w:r>
      <w:r w:rsidR="00432BC6" w:rsidRPr="00432BC6">
        <w:rPr>
          <w:lang w:val="en-NZ"/>
        </w:rPr>
        <w:t xml:space="preserve">ed executive agreement and </w:t>
      </w:r>
      <w:r w:rsidR="00432BC6" w:rsidRPr="006F4E50">
        <w:rPr>
          <w:lang w:val="en-NZ"/>
        </w:rPr>
        <w:t>directive. When a national mechanism for reporting to</w:t>
      </w:r>
      <w:r w:rsidR="00CF21F9" w:rsidRPr="006F4E50">
        <w:rPr>
          <w:lang w:val="en-NZ"/>
        </w:rPr>
        <w:t xml:space="preserve"> </w:t>
      </w:r>
      <w:r w:rsidR="00432BC6" w:rsidRPr="006F4E50">
        <w:rPr>
          <w:lang w:val="en-NZ"/>
        </w:rPr>
        <w:t xml:space="preserve">international </w:t>
      </w:r>
      <w:r w:rsidR="00F068C3" w:rsidRPr="006F4E50">
        <w:rPr>
          <w:lang w:val="en-NZ"/>
        </w:rPr>
        <w:t xml:space="preserve">human rights </w:t>
      </w:r>
      <w:r w:rsidR="00432BC6" w:rsidRPr="006F4E50">
        <w:rPr>
          <w:lang w:val="en-NZ"/>
        </w:rPr>
        <w:t xml:space="preserve">mechanisms and </w:t>
      </w:r>
      <w:r w:rsidR="00CF21F9" w:rsidRPr="006F4E50">
        <w:rPr>
          <w:lang w:val="en-NZ"/>
        </w:rPr>
        <w:t>for</w:t>
      </w:r>
      <w:r w:rsidR="00432BC6" w:rsidRPr="006F4E50">
        <w:rPr>
          <w:lang w:val="en-NZ"/>
        </w:rPr>
        <w:t xml:space="preserve"> follow</w:t>
      </w:r>
      <w:r w:rsidR="00CF21F9" w:rsidRPr="006F4E50">
        <w:rPr>
          <w:lang w:val="en-NZ"/>
        </w:rPr>
        <w:t xml:space="preserve">ing </w:t>
      </w:r>
      <w:r w:rsidR="00432BC6" w:rsidRPr="006F4E50">
        <w:rPr>
          <w:lang w:val="en-NZ"/>
        </w:rPr>
        <w:t>up on the</w:t>
      </w:r>
      <w:r w:rsidR="00CF21F9" w:rsidRPr="006F4E50">
        <w:rPr>
          <w:lang w:val="en-NZ"/>
        </w:rPr>
        <w:t>ir</w:t>
      </w:r>
      <w:r w:rsidR="00432BC6" w:rsidRPr="006F4E50">
        <w:rPr>
          <w:lang w:val="en-NZ"/>
        </w:rPr>
        <w:t xml:space="preserve"> recommendations</w:t>
      </w:r>
      <w:r w:rsidR="00F205CE" w:rsidRPr="00A35DD8">
        <w:rPr>
          <w:lang w:val="en-NZ"/>
        </w:rPr>
        <w:t xml:space="preserve"> has been appointed</w:t>
      </w:r>
      <w:r w:rsidR="00432BC6" w:rsidRPr="006F4E50">
        <w:rPr>
          <w:lang w:val="en-NZ"/>
        </w:rPr>
        <w:t>, States parties should ensure that independent monitoring frameworks are meaningful</w:t>
      </w:r>
      <w:r w:rsidR="00F068C3" w:rsidRPr="006F4E50">
        <w:rPr>
          <w:lang w:val="en-NZ"/>
        </w:rPr>
        <w:t>ly</w:t>
      </w:r>
      <w:r w:rsidR="00432BC6" w:rsidRPr="006F4E50">
        <w:rPr>
          <w:lang w:val="en-NZ"/>
        </w:rPr>
        <w:t xml:space="preserve"> involved and participate, in </w:t>
      </w:r>
      <w:r w:rsidR="00F068C3" w:rsidRPr="006F4E50">
        <w:rPr>
          <w:lang w:val="en-NZ"/>
        </w:rPr>
        <w:t>an</w:t>
      </w:r>
      <w:r w:rsidR="00432BC6" w:rsidRPr="006F4E50">
        <w:rPr>
          <w:lang w:val="en-NZ"/>
        </w:rPr>
        <w:t xml:space="preserve"> independent capacity, in the activities of those national mechanisms.</w:t>
      </w:r>
    </w:p>
    <w:p w:rsidR="00432BC6" w:rsidRPr="00432BC6" w:rsidRDefault="00A35DD8" w:rsidP="00A35DD8">
      <w:pPr>
        <w:pStyle w:val="SingleTxtG"/>
      </w:pPr>
      <w:r w:rsidRPr="00432BC6">
        <w:t>22.</w:t>
      </w:r>
      <w:r w:rsidRPr="00432BC6">
        <w:tab/>
      </w:r>
      <w:r w:rsidR="00432BC6" w:rsidRPr="00432BC6">
        <w:t xml:space="preserve">Advisory </w:t>
      </w:r>
      <w:r w:rsidR="00432BC6" w:rsidRPr="00983B9E">
        <w:rPr>
          <w:lang w:val="en-NZ"/>
        </w:rPr>
        <w:t>bodies</w:t>
      </w:r>
      <w:r w:rsidR="00432BC6" w:rsidRPr="00432BC6">
        <w:t xml:space="preserve"> such as disability councils or committees compris</w:t>
      </w:r>
      <w:r w:rsidR="00F068C3">
        <w:t>ing</w:t>
      </w:r>
      <w:r w:rsidR="00432BC6" w:rsidRPr="00432BC6">
        <w:t xml:space="preserve"> representatives of departments and units involved in the implementation of the Convention should not be involved or in any manner take part in the activities of the monitoring framework</w:t>
      </w:r>
      <w:r w:rsidR="00371B89">
        <w:t>.</w:t>
      </w:r>
      <w:r w:rsidR="00432BC6" w:rsidRPr="00432BC6">
        <w:t xml:space="preserve"> States parties </w:t>
      </w:r>
      <w:r w:rsidR="00326CB8">
        <w:t>should</w:t>
      </w:r>
      <w:r w:rsidR="00432BC6" w:rsidRPr="00432BC6">
        <w:t xml:space="preserve"> ensure that </w:t>
      </w:r>
      <w:r w:rsidR="00371B89">
        <w:t xml:space="preserve">effective </w:t>
      </w:r>
      <w:r w:rsidR="00432BC6" w:rsidRPr="00432BC6">
        <w:t>procedures are in place to prevent, regulate and resolve potential conflict of interest or undue influence resulting from the interaction of the above-mentioned bodies and the monitoring framework.</w:t>
      </w:r>
    </w:p>
    <w:p w:rsidR="00432BC6" w:rsidRPr="00432BC6" w:rsidRDefault="002D69CA">
      <w:pPr>
        <w:pStyle w:val="HChG"/>
      </w:pPr>
      <w:r>
        <w:tab/>
      </w:r>
      <w:r w:rsidR="00371B89">
        <w:t>II</w:t>
      </w:r>
      <w:r w:rsidR="00CD188A">
        <w:t>I</w:t>
      </w:r>
      <w:r w:rsidR="00371B89">
        <w:t>.</w:t>
      </w:r>
      <w:r>
        <w:tab/>
      </w:r>
      <w:r w:rsidR="00371B89">
        <w:t>P</w:t>
      </w:r>
      <w:r w:rsidR="00432BC6" w:rsidRPr="00432BC6">
        <w:t xml:space="preserve">articipation of independent monitoring frameworks </w:t>
      </w:r>
      <w:r w:rsidR="00DC55E3">
        <w:br/>
      </w:r>
      <w:r w:rsidR="00432BC6" w:rsidRPr="00432BC6">
        <w:t>in the proceedings of the Committee</w:t>
      </w:r>
    </w:p>
    <w:p w:rsidR="00432BC6" w:rsidRPr="00432BC6" w:rsidRDefault="002D69CA" w:rsidP="00A35DD8">
      <w:pPr>
        <w:pStyle w:val="H1G"/>
      </w:pPr>
      <w:r>
        <w:tab/>
      </w:r>
      <w:r w:rsidR="00371B89">
        <w:t>A.</w:t>
      </w:r>
      <w:r>
        <w:tab/>
      </w:r>
      <w:r w:rsidR="00432BC6" w:rsidRPr="00432BC6">
        <w:t>Reporting procedure</w:t>
      </w:r>
    </w:p>
    <w:p w:rsidR="00432BC6" w:rsidRPr="00432BC6" w:rsidRDefault="00A35DD8" w:rsidP="00A35DD8">
      <w:pPr>
        <w:pStyle w:val="SingleTxtG"/>
      </w:pPr>
      <w:r w:rsidRPr="00432BC6">
        <w:t>23.</w:t>
      </w:r>
      <w:r w:rsidRPr="00432BC6">
        <w:tab/>
      </w:r>
      <w:r w:rsidR="00432BC6" w:rsidRPr="00432BC6">
        <w:t xml:space="preserve">The Committee encourages independent monitoring frameworks to </w:t>
      </w:r>
      <w:r w:rsidR="00371B89">
        <w:t xml:space="preserve">become </w:t>
      </w:r>
      <w:r w:rsidR="00432BC6" w:rsidRPr="00432BC6">
        <w:t>actively engage</w:t>
      </w:r>
      <w:r w:rsidR="00371B89">
        <w:t>d</w:t>
      </w:r>
      <w:r w:rsidR="00432BC6" w:rsidRPr="00432BC6">
        <w:t xml:space="preserve"> </w:t>
      </w:r>
      <w:r w:rsidR="00326CB8">
        <w:t xml:space="preserve">in </w:t>
      </w:r>
      <w:r w:rsidR="00432BC6" w:rsidRPr="00432BC6">
        <w:t xml:space="preserve">and </w:t>
      </w:r>
      <w:r w:rsidR="00371B89">
        <w:t xml:space="preserve">to </w:t>
      </w:r>
      <w:r w:rsidR="00432BC6" w:rsidRPr="00432BC6">
        <w:t xml:space="preserve">contribute as </w:t>
      </w:r>
      <w:r w:rsidR="00371B89">
        <w:t>soon</w:t>
      </w:r>
      <w:r w:rsidR="00432BC6" w:rsidRPr="00432BC6">
        <w:t xml:space="preserve"> as possible and at all stages of the reporting procedure</w:t>
      </w:r>
      <w:r w:rsidR="00371B89">
        <w:t>,</w:t>
      </w:r>
      <w:r w:rsidR="00432BC6" w:rsidRPr="00432BC6">
        <w:t xml:space="preserve"> including by: </w:t>
      </w:r>
    </w:p>
    <w:p w:rsidR="00432BC6" w:rsidRPr="00432BC6" w:rsidRDefault="00DC55E3" w:rsidP="00A35DD8">
      <w:pPr>
        <w:pStyle w:val="SingleTxtG"/>
        <w:ind w:firstLine="567"/>
      </w:pPr>
      <w:r>
        <w:t>(a)</w:t>
      </w:r>
      <w:r>
        <w:tab/>
      </w:r>
      <w:r w:rsidR="00432BC6" w:rsidRPr="00432BC6">
        <w:t>Raising awareness about States’ obligations under the Convention, including reporting obligations;</w:t>
      </w:r>
    </w:p>
    <w:p w:rsidR="00432BC6" w:rsidRPr="00432BC6" w:rsidRDefault="00DC55E3" w:rsidP="00A35DD8">
      <w:pPr>
        <w:pStyle w:val="SingleTxtG"/>
        <w:ind w:firstLine="567"/>
      </w:pPr>
      <w:r>
        <w:t>(b)</w:t>
      </w:r>
      <w:r>
        <w:tab/>
      </w:r>
      <w:r w:rsidR="00432BC6" w:rsidRPr="00432BC6">
        <w:t>Encouraging timely reporting by States parties;</w:t>
      </w:r>
    </w:p>
    <w:p w:rsidR="00432BC6" w:rsidRPr="00432BC6" w:rsidRDefault="00DC55E3" w:rsidP="00A35DD8">
      <w:pPr>
        <w:pStyle w:val="SingleTxtG"/>
        <w:ind w:firstLine="567"/>
      </w:pPr>
      <w:r>
        <w:t>(c)</w:t>
      </w:r>
      <w:r>
        <w:tab/>
      </w:r>
      <w:r w:rsidR="00432BC6" w:rsidRPr="00432BC6">
        <w:t xml:space="preserve">Encouraging States to consult </w:t>
      </w:r>
      <w:r w:rsidR="00371B89" w:rsidRPr="00432BC6">
        <w:t>broadly</w:t>
      </w:r>
      <w:r w:rsidR="00371B89">
        <w:t xml:space="preserve"> </w:t>
      </w:r>
      <w:r w:rsidR="00432BC6" w:rsidRPr="00432BC6">
        <w:t>with independent monitoring frameworks, civil society and organi</w:t>
      </w:r>
      <w:r w:rsidR="00371B89">
        <w:t>z</w:t>
      </w:r>
      <w:r w:rsidR="00432BC6" w:rsidRPr="00432BC6">
        <w:t xml:space="preserve">ations of persons with disabilities when drafting their initial and periodic reports. Monitoring frameworks can contribute to the </w:t>
      </w:r>
      <w:r w:rsidR="00371B89" w:rsidRPr="00432BC6">
        <w:t xml:space="preserve">process </w:t>
      </w:r>
      <w:r w:rsidR="00371B89">
        <w:t xml:space="preserve">of </w:t>
      </w:r>
      <w:r w:rsidR="00432BC6" w:rsidRPr="00432BC6">
        <w:t xml:space="preserve">drafting initial and periodic reports by, </w:t>
      </w:r>
      <w:r w:rsidR="00432BC6" w:rsidRPr="00A35DD8">
        <w:rPr>
          <w:iCs/>
        </w:rPr>
        <w:t>inter alia,</w:t>
      </w:r>
      <w:r w:rsidR="00432BC6" w:rsidRPr="00432BC6">
        <w:t xml:space="preserve"> disseminating, in a timely manner, information in accessible formats among stakeholders at the national level on upcoming reviews </w:t>
      </w:r>
      <w:r w:rsidR="00371B89" w:rsidRPr="00432BC6">
        <w:t xml:space="preserve">by the Committee </w:t>
      </w:r>
      <w:r w:rsidR="00432BC6" w:rsidRPr="00432BC6">
        <w:t>of State</w:t>
      </w:r>
      <w:r w:rsidR="00A377FA">
        <w:t>s</w:t>
      </w:r>
      <w:r w:rsidR="00432BC6" w:rsidRPr="00432BC6">
        <w:t xml:space="preserve"> parties’ obligations under the Convention; encouraging </w:t>
      </w:r>
      <w:r w:rsidR="00371B89">
        <w:t xml:space="preserve">the </w:t>
      </w:r>
      <w:r w:rsidR="00432BC6" w:rsidRPr="00432BC6">
        <w:t>department</w:t>
      </w:r>
      <w:r w:rsidR="00371B89">
        <w:t>s</w:t>
      </w:r>
      <w:r w:rsidR="00432BC6" w:rsidRPr="00432BC6">
        <w:t xml:space="preserve"> or units responsible for drafting the reports to ensure participatory and transparent consultation processes; providing written </w:t>
      </w:r>
      <w:r w:rsidR="00371B89">
        <w:t>contributions,</w:t>
      </w:r>
      <w:r w:rsidR="00432BC6" w:rsidRPr="00432BC6">
        <w:t xml:space="preserve"> </w:t>
      </w:r>
      <w:r w:rsidR="00326CB8">
        <w:t>as</w:t>
      </w:r>
      <w:r w:rsidR="00432BC6" w:rsidRPr="00432BC6">
        <w:t xml:space="preserve"> appropriate; informing civil society organi</w:t>
      </w:r>
      <w:r w:rsidR="00371B89">
        <w:t>z</w:t>
      </w:r>
      <w:r w:rsidR="00432BC6" w:rsidRPr="00432BC6">
        <w:t>ations, including organi</w:t>
      </w:r>
      <w:r w:rsidR="00371B89">
        <w:t>z</w:t>
      </w:r>
      <w:r w:rsidR="00432BC6" w:rsidRPr="00432BC6">
        <w:t>ations of persons with disabilities</w:t>
      </w:r>
      <w:r w:rsidR="00371B89">
        <w:t>,</w:t>
      </w:r>
      <w:r w:rsidR="00432BC6" w:rsidRPr="00432BC6">
        <w:t xml:space="preserve"> of the opportunities</w:t>
      </w:r>
      <w:r w:rsidR="00371B89">
        <w:t xml:space="preserve"> they have</w:t>
      </w:r>
      <w:r w:rsidR="00432BC6" w:rsidRPr="00432BC6">
        <w:t xml:space="preserve"> for participating in the official drafting process or of their options </w:t>
      </w:r>
      <w:r w:rsidR="00371B89">
        <w:t>for</w:t>
      </w:r>
      <w:r w:rsidR="00432BC6" w:rsidRPr="00432BC6">
        <w:t xml:space="preserve"> prepar</w:t>
      </w:r>
      <w:r w:rsidR="00371B89">
        <w:t>ing</w:t>
      </w:r>
      <w:r w:rsidR="00432BC6" w:rsidRPr="00432BC6">
        <w:t xml:space="preserve"> and submit</w:t>
      </w:r>
      <w:r w:rsidR="00371B89">
        <w:t>ting</w:t>
      </w:r>
      <w:r w:rsidR="00432BC6" w:rsidRPr="00432BC6">
        <w:t xml:space="preserve"> alternative reports; and supporting civil society organi</w:t>
      </w:r>
      <w:r w:rsidR="00371B89">
        <w:t>z</w:t>
      </w:r>
      <w:r w:rsidR="00432BC6" w:rsidRPr="00432BC6">
        <w:t>ations and organi</w:t>
      </w:r>
      <w:r w:rsidR="00371B89">
        <w:t>z</w:t>
      </w:r>
      <w:r w:rsidR="00432BC6" w:rsidRPr="00432BC6">
        <w:t xml:space="preserve">ations of persons with disabilities in drafting those alternative reports; </w:t>
      </w:r>
    </w:p>
    <w:p w:rsidR="00432BC6" w:rsidRPr="00432BC6" w:rsidRDefault="00DC55E3" w:rsidP="00A35DD8">
      <w:pPr>
        <w:pStyle w:val="SingleTxtG"/>
        <w:ind w:firstLine="567"/>
      </w:pPr>
      <w:r>
        <w:lastRenderedPageBreak/>
        <w:t>(d)</w:t>
      </w:r>
      <w:r>
        <w:tab/>
      </w:r>
      <w:r w:rsidR="00432BC6" w:rsidRPr="00432BC6">
        <w:t xml:space="preserve">Submitting </w:t>
      </w:r>
      <w:r w:rsidR="00371B89" w:rsidRPr="00432BC6">
        <w:t xml:space="preserve">to the Committee </w:t>
      </w:r>
      <w:r w:rsidR="00432BC6" w:rsidRPr="00432BC6">
        <w:t>an alternative report not exceed</w:t>
      </w:r>
      <w:r w:rsidR="00371B89">
        <w:t>ing</w:t>
      </w:r>
      <w:r w:rsidR="00432BC6" w:rsidRPr="00432BC6">
        <w:t xml:space="preserve"> 10,700 words. For initial State party reports, alternative reports should include an executive summary and information related to each of the first 33 articles of the Convention. For periodic reports, alternative reports should also include an executive summary and refer to</w:t>
      </w:r>
      <w:r w:rsidR="007F3435">
        <w:t>:</w:t>
      </w:r>
      <w:r w:rsidR="00432BC6" w:rsidRPr="00432BC6">
        <w:t xml:space="preserve"> follow-up measures taken for implementing previous concluding observations</w:t>
      </w:r>
      <w:r w:rsidR="007F3435">
        <w:t>;</w:t>
      </w:r>
      <w:r w:rsidR="00432BC6" w:rsidRPr="00432BC6">
        <w:t xml:space="preserve"> new developments that have occurred in the State party </w:t>
      </w:r>
      <w:r w:rsidR="007F3435">
        <w:t>since</w:t>
      </w:r>
      <w:r w:rsidR="00432BC6" w:rsidRPr="00432BC6">
        <w:t xml:space="preserve"> the previous review</w:t>
      </w:r>
      <w:r w:rsidR="007F3435">
        <w:t>;</w:t>
      </w:r>
      <w:r w:rsidR="00432BC6" w:rsidRPr="00432BC6">
        <w:t xml:space="preserve"> </w:t>
      </w:r>
      <w:r w:rsidR="007F3435">
        <w:t xml:space="preserve">gaps in </w:t>
      </w:r>
      <w:r w:rsidR="00432BC6" w:rsidRPr="00432BC6">
        <w:t xml:space="preserve">implementation and possible measures </w:t>
      </w:r>
      <w:r w:rsidR="007F3435">
        <w:t>for</w:t>
      </w:r>
      <w:r w:rsidR="00432BC6" w:rsidRPr="00432BC6">
        <w:t xml:space="preserve"> overcoming them</w:t>
      </w:r>
      <w:r w:rsidR="007F3435">
        <w:t>;</w:t>
      </w:r>
      <w:r w:rsidR="00432BC6" w:rsidRPr="00432BC6">
        <w:t xml:space="preserve"> and information about the situation of women, children, the elderly, persons belonging to minority groups, internally displaced persons, migrants, refugees, indigenous persons, persons with albinism or any other category of persons with disabilities;</w:t>
      </w:r>
    </w:p>
    <w:p w:rsidR="00432BC6" w:rsidRPr="00432BC6" w:rsidRDefault="00DC55E3" w:rsidP="00A35DD8">
      <w:pPr>
        <w:pStyle w:val="SingleTxtG"/>
        <w:ind w:firstLine="567"/>
      </w:pPr>
      <w:r>
        <w:t>(e)</w:t>
      </w:r>
      <w:r>
        <w:tab/>
      </w:r>
      <w:r w:rsidR="00811EE7">
        <w:t>T</w:t>
      </w:r>
      <w:r w:rsidR="00811EE7" w:rsidRPr="00432BC6">
        <w:t>o the maximum extent possible</w:t>
      </w:r>
      <w:r w:rsidR="00811EE7">
        <w:t>, providing</w:t>
      </w:r>
      <w:r w:rsidR="00432BC6" w:rsidRPr="00432BC6">
        <w:t xml:space="preserve"> stakeholders involved in the reporting process </w:t>
      </w:r>
      <w:r w:rsidR="00326CB8">
        <w:t xml:space="preserve">with </w:t>
      </w:r>
      <w:r w:rsidR="00432BC6" w:rsidRPr="00432BC6">
        <w:t xml:space="preserve">statistics collected by </w:t>
      </w:r>
      <w:r w:rsidR="00811EE7">
        <w:t xml:space="preserve">the </w:t>
      </w:r>
      <w:r w:rsidR="00432BC6" w:rsidRPr="00432BC6">
        <w:t xml:space="preserve">responsible authorities of the State party and/or data collected and research conducted by the monitoring framework on the institutional and normative framework to ensure implementation of the Convention, </w:t>
      </w:r>
      <w:r w:rsidR="00811EE7">
        <w:t xml:space="preserve">on </w:t>
      </w:r>
      <w:r w:rsidR="00432BC6" w:rsidRPr="00432BC6">
        <w:t xml:space="preserve">the policies, programmes and activities in place to achieve </w:t>
      </w:r>
      <w:r w:rsidR="00811EE7">
        <w:t>implementation</w:t>
      </w:r>
      <w:r w:rsidR="00432BC6" w:rsidRPr="00432BC6">
        <w:t xml:space="preserve">, and </w:t>
      </w:r>
      <w:r w:rsidR="00811EE7">
        <w:t xml:space="preserve">on </w:t>
      </w:r>
      <w:r w:rsidR="00432BC6" w:rsidRPr="00432BC6">
        <w:t xml:space="preserve">their impact. When feasible, data shall be disaggregated by sex, age, type of impairment, ethnicity and </w:t>
      </w:r>
      <w:r w:rsidR="00811EE7">
        <w:t xml:space="preserve">any </w:t>
      </w:r>
      <w:r w:rsidR="00432BC6" w:rsidRPr="00432BC6">
        <w:t>other relevant categor</w:t>
      </w:r>
      <w:r w:rsidR="00811EE7">
        <w:t>y;</w:t>
      </w:r>
    </w:p>
    <w:p w:rsidR="00432BC6" w:rsidRPr="00432BC6" w:rsidRDefault="00DC55E3" w:rsidP="00A35DD8">
      <w:pPr>
        <w:pStyle w:val="SingleTxtG"/>
        <w:ind w:firstLine="567"/>
      </w:pPr>
      <w:r>
        <w:t>(f)</w:t>
      </w:r>
      <w:r>
        <w:tab/>
      </w:r>
      <w:r w:rsidR="00432BC6" w:rsidRPr="00432BC6">
        <w:t>Contributing to the preparation of list</w:t>
      </w:r>
      <w:r w:rsidR="00811EE7">
        <w:t>s</w:t>
      </w:r>
      <w:r w:rsidR="00432BC6" w:rsidRPr="00432BC6">
        <w:t xml:space="preserve"> of issues, both </w:t>
      </w:r>
      <w:r w:rsidR="00811EE7">
        <w:t>for</w:t>
      </w:r>
      <w:r w:rsidR="00432BC6" w:rsidRPr="00432BC6">
        <w:t xml:space="preserve"> the general and the simplified reporting procedure</w:t>
      </w:r>
      <w:r w:rsidR="00811EE7">
        <w:t>s,</w:t>
      </w:r>
      <w:r w:rsidR="00432BC6" w:rsidRPr="00432BC6">
        <w:t xml:space="preserve"> by, inter alia, providing updated and reliable information on progress made in the implementation of the Convention by the State party and by identifying and analysing the main implementation gaps and proposing concrete questions and issues </w:t>
      </w:r>
      <w:r w:rsidR="00811EE7">
        <w:t>that</w:t>
      </w:r>
      <w:r w:rsidR="00432BC6" w:rsidRPr="00432BC6">
        <w:t xml:space="preserve"> the Committee </w:t>
      </w:r>
      <w:r w:rsidR="00811EE7">
        <w:t>could</w:t>
      </w:r>
      <w:r w:rsidR="00432BC6" w:rsidRPr="00432BC6">
        <w:t xml:space="preserve"> take up </w:t>
      </w:r>
      <w:r w:rsidR="00811EE7">
        <w:t>with a view to</w:t>
      </w:r>
      <w:r w:rsidR="00432BC6" w:rsidRPr="00432BC6">
        <w:t xml:space="preserve"> improving the quality of the dialogue with </w:t>
      </w:r>
      <w:r w:rsidR="00811EE7">
        <w:t xml:space="preserve">the </w:t>
      </w:r>
      <w:r w:rsidR="00432BC6" w:rsidRPr="00432BC6">
        <w:t>State part</w:t>
      </w:r>
      <w:r w:rsidR="00811EE7">
        <w:t>y</w:t>
      </w:r>
      <w:r w:rsidR="00432BC6" w:rsidRPr="00432BC6">
        <w:t>. Independent monitoring frameworks can submit written contributions not exceeding 5,000 words and participate in private briefings</w:t>
      </w:r>
      <w:r w:rsidR="00811EE7">
        <w:t xml:space="preserve"> </w:t>
      </w:r>
      <w:r w:rsidR="00F1395A">
        <w:t>with</w:t>
      </w:r>
      <w:r w:rsidR="00432BC6" w:rsidRPr="00432BC6">
        <w:t xml:space="preserve"> the Committee </w:t>
      </w:r>
      <w:r w:rsidR="00F1395A">
        <w:t xml:space="preserve">while it is </w:t>
      </w:r>
      <w:r w:rsidR="00134BB5">
        <w:t xml:space="preserve">in </w:t>
      </w:r>
      <w:r w:rsidR="00432BC6" w:rsidRPr="00432BC6">
        <w:t xml:space="preserve">session or </w:t>
      </w:r>
      <w:r w:rsidR="00F1395A">
        <w:t xml:space="preserve">with </w:t>
      </w:r>
      <w:r w:rsidR="00134BB5">
        <w:t xml:space="preserve">a </w:t>
      </w:r>
      <w:r w:rsidR="00F1395A">
        <w:t xml:space="preserve">pre-session </w:t>
      </w:r>
      <w:r w:rsidR="00134BB5">
        <w:t>w</w:t>
      </w:r>
      <w:r w:rsidR="00432BC6" w:rsidRPr="00432BC6">
        <w:t xml:space="preserve">orking </w:t>
      </w:r>
      <w:r w:rsidR="00134BB5">
        <w:t>g</w:t>
      </w:r>
      <w:r w:rsidR="00432BC6" w:rsidRPr="00432BC6">
        <w:t>roup</w:t>
      </w:r>
      <w:r w:rsidR="00811EE7">
        <w:t>,</w:t>
      </w:r>
      <w:r w:rsidR="00432BC6" w:rsidRPr="00432BC6">
        <w:t xml:space="preserve"> either on their own or</w:t>
      </w:r>
      <w:r w:rsidR="00811EE7">
        <w:t>,</w:t>
      </w:r>
      <w:r w:rsidR="00432BC6" w:rsidRPr="00432BC6">
        <w:t xml:space="preserve"> upon previous agreement, with civil society organizations</w:t>
      </w:r>
      <w:r w:rsidR="00811EE7">
        <w:t>;</w:t>
      </w:r>
    </w:p>
    <w:p w:rsidR="00432BC6" w:rsidRPr="00432BC6" w:rsidRDefault="00DC55E3" w:rsidP="00A35DD8">
      <w:pPr>
        <w:pStyle w:val="SingleTxtG"/>
        <w:ind w:firstLine="567"/>
      </w:pPr>
      <w:r>
        <w:t>(g)</w:t>
      </w:r>
      <w:r>
        <w:tab/>
      </w:r>
      <w:r w:rsidR="00432BC6" w:rsidRPr="00432BC6">
        <w:t>Submitting independent written contributions commenting on the State party</w:t>
      </w:r>
      <w:r w:rsidR="00811EE7">
        <w:t>’s</w:t>
      </w:r>
      <w:r w:rsidR="00432BC6" w:rsidRPr="00432BC6">
        <w:t xml:space="preserve"> replies to the list of issues, both </w:t>
      </w:r>
      <w:r w:rsidR="00811EE7">
        <w:t>for</w:t>
      </w:r>
      <w:r w:rsidR="00432BC6" w:rsidRPr="00432BC6">
        <w:t xml:space="preserve"> the general and the simplified reporting procedure</w:t>
      </w:r>
      <w:r w:rsidR="00811EE7">
        <w:t>s</w:t>
      </w:r>
      <w:r w:rsidR="00432BC6" w:rsidRPr="00432BC6">
        <w:t>, aimed at complementing the information provided by the State party</w:t>
      </w:r>
      <w:r w:rsidR="00811EE7">
        <w:t>;</w:t>
      </w:r>
    </w:p>
    <w:p w:rsidR="00432BC6" w:rsidRPr="00432BC6" w:rsidRDefault="00DC55E3" w:rsidP="00A35DD8">
      <w:pPr>
        <w:pStyle w:val="SingleTxtG"/>
        <w:ind w:firstLine="567"/>
      </w:pPr>
      <w:r>
        <w:t>(h)</w:t>
      </w:r>
      <w:r>
        <w:tab/>
      </w:r>
      <w:r w:rsidR="00432BC6" w:rsidRPr="00432BC6">
        <w:t>Participating in the dialogue between the Committee and the delegation of the State party. The Committee provides monitoring frameworks</w:t>
      </w:r>
      <w:r w:rsidR="00811EE7" w:rsidRPr="00811EE7">
        <w:t xml:space="preserve"> </w:t>
      </w:r>
      <w:r w:rsidR="00811EE7">
        <w:t xml:space="preserve">with </w:t>
      </w:r>
      <w:r w:rsidR="00811EE7" w:rsidRPr="00432BC6">
        <w:t xml:space="preserve">the opportunity </w:t>
      </w:r>
      <w:r w:rsidR="00432BC6" w:rsidRPr="00432BC6">
        <w:t xml:space="preserve">to make an opening statement immediately after the </w:t>
      </w:r>
      <w:r w:rsidR="00811EE7">
        <w:t>opening</w:t>
      </w:r>
      <w:r w:rsidR="00432BC6" w:rsidRPr="00432BC6">
        <w:t xml:space="preserve"> statement of the delegation</w:t>
      </w:r>
      <w:r w:rsidR="00811EE7">
        <w:t xml:space="preserve"> and</w:t>
      </w:r>
      <w:r w:rsidR="00432BC6" w:rsidRPr="00432BC6">
        <w:t xml:space="preserve"> a closing statement after the closing statement of the delegation, and to respond to questions</w:t>
      </w:r>
      <w:r w:rsidR="00811EE7">
        <w:t xml:space="preserve"> addressed to them by</w:t>
      </w:r>
      <w:r w:rsidR="00432BC6" w:rsidRPr="00432BC6">
        <w:t xml:space="preserve"> the Committee. To this end, independent monitoring frameworks should approach the Committee prior to the session in which the State party’s report will be considered and request to </w:t>
      </w:r>
      <w:r w:rsidR="00A80B1A">
        <w:t>participate, in</w:t>
      </w:r>
      <w:r w:rsidR="00432BC6" w:rsidRPr="00432BC6">
        <w:t xml:space="preserve"> an independent role</w:t>
      </w:r>
      <w:r w:rsidR="00A80B1A">
        <w:t>,</w:t>
      </w:r>
      <w:r w:rsidR="00432BC6" w:rsidRPr="00432BC6">
        <w:t xml:space="preserve"> during the dialogue with the delegation of the State party. The Chair of the Committee will decide whether the request should be granted</w:t>
      </w:r>
      <w:r w:rsidR="00A80B1A">
        <w:t>.</w:t>
      </w:r>
      <w:r w:rsidR="00432BC6" w:rsidRPr="00432BC6">
        <w:t xml:space="preserve"> Paris </w:t>
      </w:r>
      <w:r w:rsidR="00A80B1A">
        <w:t>P</w:t>
      </w:r>
      <w:r w:rsidR="00432BC6" w:rsidRPr="00432BC6">
        <w:t>rinciples</w:t>
      </w:r>
      <w:r w:rsidR="00A80B1A">
        <w:t>-compliant national human rights institutions</w:t>
      </w:r>
      <w:r w:rsidR="00432BC6" w:rsidRPr="00432BC6">
        <w:t xml:space="preserve"> </w:t>
      </w:r>
      <w:r w:rsidR="00C233BE">
        <w:t xml:space="preserve">too </w:t>
      </w:r>
      <w:r w:rsidR="00432BC6" w:rsidRPr="00432BC6">
        <w:t xml:space="preserve">can participate </w:t>
      </w:r>
      <w:r w:rsidR="00C233BE">
        <w:t xml:space="preserve">in the dialogue </w:t>
      </w:r>
      <w:r w:rsidR="00432BC6" w:rsidRPr="00432BC6">
        <w:t xml:space="preserve">in </w:t>
      </w:r>
      <w:r w:rsidR="00C233BE">
        <w:t>an</w:t>
      </w:r>
      <w:r w:rsidR="00432BC6" w:rsidRPr="00432BC6">
        <w:t xml:space="preserve"> independent capacity,</w:t>
      </w:r>
      <w:r w:rsidR="00C233BE">
        <w:t xml:space="preserve"> using</w:t>
      </w:r>
      <w:r w:rsidR="00432BC6" w:rsidRPr="00432BC6">
        <w:t xml:space="preserve"> the above-mentioned modalities, </w:t>
      </w:r>
      <w:r w:rsidR="00C233BE">
        <w:t>following a</w:t>
      </w:r>
      <w:r w:rsidR="00432BC6" w:rsidRPr="00432BC6">
        <w:t xml:space="preserve"> request to the Committee</w:t>
      </w:r>
      <w:r w:rsidR="00C233BE">
        <w:t>;</w:t>
      </w:r>
    </w:p>
    <w:p w:rsidR="00432BC6" w:rsidRPr="00432BC6" w:rsidRDefault="00DC55E3" w:rsidP="00A35DD8">
      <w:pPr>
        <w:pStyle w:val="SingleTxtG"/>
        <w:ind w:firstLine="567"/>
      </w:pPr>
      <w:r>
        <w:rPr>
          <w:lang w:val="en-US"/>
        </w:rPr>
        <w:t>(i)</w:t>
      </w:r>
      <w:r>
        <w:rPr>
          <w:lang w:val="en-US"/>
        </w:rPr>
        <w:tab/>
      </w:r>
      <w:r w:rsidR="00C233BE">
        <w:rPr>
          <w:lang w:val="en-US"/>
        </w:rPr>
        <w:t>R</w:t>
      </w:r>
      <w:r w:rsidR="00432BC6" w:rsidRPr="00432BC6">
        <w:rPr>
          <w:lang w:val="en-US"/>
        </w:rPr>
        <w:t>equest</w:t>
      </w:r>
      <w:r w:rsidR="00C233BE">
        <w:rPr>
          <w:lang w:val="en-US"/>
        </w:rPr>
        <w:t>ing</w:t>
      </w:r>
      <w:r w:rsidR="00432BC6" w:rsidRPr="00432BC6">
        <w:rPr>
          <w:lang w:val="en-US"/>
        </w:rPr>
        <w:t xml:space="preserve"> a private</w:t>
      </w:r>
      <w:r w:rsidR="00C233BE">
        <w:rPr>
          <w:lang w:val="en-US"/>
        </w:rPr>
        <w:t>,</w:t>
      </w:r>
      <w:r w:rsidR="00432BC6" w:rsidRPr="00432BC6">
        <w:rPr>
          <w:lang w:val="en-US"/>
        </w:rPr>
        <w:t xml:space="preserve"> closed dialogue with the </w:t>
      </w:r>
      <w:r w:rsidR="00C233BE">
        <w:rPr>
          <w:lang w:val="en-US"/>
        </w:rPr>
        <w:t>C</w:t>
      </w:r>
      <w:r w:rsidR="00432BC6" w:rsidRPr="00432BC6">
        <w:rPr>
          <w:lang w:val="en-US"/>
        </w:rPr>
        <w:t xml:space="preserve">ommittee </w:t>
      </w:r>
      <w:r w:rsidR="00C233BE">
        <w:rPr>
          <w:lang w:val="en-US"/>
        </w:rPr>
        <w:t>in</w:t>
      </w:r>
      <w:r w:rsidR="00432BC6" w:rsidRPr="00432BC6">
        <w:rPr>
          <w:lang w:val="en-US"/>
        </w:rPr>
        <w:t xml:space="preserve"> preparation for the dialogue with the </w:t>
      </w:r>
      <w:r w:rsidR="00C233BE">
        <w:rPr>
          <w:lang w:val="en-US"/>
        </w:rPr>
        <w:t>S</w:t>
      </w:r>
      <w:r w:rsidR="00432BC6" w:rsidRPr="00432BC6">
        <w:rPr>
          <w:lang w:val="en-US"/>
        </w:rPr>
        <w:t>tate party</w:t>
      </w:r>
      <w:r w:rsidR="00C233BE">
        <w:rPr>
          <w:lang w:val="en-US"/>
        </w:rPr>
        <w:t>;</w:t>
      </w:r>
    </w:p>
    <w:p w:rsidR="00432BC6" w:rsidRPr="00432BC6" w:rsidRDefault="00DC55E3" w:rsidP="00A35DD8">
      <w:pPr>
        <w:pStyle w:val="SingleTxtG"/>
        <w:ind w:firstLine="567"/>
      </w:pPr>
      <w:r>
        <w:t>(j)</w:t>
      </w:r>
      <w:r>
        <w:tab/>
      </w:r>
      <w:r w:rsidR="0058781A">
        <w:t>Encouraging the</w:t>
      </w:r>
      <w:r w:rsidR="00432BC6" w:rsidRPr="00432BC6">
        <w:t xml:space="preserve"> relevant State part</w:t>
      </w:r>
      <w:r w:rsidR="0058781A">
        <w:t>y</w:t>
      </w:r>
      <w:r w:rsidR="00432BC6" w:rsidRPr="00432BC6">
        <w:t xml:space="preserve"> authorities </w:t>
      </w:r>
      <w:r w:rsidR="0058781A">
        <w:t xml:space="preserve">to </w:t>
      </w:r>
      <w:r w:rsidR="00432BC6" w:rsidRPr="00432BC6">
        <w:t>translate</w:t>
      </w:r>
      <w:r w:rsidR="0058781A">
        <w:t>,</w:t>
      </w:r>
      <w:r w:rsidR="00432BC6" w:rsidRPr="00432BC6">
        <w:t xml:space="preserve"> </w:t>
      </w:r>
      <w:r w:rsidR="0058781A">
        <w:t>as</w:t>
      </w:r>
      <w:r w:rsidR="00432BC6" w:rsidRPr="00432BC6">
        <w:t xml:space="preserve"> appropriate, </w:t>
      </w:r>
      <w:r w:rsidR="0058781A" w:rsidRPr="00432BC6">
        <w:t xml:space="preserve">the concluding observations of the Committee </w:t>
      </w:r>
      <w:r w:rsidR="00432BC6" w:rsidRPr="00432BC6">
        <w:t xml:space="preserve">and </w:t>
      </w:r>
      <w:r w:rsidR="0058781A">
        <w:t xml:space="preserve">to </w:t>
      </w:r>
      <w:r w:rsidR="00432BC6" w:rsidRPr="00432BC6">
        <w:t xml:space="preserve">disseminate </w:t>
      </w:r>
      <w:r w:rsidR="0058781A">
        <w:t xml:space="preserve">them </w:t>
      </w:r>
      <w:r w:rsidR="00432BC6" w:rsidRPr="00432BC6">
        <w:t xml:space="preserve">in accessible formats and through alternative means and modes of communication among the broadest possible range of stakeholders at the national level, </w:t>
      </w:r>
      <w:r w:rsidR="0058781A">
        <w:t>in</w:t>
      </w:r>
      <w:r w:rsidR="00432BC6" w:rsidRPr="00432BC6">
        <w:t xml:space="preserve"> particular among persons with disabilities and their representative organi</w:t>
      </w:r>
      <w:r w:rsidR="0058781A">
        <w:t>z</w:t>
      </w:r>
      <w:r w:rsidR="00432BC6" w:rsidRPr="00432BC6">
        <w:t>ations</w:t>
      </w:r>
      <w:r w:rsidR="0058781A">
        <w:t>;</w:t>
      </w:r>
    </w:p>
    <w:p w:rsidR="00432BC6" w:rsidRPr="00432BC6" w:rsidRDefault="00DC55E3" w:rsidP="00A35DD8">
      <w:pPr>
        <w:pStyle w:val="SingleTxtG"/>
        <w:ind w:firstLine="567"/>
      </w:pPr>
      <w:r>
        <w:t>(k)</w:t>
      </w:r>
      <w:r>
        <w:tab/>
      </w:r>
      <w:r w:rsidR="00432BC6" w:rsidRPr="00432BC6">
        <w:t>Advocating and raising awareness, including among departments and units involved in the implementation of the Convention, about the importance of giving due consideration to the Committee’s concluding observations, and to reflect, mainstream</w:t>
      </w:r>
      <w:r w:rsidR="00987B83">
        <w:t xml:space="preserve"> </w:t>
      </w:r>
      <w:r w:rsidR="00432BC6" w:rsidRPr="00432BC6">
        <w:t xml:space="preserve">and </w:t>
      </w:r>
      <w:r w:rsidR="00432BC6" w:rsidRPr="00432BC6">
        <w:lastRenderedPageBreak/>
        <w:t xml:space="preserve">incorporate the Committee’s recommendations into national policies, programmes and activities </w:t>
      </w:r>
      <w:r w:rsidR="0058781A">
        <w:t>related to</w:t>
      </w:r>
      <w:r w:rsidR="00432BC6" w:rsidRPr="00432BC6">
        <w:t xml:space="preserve"> the implementation of the Convention;</w:t>
      </w:r>
    </w:p>
    <w:p w:rsidR="00432BC6" w:rsidRPr="00432BC6" w:rsidRDefault="00DC55E3" w:rsidP="00A35DD8">
      <w:pPr>
        <w:pStyle w:val="SingleTxtG"/>
        <w:ind w:firstLine="567"/>
      </w:pPr>
      <w:r>
        <w:t>(l)</w:t>
      </w:r>
      <w:r>
        <w:tab/>
      </w:r>
      <w:r w:rsidR="00432BC6" w:rsidRPr="00432BC6">
        <w:t>Contributing to the Committee’s follow-up procedure on recommendations issued by the Committee in its reporting procedure. Th</w:t>
      </w:r>
      <w:r w:rsidR="0058781A">
        <w:t>at</w:t>
      </w:r>
      <w:r w:rsidR="00432BC6" w:rsidRPr="00432BC6">
        <w:t xml:space="preserve"> could be achieved by, </w:t>
      </w:r>
      <w:r w:rsidR="00432BC6" w:rsidRPr="00A35DD8">
        <w:rPr>
          <w:iCs/>
        </w:rPr>
        <w:t>inter alia</w:t>
      </w:r>
      <w:r w:rsidR="00432BC6" w:rsidRPr="00432BC6">
        <w:t xml:space="preserve">, disseminating </w:t>
      </w:r>
      <w:r w:rsidR="0058781A">
        <w:t xml:space="preserve">information on </w:t>
      </w:r>
      <w:r w:rsidR="00432BC6" w:rsidRPr="00432BC6">
        <w:t>the existence of th</w:t>
      </w:r>
      <w:r w:rsidR="0058781A">
        <w:t>e</w:t>
      </w:r>
      <w:r w:rsidR="00432BC6" w:rsidRPr="00432BC6">
        <w:t xml:space="preserve"> procedure among a broad range of stakeholders at the national level; organi</w:t>
      </w:r>
      <w:r w:rsidR="0058781A">
        <w:t>z</w:t>
      </w:r>
      <w:r w:rsidR="00432BC6" w:rsidRPr="00432BC6">
        <w:t>ing follow-up consultations; supporting organi</w:t>
      </w:r>
      <w:r w:rsidR="0058781A">
        <w:t>z</w:t>
      </w:r>
      <w:r w:rsidR="00432BC6" w:rsidRPr="00432BC6">
        <w:t>ations of persons with disabilities to familiari</w:t>
      </w:r>
      <w:r w:rsidR="0058781A">
        <w:t>z</w:t>
      </w:r>
      <w:r w:rsidR="00432BC6" w:rsidRPr="00432BC6">
        <w:t xml:space="preserve">e themselves with the procedure and to make timely contributions; and making written contributions </w:t>
      </w:r>
      <w:r w:rsidR="0058781A">
        <w:t>that</w:t>
      </w:r>
      <w:r w:rsidR="00432BC6" w:rsidRPr="00432BC6">
        <w:t xml:space="preserve"> contain an assessment o</w:t>
      </w:r>
      <w:r w:rsidR="0058781A">
        <w:t>f</w:t>
      </w:r>
      <w:r w:rsidR="00432BC6" w:rsidRPr="00432BC6">
        <w:t xml:space="preserve"> whether the Committee’s recommendations have been properly addressed and implemented by the State party;</w:t>
      </w:r>
    </w:p>
    <w:p w:rsidR="00432BC6" w:rsidRPr="00432BC6" w:rsidRDefault="00DC55E3" w:rsidP="00A35DD8">
      <w:pPr>
        <w:pStyle w:val="SingleTxtG"/>
        <w:ind w:firstLine="567"/>
      </w:pPr>
      <w:r>
        <w:t>(m)</w:t>
      </w:r>
      <w:r>
        <w:tab/>
      </w:r>
      <w:r w:rsidR="00432BC6" w:rsidRPr="00432BC6">
        <w:t>Providing written submissions or address</w:t>
      </w:r>
      <w:r w:rsidR="0058781A">
        <w:t>ing</w:t>
      </w:r>
      <w:r w:rsidR="00432BC6" w:rsidRPr="00432BC6">
        <w:t xml:space="preserve"> the Committee in private briefings </w:t>
      </w:r>
      <w:r w:rsidR="0058781A">
        <w:t>whenever</w:t>
      </w:r>
      <w:r w:rsidR="00432BC6" w:rsidRPr="00432BC6">
        <w:t xml:space="preserve"> the Committee decides to examine a State party in the absence of a report pursuant to article 36 </w:t>
      </w:r>
      <w:r w:rsidR="0058781A">
        <w:t>(</w:t>
      </w:r>
      <w:r w:rsidR="00432BC6" w:rsidRPr="00432BC6">
        <w:t>2</w:t>
      </w:r>
      <w:r w:rsidR="0058781A">
        <w:t>)</w:t>
      </w:r>
      <w:r w:rsidR="00432BC6" w:rsidRPr="00432BC6">
        <w:t xml:space="preserve"> of the Convention; </w:t>
      </w:r>
    </w:p>
    <w:p w:rsidR="00432BC6" w:rsidRPr="00432BC6" w:rsidRDefault="00DC55E3" w:rsidP="00A35DD8">
      <w:pPr>
        <w:pStyle w:val="SingleTxtG"/>
        <w:ind w:firstLine="567"/>
      </w:pPr>
      <w:r>
        <w:t>(n)</w:t>
      </w:r>
      <w:r>
        <w:tab/>
      </w:r>
      <w:r w:rsidR="00432BC6" w:rsidRPr="00432BC6">
        <w:t>Facilitating and promoting the meaningful participation of organi</w:t>
      </w:r>
      <w:r w:rsidR="0058781A">
        <w:t>z</w:t>
      </w:r>
      <w:r w:rsidR="00432BC6" w:rsidRPr="00432BC6">
        <w:t>ations of persons with disabilities in the reporting process.</w:t>
      </w:r>
    </w:p>
    <w:p w:rsidR="00432BC6" w:rsidRPr="00432BC6" w:rsidRDefault="002D69CA">
      <w:pPr>
        <w:pStyle w:val="H1G"/>
      </w:pPr>
      <w:r>
        <w:tab/>
      </w:r>
      <w:r w:rsidR="005345CB" w:rsidRPr="00DE3D3D">
        <w:t>B.</w:t>
      </w:r>
      <w:r w:rsidRPr="00DE3D3D">
        <w:tab/>
      </w:r>
      <w:r w:rsidR="00432BC6" w:rsidRPr="00AF7E65">
        <w:t xml:space="preserve">Days of </w:t>
      </w:r>
      <w:r w:rsidR="0058781A" w:rsidRPr="00AF7E65">
        <w:t>g</w:t>
      </w:r>
      <w:r w:rsidR="00432BC6" w:rsidRPr="00AF7E65">
        <w:t xml:space="preserve">eneral </w:t>
      </w:r>
      <w:r w:rsidR="0058781A" w:rsidRPr="00AF7E65">
        <w:t>d</w:t>
      </w:r>
      <w:r w:rsidR="00432BC6" w:rsidRPr="00AF7E65">
        <w:t xml:space="preserve">iscussion and </w:t>
      </w:r>
      <w:r w:rsidR="0058781A" w:rsidRPr="00AF7E65">
        <w:t>g</w:t>
      </w:r>
      <w:r w:rsidR="00432BC6" w:rsidRPr="00AF7E65">
        <w:t xml:space="preserve">eneral </w:t>
      </w:r>
      <w:r w:rsidR="0058781A" w:rsidRPr="00AF7E65">
        <w:t>c</w:t>
      </w:r>
      <w:r w:rsidR="00432BC6" w:rsidRPr="00AF7E65">
        <w:t>omments</w:t>
      </w:r>
    </w:p>
    <w:p w:rsidR="00432BC6" w:rsidRPr="00432BC6" w:rsidRDefault="00A35DD8" w:rsidP="00A35DD8">
      <w:pPr>
        <w:pStyle w:val="SingleTxtG"/>
      </w:pPr>
      <w:r w:rsidRPr="00432BC6">
        <w:t>24.</w:t>
      </w:r>
      <w:r w:rsidRPr="00432BC6">
        <w:tab/>
      </w:r>
      <w:r w:rsidR="00432BC6" w:rsidRPr="00432BC6">
        <w:t>The Committee encourages independent monitoring frameworks to make contributions to the days of general discussion organi</w:t>
      </w:r>
      <w:r w:rsidR="005345CB">
        <w:t>z</w:t>
      </w:r>
      <w:r w:rsidR="00432BC6" w:rsidRPr="00432BC6">
        <w:t xml:space="preserve">ed by the Committee and to participate in the consultation processes related to the preparation of the Committee’s </w:t>
      </w:r>
      <w:r w:rsidR="005345CB">
        <w:t>g</w:t>
      </w:r>
      <w:r w:rsidR="00432BC6" w:rsidRPr="00432BC6">
        <w:t xml:space="preserve">eneral </w:t>
      </w:r>
      <w:r w:rsidR="005345CB">
        <w:t>c</w:t>
      </w:r>
      <w:r w:rsidR="00432BC6" w:rsidRPr="00432BC6">
        <w:t xml:space="preserve">omments. </w:t>
      </w:r>
    </w:p>
    <w:p w:rsidR="00432BC6" w:rsidRPr="00432BC6" w:rsidRDefault="00A35DD8" w:rsidP="00A35DD8">
      <w:pPr>
        <w:pStyle w:val="SingleTxtG"/>
      </w:pPr>
      <w:r w:rsidRPr="00432BC6">
        <w:t>25.</w:t>
      </w:r>
      <w:r w:rsidRPr="00432BC6">
        <w:tab/>
      </w:r>
      <w:r w:rsidR="00432BC6" w:rsidRPr="00432BC6">
        <w:t xml:space="preserve">The Committee also encourages independent monitoring frameworks to </w:t>
      </w:r>
      <w:r w:rsidR="005345CB">
        <w:t>encourage</w:t>
      </w:r>
      <w:r w:rsidR="00432BC6" w:rsidRPr="00432BC6">
        <w:t xml:space="preserve"> </w:t>
      </w:r>
      <w:r w:rsidR="005345CB">
        <w:t xml:space="preserve">the </w:t>
      </w:r>
      <w:r w:rsidR="00432BC6" w:rsidRPr="00432BC6">
        <w:t>relevant State part</w:t>
      </w:r>
      <w:r w:rsidR="005345CB">
        <w:t>y</w:t>
      </w:r>
      <w:r w:rsidR="00432BC6" w:rsidRPr="00432BC6">
        <w:t xml:space="preserve"> authorities </w:t>
      </w:r>
      <w:r w:rsidR="005345CB">
        <w:t>to</w:t>
      </w:r>
      <w:r w:rsidR="00AF7E65">
        <w:t xml:space="preserve"> have</w:t>
      </w:r>
      <w:r w:rsidR="005345CB">
        <w:t xml:space="preserve"> </w:t>
      </w:r>
      <w:r w:rsidR="00432BC6" w:rsidRPr="00432BC6">
        <w:t>translate</w:t>
      </w:r>
      <w:r w:rsidR="00AF7E65">
        <w:t>d</w:t>
      </w:r>
      <w:r w:rsidR="005345CB">
        <w:t>, as appropriate</w:t>
      </w:r>
      <w:r w:rsidR="00432BC6" w:rsidRPr="00432BC6">
        <w:t xml:space="preserve">, the Committee’s </w:t>
      </w:r>
      <w:r w:rsidR="005345CB">
        <w:t>g</w:t>
      </w:r>
      <w:r w:rsidR="00432BC6" w:rsidRPr="00432BC6">
        <w:t xml:space="preserve">eneral </w:t>
      </w:r>
      <w:r w:rsidR="005345CB">
        <w:t>c</w:t>
      </w:r>
      <w:r w:rsidR="00432BC6" w:rsidRPr="00432BC6">
        <w:t>omments</w:t>
      </w:r>
      <w:r w:rsidR="005345CB">
        <w:t xml:space="preserve"> and to </w:t>
      </w:r>
      <w:r w:rsidR="00AF7E65">
        <w:t xml:space="preserve">have them </w:t>
      </w:r>
      <w:r w:rsidR="005345CB">
        <w:t>disseminate</w:t>
      </w:r>
      <w:r w:rsidR="00AF7E65">
        <w:t>d</w:t>
      </w:r>
      <w:r w:rsidR="00432BC6" w:rsidRPr="00432BC6">
        <w:t xml:space="preserve"> in accessible formats and through alternative and augmentative means and modes of communication. Independent monitoring frameworks are encouraged to use </w:t>
      </w:r>
      <w:r w:rsidR="005345CB">
        <w:t>the g</w:t>
      </w:r>
      <w:r w:rsidR="00432BC6" w:rsidRPr="00432BC6">
        <w:t xml:space="preserve">eneral </w:t>
      </w:r>
      <w:r w:rsidR="005345CB">
        <w:t>c</w:t>
      </w:r>
      <w:r w:rsidR="00432BC6" w:rsidRPr="00432BC6">
        <w:t xml:space="preserve">omments in their national advocacy efforts for the promotion and protection of the rights of persons with disabilities. </w:t>
      </w:r>
    </w:p>
    <w:p w:rsidR="00432BC6" w:rsidRPr="00432BC6" w:rsidRDefault="002D69CA" w:rsidP="002D69CA">
      <w:pPr>
        <w:pStyle w:val="H1G"/>
      </w:pPr>
      <w:r>
        <w:tab/>
      </w:r>
      <w:r w:rsidR="005345CB">
        <w:t>C.</w:t>
      </w:r>
      <w:r>
        <w:tab/>
      </w:r>
      <w:r w:rsidR="00432BC6" w:rsidRPr="00432BC6">
        <w:t>Communication</w:t>
      </w:r>
      <w:r w:rsidR="005345CB">
        <w:t>s</w:t>
      </w:r>
      <w:r w:rsidR="00432BC6" w:rsidRPr="00432BC6">
        <w:t xml:space="preserve"> procedure (Optional Protocol)</w:t>
      </w:r>
    </w:p>
    <w:p w:rsidR="00432BC6" w:rsidRPr="00432BC6" w:rsidRDefault="00A35DD8" w:rsidP="00A35DD8">
      <w:pPr>
        <w:pStyle w:val="SingleTxtG"/>
      </w:pPr>
      <w:r w:rsidRPr="00432BC6">
        <w:t>26.</w:t>
      </w:r>
      <w:r w:rsidRPr="00432BC6">
        <w:tab/>
      </w:r>
      <w:r w:rsidR="00432BC6" w:rsidRPr="00432BC6">
        <w:t>The Committee encourages independent monitoring frameworks to:</w:t>
      </w:r>
    </w:p>
    <w:p w:rsidR="00432BC6" w:rsidRPr="00432BC6" w:rsidRDefault="00DC55E3" w:rsidP="00A35DD8">
      <w:pPr>
        <w:pStyle w:val="SingleTxtG"/>
        <w:ind w:firstLine="567"/>
      </w:pPr>
      <w:r>
        <w:t>(a)</w:t>
      </w:r>
      <w:r>
        <w:tab/>
      </w:r>
      <w:r w:rsidR="00432BC6" w:rsidRPr="00432BC6">
        <w:t xml:space="preserve">Provide support and assistance, including legal advice, when feasible, to individuals, groups of individuals </w:t>
      </w:r>
      <w:r w:rsidR="005345CB">
        <w:t>and</w:t>
      </w:r>
      <w:r w:rsidR="00432BC6" w:rsidRPr="00432BC6">
        <w:t xml:space="preserve"> organi</w:t>
      </w:r>
      <w:r w:rsidR="005345CB">
        <w:t>z</w:t>
      </w:r>
      <w:r w:rsidR="00432BC6" w:rsidRPr="00432BC6">
        <w:t xml:space="preserve">ations of persons with disabilities alleging </w:t>
      </w:r>
      <w:r w:rsidR="005345CB">
        <w:t>a</w:t>
      </w:r>
      <w:r w:rsidR="00432BC6" w:rsidRPr="00432BC6">
        <w:t xml:space="preserve"> violation of the rights guaranteed under the Convention </w:t>
      </w:r>
      <w:r w:rsidR="005345CB">
        <w:t xml:space="preserve">and wishing </w:t>
      </w:r>
      <w:r w:rsidR="00432BC6" w:rsidRPr="00432BC6">
        <w:t>to submit a communication to the Committee;</w:t>
      </w:r>
    </w:p>
    <w:p w:rsidR="00432BC6" w:rsidRPr="00432BC6" w:rsidRDefault="00DC55E3" w:rsidP="00A35DD8">
      <w:pPr>
        <w:pStyle w:val="SingleTxtG"/>
        <w:ind w:firstLine="567"/>
      </w:pPr>
      <w:r>
        <w:t>(b)</w:t>
      </w:r>
      <w:r>
        <w:tab/>
      </w:r>
      <w:r w:rsidR="00432BC6" w:rsidRPr="00432BC6">
        <w:t xml:space="preserve">Avail themselves of the possibility </w:t>
      </w:r>
      <w:r w:rsidR="005345CB">
        <w:t>of</w:t>
      </w:r>
      <w:r w:rsidR="00432BC6" w:rsidRPr="00432BC6">
        <w:t xml:space="preserve"> mak</w:t>
      </w:r>
      <w:r w:rsidR="005345CB">
        <w:t>ing a</w:t>
      </w:r>
      <w:r w:rsidR="00432BC6" w:rsidRPr="00432BC6">
        <w:t xml:space="preserve"> third</w:t>
      </w:r>
      <w:r w:rsidR="005345CB">
        <w:t>-</w:t>
      </w:r>
      <w:r w:rsidR="00432BC6" w:rsidRPr="00432BC6">
        <w:t xml:space="preserve">party intervention pursuant to </w:t>
      </w:r>
      <w:r w:rsidR="005345CB">
        <w:t>rule</w:t>
      </w:r>
      <w:r w:rsidR="00432BC6" w:rsidRPr="00432BC6">
        <w:t xml:space="preserve"> 72</w:t>
      </w:r>
      <w:r w:rsidR="005345CB">
        <w:t>,</w:t>
      </w:r>
      <w:r w:rsidR="00432BC6" w:rsidRPr="00432BC6">
        <w:t xml:space="preserve"> paragraph 3</w:t>
      </w:r>
      <w:r w:rsidR="005345CB">
        <w:t>,</w:t>
      </w:r>
      <w:r w:rsidR="00432BC6" w:rsidRPr="00432BC6">
        <w:t xml:space="preserve"> of the </w:t>
      </w:r>
      <w:r w:rsidR="005345CB">
        <w:t>r</w:t>
      </w:r>
      <w:r w:rsidR="00432BC6" w:rsidRPr="00432BC6">
        <w:t xml:space="preserve">ules of </w:t>
      </w:r>
      <w:r w:rsidR="005345CB">
        <w:t>p</w:t>
      </w:r>
      <w:r w:rsidR="00432BC6" w:rsidRPr="00432BC6">
        <w:t>rocedure or to promote and provide advice to other stakeholders making third</w:t>
      </w:r>
      <w:r w:rsidR="005345CB">
        <w:t>-</w:t>
      </w:r>
      <w:r w:rsidR="00432BC6" w:rsidRPr="00432BC6">
        <w:t>party interventions;</w:t>
      </w:r>
    </w:p>
    <w:p w:rsidR="00432BC6" w:rsidRPr="00432BC6" w:rsidRDefault="00DC55E3" w:rsidP="00A35DD8">
      <w:pPr>
        <w:pStyle w:val="SingleTxtG"/>
        <w:ind w:firstLine="567"/>
      </w:pPr>
      <w:r>
        <w:t>(c)</w:t>
      </w:r>
      <w:r>
        <w:tab/>
      </w:r>
      <w:r w:rsidR="00DD7919">
        <w:t>Encourage the</w:t>
      </w:r>
      <w:r w:rsidR="00432BC6" w:rsidRPr="00432BC6">
        <w:t xml:space="preserve"> relevant State part</w:t>
      </w:r>
      <w:r w:rsidR="00DD7919">
        <w:t>y</w:t>
      </w:r>
      <w:r w:rsidR="00432BC6" w:rsidRPr="00432BC6">
        <w:t xml:space="preserve"> authorities </w:t>
      </w:r>
      <w:r w:rsidR="00DD7919">
        <w:t>to</w:t>
      </w:r>
      <w:r w:rsidR="00AF7E65">
        <w:t xml:space="preserve"> have</w:t>
      </w:r>
      <w:r w:rsidR="00DD7919">
        <w:t xml:space="preserve"> </w:t>
      </w:r>
      <w:r w:rsidR="00432BC6" w:rsidRPr="00432BC6">
        <w:t>translate</w:t>
      </w:r>
      <w:r w:rsidR="00AF7E65">
        <w:t>d</w:t>
      </w:r>
      <w:r w:rsidR="00432BC6" w:rsidRPr="00432BC6">
        <w:t xml:space="preserve"> the Views of the Committee</w:t>
      </w:r>
      <w:r w:rsidR="00DD7919">
        <w:t xml:space="preserve"> and to </w:t>
      </w:r>
      <w:r w:rsidR="00AF7E65">
        <w:t xml:space="preserve">have them </w:t>
      </w:r>
      <w:r w:rsidR="00DD7919">
        <w:t xml:space="preserve">disseminate </w:t>
      </w:r>
      <w:r w:rsidR="00432BC6" w:rsidRPr="00432BC6">
        <w:t xml:space="preserve">in accessible formats and through alternative and augmentative means and modes of communications, </w:t>
      </w:r>
      <w:r w:rsidR="00DD7919">
        <w:t xml:space="preserve">in </w:t>
      </w:r>
      <w:r w:rsidR="00432BC6" w:rsidRPr="00432BC6">
        <w:t>particular among organi</w:t>
      </w:r>
      <w:r w:rsidR="00DD7919">
        <w:t>z</w:t>
      </w:r>
      <w:r w:rsidR="00432BC6" w:rsidRPr="00432BC6">
        <w:t>ations of persons with disabilities;</w:t>
      </w:r>
    </w:p>
    <w:p w:rsidR="00432BC6" w:rsidRPr="00432BC6" w:rsidRDefault="00DC55E3" w:rsidP="00A35DD8">
      <w:pPr>
        <w:pStyle w:val="SingleTxtG"/>
        <w:ind w:firstLine="567"/>
      </w:pPr>
      <w:r>
        <w:t>(d)</w:t>
      </w:r>
      <w:r>
        <w:tab/>
      </w:r>
      <w:r w:rsidR="00432BC6" w:rsidRPr="00432BC6">
        <w:t xml:space="preserve">Monitor and assist victims in monitoring the implementation of the Committee’s Views by the State party, including by providing advice to the State party on legislative, administrative </w:t>
      </w:r>
      <w:r w:rsidR="00AF7E65">
        <w:t>and</w:t>
      </w:r>
      <w:r w:rsidR="00432BC6" w:rsidRPr="00432BC6">
        <w:t xml:space="preserve"> other measures or reforms; </w:t>
      </w:r>
    </w:p>
    <w:p w:rsidR="00432BC6" w:rsidRPr="00432BC6" w:rsidRDefault="00DC55E3" w:rsidP="00A35DD8">
      <w:pPr>
        <w:pStyle w:val="SingleTxtG"/>
        <w:ind w:firstLine="567"/>
      </w:pPr>
      <w:r>
        <w:lastRenderedPageBreak/>
        <w:t>(e)</w:t>
      </w:r>
      <w:r>
        <w:tab/>
      </w:r>
      <w:r w:rsidR="00432BC6" w:rsidRPr="00432BC6">
        <w:t xml:space="preserve">Submit follow-up information on the implementation of the Committee’s </w:t>
      </w:r>
      <w:r w:rsidR="00DD7919">
        <w:t>V</w:t>
      </w:r>
      <w:r w:rsidR="00432BC6" w:rsidRPr="00432BC6">
        <w:t xml:space="preserve">iews, when appropriate, within 180 days </w:t>
      </w:r>
      <w:r w:rsidR="00AF7E65">
        <w:t>of</w:t>
      </w:r>
      <w:r w:rsidR="00432BC6" w:rsidRPr="00432BC6">
        <w:t xml:space="preserve"> the</w:t>
      </w:r>
      <w:r w:rsidR="00DD7919">
        <w:t>ir</w:t>
      </w:r>
      <w:r w:rsidR="00432BC6" w:rsidRPr="00432BC6">
        <w:t xml:space="preserve"> adoption. </w:t>
      </w:r>
    </w:p>
    <w:p w:rsidR="00432BC6" w:rsidRPr="00432BC6" w:rsidRDefault="002D69CA">
      <w:pPr>
        <w:pStyle w:val="H1G"/>
      </w:pPr>
      <w:r>
        <w:tab/>
      </w:r>
      <w:r w:rsidR="00DD7919">
        <w:t>D.</w:t>
      </w:r>
      <w:r>
        <w:tab/>
      </w:r>
      <w:r w:rsidR="00432BC6" w:rsidRPr="00432BC6">
        <w:t xml:space="preserve">Inquiry </w:t>
      </w:r>
      <w:r w:rsidR="00DD7919">
        <w:t>p</w:t>
      </w:r>
      <w:r w:rsidR="00432BC6" w:rsidRPr="00432BC6">
        <w:t>rocedure (Optional Protocol)</w:t>
      </w:r>
    </w:p>
    <w:p w:rsidR="00432BC6" w:rsidRPr="00432BC6" w:rsidRDefault="00A35DD8" w:rsidP="00A35DD8">
      <w:pPr>
        <w:pStyle w:val="SingleTxtG"/>
      </w:pPr>
      <w:r w:rsidRPr="00432BC6">
        <w:t>27.</w:t>
      </w:r>
      <w:r w:rsidRPr="00432BC6">
        <w:tab/>
      </w:r>
      <w:r w:rsidR="00432BC6" w:rsidRPr="00432BC6">
        <w:t>The Committee encourages independent monitoring frameworks to:</w:t>
      </w:r>
    </w:p>
    <w:p w:rsidR="00432BC6" w:rsidRPr="00432BC6" w:rsidRDefault="00DC55E3" w:rsidP="00A35DD8">
      <w:pPr>
        <w:pStyle w:val="SingleTxtG"/>
        <w:ind w:firstLine="567"/>
      </w:pPr>
      <w:r>
        <w:t>(a)</w:t>
      </w:r>
      <w:r>
        <w:tab/>
      </w:r>
      <w:r w:rsidR="00432BC6" w:rsidRPr="00432BC6">
        <w:t>Address the Committee when there is reliable information indicating grave or systematic violations by the State party of rights set forth in the Convention;</w:t>
      </w:r>
    </w:p>
    <w:p w:rsidR="00432BC6" w:rsidRPr="00432BC6" w:rsidRDefault="00DC55E3" w:rsidP="00A35DD8">
      <w:pPr>
        <w:pStyle w:val="SingleTxtG"/>
        <w:ind w:firstLine="567"/>
      </w:pPr>
      <w:r>
        <w:t>(b)</w:t>
      </w:r>
      <w:r>
        <w:tab/>
      </w:r>
      <w:r w:rsidR="00432BC6" w:rsidRPr="00432BC6">
        <w:t xml:space="preserve">Provide information, when requested by the Committee pursuant to </w:t>
      </w:r>
      <w:r w:rsidR="00DD7919">
        <w:t>r</w:t>
      </w:r>
      <w:r w:rsidR="00432BC6" w:rsidRPr="00432BC6">
        <w:t>ule 83, paragraph 3</w:t>
      </w:r>
      <w:r w:rsidR="00DD7919">
        <w:t>,</w:t>
      </w:r>
      <w:r w:rsidR="00432BC6" w:rsidRPr="00432BC6">
        <w:t xml:space="preserve"> of the Committee’s </w:t>
      </w:r>
      <w:r w:rsidR="00DD7919">
        <w:t>r</w:t>
      </w:r>
      <w:r w:rsidR="00432BC6" w:rsidRPr="00432BC6">
        <w:t xml:space="preserve">ules of </w:t>
      </w:r>
      <w:r w:rsidR="00DD7919">
        <w:t>p</w:t>
      </w:r>
      <w:r w:rsidR="00432BC6" w:rsidRPr="00432BC6">
        <w:t>rocedure;</w:t>
      </w:r>
    </w:p>
    <w:p w:rsidR="00432BC6" w:rsidRPr="00432BC6" w:rsidRDefault="00DC55E3" w:rsidP="00A35DD8">
      <w:pPr>
        <w:pStyle w:val="SingleTxtG"/>
        <w:ind w:firstLine="567"/>
      </w:pPr>
      <w:r>
        <w:t>(c)</w:t>
      </w:r>
      <w:r>
        <w:tab/>
      </w:r>
      <w:r w:rsidR="00432BC6" w:rsidRPr="00432BC6">
        <w:t xml:space="preserve">Cooperate with the Committee, </w:t>
      </w:r>
      <w:r w:rsidR="00DD7919">
        <w:t xml:space="preserve">in </w:t>
      </w:r>
      <w:r w:rsidR="00432BC6" w:rsidRPr="00432BC6">
        <w:t xml:space="preserve">particular when the inquiry procedure entails a visit to the territory of </w:t>
      </w:r>
      <w:r w:rsidR="00DD7919">
        <w:t>a</w:t>
      </w:r>
      <w:r w:rsidR="00432BC6" w:rsidRPr="00432BC6">
        <w:t xml:space="preserve"> State party; </w:t>
      </w:r>
    </w:p>
    <w:p w:rsidR="00432BC6" w:rsidRPr="00432BC6" w:rsidRDefault="00DC55E3" w:rsidP="00A35DD8">
      <w:pPr>
        <w:pStyle w:val="SingleTxtG"/>
        <w:ind w:firstLine="567"/>
      </w:pPr>
      <w:r>
        <w:t>(d)</w:t>
      </w:r>
      <w:r>
        <w:tab/>
      </w:r>
      <w:r w:rsidR="00432BC6" w:rsidRPr="00432BC6">
        <w:t xml:space="preserve">When appropriate, provide follow-up information on the implementation of the recommendations </w:t>
      </w:r>
      <w:r w:rsidR="00DD7919">
        <w:t>made by</w:t>
      </w:r>
      <w:r w:rsidR="00432BC6" w:rsidRPr="00432BC6">
        <w:t xml:space="preserve"> the Committee </w:t>
      </w:r>
      <w:r w:rsidR="00DD7919">
        <w:t xml:space="preserve">in its </w:t>
      </w:r>
      <w:r w:rsidR="00432BC6" w:rsidRPr="00432BC6">
        <w:t>report on the inquiry.</w:t>
      </w:r>
    </w:p>
    <w:p w:rsidR="00432BC6" w:rsidRPr="00432BC6" w:rsidRDefault="002D69CA">
      <w:pPr>
        <w:pStyle w:val="H1G"/>
      </w:pPr>
      <w:r>
        <w:tab/>
      </w:r>
      <w:r w:rsidR="00DD7919">
        <w:t>E.</w:t>
      </w:r>
      <w:r>
        <w:tab/>
      </w:r>
      <w:r w:rsidR="00432BC6" w:rsidRPr="00432BC6">
        <w:t>Capacity</w:t>
      </w:r>
      <w:r w:rsidR="00DD7919">
        <w:t>-</w:t>
      </w:r>
      <w:r w:rsidR="00432BC6" w:rsidRPr="00432BC6">
        <w:t>building activities (art. 37</w:t>
      </w:r>
      <w:r w:rsidR="00DD7919">
        <w:t xml:space="preserve"> (</w:t>
      </w:r>
      <w:r w:rsidR="00432BC6" w:rsidRPr="00432BC6">
        <w:t>2</w:t>
      </w:r>
      <w:r w:rsidR="00DD7919">
        <w:t>)</w:t>
      </w:r>
      <w:r w:rsidR="00432BC6" w:rsidRPr="00432BC6">
        <w:t xml:space="preserve"> of the Convention)</w:t>
      </w:r>
    </w:p>
    <w:p w:rsidR="00432BC6" w:rsidRPr="00432BC6" w:rsidRDefault="00A35DD8" w:rsidP="00A35DD8">
      <w:pPr>
        <w:pStyle w:val="SingleTxtG"/>
      </w:pPr>
      <w:r w:rsidRPr="00432BC6">
        <w:t>28.</w:t>
      </w:r>
      <w:r w:rsidRPr="00432BC6">
        <w:tab/>
      </w:r>
      <w:r w:rsidR="00DD7919">
        <w:t>W</w:t>
      </w:r>
      <w:r w:rsidR="00432BC6" w:rsidRPr="00432BC6">
        <w:t>henever independent monitoring frameworks consider it appropriate for the enhancement of national capacities for the implementation of the Convention,</w:t>
      </w:r>
      <w:r w:rsidR="00DD7919">
        <w:t xml:space="preserve"> they </w:t>
      </w:r>
      <w:r w:rsidR="00D637C6">
        <w:t>may consider</w:t>
      </w:r>
      <w:r w:rsidR="00DD7919">
        <w:t xml:space="preserve"> request</w:t>
      </w:r>
      <w:r w:rsidR="00D637C6">
        <w:t>ing</w:t>
      </w:r>
      <w:r w:rsidR="00432BC6" w:rsidRPr="00432BC6">
        <w:t xml:space="preserve"> the Committee </w:t>
      </w:r>
      <w:r w:rsidR="00DD7919">
        <w:t xml:space="preserve">to </w:t>
      </w:r>
      <w:r w:rsidR="00432BC6" w:rsidRPr="00432BC6">
        <w:t>provide advice on the compatibility of draft legislation, policies and programmes with the Convention.</w:t>
      </w:r>
    </w:p>
    <w:p w:rsidR="00432BC6" w:rsidRPr="00432BC6" w:rsidRDefault="00A35DD8" w:rsidP="00A35DD8">
      <w:pPr>
        <w:pStyle w:val="SingleTxtG"/>
      </w:pPr>
      <w:r w:rsidRPr="00432BC6">
        <w:t>29.</w:t>
      </w:r>
      <w:r w:rsidRPr="00432BC6">
        <w:tab/>
      </w:r>
      <w:r w:rsidR="00432BC6" w:rsidRPr="00432BC6">
        <w:t xml:space="preserve">Requests should be made in writing, indicating the value </w:t>
      </w:r>
      <w:r w:rsidR="00DD7919" w:rsidRPr="00432BC6">
        <w:t xml:space="preserve">added </w:t>
      </w:r>
      <w:r w:rsidR="00DD7919">
        <w:t xml:space="preserve">by </w:t>
      </w:r>
      <w:r w:rsidR="000C57EB">
        <w:t xml:space="preserve">the </w:t>
      </w:r>
      <w:r w:rsidR="00432BC6" w:rsidRPr="00432BC6">
        <w:t>advisory services</w:t>
      </w:r>
      <w:r w:rsidR="000C57EB">
        <w:t xml:space="preserve"> provided by the Committee</w:t>
      </w:r>
      <w:r w:rsidR="00DD7919">
        <w:t>. In making the request,</w:t>
      </w:r>
      <w:r w:rsidR="00DD7919" w:rsidRPr="00DD7919">
        <w:t xml:space="preserve"> </w:t>
      </w:r>
      <w:r w:rsidR="00DD7919" w:rsidRPr="00432BC6">
        <w:t>independent monitoring frameworks</w:t>
      </w:r>
      <w:r w:rsidR="00DD7919">
        <w:t xml:space="preserve"> should</w:t>
      </w:r>
      <w:r w:rsidR="00432BC6" w:rsidRPr="00432BC6">
        <w:t xml:space="preserve"> also provid</w:t>
      </w:r>
      <w:r w:rsidR="00DD7919">
        <w:t>e</w:t>
      </w:r>
      <w:r w:rsidR="00432BC6" w:rsidRPr="00432BC6">
        <w:t xml:space="preserve"> the text of </w:t>
      </w:r>
      <w:r w:rsidR="00DD7919">
        <w:t xml:space="preserve">relevant </w:t>
      </w:r>
      <w:r w:rsidR="00432BC6" w:rsidRPr="00432BC6">
        <w:t>draft legislation, policies and programmes</w:t>
      </w:r>
      <w:r w:rsidR="00DD7919">
        <w:t>,</w:t>
      </w:r>
      <w:r w:rsidR="00432BC6" w:rsidRPr="00432BC6">
        <w:t xml:space="preserve"> in English</w:t>
      </w:r>
      <w:r w:rsidR="00DD7919">
        <w:t>,</w:t>
      </w:r>
      <w:r w:rsidR="00432BC6" w:rsidRPr="00432BC6">
        <w:t xml:space="preserve"> in accessible formats. </w:t>
      </w:r>
    </w:p>
    <w:p w:rsidR="00432BC6" w:rsidRPr="00432BC6" w:rsidRDefault="002D69CA" w:rsidP="002D69CA">
      <w:pPr>
        <w:pStyle w:val="H1G"/>
      </w:pPr>
      <w:r>
        <w:tab/>
      </w:r>
      <w:r w:rsidR="00DD7919">
        <w:t>F.</w:t>
      </w:r>
      <w:r>
        <w:tab/>
      </w:r>
      <w:r w:rsidR="00432BC6" w:rsidRPr="00432BC6">
        <w:t>Reprisals</w:t>
      </w:r>
    </w:p>
    <w:p w:rsidR="00432BC6" w:rsidRPr="00432BC6" w:rsidRDefault="00A35DD8" w:rsidP="00A35DD8">
      <w:pPr>
        <w:pStyle w:val="SingleTxtG"/>
      </w:pPr>
      <w:r w:rsidRPr="00432BC6">
        <w:t>30.</w:t>
      </w:r>
      <w:r w:rsidRPr="00432BC6">
        <w:tab/>
      </w:r>
      <w:r w:rsidR="00432BC6" w:rsidRPr="00432BC6">
        <w:t>The Committee encourages independent monitoring frameworks to:</w:t>
      </w:r>
    </w:p>
    <w:p w:rsidR="00432BC6" w:rsidRPr="00432BC6" w:rsidRDefault="00DC55E3" w:rsidP="00A35DD8">
      <w:pPr>
        <w:pStyle w:val="SingleTxtG"/>
        <w:ind w:firstLine="567"/>
      </w:pPr>
      <w:r>
        <w:t>(a)</w:t>
      </w:r>
      <w:r>
        <w:tab/>
      </w:r>
      <w:r w:rsidR="00432BC6" w:rsidRPr="00432BC6">
        <w:t>Monitor States parties’ responses to allegations of reprisals against individuals, groups or organi</w:t>
      </w:r>
      <w:r w:rsidR="00DD7919">
        <w:t>z</w:t>
      </w:r>
      <w:r w:rsidR="00432BC6" w:rsidRPr="00432BC6">
        <w:t>ations of persons with disabilities that have contributed to the work of, or interacted with, the Committee;</w:t>
      </w:r>
    </w:p>
    <w:p w:rsidR="00432BC6" w:rsidRPr="00432BC6" w:rsidRDefault="00DC55E3" w:rsidP="00A35DD8">
      <w:pPr>
        <w:pStyle w:val="SingleTxtG"/>
        <w:ind w:firstLine="567"/>
      </w:pPr>
      <w:r>
        <w:t>(b)</w:t>
      </w:r>
      <w:r>
        <w:tab/>
      </w:r>
      <w:r w:rsidR="00432BC6" w:rsidRPr="00432BC6">
        <w:t>When feasible, share with the Committee, on a regular basis, States parties’ good practices related to the early detection, risk assessment and assistance and protection schemes adopted or promoted in cases of reprisal, intimidation, harassment or persecution of individuals, groups or organi</w:t>
      </w:r>
      <w:r w:rsidR="00DD7919">
        <w:t>z</w:t>
      </w:r>
      <w:r w:rsidR="00432BC6" w:rsidRPr="00432BC6">
        <w:t xml:space="preserve">ations of persons with disabilities </w:t>
      </w:r>
      <w:r w:rsidR="00DD7919">
        <w:t>that</w:t>
      </w:r>
      <w:r w:rsidR="00432BC6" w:rsidRPr="00432BC6">
        <w:t xml:space="preserve"> have contributed</w:t>
      </w:r>
      <w:r w:rsidR="00DD7919" w:rsidRPr="00DD7919">
        <w:t xml:space="preserve"> </w:t>
      </w:r>
      <w:r w:rsidR="00DD7919" w:rsidRPr="00432BC6">
        <w:t>to the work of,</w:t>
      </w:r>
      <w:r w:rsidR="00432BC6" w:rsidRPr="00432BC6">
        <w:t xml:space="preserve"> or interacted with</w:t>
      </w:r>
      <w:r w:rsidR="009557AB">
        <w:t>,</w:t>
      </w:r>
      <w:r w:rsidR="00432BC6" w:rsidRPr="00432BC6">
        <w:t xml:space="preserve"> the Committee;</w:t>
      </w:r>
    </w:p>
    <w:p w:rsidR="00432BC6" w:rsidRPr="00432BC6" w:rsidRDefault="00DC55E3" w:rsidP="00A35DD8">
      <w:pPr>
        <w:pStyle w:val="SingleTxtG"/>
        <w:ind w:firstLine="567"/>
      </w:pPr>
      <w:r>
        <w:t>(c)</w:t>
      </w:r>
      <w:r>
        <w:tab/>
      </w:r>
      <w:r w:rsidR="00432BC6" w:rsidRPr="00432BC6">
        <w:t xml:space="preserve">Support alleged victims of reprisals in approaching and interacting with the Committee and other human rights mechanisms dealing with allegations of reprisals; </w:t>
      </w:r>
    </w:p>
    <w:p w:rsidR="00432BC6" w:rsidRPr="00432BC6" w:rsidRDefault="00DC55E3" w:rsidP="00A35DD8">
      <w:pPr>
        <w:pStyle w:val="SingleTxtG"/>
        <w:ind w:firstLine="567"/>
      </w:pPr>
      <w:r>
        <w:t>(d)</w:t>
      </w:r>
      <w:r>
        <w:tab/>
      </w:r>
      <w:r w:rsidR="00432BC6" w:rsidRPr="00432BC6">
        <w:t>Monitor States parties’ measures to follow</w:t>
      </w:r>
      <w:r w:rsidR="009557AB">
        <w:t xml:space="preserve"> </w:t>
      </w:r>
      <w:r w:rsidR="00432BC6" w:rsidRPr="00432BC6">
        <w:t>up</w:t>
      </w:r>
      <w:r w:rsidR="009557AB">
        <w:t xml:space="preserve"> on</w:t>
      </w:r>
      <w:r w:rsidR="00432BC6" w:rsidRPr="00432BC6">
        <w:t xml:space="preserve"> the recommendations of the Committee and other human rights mechanisms dealing with allegations of reprisals </w:t>
      </w:r>
      <w:r w:rsidR="009557AB">
        <w:t>i</w:t>
      </w:r>
      <w:r w:rsidR="00432BC6" w:rsidRPr="00432BC6">
        <w:t>n specific cases.</w:t>
      </w:r>
    </w:p>
    <w:p w:rsidR="00432BC6" w:rsidRPr="00432BC6" w:rsidRDefault="00A35DD8" w:rsidP="00A35DD8">
      <w:pPr>
        <w:pStyle w:val="SingleTxtG"/>
      </w:pPr>
      <w:r w:rsidRPr="00432BC6">
        <w:t>31.</w:t>
      </w:r>
      <w:r w:rsidRPr="00432BC6">
        <w:tab/>
      </w:r>
      <w:r w:rsidR="00432BC6" w:rsidRPr="00432BC6">
        <w:t xml:space="preserve">The Committee recognizes that national human rights institutions and their respective members and staff should not face any form of reprisal or intimidation, including political pressure, physical intimidation, harassment or unjustifiable budgetary limitations, as a result of activities undertaken in accordance with their respective mandates, including </w:t>
      </w:r>
      <w:r w:rsidR="00432BC6" w:rsidRPr="00432BC6">
        <w:lastRenderedPageBreak/>
        <w:t xml:space="preserve">when taking up individual cases or when reporting on serious or systematic violations in their countries </w:t>
      </w:r>
      <w:r w:rsidR="0029703A">
        <w:t xml:space="preserve">(see </w:t>
      </w:r>
      <w:r w:rsidR="00432BC6" w:rsidRPr="00432BC6">
        <w:t>General Assembly resolution</w:t>
      </w:r>
      <w:r w:rsidR="0029703A">
        <w:t>s</w:t>
      </w:r>
      <w:r w:rsidR="00432BC6" w:rsidRPr="00432BC6">
        <w:t xml:space="preserve"> 68/171 and 70/163 </w:t>
      </w:r>
      <w:r w:rsidR="0029703A">
        <w:t xml:space="preserve">on </w:t>
      </w:r>
      <w:r w:rsidR="00362DBD">
        <w:t>n</w:t>
      </w:r>
      <w:r w:rsidR="00362DBD" w:rsidRPr="00432BC6">
        <w:t xml:space="preserve">ational </w:t>
      </w:r>
      <w:r w:rsidR="0029703A">
        <w:t xml:space="preserve">institutions for the promotion and protection of </w:t>
      </w:r>
      <w:r w:rsidR="00362DBD">
        <w:t>h</w:t>
      </w:r>
      <w:r w:rsidR="00362DBD" w:rsidRPr="00432BC6">
        <w:t xml:space="preserve">uman </w:t>
      </w:r>
      <w:r w:rsidR="00362DBD">
        <w:t>r</w:t>
      </w:r>
      <w:r w:rsidR="00362DBD" w:rsidRPr="00432BC6">
        <w:t>ights</w:t>
      </w:r>
      <w:r w:rsidR="0029703A">
        <w:t>)</w:t>
      </w:r>
      <w:r w:rsidR="00432BC6" w:rsidRPr="00432BC6">
        <w:t>.</w:t>
      </w:r>
    </w:p>
    <w:p w:rsidR="00432BC6" w:rsidRPr="00432BC6" w:rsidRDefault="00A35DD8" w:rsidP="00A35DD8">
      <w:pPr>
        <w:pStyle w:val="SingleTxtG"/>
      </w:pPr>
      <w:r w:rsidRPr="00432BC6">
        <w:t>32.</w:t>
      </w:r>
      <w:r w:rsidRPr="00432BC6">
        <w:tab/>
      </w:r>
      <w:r w:rsidR="00432BC6" w:rsidRPr="00432BC6">
        <w:t xml:space="preserve">The Committee also recognizes the role that national human rights institutions can play in preventing and addressing cases of reprisal </w:t>
      </w:r>
      <w:r w:rsidR="00524B76">
        <w:t>by</w:t>
      </w:r>
      <w:r w:rsidR="00432BC6" w:rsidRPr="00432BC6">
        <w:t xml:space="preserve"> supporting cooperation between their respective State</w:t>
      </w:r>
      <w:r w:rsidR="00A377FA">
        <w:t>s</w:t>
      </w:r>
      <w:r w:rsidR="00432BC6" w:rsidRPr="00432BC6">
        <w:t xml:space="preserve"> parties and the United Nations in the promotion of human rights, including by contributing to follow-up actions, as appropriate, to </w:t>
      </w:r>
      <w:r w:rsidR="00524B76">
        <w:t xml:space="preserve">the </w:t>
      </w:r>
      <w:r w:rsidR="00432BC6" w:rsidRPr="00432BC6">
        <w:t>recommendations made by international human rights mechanisms</w:t>
      </w:r>
      <w:r w:rsidR="00524B76">
        <w:t>.</w:t>
      </w:r>
    </w:p>
    <w:p w:rsidR="00432BC6" w:rsidRPr="00432BC6" w:rsidRDefault="00A35DD8" w:rsidP="00A35DD8">
      <w:pPr>
        <w:pStyle w:val="SingleTxtG"/>
      </w:pPr>
      <w:r w:rsidRPr="00432BC6">
        <w:t>33.</w:t>
      </w:r>
      <w:r w:rsidRPr="00432BC6">
        <w:tab/>
      </w:r>
      <w:r w:rsidR="00432BC6" w:rsidRPr="00432BC6">
        <w:t xml:space="preserve">The Committee emphasizes that any case of alleged reprisal or intimidation against national human rights institutions and their respective members and staff or against individuals who cooperate or seek to cooperate with national human rights institutions should be promptly and thoroughly investigated, </w:t>
      </w:r>
      <w:r w:rsidR="00524B76">
        <w:t>and</w:t>
      </w:r>
      <w:r w:rsidR="00432BC6" w:rsidRPr="00432BC6">
        <w:t xml:space="preserve"> the perpetrators brought to justice</w:t>
      </w:r>
      <w:r w:rsidR="00DE3D3D">
        <w:t>.</w:t>
      </w:r>
    </w:p>
    <w:p w:rsidR="00432BC6" w:rsidRPr="00432BC6" w:rsidRDefault="001D7430">
      <w:pPr>
        <w:pStyle w:val="HChG"/>
      </w:pPr>
      <w:r>
        <w:tab/>
      </w:r>
      <w:r w:rsidR="00524B76">
        <w:t>I</w:t>
      </w:r>
      <w:r w:rsidR="00CD188A">
        <w:t>V</w:t>
      </w:r>
      <w:r w:rsidR="00524B76">
        <w:t>.</w:t>
      </w:r>
      <w:r>
        <w:tab/>
      </w:r>
      <w:r w:rsidR="00432BC6" w:rsidRPr="00432BC6">
        <w:t xml:space="preserve">Monitoring </w:t>
      </w:r>
      <w:r w:rsidR="00524B76">
        <w:t xml:space="preserve">implementation </w:t>
      </w:r>
      <w:r w:rsidR="00432BC6" w:rsidRPr="00432BC6">
        <w:t>of the Convention at the</w:t>
      </w:r>
      <w:r w:rsidR="00524B76">
        <w:t xml:space="preserve"> n</w:t>
      </w:r>
      <w:r w:rsidR="00432BC6" w:rsidRPr="00432BC6">
        <w:t xml:space="preserve">ational </w:t>
      </w:r>
      <w:r w:rsidR="00524B76">
        <w:t>l</w:t>
      </w:r>
      <w:r w:rsidR="00432BC6" w:rsidRPr="00432BC6">
        <w:t>evel</w:t>
      </w:r>
    </w:p>
    <w:p w:rsidR="00432BC6" w:rsidRPr="00432BC6" w:rsidRDefault="00A35DD8" w:rsidP="00A35DD8">
      <w:pPr>
        <w:pStyle w:val="SingleTxtG"/>
      </w:pPr>
      <w:r w:rsidRPr="00432BC6">
        <w:t>34.</w:t>
      </w:r>
      <w:r w:rsidRPr="00432BC6">
        <w:tab/>
      </w:r>
      <w:r w:rsidR="00432BC6" w:rsidRPr="00432BC6">
        <w:t>The Committee recogni</w:t>
      </w:r>
      <w:r w:rsidR="00132C71">
        <w:t>z</w:t>
      </w:r>
      <w:r w:rsidR="00432BC6" w:rsidRPr="00432BC6">
        <w:t>es the importance of the role of independent monitoring frameworks in promoti</w:t>
      </w:r>
      <w:r w:rsidR="005F40CD">
        <w:t>ng</w:t>
      </w:r>
      <w:r w:rsidR="00432BC6" w:rsidRPr="00432BC6">
        <w:t>, protecti</w:t>
      </w:r>
      <w:r w:rsidR="005F40CD">
        <w:t>ng</w:t>
      </w:r>
      <w:r w:rsidR="00432BC6" w:rsidRPr="00432BC6">
        <w:t xml:space="preserve"> and monitoring</w:t>
      </w:r>
      <w:r w:rsidR="005F40CD">
        <w:t xml:space="preserve"> implementation</w:t>
      </w:r>
      <w:r w:rsidR="00432BC6" w:rsidRPr="00432BC6">
        <w:t xml:space="preserve"> of the Convention at the national level. Unlike the Committee, monitoring frameworks consist of, or are composed of</w:t>
      </w:r>
      <w:r w:rsidR="005F40CD">
        <w:t>,</w:t>
      </w:r>
      <w:r w:rsidR="00432BC6" w:rsidRPr="00432BC6">
        <w:t xml:space="preserve"> mechanisms</w:t>
      </w:r>
      <w:r w:rsidR="005F40CD">
        <w:t xml:space="preserve"> that</w:t>
      </w:r>
      <w:r w:rsidR="00432BC6" w:rsidRPr="00432BC6">
        <w:t xml:space="preserve"> operate on a permanent basis and have a close connection with the national, regional and local setting in which the Convention is implemented. </w:t>
      </w:r>
    </w:p>
    <w:p w:rsidR="00432BC6" w:rsidRPr="00432BC6" w:rsidRDefault="00A35DD8" w:rsidP="00A35DD8">
      <w:pPr>
        <w:pStyle w:val="SingleTxtG"/>
      </w:pPr>
      <w:r w:rsidRPr="00432BC6">
        <w:t>35.</w:t>
      </w:r>
      <w:r w:rsidRPr="00432BC6">
        <w:tab/>
      </w:r>
      <w:r w:rsidR="00432BC6" w:rsidRPr="00432BC6">
        <w:t>The Committee also recogni</w:t>
      </w:r>
      <w:r w:rsidR="005F40CD">
        <w:t>z</w:t>
      </w:r>
      <w:r w:rsidR="00432BC6" w:rsidRPr="00432BC6">
        <w:t xml:space="preserve">es the challenges associated with monitoring implementation of the Convention at the </w:t>
      </w:r>
      <w:r w:rsidR="005F40CD">
        <w:t>national</w:t>
      </w:r>
      <w:r w:rsidR="00432BC6" w:rsidRPr="00432BC6">
        <w:t xml:space="preserve"> level, such as the limited availability of reliable data by State part</w:t>
      </w:r>
      <w:r w:rsidR="005F40CD">
        <w:t>y</w:t>
      </w:r>
      <w:r w:rsidR="00432BC6" w:rsidRPr="00432BC6">
        <w:t xml:space="preserve"> institutions; the lack </w:t>
      </w:r>
      <w:r w:rsidR="005F40CD">
        <w:t xml:space="preserve">of </w:t>
      </w:r>
      <w:r w:rsidR="00432BC6" w:rsidRPr="00432BC6">
        <w:t xml:space="preserve">data </w:t>
      </w:r>
      <w:r w:rsidR="005F40CD">
        <w:t xml:space="preserve">disaggregated </w:t>
      </w:r>
      <w:r w:rsidR="00432BC6" w:rsidRPr="00432BC6">
        <w:t xml:space="preserve">by sex, age or type of disability; the </w:t>
      </w:r>
      <w:r w:rsidR="005F40CD">
        <w:t>variety of</w:t>
      </w:r>
      <w:r w:rsidR="00432BC6" w:rsidRPr="00432BC6">
        <w:t xml:space="preserve"> methods and systems in place for assessing disability in different regions, states</w:t>
      </w:r>
      <w:r w:rsidR="005F40CD">
        <w:t xml:space="preserve"> and </w:t>
      </w:r>
      <w:r w:rsidR="00432BC6" w:rsidRPr="00432BC6">
        <w:t xml:space="preserve">provinces </w:t>
      </w:r>
      <w:r w:rsidR="005F40CD">
        <w:t>and in</w:t>
      </w:r>
      <w:r w:rsidR="00432BC6" w:rsidRPr="00432BC6">
        <w:t xml:space="preserve"> different ministries, departments and units; the lack </w:t>
      </w:r>
      <w:r w:rsidR="005F40CD">
        <w:t xml:space="preserve">of </w:t>
      </w:r>
      <w:r w:rsidR="00432BC6" w:rsidRPr="00432BC6">
        <w:t>or insufficient participation of persons with disabilities and their representative organi</w:t>
      </w:r>
      <w:r w:rsidR="005F40CD">
        <w:t>z</w:t>
      </w:r>
      <w:r w:rsidR="00432BC6" w:rsidRPr="00432BC6">
        <w:t>ations in the design and implementation of national census and household surveys; and the prevalence of inadequate systems for the collection of data</w:t>
      </w:r>
      <w:r w:rsidR="005F40CD">
        <w:t xml:space="preserve"> and the fact that data collection systems are often</w:t>
      </w:r>
      <w:r w:rsidR="00432BC6" w:rsidRPr="00432BC6">
        <w:t xml:space="preserve"> based on outdated approaches to disability, such as the medical model of disability. These factors have regularly prevented policymakers from properly assess</w:t>
      </w:r>
      <w:r w:rsidR="005F40CD">
        <w:t>ing</w:t>
      </w:r>
      <w:r w:rsidR="00432BC6" w:rsidRPr="00432BC6">
        <w:t xml:space="preserve"> the situation of persons with disabilities and </w:t>
      </w:r>
      <w:r w:rsidR="005F40CD">
        <w:t xml:space="preserve">prevented the </w:t>
      </w:r>
      <w:r w:rsidR="00432BC6" w:rsidRPr="00432BC6">
        <w:t xml:space="preserve">inclusion </w:t>
      </w:r>
      <w:r w:rsidR="005F40CD">
        <w:t xml:space="preserve">of persons with disabilities </w:t>
      </w:r>
      <w:r w:rsidR="00432BC6" w:rsidRPr="00432BC6">
        <w:t xml:space="preserve">in the design and implementation of mainstream or disability-specific development policies and programmes. </w:t>
      </w:r>
    </w:p>
    <w:p w:rsidR="00432BC6" w:rsidRPr="00432BC6" w:rsidRDefault="00A35DD8" w:rsidP="00A35DD8">
      <w:pPr>
        <w:pStyle w:val="SingleTxtG"/>
      </w:pPr>
      <w:r w:rsidRPr="00432BC6">
        <w:t>36.</w:t>
      </w:r>
      <w:r w:rsidRPr="00432BC6">
        <w:tab/>
      </w:r>
      <w:r w:rsidR="00432BC6" w:rsidRPr="00432BC6">
        <w:t>The Committee acknowledges the initiatives taken at the international, regional and national levels to develop indicators and benchmarks for measuring the implementation of the Convention. The Committee welcomes the fact that data related to</w:t>
      </w:r>
      <w:r w:rsidR="006608DF">
        <w:t xml:space="preserve"> the</w:t>
      </w:r>
      <w:r w:rsidR="00432BC6" w:rsidRPr="00432BC6">
        <w:t xml:space="preserve"> implementation of the 2030 </w:t>
      </w:r>
      <w:r w:rsidR="006608DF">
        <w:t>A</w:t>
      </w:r>
      <w:r w:rsidR="00432BC6" w:rsidRPr="00432BC6">
        <w:t>genda</w:t>
      </w:r>
      <w:r w:rsidR="006608DF">
        <w:t xml:space="preserve"> for Sustainable Development, including</w:t>
      </w:r>
      <w:r w:rsidR="00432BC6" w:rsidRPr="00432BC6">
        <w:t xml:space="preserve"> </w:t>
      </w:r>
      <w:r w:rsidR="006608DF">
        <w:t>the S</w:t>
      </w:r>
      <w:r w:rsidR="00432BC6" w:rsidRPr="00432BC6">
        <w:t xml:space="preserve">ustainable </w:t>
      </w:r>
      <w:r w:rsidR="006608DF">
        <w:t>D</w:t>
      </w:r>
      <w:r w:rsidR="00432BC6" w:rsidRPr="00432BC6">
        <w:t xml:space="preserve">evelopment </w:t>
      </w:r>
      <w:r w:rsidR="006608DF">
        <w:t>G</w:t>
      </w:r>
      <w:r w:rsidR="00432BC6" w:rsidRPr="00432BC6">
        <w:t>oals</w:t>
      </w:r>
      <w:r w:rsidR="006608DF">
        <w:t>,</w:t>
      </w:r>
      <w:r w:rsidR="00432BC6" w:rsidRPr="00432BC6">
        <w:t xml:space="preserve"> will be disaggregated</w:t>
      </w:r>
      <w:r w:rsidR="006608DF">
        <w:t>,</w:t>
      </w:r>
      <w:r w:rsidR="00432BC6" w:rsidRPr="00432BC6">
        <w:t xml:space="preserve"> including on the basis of disability. The Committee also </w:t>
      </w:r>
      <w:r w:rsidR="006608DF" w:rsidRPr="00432BC6">
        <w:t>acknowledg</w:t>
      </w:r>
      <w:r w:rsidR="006608DF">
        <w:t>e</w:t>
      </w:r>
      <w:r w:rsidR="006608DF" w:rsidRPr="00432BC6">
        <w:t xml:space="preserve">s </w:t>
      </w:r>
      <w:r w:rsidR="00432BC6" w:rsidRPr="00432BC6">
        <w:t>that several United Nations agencies have developed</w:t>
      </w:r>
      <w:r w:rsidR="006608DF" w:rsidRPr="006608DF">
        <w:t xml:space="preserve"> </w:t>
      </w:r>
      <w:r w:rsidR="006608DF" w:rsidRPr="00432BC6">
        <w:t>indicators</w:t>
      </w:r>
      <w:r w:rsidR="00432BC6" w:rsidRPr="00432BC6">
        <w:t xml:space="preserve"> or are in the process of</w:t>
      </w:r>
      <w:r w:rsidR="006608DF">
        <w:t xml:space="preserve"> doing so,</w:t>
      </w:r>
      <w:r w:rsidR="00432BC6" w:rsidRPr="00432BC6">
        <w:t xml:space="preserve"> and welcomes</w:t>
      </w:r>
      <w:r w:rsidR="00DE3D3D">
        <w:t>,</w:t>
      </w:r>
      <w:r w:rsidR="00432BC6" w:rsidRPr="00432BC6">
        <w:t xml:space="preserve"> in particular</w:t>
      </w:r>
      <w:r w:rsidR="00DE3D3D">
        <w:t>,</w:t>
      </w:r>
      <w:r w:rsidR="00432BC6" w:rsidRPr="00432BC6">
        <w:t xml:space="preserve"> the development of human rights disability</w:t>
      </w:r>
      <w:r w:rsidR="00DE3D3D">
        <w:t>-</w:t>
      </w:r>
      <w:r w:rsidR="00432BC6" w:rsidRPr="00432BC6">
        <w:t xml:space="preserve">friendly indicators to </w:t>
      </w:r>
      <w:r w:rsidR="006608DF">
        <w:t xml:space="preserve">monitor the </w:t>
      </w:r>
      <w:r w:rsidR="00432BC6" w:rsidRPr="00432BC6">
        <w:t>implementation of the Convention with the active involvement and contribution of civil society and</w:t>
      </w:r>
      <w:r w:rsidR="006608DF">
        <w:t>,</w:t>
      </w:r>
      <w:r w:rsidR="00432BC6" w:rsidRPr="00432BC6">
        <w:t xml:space="preserve"> </w:t>
      </w:r>
      <w:r w:rsidR="006608DF">
        <w:t xml:space="preserve">in </w:t>
      </w:r>
      <w:r w:rsidR="00432BC6" w:rsidRPr="00432BC6">
        <w:t>particular, of persons with disabilities and their representative organizations.</w:t>
      </w:r>
    </w:p>
    <w:p w:rsidR="00432BC6" w:rsidRPr="00432BC6" w:rsidRDefault="00A35DD8" w:rsidP="00A35DD8">
      <w:pPr>
        <w:pStyle w:val="SingleTxtG"/>
      </w:pPr>
      <w:r w:rsidRPr="00432BC6">
        <w:t>37.</w:t>
      </w:r>
      <w:r w:rsidRPr="00432BC6">
        <w:tab/>
      </w:r>
      <w:r w:rsidR="00432BC6" w:rsidRPr="00432BC6">
        <w:t>The Committee observes that data on the situation of persons with disabilities ha</w:t>
      </w:r>
      <w:r w:rsidR="006608DF">
        <w:t>ve</w:t>
      </w:r>
      <w:r w:rsidR="00432BC6" w:rsidRPr="00432BC6">
        <w:t xml:space="preserve"> not been systematically and regularly collected in national statistics systems and </w:t>
      </w:r>
      <w:r w:rsidR="006608DF">
        <w:t xml:space="preserve">that </w:t>
      </w:r>
      <w:r w:rsidR="00432BC6" w:rsidRPr="00432BC6">
        <w:t xml:space="preserve">baselines, indicators and benchmarks have not been regularly used or reflected in data collection and analysis </w:t>
      </w:r>
      <w:r w:rsidR="006608DF">
        <w:t xml:space="preserve">efforts </w:t>
      </w:r>
      <w:r w:rsidR="00432BC6" w:rsidRPr="00432BC6">
        <w:t xml:space="preserve">at the national level. </w:t>
      </w:r>
    </w:p>
    <w:p w:rsidR="00432BC6" w:rsidRPr="00432BC6" w:rsidRDefault="00A35DD8" w:rsidP="00A35DD8">
      <w:pPr>
        <w:pStyle w:val="SingleTxtG"/>
      </w:pPr>
      <w:r w:rsidRPr="00432BC6">
        <w:lastRenderedPageBreak/>
        <w:t>38.</w:t>
      </w:r>
      <w:r w:rsidRPr="00432BC6">
        <w:tab/>
      </w:r>
      <w:r w:rsidR="00432BC6" w:rsidRPr="00432BC6">
        <w:t xml:space="preserve">The Committee considers that collective, coordinated and continuous efforts by national statistical commissions, </w:t>
      </w:r>
      <w:r w:rsidR="005F26B1">
        <w:t xml:space="preserve">the </w:t>
      </w:r>
      <w:r w:rsidR="00432BC6" w:rsidRPr="00432BC6">
        <w:t xml:space="preserve">focal points and coordination mechanisms appointed under article 33 </w:t>
      </w:r>
      <w:r w:rsidR="005F26B1">
        <w:t>(</w:t>
      </w:r>
      <w:r w:rsidR="00432BC6" w:rsidRPr="00432BC6">
        <w:t>1</w:t>
      </w:r>
      <w:r w:rsidR="005F26B1">
        <w:t>)</w:t>
      </w:r>
      <w:r w:rsidR="00432BC6" w:rsidRPr="00432BC6">
        <w:t xml:space="preserve"> of the Convention, United Nations agencies, international cooperation </w:t>
      </w:r>
      <w:r w:rsidR="005F26B1">
        <w:t xml:space="preserve">entities, </w:t>
      </w:r>
      <w:r w:rsidR="00432BC6" w:rsidRPr="00432BC6">
        <w:t>regional organi</w:t>
      </w:r>
      <w:r w:rsidR="005F26B1">
        <w:t>z</w:t>
      </w:r>
      <w:r w:rsidR="00432BC6" w:rsidRPr="00432BC6">
        <w:t>ations, independent monitoring frameworks, civil society organi</w:t>
      </w:r>
      <w:r w:rsidR="005F26B1">
        <w:t>z</w:t>
      </w:r>
      <w:r w:rsidR="00432BC6" w:rsidRPr="00432BC6">
        <w:t>ations and persons with disabilities through their representative organi</w:t>
      </w:r>
      <w:r w:rsidR="005F26B1">
        <w:t>z</w:t>
      </w:r>
      <w:r w:rsidR="00432BC6" w:rsidRPr="00432BC6">
        <w:t xml:space="preserve">ations </w:t>
      </w:r>
      <w:r w:rsidR="005F26B1">
        <w:t xml:space="preserve">are required </w:t>
      </w:r>
      <w:r w:rsidR="00432BC6" w:rsidRPr="00432BC6">
        <w:t>to improve the systems for collecting and analysing data</w:t>
      </w:r>
      <w:r w:rsidR="005F26B1">
        <w:t xml:space="preserve"> and, therefore, for monitoring</w:t>
      </w:r>
      <w:r w:rsidR="00432BC6" w:rsidRPr="00432BC6">
        <w:t xml:space="preserve"> the implementation of the rights set forth in the Convention. </w:t>
      </w:r>
    </w:p>
    <w:p w:rsidR="00432BC6" w:rsidRPr="00432BC6" w:rsidRDefault="00A35DD8" w:rsidP="00A35DD8">
      <w:pPr>
        <w:pStyle w:val="SingleTxtG"/>
      </w:pPr>
      <w:r w:rsidRPr="00432BC6">
        <w:t>39.</w:t>
      </w:r>
      <w:r w:rsidRPr="00432BC6">
        <w:tab/>
      </w:r>
      <w:r w:rsidR="00432BC6" w:rsidRPr="00432BC6">
        <w:t>The Committee considers that the design, implementation and evaluation of national policies and programmes by bodies appointed under article 33</w:t>
      </w:r>
      <w:r w:rsidR="005F26B1">
        <w:t xml:space="preserve"> (</w:t>
      </w:r>
      <w:r w:rsidR="00432BC6" w:rsidRPr="00432BC6">
        <w:t>1</w:t>
      </w:r>
      <w:r w:rsidR="005F26B1">
        <w:t>) of the Convention,</w:t>
      </w:r>
      <w:r w:rsidR="00432BC6" w:rsidRPr="00432BC6">
        <w:t xml:space="preserve"> as</w:t>
      </w:r>
      <w:r w:rsidR="00987B83">
        <w:t xml:space="preserve"> </w:t>
      </w:r>
      <w:r w:rsidR="00432BC6" w:rsidRPr="00432BC6">
        <w:t xml:space="preserve">well </w:t>
      </w:r>
      <w:r w:rsidR="005F26B1">
        <w:t xml:space="preserve">as </w:t>
      </w:r>
      <w:r w:rsidR="00432BC6" w:rsidRPr="00432BC6">
        <w:t xml:space="preserve">monitoring activities </w:t>
      </w:r>
      <w:r w:rsidR="005F26B1">
        <w:t xml:space="preserve">carried out </w:t>
      </w:r>
      <w:r w:rsidR="00432BC6" w:rsidRPr="00432BC6">
        <w:t>under article 33</w:t>
      </w:r>
      <w:r w:rsidR="005F26B1">
        <w:t xml:space="preserve"> (</w:t>
      </w:r>
      <w:r w:rsidR="00432BC6" w:rsidRPr="00432BC6">
        <w:t>2</w:t>
      </w:r>
      <w:r w:rsidR="005F26B1">
        <w:t>),</w:t>
      </w:r>
      <w:r w:rsidR="00432BC6" w:rsidRPr="00432BC6">
        <w:t xml:space="preserve"> </w:t>
      </w:r>
      <w:r w:rsidR="005F26B1">
        <w:t>should</w:t>
      </w:r>
      <w:r w:rsidR="00432BC6" w:rsidRPr="00432BC6">
        <w:t xml:space="preserve"> </w:t>
      </w:r>
      <w:r w:rsidR="005F26B1">
        <w:t>be guided by</w:t>
      </w:r>
      <w:r w:rsidR="00432BC6" w:rsidRPr="00432BC6">
        <w:t xml:space="preserve"> the following principles:</w:t>
      </w:r>
    </w:p>
    <w:p w:rsidR="00432BC6" w:rsidRPr="00432BC6" w:rsidRDefault="00DC55E3" w:rsidP="00A35DD8">
      <w:pPr>
        <w:pStyle w:val="SingleTxtG"/>
        <w:ind w:firstLine="567"/>
      </w:pPr>
      <w:r>
        <w:t>(a)</w:t>
      </w:r>
      <w:r>
        <w:tab/>
      </w:r>
      <w:r w:rsidR="00432BC6" w:rsidRPr="00432BC6">
        <w:t xml:space="preserve">The Convention, being at the same time a human rights and </w:t>
      </w:r>
      <w:r w:rsidR="00991B50">
        <w:t xml:space="preserve">a </w:t>
      </w:r>
      <w:r w:rsidR="00432BC6" w:rsidRPr="00432BC6">
        <w:t xml:space="preserve">development instrument, is the legal framework </w:t>
      </w:r>
      <w:r w:rsidR="00991B50">
        <w:t>that</w:t>
      </w:r>
      <w:r w:rsidR="00432BC6" w:rsidRPr="00432BC6">
        <w:t xml:space="preserve"> should be taken into account in the design, implementation, evaluation and monitoring of all development policies and programmes </w:t>
      </w:r>
      <w:r w:rsidR="00991B50">
        <w:t>falling with</w:t>
      </w:r>
      <w:r w:rsidR="00432BC6" w:rsidRPr="00432BC6">
        <w:t xml:space="preserve">in the framework of the 2030 </w:t>
      </w:r>
      <w:r w:rsidR="00991B50">
        <w:t>Agenda for Sustainable D</w:t>
      </w:r>
      <w:r w:rsidR="00432BC6" w:rsidRPr="00432BC6">
        <w:t>evelopment</w:t>
      </w:r>
      <w:r w:rsidR="00991B50">
        <w:t>, including the</w:t>
      </w:r>
      <w:r w:rsidR="00432BC6" w:rsidRPr="00432BC6">
        <w:t xml:space="preserve"> </w:t>
      </w:r>
      <w:r w:rsidR="00991B50">
        <w:t>S</w:t>
      </w:r>
      <w:r w:rsidR="00432BC6" w:rsidRPr="00432BC6">
        <w:t xml:space="preserve">ustainable </w:t>
      </w:r>
      <w:r w:rsidR="00991B50">
        <w:t>D</w:t>
      </w:r>
      <w:r w:rsidR="00432BC6" w:rsidRPr="00432BC6">
        <w:t xml:space="preserve">evelopment </w:t>
      </w:r>
      <w:r w:rsidR="00991B50">
        <w:t>G</w:t>
      </w:r>
      <w:r w:rsidR="00432BC6" w:rsidRPr="00432BC6">
        <w:t>oals</w:t>
      </w:r>
      <w:r w:rsidR="00991B50">
        <w:t>;</w:t>
      </w:r>
    </w:p>
    <w:p w:rsidR="00432BC6" w:rsidRPr="00432BC6" w:rsidRDefault="00DC55E3" w:rsidP="00A35DD8">
      <w:pPr>
        <w:pStyle w:val="SingleTxtG"/>
        <w:ind w:firstLine="567"/>
      </w:pPr>
      <w:r>
        <w:t>(b)</w:t>
      </w:r>
      <w:r>
        <w:tab/>
      </w:r>
      <w:r w:rsidR="00432BC6" w:rsidRPr="00432BC6">
        <w:t xml:space="preserve">Implementation of the 2030 </w:t>
      </w:r>
      <w:r w:rsidR="00991B50">
        <w:t>Agenda for Sustainable D</w:t>
      </w:r>
      <w:r w:rsidR="00991B50" w:rsidRPr="00432BC6">
        <w:t>evelopment</w:t>
      </w:r>
      <w:r w:rsidR="00991B50">
        <w:t>,</w:t>
      </w:r>
      <w:r w:rsidR="00991B50" w:rsidRPr="00432BC6" w:rsidDel="00991B50">
        <w:t xml:space="preserve"> </w:t>
      </w:r>
      <w:r w:rsidR="00991B50">
        <w:t>including the</w:t>
      </w:r>
      <w:r w:rsidR="00432BC6" w:rsidRPr="00432BC6">
        <w:t xml:space="preserve"> </w:t>
      </w:r>
      <w:r w:rsidR="00991B50">
        <w:t>S</w:t>
      </w:r>
      <w:r w:rsidR="00432BC6" w:rsidRPr="00432BC6">
        <w:t xml:space="preserve">ustainable </w:t>
      </w:r>
      <w:r w:rsidR="00991B50">
        <w:t>D</w:t>
      </w:r>
      <w:r w:rsidR="00432BC6" w:rsidRPr="00432BC6">
        <w:t xml:space="preserve">evelopment </w:t>
      </w:r>
      <w:r w:rsidR="00991B50">
        <w:t>G</w:t>
      </w:r>
      <w:r w:rsidR="00432BC6" w:rsidRPr="00432BC6">
        <w:t>oals</w:t>
      </w:r>
      <w:r w:rsidR="00991B50">
        <w:t>,</w:t>
      </w:r>
      <w:r w:rsidR="00432BC6" w:rsidRPr="00432BC6">
        <w:t xml:space="preserve"> in relation to persons with disabilities should take into account the relevant</w:t>
      </w:r>
      <w:r w:rsidR="00991B50" w:rsidRPr="00991B50">
        <w:t xml:space="preserve"> </w:t>
      </w:r>
      <w:r w:rsidR="00991B50" w:rsidRPr="00432BC6">
        <w:t>international</w:t>
      </w:r>
      <w:r w:rsidR="00432BC6" w:rsidRPr="00432BC6">
        <w:t xml:space="preserve"> human rights framework and</w:t>
      </w:r>
      <w:r w:rsidR="00991B50">
        <w:t>, in</w:t>
      </w:r>
      <w:r w:rsidR="00432BC6" w:rsidRPr="00432BC6">
        <w:t xml:space="preserve"> particular, the Convention</w:t>
      </w:r>
      <w:r w:rsidR="00991B50">
        <w:t>;</w:t>
      </w:r>
    </w:p>
    <w:p w:rsidR="00432BC6" w:rsidRPr="00432BC6" w:rsidRDefault="00DC55E3" w:rsidP="00A35DD8">
      <w:pPr>
        <w:pStyle w:val="SingleTxtG"/>
        <w:ind w:firstLine="567"/>
      </w:pPr>
      <w:r>
        <w:t>(c)</w:t>
      </w:r>
      <w:r>
        <w:tab/>
      </w:r>
      <w:r w:rsidR="000E2A5D">
        <w:t>P</w:t>
      </w:r>
      <w:r w:rsidR="000E2A5D" w:rsidRPr="00432BC6">
        <w:t>olicies and programmes</w:t>
      </w:r>
      <w:r w:rsidR="000E2A5D">
        <w:t xml:space="preserve"> should be</w:t>
      </w:r>
      <w:r w:rsidR="00432BC6" w:rsidRPr="00432BC6">
        <w:t xml:space="preserve"> design</w:t>
      </w:r>
      <w:r w:rsidR="000E2A5D">
        <w:t>ed</w:t>
      </w:r>
      <w:r w:rsidR="00432BC6" w:rsidRPr="00432BC6">
        <w:t>, implement</w:t>
      </w:r>
      <w:r w:rsidR="000E2A5D">
        <w:t>ed</w:t>
      </w:r>
      <w:r w:rsidR="00432BC6" w:rsidRPr="00432BC6">
        <w:t>, evaluat</w:t>
      </w:r>
      <w:r w:rsidR="000E2A5D">
        <w:t>ed</w:t>
      </w:r>
      <w:r w:rsidR="00432BC6" w:rsidRPr="00432BC6">
        <w:t xml:space="preserve"> and monitor</w:t>
      </w:r>
      <w:r w:rsidR="000E2A5D">
        <w:t>ed</w:t>
      </w:r>
      <w:r w:rsidR="00432BC6" w:rsidRPr="00432BC6">
        <w:t xml:space="preserve"> taking into account the human rights model of disability enshrined in the Convention and should be aimed at identifying and bridging the gaps that prevent persons with disabilities </w:t>
      </w:r>
      <w:r w:rsidR="000E2A5D">
        <w:t>—</w:t>
      </w:r>
      <w:r w:rsidR="00432BC6" w:rsidRPr="00432BC6">
        <w:t xml:space="preserve"> as rights holders</w:t>
      </w:r>
      <w:r w:rsidR="000E2A5D">
        <w:t xml:space="preserve"> —</w:t>
      </w:r>
      <w:r w:rsidR="00432BC6" w:rsidRPr="00432BC6">
        <w:t xml:space="preserve"> from fully enjoying their rights</w:t>
      </w:r>
      <w:r w:rsidR="000E2A5D">
        <w:t>,</w:t>
      </w:r>
      <w:r w:rsidR="00432BC6" w:rsidRPr="00432BC6">
        <w:t xml:space="preserve"> as well as the gaps </w:t>
      </w:r>
      <w:r w:rsidR="000E2A5D">
        <w:t>that</w:t>
      </w:r>
      <w:r w:rsidR="00432BC6" w:rsidRPr="00432BC6">
        <w:t xml:space="preserve"> infringe on duty bearers to fully discharge their legal </w:t>
      </w:r>
      <w:r w:rsidR="00DE3D3D">
        <w:t>obligations</w:t>
      </w:r>
      <w:r w:rsidR="00432BC6" w:rsidRPr="00432BC6">
        <w:t xml:space="preserve"> to respect, protect and fulfil the rights of persons with disabilities</w:t>
      </w:r>
      <w:r w:rsidR="000E2A5D">
        <w:t>;</w:t>
      </w:r>
      <w:r w:rsidR="00432BC6" w:rsidRPr="00432BC6">
        <w:t xml:space="preserve"> </w:t>
      </w:r>
    </w:p>
    <w:p w:rsidR="00432BC6" w:rsidRPr="00432BC6" w:rsidRDefault="00DC55E3" w:rsidP="00A35DD8">
      <w:pPr>
        <w:pStyle w:val="SingleTxtG"/>
        <w:ind w:firstLine="567"/>
      </w:pPr>
      <w:r>
        <w:t>(d)</w:t>
      </w:r>
      <w:r>
        <w:tab/>
      </w:r>
      <w:r w:rsidR="00432BC6" w:rsidRPr="00432BC6">
        <w:t xml:space="preserve">The twin-track approach to disability should be reflected in the monitoring of policies and programmes; monitoring </w:t>
      </w:r>
      <w:r w:rsidR="000E2A5D">
        <w:t xml:space="preserve">activities </w:t>
      </w:r>
      <w:r w:rsidR="00432BC6" w:rsidRPr="00432BC6">
        <w:t xml:space="preserve">should </w:t>
      </w:r>
      <w:r w:rsidR="000E2A5D">
        <w:t xml:space="preserve">aim to </w:t>
      </w:r>
      <w:r w:rsidR="00432BC6" w:rsidRPr="00432BC6">
        <w:t>measure the impact of mainstream policies and programmes on persons with disabilities</w:t>
      </w:r>
      <w:r w:rsidR="000E2A5D">
        <w:t>,</w:t>
      </w:r>
      <w:r w:rsidR="00432BC6" w:rsidRPr="00432BC6">
        <w:t xml:space="preserve"> as well as </w:t>
      </w:r>
      <w:r w:rsidR="000E2A5D">
        <w:t xml:space="preserve">the impact of </w:t>
      </w:r>
      <w:r w:rsidR="00432BC6" w:rsidRPr="00432BC6">
        <w:t>disability-specific policies. The twin</w:t>
      </w:r>
      <w:r w:rsidR="000E2A5D">
        <w:t>-</w:t>
      </w:r>
      <w:r w:rsidR="00432BC6" w:rsidRPr="00432BC6">
        <w:t>track approach combine</w:t>
      </w:r>
      <w:r w:rsidR="000E2A5D">
        <w:t>s the use of</w:t>
      </w:r>
      <w:r w:rsidR="00432BC6" w:rsidRPr="00432BC6">
        <w:t xml:space="preserve"> disability</w:t>
      </w:r>
      <w:r w:rsidR="000E2A5D">
        <w:t>-</w:t>
      </w:r>
      <w:r w:rsidR="00432BC6" w:rsidRPr="00432BC6">
        <w:t xml:space="preserve">specific policies </w:t>
      </w:r>
      <w:r w:rsidR="000E2A5D">
        <w:t>aimed at</w:t>
      </w:r>
      <w:r w:rsidR="00432BC6" w:rsidRPr="00432BC6">
        <w:t xml:space="preserve"> supporting and empowering persons with disabilities with the mainstreaming of disability rights across general policies and programmes</w:t>
      </w:r>
      <w:r w:rsidR="000E2A5D">
        <w:t>;</w:t>
      </w:r>
    </w:p>
    <w:p w:rsidR="00432BC6" w:rsidRPr="00432BC6" w:rsidRDefault="00DC55E3" w:rsidP="00A35DD8">
      <w:pPr>
        <w:pStyle w:val="SingleTxtG"/>
        <w:ind w:firstLine="567"/>
      </w:pPr>
      <w:r>
        <w:t>(e)</w:t>
      </w:r>
      <w:r>
        <w:tab/>
      </w:r>
      <w:r w:rsidR="00432BC6" w:rsidRPr="00432BC6">
        <w:t>Persons with disabilities</w:t>
      </w:r>
      <w:r w:rsidR="000E2A5D">
        <w:t>,</w:t>
      </w:r>
      <w:r w:rsidR="00432BC6" w:rsidRPr="00432BC6">
        <w:t xml:space="preserve"> through their representative organi</w:t>
      </w:r>
      <w:r w:rsidR="000E2A5D">
        <w:t>z</w:t>
      </w:r>
      <w:r w:rsidR="00432BC6" w:rsidRPr="00432BC6">
        <w:t>ations and as individual experts</w:t>
      </w:r>
      <w:r w:rsidR="000E2A5D">
        <w:t>,</w:t>
      </w:r>
      <w:r w:rsidR="00432BC6" w:rsidRPr="00432BC6">
        <w:t xml:space="preserve"> should participate</w:t>
      </w:r>
      <w:r w:rsidR="000E2A5D" w:rsidRPr="000E2A5D">
        <w:t xml:space="preserve"> </w:t>
      </w:r>
      <w:r w:rsidR="000E2A5D" w:rsidRPr="00432BC6">
        <w:t>meaningfully</w:t>
      </w:r>
      <w:r w:rsidR="00432BC6" w:rsidRPr="00432BC6">
        <w:t xml:space="preserve"> and be involved in the design, implementation, evaluation and monitoring of policies and programmes</w:t>
      </w:r>
      <w:r w:rsidR="000E2A5D">
        <w:t>;</w:t>
      </w:r>
    </w:p>
    <w:p w:rsidR="00432BC6" w:rsidRPr="00432BC6" w:rsidRDefault="00DC55E3" w:rsidP="00A35DD8">
      <w:pPr>
        <w:pStyle w:val="SingleTxtG"/>
        <w:ind w:firstLine="567"/>
      </w:pPr>
      <w:r>
        <w:t>(f)</w:t>
      </w:r>
      <w:r>
        <w:tab/>
      </w:r>
      <w:r w:rsidR="000E2A5D">
        <w:t>D</w:t>
      </w:r>
      <w:r w:rsidR="00432BC6" w:rsidRPr="00432BC6">
        <w:t>ata</w:t>
      </w:r>
      <w:r w:rsidR="000E2A5D">
        <w:t xml:space="preserve"> must be</w:t>
      </w:r>
      <w:r w:rsidR="00432BC6" w:rsidRPr="00432BC6">
        <w:t xml:space="preserve"> disaggregat</w:t>
      </w:r>
      <w:r w:rsidR="000E2A5D">
        <w:t>ed by</w:t>
      </w:r>
      <w:r w:rsidR="00432BC6" w:rsidRPr="00432BC6">
        <w:t xml:space="preserve"> sex, age and type of disability </w:t>
      </w:r>
      <w:r w:rsidR="000E2A5D">
        <w:t>in order to</w:t>
      </w:r>
      <w:r w:rsidR="00432BC6" w:rsidRPr="00432BC6">
        <w:t xml:space="preserve"> ensur</w:t>
      </w:r>
      <w:r w:rsidR="000E2A5D">
        <w:t xml:space="preserve">e </w:t>
      </w:r>
      <w:r w:rsidR="00432BC6" w:rsidRPr="00432BC6">
        <w:t>that at all the stages of policy planning</w:t>
      </w:r>
      <w:r w:rsidR="004D716C">
        <w:t>,</w:t>
      </w:r>
      <w:r w:rsidR="00432BC6" w:rsidRPr="00432BC6">
        <w:t xml:space="preserve"> implementation</w:t>
      </w:r>
      <w:r w:rsidR="004D716C">
        <w:t xml:space="preserve"> and</w:t>
      </w:r>
      <w:r w:rsidR="00432BC6" w:rsidRPr="00432BC6">
        <w:t xml:space="preserve"> monitoring no one is excluded;</w:t>
      </w:r>
    </w:p>
    <w:p w:rsidR="00432BC6" w:rsidRPr="00432BC6" w:rsidRDefault="00DC55E3" w:rsidP="00A35DD8">
      <w:pPr>
        <w:pStyle w:val="SingleTxtG"/>
        <w:ind w:firstLine="567"/>
      </w:pPr>
      <w:r>
        <w:t>(g)</w:t>
      </w:r>
      <w:r>
        <w:tab/>
      </w:r>
      <w:r w:rsidR="00432BC6" w:rsidRPr="00432BC6">
        <w:t>Monitoring activities should not only focus on the results or outcomes of policies and programmes but also take into account the structural and policy frameworks</w:t>
      </w:r>
      <w:r w:rsidR="004D716C">
        <w:t xml:space="preserve"> and</w:t>
      </w:r>
      <w:r w:rsidR="00432BC6" w:rsidRPr="00432BC6">
        <w:t xml:space="preserve"> the processes in place to achiev</w:t>
      </w:r>
      <w:r w:rsidR="004D716C">
        <w:t>e</w:t>
      </w:r>
      <w:r w:rsidR="00432BC6" w:rsidRPr="00432BC6">
        <w:t xml:space="preserve"> such results. In th</w:t>
      </w:r>
      <w:r w:rsidR="00DE3D3D">
        <w:t>at</w:t>
      </w:r>
      <w:r w:rsidR="00432BC6" w:rsidRPr="00432BC6">
        <w:t xml:space="preserve"> regard, the Committee encourages independent monitoring frameworks to take into account the human rights</w:t>
      </w:r>
      <w:r w:rsidR="004D716C">
        <w:t>-</w:t>
      </w:r>
      <w:r w:rsidR="00432BC6" w:rsidRPr="00432BC6">
        <w:t xml:space="preserve">based approach to indicators developed by the Office of the </w:t>
      </w:r>
      <w:r w:rsidR="004D716C">
        <w:t xml:space="preserve">United Nations </w:t>
      </w:r>
      <w:r w:rsidR="00432BC6" w:rsidRPr="00432BC6">
        <w:t xml:space="preserve">High Commissioner </w:t>
      </w:r>
      <w:r w:rsidR="004D716C">
        <w:t>for</w:t>
      </w:r>
      <w:r w:rsidR="00432BC6" w:rsidRPr="00432BC6">
        <w:t xml:space="preserve"> Human Rights.</w:t>
      </w:r>
    </w:p>
    <w:p w:rsidR="00432BC6" w:rsidRPr="00432BC6" w:rsidRDefault="00A35DD8" w:rsidP="00A35DD8">
      <w:pPr>
        <w:pStyle w:val="SingleTxtG"/>
        <w:keepNext/>
      </w:pPr>
      <w:r w:rsidRPr="00432BC6">
        <w:lastRenderedPageBreak/>
        <w:t>40.</w:t>
      </w:r>
      <w:r w:rsidRPr="00432BC6">
        <w:tab/>
      </w:r>
      <w:r w:rsidR="00432BC6" w:rsidRPr="00432BC6">
        <w:t>The Committee encourages independent monitoring frameworks</w:t>
      </w:r>
      <w:r w:rsidR="00674935">
        <w:t>, in</w:t>
      </w:r>
      <w:r w:rsidR="00432BC6" w:rsidRPr="00432BC6">
        <w:t xml:space="preserve"> </w:t>
      </w:r>
      <w:r w:rsidR="00674935" w:rsidRPr="00432BC6">
        <w:t xml:space="preserve">carrying out </w:t>
      </w:r>
      <w:r w:rsidR="00674935">
        <w:t xml:space="preserve">their </w:t>
      </w:r>
      <w:r w:rsidR="00674935" w:rsidRPr="00432BC6">
        <w:t>monitoring activities</w:t>
      </w:r>
      <w:r w:rsidR="00674935">
        <w:t>,</w:t>
      </w:r>
      <w:r w:rsidR="00674935" w:rsidRPr="00432BC6">
        <w:t xml:space="preserve"> </w:t>
      </w:r>
      <w:r w:rsidR="00432BC6" w:rsidRPr="00432BC6">
        <w:t>to take into account:</w:t>
      </w:r>
    </w:p>
    <w:p w:rsidR="00432BC6" w:rsidRPr="00432BC6" w:rsidRDefault="00DC55E3" w:rsidP="00A35DD8">
      <w:pPr>
        <w:pStyle w:val="SingleTxtG"/>
        <w:ind w:firstLine="567"/>
      </w:pPr>
      <w:r>
        <w:t>(a)</w:t>
      </w:r>
      <w:r>
        <w:tab/>
      </w:r>
      <w:r w:rsidR="00432BC6" w:rsidRPr="00432BC6">
        <w:t xml:space="preserve">The recommendations </w:t>
      </w:r>
      <w:r w:rsidR="00674935">
        <w:t xml:space="preserve">made by the Committee </w:t>
      </w:r>
      <w:r w:rsidR="00432BC6" w:rsidRPr="00432BC6">
        <w:t>in</w:t>
      </w:r>
      <w:r w:rsidR="00674935">
        <w:t xml:space="preserve"> its</w:t>
      </w:r>
      <w:r w:rsidR="00432BC6" w:rsidRPr="00432BC6">
        <w:t xml:space="preserve"> </w:t>
      </w:r>
      <w:r w:rsidR="00674935">
        <w:t>c</w:t>
      </w:r>
      <w:r w:rsidR="00432BC6" w:rsidRPr="00432BC6">
        <w:t xml:space="preserve">oncluding </w:t>
      </w:r>
      <w:r w:rsidR="00674935">
        <w:t>o</w:t>
      </w:r>
      <w:r w:rsidR="00432BC6" w:rsidRPr="00432BC6">
        <w:t xml:space="preserve">bservations and </w:t>
      </w:r>
      <w:r w:rsidR="00674935">
        <w:t xml:space="preserve">its </w:t>
      </w:r>
      <w:r w:rsidR="00432BC6" w:rsidRPr="00432BC6">
        <w:t xml:space="preserve">Views on </w:t>
      </w:r>
      <w:r w:rsidR="00674935">
        <w:t>c</w:t>
      </w:r>
      <w:r w:rsidR="00432BC6" w:rsidRPr="00432BC6">
        <w:t xml:space="preserve">ommunications, which are regularly compiled and summarized in biennial reports to the General Assembly and </w:t>
      </w:r>
      <w:r w:rsidR="00674935">
        <w:t xml:space="preserve">the </w:t>
      </w:r>
      <w:r w:rsidR="00432BC6" w:rsidRPr="00432BC6">
        <w:t>Economic and Social Council;</w:t>
      </w:r>
    </w:p>
    <w:p w:rsidR="00432BC6" w:rsidRPr="00432BC6" w:rsidRDefault="00DC55E3" w:rsidP="00A35DD8">
      <w:pPr>
        <w:pStyle w:val="SingleTxtG"/>
        <w:ind w:firstLine="567"/>
      </w:pPr>
      <w:r>
        <w:t>(b)</w:t>
      </w:r>
      <w:r>
        <w:tab/>
      </w:r>
      <w:r w:rsidR="00432BC6" w:rsidRPr="00432BC6">
        <w:t>When available, the recommendations contained in reports o</w:t>
      </w:r>
      <w:r w:rsidR="00674935">
        <w:t>n</w:t>
      </w:r>
      <w:r w:rsidR="00432BC6" w:rsidRPr="00432BC6">
        <w:t xml:space="preserve"> inquiries carried out by the Committee;</w:t>
      </w:r>
    </w:p>
    <w:p w:rsidR="00432BC6" w:rsidRPr="00432BC6" w:rsidRDefault="00DC55E3" w:rsidP="00A35DD8">
      <w:pPr>
        <w:pStyle w:val="SingleTxtG"/>
        <w:ind w:firstLine="567"/>
      </w:pPr>
      <w:r>
        <w:t>(c)</w:t>
      </w:r>
      <w:r>
        <w:tab/>
      </w:r>
      <w:r w:rsidR="00432BC6" w:rsidRPr="00432BC6">
        <w:t xml:space="preserve">The Committee’s </w:t>
      </w:r>
      <w:r w:rsidR="00674935">
        <w:t>g</w:t>
      </w:r>
      <w:r w:rsidR="00432BC6" w:rsidRPr="00432BC6">
        <w:t xml:space="preserve">eneral </w:t>
      </w:r>
      <w:r w:rsidR="00674935">
        <w:t>c</w:t>
      </w:r>
      <w:r w:rsidR="00432BC6" w:rsidRPr="00432BC6">
        <w:t xml:space="preserve">omments and guidelines </w:t>
      </w:r>
      <w:r w:rsidR="00674935">
        <w:t>related to</w:t>
      </w:r>
      <w:r w:rsidR="00432BC6" w:rsidRPr="00432BC6">
        <w:t xml:space="preserve"> </w:t>
      </w:r>
      <w:r w:rsidR="00674935">
        <w:t>the</w:t>
      </w:r>
      <w:r w:rsidR="00432BC6" w:rsidRPr="00432BC6">
        <w:t xml:space="preserve"> provisions of the Convention;</w:t>
      </w:r>
    </w:p>
    <w:p w:rsidR="00432BC6" w:rsidRPr="00432BC6" w:rsidRDefault="00DC55E3" w:rsidP="00A35DD8">
      <w:pPr>
        <w:pStyle w:val="SingleTxtG"/>
        <w:ind w:firstLine="567"/>
      </w:pPr>
      <w:r>
        <w:t>(d)</w:t>
      </w:r>
      <w:r>
        <w:tab/>
      </w:r>
      <w:r w:rsidR="00432BC6" w:rsidRPr="00432BC6">
        <w:t>The guidelines on the simplified reporting procedure</w:t>
      </w:r>
      <w:r w:rsidR="00674935">
        <w:t>,</w:t>
      </w:r>
      <w:r w:rsidR="00432BC6" w:rsidRPr="00432BC6">
        <w:t xml:space="preserve"> which reflect the developments of the jurisprudence of the Committee and take stock of efforts </w:t>
      </w:r>
      <w:r w:rsidR="00674935">
        <w:t>made by</w:t>
      </w:r>
      <w:r w:rsidR="00432BC6" w:rsidRPr="00432BC6">
        <w:t xml:space="preserve"> the United Nations and </w:t>
      </w:r>
      <w:r w:rsidR="00674935">
        <w:t xml:space="preserve">at the </w:t>
      </w:r>
      <w:r w:rsidR="00432BC6" w:rsidRPr="00432BC6">
        <w:t xml:space="preserve">regional level </w:t>
      </w:r>
      <w:r w:rsidR="00674935">
        <w:t>to</w:t>
      </w:r>
      <w:r w:rsidR="00432BC6" w:rsidRPr="00432BC6">
        <w:t xml:space="preserve"> develop baselines, indicators and benchmarks for measuring implementation of the Convention</w:t>
      </w:r>
      <w:r w:rsidR="00674935">
        <w:t>.</w:t>
      </w:r>
    </w:p>
    <w:p w:rsidR="00432BC6" w:rsidRPr="00432BC6" w:rsidRDefault="00DE3D3D">
      <w:pPr>
        <w:pStyle w:val="SingleTxtG"/>
      </w:pPr>
      <w:r>
        <w:t>41.</w:t>
      </w:r>
      <w:r>
        <w:tab/>
      </w:r>
      <w:r w:rsidR="00432BC6" w:rsidRPr="00432BC6">
        <w:t>The above-mentioned tools can be used by monitoring frameworks</w:t>
      </w:r>
      <w:r w:rsidR="00674935">
        <w:t xml:space="preserve"> to</w:t>
      </w:r>
      <w:r w:rsidR="00432BC6" w:rsidRPr="00432BC6">
        <w:t xml:space="preserve">, inter alia, design and implement monitoring plans, </w:t>
      </w:r>
      <w:r w:rsidR="00674935">
        <w:t xml:space="preserve">to </w:t>
      </w:r>
      <w:r w:rsidR="00432BC6" w:rsidRPr="00432BC6">
        <w:t>assess the extent to which State part</w:t>
      </w:r>
      <w:r w:rsidR="00674935">
        <w:t>y</w:t>
      </w:r>
      <w:r w:rsidR="00432BC6" w:rsidRPr="00432BC6">
        <w:t xml:space="preserve"> legislation, policies and programmes are consistent with the Convention and </w:t>
      </w:r>
      <w:r w:rsidR="00674935">
        <w:t xml:space="preserve">to carry out </w:t>
      </w:r>
      <w:r w:rsidR="00432BC6" w:rsidRPr="00432BC6">
        <w:t>advocacy, awareness</w:t>
      </w:r>
      <w:r w:rsidR="00674935">
        <w:t>-</w:t>
      </w:r>
      <w:r w:rsidR="00432BC6" w:rsidRPr="00432BC6">
        <w:t>raising and capacity</w:t>
      </w:r>
      <w:r w:rsidR="00674935">
        <w:t>-</w:t>
      </w:r>
      <w:r w:rsidR="00432BC6" w:rsidRPr="00432BC6">
        <w:t>building efforts.</w:t>
      </w:r>
    </w:p>
    <w:p w:rsidR="00432BC6" w:rsidRDefault="00DE3D3D" w:rsidP="00A35DD8">
      <w:pPr>
        <w:pStyle w:val="SingleTxtG"/>
      </w:pPr>
      <w:r>
        <w:t>42.</w:t>
      </w:r>
      <w:r>
        <w:tab/>
      </w:r>
      <w:r w:rsidR="00432BC6" w:rsidRPr="00432BC6">
        <w:t xml:space="preserve">The Committee encourages the Office of the </w:t>
      </w:r>
      <w:r w:rsidR="00674935">
        <w:t xml:space="preserve">United Nations </w:t>
      </w:r>
      <w:r w:rsidR="00432BC6" w:rsidRPr="00432BC6">
        <w:t xml:space="preserve">High Commissioner </w:t>
      </w:r>
      <w:r w:rsidR="00674935">
        <w:t>for</w:t>
      </w:r>
      <w:r w:rsidR="00432BC6" w:rsidRPr="00432BC6">
        <w:t xml:space="preserve"> Human Rights</w:t>
      </w:r>
      <w:r w:rsidR="00674935">
        <w:t>,</w:t>
      </w:r>
      <w:r w:rsidR="00432BC6" w:rsidRPr="00432BC6">
        <w:t xml:space="preserve"> in cooperation with independent monitoring framework</w:t>
      </w:r>
      <w:r w:rsidR="00674935">
        <w:t>s</w:t>
      </w:r>
      <w:r w:rsidR="00432BC6" w:rsidRPr="00432BC6">
        <w:t xml:space="preserve">, </w:t>
      </w:r>
      <w:r w:rsidR="00674935">
        <w:t>n</w:t>
      </w:r>
      <w:r w:rsidR="00432BC6" w:rsidRPr="00432BC6">
        <w:t xml:space="preserve">ational </w:t>
      </w:r>
      <w:r w:rsidR="00674935">
        <w:t>h</w:t>
      </w:r>
      <w:r w:rsidR="00432BC6" w:rsidRPr="00432BC6">
        <w:t xml:space="preserve">uman </w:t>
      </w:r>
      <w:r w:rsidR="00674935">
        <w:t>r</w:t>
      </w:r>
      <w:r w:rsidR="00432BC6" w:rsidRPr="00432BC6">
        <w:t xml:space="preserve">ights </w:t>
      </w:r>
      <w:r w:rsidR="00674935">
        <w:t>i</w:t>
      </w:r>
      <w:r w:rsidR="00432BC6" w:rsidRPr="00432BC6">
        <w:t>nstitutions and their global and regional networks</w:t>
      </w:r>
      <w:r w:rsidR="00674935">
        <w:t>,</w:t>
      </w:r>
      <w:r w:rsidR="00432BC6" w:rsidRPr="00432BC6">
        <w:t xml:space="preserve"> to develop and maintain a database on international, regional and national good practices </w:t>
      </w:r>
      <w:r w:rsidR="00674935">
        <w:t>for</w:t>
      </w:r>
      <w:r w:rsidR="00432BC6" w:rsidRPr="00432BC6">
        <w:t xml:space="preserve"> the development of indicators and benchmarks for measuring implementation of the Convention. </w:t>
      </w:r>
    </w:p>
    <w:p w:rsidR="001C6663" w:rsidRPr="00A21A5A" w:rsidRDefault="00A21A5A" w:rsidP="00A35DD8">
      <w:pPr>
        <w:pStyle w:val="SingleTxtG"/>
        <w:spacing w:before="240" w:after="0"/>
        <w:jc w:val="center"/>
        <w:rPr>
          <w:u w:val="single"/>
        </w:rPr>
      </w:pPr>
      <w:r>
        <w:rPr>
          <w:u w:val="single"/>
        </w:rPr>
        <w:tab/>
      </w:r>
      <w:r>
        <w:rPr>
          <w:u w:val="single"/>
        </w:rPr>
        <w:tab/>
      </w:r>
      <w:r>
        <w:rPr>
          <w:u w:val="single"/>
        </w:rPr>
        <w:tab/>
      </w:r>
      <w:bookmarkStart w:id="0" w:name="_GoBack"/>
      <w:bookmarkEnd w:id="0"/>
    </w:p>
    <w:sectPr w:rsidR="001C6663" w:rsidRPr="00A21A5A" w:rsidSect="001611CF">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6F" w:rsidRDefault="0067616F"/>
    <w:p w:rsidR="0067616F" w:rsidRDefault="0067616F"/>
  </w:endnote>
  <w:endnote w:type="continuationSeparator" w:id="0">
    <w:p w:rsidR="0067616F" w:rsidRDefault="0067616F"/>
    <w:p w:rsidR="0067616F" w:rsidRDefault="0067616F"/>
  </w:endnote>
  <w:endnote w:type="continuationNotice" w:id="1">
    <w:p w:rsidR="0067616F" w:rsidRDefault="0067616F"/>
    <w:p w:rsidR="0067616F" w:rsidRDefault="00676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F" w:rsidRDefault="001611CF" w:rsidP="00A35DD8">
    <w:pPr>
      <w:pStyle w:val="Pieddepage"/>
      <w:tabs>
        <w:tab w:val="right" w:pos="9638"/>
      </w:tabs>
    </w:pPr>
    <w:r w:rsidRPr="00070BFB">
      <w:rPr>
        <w:b/>
        <w:sz w:val="18"/>
      </w:rPr>
      <w:fldChar w:fldCharType="begin"/>
    </w:r>
    <w:r w:rsidRPr="00070BFB">
      <w:rPr>
        <w:b/>
        <w:sz w:val="18"/>
      </w:rPr>
      <w:instrText xml:space="preserve"> PAGE  \* MERGEFORMAT </w:instrText>
    </w:r>
    <w:r w:rsidRPr="00070BFB">
      <w:rPr>
        <w:b/>
        <w:sz w:val="18"/>
      </w:rPr>
      <w:fldChar w:fldCharType="separate"/>
    </w:r>
    <w:r w:rsidR="00760C05">
      <w:rPr>
        <w:b/>
        <w:noProof/>
        <w:sz w:val="18"/>
      </w:rPr>
      <w:t>10</w:t>
    </w:r>
    <w:r w:rsidRPr="00070B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F" w:rsidRDefault="001611CF" w:rsidP="00A35DD8">
    <w:pPr>
      <w:pStyle w:val="Pieddepage"/>
      <w:tabs>
        <w:tab w:val="right" w:pos="9638"/>
      </w:tabs>
    </w:pPr>
    <w:r>
      <w:tab/>
    </w:r>
    <w:r w:rsidRPr="00070BFB">
      <w:rPr>
        <w:b/>
        <w:sz w:val="18"/>
      </w:rPr>
      <w:fldChar w:fldCharType="begin"/>
    </w:r>
    <w:r w:rsidRPr="00070BFB">
      <w:rPr>
        <w:b/>
        <w:sz w:val="18"/>
      </w:rPr>
      <w:instrText xml:space="preserve"> PAGE  \* MERGEFORMAT </w:instrText>
    </w:r>
    <w:r w:rsidRPr="00070BFB">
      <w:rPr>
        <w:b/>
        <w:sz w:val="18"/>
      </w:rPr>
      <w:fldChar w:fldCharType="separate"/>
    </w:r>
    <w:r w:rsidR="00760C05">
      <w:rPr>
        <w:b/>
        <w:noProof/>
        <w:sz w:val="18"/>
      </w:rPr>
      <w:t>11</w:t>
    </w:r>
    <w:r w:rsidRPr="00070B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F" w:rsidRDefault="00407998" w:rsidP="00407998">
    <w:r w:rsidRPr="00DA43F5">
      <w:rPr>
        <w:rFonts w:ascii="C39T30Lfz" w:hAnsi="C39T30Lfz"/>
        <w:noProof/>
        <w:sz w:val="56"/>
        <w:u w:val="single"/>
        <w:lang w:val="fr-CH" w:eastAsia="fr-CH"/>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07998" w:rsidRDefault="00407998" w:rsidP="00407998">
    <w:pPr>
      <w:spacing w:line="240" w:lineRule="auto"/>
      <w:ind w:right="1134"/>
    </w:pPr>
    <w:r>
      <w:t>GE.16-17472(E)</w:t>
    </w:r>
  </w:p>
  <w:p w:rsidR="00407998" w:rsidRPr="00407998" w:rsidRDefault="00407998" w:rsidP="00407998">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CH"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RPD/C/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6F" w:rsidRDefault="0067616F" w:rsidP="00A35DD8">
      <w:pPr>
        <w:tabs>
          <w:tab w:val="right" w:pos="2155"/>
        </w:tabs>
        <w:spacing w:after="80"/>
        <w:ind w:left="680"/>
      </w:pPr>
      <w:r>
        <w:rPr>
          <w:u w:val="single"/>
        </w:rPr>
        <w:tab/>
      </w:r>
    </w:p>
  </w:footnote>
  <w:footnote w:type="continuationSeparator" w:id="0">
    <w:p w:rsidR="0067616F" w:rsidRPr="00FC68B7" w:rsidRDefault="0067616F" w:rsidP="00FC68B7">
      <w:pPr>
        <w:tabs>
          <w:tab w:val="left" w:pos="2155"/>
        </w:tabs>
        <w:spacing w:after="80"/>
        <w:ind w:left="680"/>
        <w:rPr>
          <w:u w:val="single"/>
        </w:rPr>
      </w:pPr>
      <w:r>
        <w:rPr>
          <w:u w:val="single"/>
        </w:rPr>
        <w:tab/>
      </w:r>
    </w:p>
    <w:p w:rsidR="0067616F" w:rsidRDefault="0067616F"/>
  </w:footnote>
  <w:footnote w:type="continuationNotice" w:id="1">
    <w:p w:rsidR="0067616F" w:rsidRDefault="0067616F"/>
    <w:p w:rsidR="0067616F" w:rsidRDefault="00676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F" w:rsidRPr="00070BFB" w:rsidRDefault="001611CF" w:rsidP="00EC2899">
    <w:pPr>
      <w:pStyle w:val="En-tte"/>
    </w:pPr>
    <w:r>
      <w:t>CRPD/C/1/Rev.1</w:t>
    </w:r>
  </w:p>
  <w:p w:rsidR="001611CF" w:rsidRDefault="001611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CF" w:rsidRPr="00070BFB" w:rsidRDefault="001611CF" w:rsidP="00EC2899">
    <w:pPr>
      <w:pStyle w:val="En-tte"/>
      <w:jc w:val="right"/>
    </w:pPr>
    <w:r>
      <w:t>CRPD/C/1/Rev.1</w:t>
    </w:r>
  </w:p>
  <w:p w:rsidR="001611CF" w:rsidRDefault="00161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08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lvl>
  </w:abstractNum>
  <w:abstractNum w:abstractNumId="5" w15:restartNumberingAfterBreak="0">
    <w:nsid w:val="00000007"/>
    <w:multiLevelType w:val="singleLevel"/>
    <w:tmpl w:val="4998BC88"/>
    <w:name w:val="WW8Num7"/>
    <w:lvl w:ilvl="0">
      <w:start w:val="1"/>
      <w:numFmt w:val="lowerLetter"/>
      <w:lvlText w:val="%1)"/>
      <w:lvlJc w:val="left"/>
      <w:pPr>
        <w:tabs>
          <w:tab w:val="num" w:pos="-10"/>
        </w:tabs>
        <w:ind w:left="1070" w:hanging="360"/>
      </w:pPr>
      <w:rPr>
        <w:color w:val="auto"/>
      </w:rPr>
    </w:lvl>
  </w:abstractNum>
  <w:abstractNum w:abstractNumId="6"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6410E2"/>
    <w:multiLevelType w:val="hybridMultilevel"/>
    <w:tmpl w:val="B41C3000"/>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FB6A22"/>
    <w:multiLevelType w:val="hybridMultilevel"/>
    <w:tmpl w:val="BFA6DC0C"/>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A5766B"/>
    <w:multiLevelType w:val="hybridMultilevel"/>
    <w:tmpl w:val="6FF2191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0B6851E4"/>
    <w:multiLevelType w:val="hybridMultilevel"/>
    <w:tmpl w:val="BC2A50F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0D194C"/>
    <w:multiLevelType w:val="hybridMultilevel"/>
    <w:tmpl w:val="6DE2ED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9C41C13"/>
    <w:multiLevelType w:val="hybridMultilevel"/>
    <w:tmpl w:val="5A34FA4E"/>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05449E"/>
    <w:multiLevelType w:val="hybridMultilevel"/>
    <w:tmpl w:val="3B26739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5CF27D7"/>
    <w:multiLevelType w:val="hybridMultilevel"/>
    <w:tmpl w:val="366C3CD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7487EF9"/>
    <w:multiLevelType w:val="hybridMultilevel"/>
    <w:tmpl w:val="EBB2B7A0"/>
    <w:lvl w:ilvl="0" w:tplc="73A6434A">
      <w:start w:val="1"/>
      <w:numFmt w:val="lowerLetter"/>
      <w:lvlText w:val="(%1)"/>
      <w:lvlJc w:val="left"/>
      <w:pPr>
        <w:tabs>
          <w:tab w:val="num" w:pos="2061"/>
        </w:tabs>
        <w:ind w:left="1705" w:hanging="4"/>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466D0D0C"/>
    <w:multiLevelType w:val="hybridMultilevel"/>
    <w:tmpl w:val="94D8869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627C79C4"/>
    <w:multiLevelType w:val="hybridMultilevel"/>
    <w:tmpl w:val="6658A4A8"/>
    <w:lvl w:ilvl="0" w:tplc="C0A4C872">
      <w:start w:val="4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35D3CE9"/>
    <w:multiLevelType w:val="hybridMultilevel"/>
    <w:tmpl w:val="DEB43954"/>
    <w:lvl w:ilvl="0" w:tplc="E1A6208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9"/>
  </w:num>
  <w:num w:numId="3">
    <w:abstractNumId w:val="15"/>
  </w:num>
  <w:num w:numId="4">
    <w:abstractNumId w:val="7"/>
  </w:num>
  <w:num w:numId="5">
    <w:abstractNumId w:val="12"/>
  </w:num>
  <w:num w:numId="6">
    <w:abstractNumId w:val="8"/>
  </w:num>
  <w:num w:numId="7">
    <w:abstractNumId w:val="18"/>
  </w:num>
  <w:num w:numId="8">
    <w:abstractNumId w:val="10"/>
  </w:num>
  <w:num w:numId="9">
    <w:abstractNumId w:val="13"/>
  </w:num>
  <w:num w:numId="10">
    <w:abstractNumId w:val="14"/>
  </w:num>
  <w:num w:numId="11">
    <w:abstractNumId w:val="16"/>
  </w:num>
  <w:num w:numId="12">
    <w:abstractNumId w:val="9"/>
  </w:num>
  <w:num w:numId="13">
    <w:abstractNumId w:val="11"/>
  </w:num>
  <w:num w:numId="1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NZ"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5804500-3FD3-49E3-BE7B-CA9373537C2A}"/>
    <w:docVar w:name="dgnword-eventsink" w:val="511032480"/>
  </w:docVars>
  <w:rsids>
    <w:rsidRoot w:val="00070BFB"/>
    <w:rsid w:val="00000412"/>
    <w:rsid w:val="000019D6"/>
    <w:rsid w:val="0000741F"/>
    <w:rsid w:val="00021399"/>
    <w:rsid w:val="00024510"/>
    <w:rsid w:val="00025304"/>
    <w:rsid w:val="00027427"/>
    <w:rsid w:val="00031910"/>
    <w:rsid w:val="00032FF2"/>
    <w:rsid w:val="000371A8"/>
    <w:rsid w:val="000448FE"/>
    <w:rsid w:val="00045006"/>
    <w:rsid w:val="000458E5"/>
    <w:rsid w:val="00047DB7"/>
    <w:rsid w:val="00050F6B"/>
    <w:rsid w:val="00055172"/>
    <w:rsid w:val="000558FD"/>
    <w:rsid w:val="000630F8"/>
    <w:rsid w:val="00064D00"/>
    <w:rsid w:val="00070BFB"/>
    <w:rsid w:val="00072C8C"/>
    <w:rsid w:val="000733B5"/>
    <w:rsid w:val="00075FC4"/>
    <w:rsid w:val="00077485"/>
    <w:rsid w:val="0008112D"/>
    <w:rsid w:val="00081996"/>
    <w:rsid w:val="00083EEF"/>
    <w:rsid w:val="000931C0"/>
    <w:rsid w:val="0009666E"/>
    <w:rsid w:val="000A0503"/>
    <w:rsid w:val="000A102B"/>
    <w:rsid w:val="000A3AB7"/>
    <w:rsid w:val="000A5D3B"/>
    <w:rsid w:val="000A676F"/>
    <w:rsid w:val="000B175B"/>
    <w:rsid w:val="000B3A0F"/>
    <w:rsid w:val="000B4592"/>
    <w:rsid w:val="000B4EF7"/>
    <w:rsid w:val="000B590A"/>
    <w:rsid w:val="000B7E2C"/>
    <w:rsid w:val="000C1462"/>
    <w:rsid w:val="000C2D2E"/>
    <w:rsid w:val="000C57EB"/>
    <w:rsid w:val="000C5D10"/>
    <w:rsid w:val="000D0B0E"/>
    <w:rsid w:val="000E0415"/>
    <w:rsid w:val="000E1396"/>
    <w:rsid w:val="000E2A5D"/>
    <w:rsid w:val="000E3725"/>
    <w:rsid w:val="000E6118"/>
    <w:rsid w:val="000E6511"/>
    <w:rsid w:val="000E7DA2"/>
    <w:rsid w:val="000F78CE"/>
    <w:rsid w:val="001017F5"/>
    <w:rsid w:val="00102C92"/>
    <w:rsid w:val="001103AA"/>
    <w:rsid w:val="00115F2B"/>
    <w:rsid w:val="0012309A"/>
    <w:rsid w:val="00125706"/>
    <w:rsid w:val="0013115A"/>
    <w:rsid w:val="001314A0"/>
    <w:rsid w:val="00132C71"/>
    <w:rsid w:val="0013436F"/>
    <w:rsid w:val="00134BB5"/>
    <w:rsid w:val="0013628A"/>
    <w:rsid w:val="001412D8"/>
    <w:rsid w:val="00141FC9"/>
    <w:rsid w:val="00144C2F"/>
    <w:rsid w:val="001464E2"/>
    <w:rsid w:val="00150ABB"/>
    <w:rsid w:val="001550BA"/>
    <w:rsid w:val="00155386"/>
    <w:rsid w:val="00155467"/>
    <w:rsid w:val="001574C3"/>
    <w:rsid w:val="001611CF"/>
    <w:rsid w:val="00166CEE"/>
    <w:rsid w:val="00167747"/>
    <w:rsid w:val="0017196A"/>
    <w:rsid w:val="001721FB"/>
    <w:rsid w:val="00176BCD"/>
    <w:rsid w:val="00177395"/>
    <w:rsid w:val="00180584"/>
    <w:rsid w:val="00180D95"/>
    <w:rsid w:val="00184452"/>
    <w:rsid w:val="0018711F"/>
    <w:rsid w:val="00187DDD"/>
    <w:rsid w:val="00192274"/>
    <w:rsid w:val="0019363F"/>
    <w:rsid w:val="001A18B0"/>
    <w:rsid w:val="001B10B2"/>
    <w:rsid w:val="001B4B04"/>
    <w:rsid w:val="001B51C5"/>
    <w:rsid w:val="001C2AA6"/>
    <w:rsid w:val="001C4B66"/>
    <w:rsid w:val="001C6663"/>
    <w:rsid w:val="001C7895"/>
    <w:rsid w:val="001D26DF"/>
    <w:rsid w:val="001D62EA"/>
    <w:rsid w:val="001D7430"/>
    <w:rsid w:val="001E0F82"/>
    <w:rsid w:val="001E11DE"/>
    <w:rsid w:val="001E2E06"/>
    <w:rsid w:val="001E3723"/>
    <w:rsid w:val="001E5AA0"/>
    <w:rsid w:val="001F13C7"/>
    <w:rsid w:val="001F4430"/>
    <w:rsid w:val="001F5FB3"/>
    <w:rsid w:val="001F63C1"/>
    <w:rsid w:val="00202DA8"/>
    <w:rsid w:val="00211E0B"/>
    <w:rsid w:val="002140B6"/>
    <w:rsid w:val="0021763C"/>
    <w:rsid w:val="00221D1A"/>
    <w:rsid w:val="00230298"/>
    <w:rsid w:val="00234632"/>
    <w:rsid w:val="00235FA5"/>
    <w:rsid w:val="0023745F"/>
    <w:rsid w:val="00242690"/>
    <w:rsid w:val="002442B1"/>
    <w:rsid w:val="002449F6"/>
    <w:rsid w:val="00245626"/>
    <w:rsid w:val="00252C49"/>
    <w:rsid w:val="00255580"/>
    <w:rsid w:val="0025756B"/>
    <w:rsid w:val="00260832"/>
    <w:rsid w:val="00261894"/>
    <w:rsid w:val="00262C41"/>
    <w:rsid w:val="00267FFD"/>
    <w:rsid w:val="00271349"/>
    <w:rsid w:val="00271A0E"/>
    <w:rsid w:val="00272344"/>
    <w:rsid w:val="002733CE"/>
    <w:rsid w:val="00276A8C"/>
    <w:rsid w:val="00277181"/>
    <w:rsid w:val="002802A7"/>
    <w:rsid w:val="0028067F"/>
    <w:rsid w:val="0028358E"/>
    <w:rsid w:val="002836E9"/>
    <w:rsid w:val="00286550"/>
    <w:rsid w:val="002900C7"/>
    <w:rsid w:val="0029703A"/>
    <w:rsid w:val="002A41A5"/>
    <w:rsid w:val="002B3510"/>
    <w:rsid w:val="002B3FFA"/>
    <w:rsid w:val="002C35F4"/>
    <w:rsid w:val="002C4A2B"/>
    <w:rsid w:val="002D16FD"/>
    <w:rsid w:val="002D443D"/>
    <w:rsid w:val="002D5614"/>
    <w:rsid w:val="002D69CA"/>
    <w:rsid w:val="002E28FD"/>
    <w:rsid w:val="002E548F"/>
    <w:rsid w:val="002E644A"/>
    <w:rsid w:val="002E7BC8"/>
    <w:rsid w:val="002F175C"/>
    <w:rsid w:val="002F5E81"/>
    <w:rsid w:val="0030132A"/>
    <w:rsid w:val="00303892"/>
    <w:rsid w:val="00311A0F"/>
    <w:rsid w:val="00312DC6"/>
    <w:rsid w:val="00316C9A"/>
    <w:rsid w:val="003229D8"/>
    <w:rsid w:val="00323AE6"/>
    <w:rsid w:val="00326CB8"/>
    <w:rsid w:val="003376C6"/>
    <w:rsid w:val="00340CBB"/>
    <w:rsid w:val="0035032C"/>
    <w:rsid w:val="00352366"/>
    <w:rsid w:val="00352709"/>
    <w:rsid w:val="00356C3C"/>
    <w:rsid w:val="0035746E"/>
    <w:rsid w:val="00362DBD"/>
    <w:rsid w:val="003666F6"/>
    <w:rsid w:val="0037000C"/>
    <w:rsid w:val="00371141"/>
    <w:rsid w:val="00371178"/>
    <w:rsid w:val="00371B89"/>
    <w:rsid w:val="00376527"/>
    <w:rsid w:val="00380C68"/>
    <w:rsid w:val="00381306"/>
    <w:rsid w:val="00384F18"/>
    <w:rsid w:val="003918BD"/>
    <w:rsid w:val="00393547"/>
    <w:rsid w:val="003A4810"/>
    <w:rsid w:val="003A6810"/>
    <w:rsid w:val="003A69A0"/>
    <w:rsid w:val="003B2202"/>
    <w:rsid w:val="003B53EA"/>
    <w:rsid w:val="003B68D5"/>
    <w:rsid w:val="003B7500"/>
    <w:rsid w:val="003C2CC4"/>
    <w:rsid w:val="003D4B23"/>
    <w:rsid w:val="003D5D8B"/>
    <w:rsid w:val="003E1FC6"/>
    <w:rsid w:val="003E35F8"/>
    <w:rsid w:val="003E449F"/>
    <w:rsid w:val="003E5E03"/>
    <w:rsid w:val="003F4AC7"/>
    <w:rsid w:val="003F645F"/>
    <w:rsid w:val="004011A1"/>
    <w:rsid w:val="00405DDC"/>
    <w:rsid w:val="00406F0F"/>
    <w:rsid w:val="00407998"/>
    <w:rsid w:val="00410C89"/>
    <w:rsid w:val="004202C5"/>
    <w:rsid w:val="00420816"/>
    <w:rsid w:val="004325CB"/>
    <w:rsid w:val="00432BC6"/>
    <w:rsid w:val="00436679"/>
    <w:rsid w:val="00445A99"/>
    <w:rsid w:val="0045495B"/>
    <w:rsid w:val="00455D85"/>
    <w:rsid w:val="00456DDF"/>
    <w:rsid w:val="004649BB"/>
    <w:rsid w:val="00471E13"/>
    <w:rsid w:val="00474B1D"/>
    <w:rsid w:val="00476D73"/>
    <w:rsid w:val="00477E3E"/>
    <w:rsid w:val="0048272A"/>
    <w:rsid w:val="00482837"/>
    <w:rsid w:val="004A109E"/>
    <w:rsid w:val="004A1A20"/>
    <w:rsid w:val="004A5204"/>
    <w:rsid w:val="004A6F44"/>
    <w:rsid w:val="004B5A3C"/>
    <w:rsid w:val="004D1E7F"/>
    <w:rsid w:val="004D25E4"/>
    <w:rsid w:val="004D5DD1"/>
    <w:rsid w:val="004D716C"/>
    <w:rsid w:val="004E10E9"/>
    <w:rsid w:val="004E5C8F"/>
    <w:rsid w:val="004F1F11"/>
    <w:rsid w:val="004F6EE2"/>
    <w:rsid w:val="00503823"/>
    <w:rsid w:val="005055A4"/>
    <w:rsid w:val="005130E2"/>
    <w:rsid w:val="00513E87"/>
    <w:rsid w:val="00517B36"/>
    <w:rsid w:val="005207D9"/>
    <w:rsid w:val="00522636"/>
    <w:rsid w:val="00524B76"/>
    <w:rsid w:val="00526D42"/>
    <w:rsid w:val="00530A41"/>
    <w:rsid w:val="0053347B"/>
    <w:rsid w:val="005345CB"/>
    <w:rsid w:val="005420F2"/>
    <w:rsid w:val="00551E58"/>
    <w:rsid w:val="00552A11"/>
    <w:rsid w:val="00555670"/>
    <w:rsid w:val="00562C3C"/>
    <w:rsid w:val="00563418"/>
    <w:rsid w:val="00581CF9"/>
    <w:rsid w:val="0058781A"/>
    <w:rsid w:val="005878C2"/>
    <w:rsid w:val="00590EFF"/>
    <w:rsid w:val="00594AD8"/>
    <w:rsid w:val="005A0712"/>
    <w:rsid w:val="005A0835"/>
    <w:rsid w:val="005A4005"/>
    <w:rsid w:val="005A4CDE"/>
    <w:rsid w:val="005A7C26"/>
    <w:rsid w:val="005B3DB3"/>
    <w:rsid w:val="005B49DB"/>
    <w:rsid w:val="005B6C86"/>
    <w:rsid w:val="005C250C"/>
    <w:rsid w:val="005C6A79"/>
    <w:rsid w:val="005C72C2"/>
    <w:rsid w:val="005C7D57"/>
    <w:rsid w:val="005E4747"/>
    <w:rsid w:val="005E6F76"/>
    <w:rsid w:val="005E79E5"/>
    <w:rsid w:val="005F26B1"/>
    <w:rsid w:val="005F2B51"/>
    <w:rsid w:val="005F40CD"/>
    <w:rsid w:val="005F7710"/>
    <w:rsid w:val="006001EE"/>
    <w:rsid w:val="0060355B"/>
    <w:rsid w:val="00607038"/>
    <w:rsid w:val="00611FC4"/>
    <w:rsid w:val="00615218"/>
    <w:rsid w:val="0061523F"/>
    <w:rsid w:val="00616E22"/>
    <w:rsid w:val="006176FB"/>
    <w:rsid w:val="006205FA"/>
    <w:rsid w:val="00623F04"/>
    <w:rsid w:val="00627B3D"/>
    <w:rsid w:val="00627FAF"/>
    <w:rsid w:val="00634F70"/>
    <w:rsid w:val="00640B26"/>
    <w:rsid w:val="00640CBF"/>
    <w:rsid w:val="00643B5A"/>
    <w:rsid w:val="00645926"/>
    <w:rsid w:val="0064663F"/>
    <w:rsid w:val="00646687"/>
    <w:rsid w:val="00647251"/>
    <w:rsid w:val="00647989"/>
    <w:rsid w:val="0065216A"/>
    <w:rsid w:val="00654E44"/>
    <w:rsid w:val="006569F8"/>
    <w:rsid w:val="00657222"/>
    <w:rsid w:val="0065734D"/>
    <w:rsid w:val="006608DF"/>
    <w:rsid w:val="00661CE7"/>
    <w:rsid w:val="00667387"/>
    <w:rsid w:val="00671503"/>
    <w:rsid w:val="00673A45"/>
    <w:rsid w:val="00674935"/>
    <w:rsid w:val="00675F52"/>
    <w:rsid w:val="0067616F"/>
    <w:rsid w:val="0068187F"/>
    <w:rsid w:val="00682553"/>
    <w:rsid w:val="006843C7"/>
    <w:rsid w:val="006878AF"/>
    <w:rsid w:val="006905D5"/>
    <w:rsid w:val="00690BC5"/>
    <w:rsid w:val="00696AB7"/>
    <w:rsid w:val="00697CFD"/>
    <w:rsid w:val="006A1FD1"/>
    <w:rsid w:val="006A2CC8"/>
    <w:rsid w:val="006A6F72"/>
    <w:rsid w:val="006B2D4B"/>
    <w:rsid w:val="006B5775"/>
    <w:rsid w:val="006B5F42"/>
    <w:rsid w:val="006B67F6"/>
    <w:rsid w:val="006B7849"/>
    <w:rsid w:val="006C1455"/>
    <w:rsid w:val="006C2EC7"/>
    <w:rsid w:val="006C5F51"/>
    <w:rsid w:val="006C6D3F"/>
    <w:rsid w:val="006D236B"/>
    <w:rsid w:val="006D25B0"/>
    <w:rsid w:val="006D37BE"/>
    <w:rsid w:val="006D5091"/>
    <w:rsid w:val="006E3E30"/>
    <w:rsid w:val="006E4CA8"/>
    <w:rsid w:val="006E564B"/>
    <w:rsid w:val="006E77DF"/>
    <w:rsid w:val="006F3B3A"/>
    <w:rsid w:val="006F4B3B"/>
    <w:rsid w:val="006F4E50"/>
    <w:rsid w:val="006F7C4C"/>
    <w:rsid w:val="006F7FC3"/>
    <w:rsid w:val="006F7FCD"/>
    <w:rsid w:val="00707496"/>
    <w:rsid w:val="0072632A"/>
    <w:rsid w:val="00732B09"/>
    <w:rsid w:val="00734505"/>
    <w:rsid w:val="00741058"/>
    <w:rsid w:val="0074169F"/>
    <w:rsid w:val="007502AD"/>
    <w:rsid w:val="007533D9"/>
    <w:rsid w:val="00756C4C"/>
    <w:rsid w:val="00760C05"/>
    <w:rsid w:val="00763421"/>
    <w:rsid w:val="007647C2"/>
    <w:rsid w:val="0076503A"/>
    <w:rsid w:val="0076597B"/>
    <w:rsid w:val="00777FD4"/>
    <w:rsid w:val="00780526"/>
    <w:rsid w:val="00787939"/>
    <w:rsid w:val="007972BE"/>
    <w:rsid w:val="007A158D"/>
    <w:rsid w:val="007A6FDA"/>
    <w:rsid w:val="007B6A8D"/>
    <w:rsid w:val="007B6BA5"/>
    <w:rsid w:val="007B7DB7"/>
    <w:rsid w:val="007C2F08"/>
    <w:rsid w:val="007C3390"/>
    <w:rsid w:val="007C3ACA"/>
    <w:rsid w:val="007C4F4B"/>
    <w:rsid w:val="007C4FF4"/>
    <w:rsid w:val="007C5525"/>
    <w:rsid w:val="007D7760"/>
    <w:rsid w:val="007E02A9"/>
    <w:rsid w:val="007E04A0"/>
    <w:rsid w:val="007E65D2"/>
    <w:rsid w:val="007E6BA0"/>
    <w:rsid w:val="007F1F06"/>
    <w:rsid w:val="007F3435"/>
    <w:rsid w:val="007F4155"/>
    <w:rsid w:val="007F6611"/>
    <w:rsid w:val="007F7E8C"/>
    <w:rsid w:val="00800899"/>
    <w:rsid w:val="00801915"/>
    <w:rsid w:val="008069D0"/>
    <w:rsid w:val="00811EE7"/>
    <w:rsid w:val="00811F33"/>
    <w:rsid w:val="00812CFA"/>
    <w:rsid w:val="00816267"/>
    <w:rsid w:val="00822317"/>
    <w:rsid w:val="00822FF6"/>
    <w:rsid w:val="008242D7"/>
    <w:rsid w:val="00824A18"/>
    <w:rsid w:val="008319CB"/>
    <w:rsid w:val="008421BD"/>
    <w:rsid w:val="00843A08"/>
    <w:rsid w:val="00846E4D"/>
    <w:rsid w:val="0085226B"/>
    <w:rsid w:val="00863695"/>
    <w:rsid w:val="00871D16"/>
    <w:rsid w:val="0088387C"/>
    <w:rsid w:val="00886609"/>
    <w:rsid w:val="0089179E"/>
    <w:rsid w:val="00893F27"/>
    <w:rsid w:val="00893FA9"/>
    <w:rsid w:val="008979B1"/>
    <w:rsid w:val="008A675D"/>
    <w:rsid w:val="008A6B25"/>
    <w:rsid w:val="008A6C4F"/>
    <w:rsid w:val="008B045B"/>
    <w:rsid w:val="008B0B12"/>
    <w:rsid w:val="008B19B3"/>
    <w:rsid w:val="008B2335"/>
    <w:rsid w:val="008B3D2A"/>
    <w:rsid w:val="008B6A23"/>
    <w:rsid w:val="008C1427"/>
    <w:rsid w:val="008C15D1"/>
    <w:rsid w:val="008C2F3D"/>
    <w:rsid w:val="008C40F3"/>
    <w:rsid w:val="008C4480"/>
    <w:rsid w:val="008C6E31"/>
    <w:rsid w:val="008D38C8"/>
    <w:rsid w:val="008D45CB"/>
    <w:rsid w:val="008D4AAE"/>
    <w:rsid w:val="008E21B2"/>
    <w:rsid w:val="008E3FF0"/>
    <w:rsid w:val="008E40BD"/>
    <w:rsid w:val="008E7B40"/>
    <w:rsid w:val="008F337E"/>
    <w:rsid w:val="008F363F"/>
    <w:rsid w:val="00901FE3"/>
    <w:rsid w:val="00905195"/>
    <w:rsid w:val="00907196"/>
    <w:rsid w:val="0091236F"/>
    <w:rsid w:val="00913A96"/>
    <w:rsid w:val="00920DC9"/>
    <w:rsid w:val="009223CA"/>
    <w:rsid w:val="00922E63"/>
    <w:rsid w:val="009230EE"/>
    <w:rsid w:val="009326A4"/>
    <w:rsid w:val="009332BE"/>
    <w:rsid w:val="00935C05"/>
    <w:rsid w:val="00940F93"/>
    <w:rsid w:val="009512D0"/>
    <w:rsid w:val="00953A5C"/>
    <w:rsid w:val="00953B5B"/>
    <w:rsid w:val="009557AB"/>
    <w:rsid w:val="00964BCF"/>
    <w:rsid w:val="00965C04"/>
    <w:rsid w:val="00970194"/>
    <w:rsid w:val="00972134"/>
    <w:rsid w:val="00973677"/>
    <w:rsid w:val="00975E33"/>
    <w:rsid w:val="00980AC7"/>
    <w:rsid w:val="00983983"/>
    <w:rsid w:val="00983B9E"/>
    <w:rsid w:val="009852A0"/>
    <w:rsid w:val="00985847"/>
    <w:rsid w:val="00987B83"/>
    <w:rsid w:val="00991B50"/>
    <w:rsid w:val="00992AF1"/>
    <w:rsid w:val="00994714"/>
    <w:rsid w:val="00994B52"/>
    <w:rsid w:val="009970B3"/>
    <w:rsid w:val="009A2DCB"/>
    <w:rsid w:val="009A3052"/>
    <w:rsid w:val="009A65F4"/>
    <w:rsid w:val="009A753F"/>
    <w:rsid w:val="009B0F0E"/>
    <w:rsid w:val="009B1D3D"/>
    <w:rsid w:val="009B3D0D"/>
    <w:rsid w:val="009B4D01"/>
    <w:rsid w:val="009C14AA"/>
    <w:rsid w:val="009C184C"/>
    <w:rsid w:val="009C2D2D"/>
    <w:rsid w:val="009C4C27"/>
    <w:rsid w:val="009C4FD0"/>
    <w:rsid w:val="009C7193"/>
    <w:rsid w:val="009D0F84"/>
    <w:rsid w:val="009D286A"/>
    <w:rsid w:val="009D2B7A"/>
    <w:rsid w:val="009E2114"/>
    <w:rsid w:val="009E287B"/>
    <w:rsid w:val="009E3635"/>
    <w:rsid w:val="009E3FA1"/>
    <w:rsid w:val="009F10A9"/>
    <w:rsid w:val="009F7711"/>
    <w:rsid w:val="009F7C5D"/>
    <w:rsid w:val="00A01159"/>
    <w:rsid w:val="00A01489"/>
    <w:rsid w:val="00A108DA"/>
    <w:rsid w:val="00A1151F"/>
    <w:rsid w:val="00A12E00"/>
    <w:rsid w:val="00A21A5A"/>
    <w:rsid w:val="00A2481E"/>
    <w:rsid w:val="00A24F4A"/>
    <w:rsid w:val="00A26B8D"/>
    <w:rsid w:val="00A30186"/>
    <w:rsid w:val="00A3124E"/>
    <w:rsid w:val="00A3364D"/>
    <w:rsid w:val="00A33AE5"/>
    <w:rsid w:val="00A35DD8"/>
    <w:rsid w:val="00A377FA"/>
    <w:rsid w:val="00A378F9"/>
    <w:rsid w:val="00A4010F"/>
    <w:rsid w:val="00A46538"/>
    <w:rsid w:val="00A50054"/>
    <w:rsid w:val="00A5569F"/>
    <w:rsid w:val="00A612EE"/>
    <w:rsid w:val="00A62A5C"/>
    <w:rsid w:val="00A72F22"/>
    <w:rsid w:val="00A748A6"/>
    <w:rsid w:val="00A749E0"/>
    <w:rsid w:val="00A753CF"/>
    <w:rsid w:val="00A76B22"/>
    <w:rsid w:val="00A776B4"/>
    <w:rsid w:val="00A80B1A"/>
    <w:rsid w:val="00A822C0"/>
    <w:rsid w:val="00A867FB"/>
    <w:rsid w:val="00A94361"/>
    <w:rsid w:val="00AA4449"/>
    <w:rsid w:val="00AB1017"/>
    <w:rsid w:val="00AB10CE"/>
    <w:rsid w:val="00AB7A61"/>
    <w:rsid w:val="00AD3041"/>
    <w:rsid w:val="00AD383A"/>
    <w:rsid w:val="00AD7A78"/>
    <w:rsid w:val="00AE08C0"/>
    <w:rsid w:val="00AE1B64"/>
    <w:rsid w:val="00AE2C30"/>
    <w:rsid w:val="00AE359D"/>
    <w:rsid w:val="00AE51AD"/>
    <w:rsid w:val="00AF791E"/>
    <w:rsid w:val="00AF7C9F"/>
    <w:rsid w:val="00AF7E65"/>
    <w:rsid w:val="00B037FC"/>
    <w:rsid w:val="00B06775"/>
    <w:rsid w:val="00B17A5A"/>
    <w:rsid w:val="00B30179"/>
    <w:rsid w:val="00B30E11"/>
    <w:rsid w:val="00B3572A"/>
    <w:rsid w:val="00B36C38"/>
    <w:rsid w:val="00B40CF5"/>
    <w:rsid w:val="00B553DA"/>
    <w:rsid w:val="00B564C2"/>
    <w:rsid w:val="00B56B08"/>
    <w:rsid w:val="00B56E9C"/>
    <w:rsid w:val="00B6078A"/>
    <w:rsid w:val="00B60933"/>
    <w:rsid w:val="00B62550"/>
    <w:rsid w:val="00B63874"/>
    <w:rsid w:val="00B64B1F"/>
    <w:rsid w:val="00B6553F"/>
    <w:rsid w:val="00B67122"/>
    <w:rsid w:val="00B678B8"/>
    <w:rsid w:val="00B72AEE"/>
    <w:rsid w:val="00B815D1"/>
    <w:rsid w:val="00B81E12"/>
    <w:rsid w:val="00B830A4"/>
    <w:rsid w:val="00B83EF2"/>
    <w:rsid w:val="00B851C9"/>
    <w:rsid w:val="00BB1597"/>
    <w:rsid w:val="00BB790A"/>
    <w:rsid w:val="00BC1955"/>
    <w:rsid w:val="00BC3F60"/>
    <w:rsid w:val="00BC4F4E"/>
    <w:rsid w:val="00BC5F51"/>
    <w:rsid w:val="00BC74E9"/>
    <w:rsid w:val="00BE16C7"/>
    <w:rsid w:val="00BE37B8"/>
    <w:rsid w:val="00BF0A0D"/>
    <w:rsid w:val="00BF4059"/>
    <w:rsid w:val="00BF68A8"/>
    <w:rsid w:val="00C00288"/>
    <w:rsid w:val="00C0187B"/>
    <w:rsid w:val="00C01BFE"/>
    <w:rsid w:val="00C052E9"/>
    <w:rsid w:val="00C05499"/>
    <w:rsid w:val="00C14D3C"/>
    <w:rsid w:val="00C213A4"/>
    <w:rsid w:val="00C22A9D"/>
    <w:rsid w:val="00C233BE"/>
    <w:rsid w:val="00C23421"/>
    <w:rsid w:val="00C26068"/>
    <w:rsid w:val="00C26C38"/>
    <w:rsid w:val="00C3206E"/>
    <w:rsid w:val="00C35B5E"/>
    <w:rsid w:val="00C40022"/>
    <w:rsid w:val="00C420E1"/>
    <w:rsid w:val="00C42804"/>
    <w:rsid w:val="00C443EB"/>
    <w:rsid w:val="00C463DD"/>
    <w:rsid w:val="00C470E0"/>
    <w:rsid w:val="00C4724C"/>
    <w:rsid w:val="00C6283E"/>
    <w:rsid w:val="00C629A0"/>
    <w:rsid w:val="00C64848"/>
    <w:rsid w:val="00C72D94"/>
    <w:rsid w:val="00C74242"/>
    <w:rsid w:val="00C742D7"/>
    <w:rsid w:val="00C745C3"/>
    <w:rsid w:val="00C75FB9"/>
    <w:rsid w:val="00C7638A"/>
    <w:rsid w:val="00C83A30"/>
    <w:rsid w:val="00C85151"/>
    <w:rsid w:val="00C876DC"/>
    <w:rsid w:val="00C95E3D"/>
    <w:rsid w:val="00CA0B36"/>
    <w:rsid w:val="00CC00AC"/>
    <w:rsid w:val="00CC1764"/>
    <w:rsid w:val="00CC230B"/>
    <w:rsid w:val="00CC7019"/>
    <w:rsid w:val="00CC7FE0"/>
    <w:rsid w:val="00CD188A"/>
    <w:rsid w:val="00CD2FCD"/>
    <w:rsid w:val="00CD43EB"/>
    <w:rsid w:val="00CD5A6D"/>
    <w:rsid w:val="00CD6135"/>
    <w:rsid w:val="00CE0555"/>
    <w:rsid w:val="00CE45D5"/>
    <w:rsid w:val="00CE4A8F"/>
    <w:rsid w:val="00CE4BF7"/>
    <w:rsid w:val="00CE5A8A"/>
    <w:rsid w:val="00CF0B09"/>
    <w:rsid w:val="00CF21F9"/>
    <w:rsid w:val="00CF4AB1"/>
    <w:rsid w:val="00D00838"/>
    <w:rsid w:val="00D02E33"/>
    <w:rsid w:val="00D02FA0"/>
    <w:rsid w:val="00D131AD"/>
    <w:rsid w:val="00D15139"/>
    <w:rsid w:val="00D1692F"/>
    <w:rsid w:val="00D16D84"/>
    <w:rsid w:val="00D2031B"/>
    <w:rsid w:val="00D218CB"/>
    <w:rsid w:val="00D21E5A"/>
    <w:rsid w:val="00D24681"/>
    <w:rsid w:val="00D25FE2"/>
    <w:rsid w:val="00D35AAA"/>
    <w:rsid w:val="00D43252"/>
    <w:rsid w:val="00D438BC"/>
    <w:rsid w:val="00D45186"/>
    <w:rsid w:val="00D451C7"/>
    <w:rsid w:val="00D45446"/>
    <w:rsid w:val="00D47D83"/>
    <w:rsid w:val="00D51E7F"/>
    <w:rsid w:val="00D55679"/>
    <w:rsid w:val="00D637C6"/>
    <w:rsid w:val="00D710DA"/>
    <w:rsid w:val="00D7622D"/>
    <w:rsid w:val="00D81EEF"/>
    <w:rsid w:val="00D87D48"/>
    <w:rsid w:val="00D90C33"/>
    <w:rsid w:val="00D9318D"/>
    <w:rsid w:val="00D94AEF"/>
    <w:rsid w:val="00D94F0C"/>
    <w:rsid w:val="00D95767"/>
    <w:rsid w:val="00D978C6"/>
    <w:rsid w:val="00DA3C1C"/>
    <w:rsid w:val="00DB590E"/>
    <w:rsid w:val="00DC0511"/>
    <w:rsid w:val="00DC1B68"/>
    <w:rsid w:val="00DC55E3"/>
    <w:rsid w:val="00DC6830"/>
    <w:rsid w:val="00DD06D8"/>
    <w:rsid w:val="00DD7919"/>
    <w:rsid w:val="00DE3D3D"/>
    <w:rsid w:val="00E00782"/>
    <w:rsid w:val="00E01C14"/>
    <w:rsid w:val="00E12D38"/>
    <w:rsid w:val="00E173BC"/>
    <w:rsid w:val="00E1777E"/>
    <w:rsid w:val="00E24B7C"/>
    <w:rsid w:val="00E309F5"/>
    <w:rsid w:val="00E36115"/>
    <w:rsid w:val="00E427CC"/>
    <w:rsid w:val="00E42B5C"/>
    <w:rsid w:val="00E47C5A"/>
    <w:rsid w:val="00E55C13"/>
    <w:rsid w:val="00E57FED"/>
    <w:rsid w:val="00E6362E"/>
    <w:rsid w:val="00E64C08"/>
    <w:rsid w:val="00E661C8"/>
    <w:rsid w:val="00E66DD9"/>
    <w:rsid w:val="00E71BC8"/>
    <w:rsid w:val="00E7260F"/>
    <w:rsid w:val="00E76600"/>
    <w:rsid w:val="00E85EDC"/>
    <w:rsid w:val="00E94B54"/>
    <w:rsid w:val="00E96630"/>
    <w:rsid w:val="00E97CEA"/>
    <w:rsid w:val="00EA47A3"/>
    <w:rsid w:val="00EA782E"/>
    <w:rsid w:val="00EB1366"/>
    <w:rsid w:val="00EB336C"/>
    <w:rsid w:val="00EC2899"/>
    <w:rsid w:val="00ED32A3"/>
    <w:rsid w:val="00ED7A2A"/>
    <w:rsid w:val="00EE0BB9"/>
    <w:rsid w:val="00EE1C49"/>
    <w:rsid w:val="00EE32F9"/>
    <w:rsid w:val="00EE3738"/>
    <w:rsid w:val="00EE4D26"/>
    <w:rsid w:val="00EE7340"/>
    <w:rsid w:val="00EF1D7F"/>
    <w:rsid w:val="00EF5586"/>
    <w:rsid w:val="00F05719"/>
    <w:rsid w:val="00F068C3"/>
    <w:rsid w:val="00F1395A"/>
    <w:rsid w:val="00F13BBB"/>
    <w:rsid w:val="00F17D09"/>
    <w:rsid w:val="00F205CE"/>
    <w:rsid w:val="00F23A86"/>
    <w:rsid w:val="00F25B93"/>
    <w:rsid w:val="00F3148D"/>
    <w:rsid w:val="00F34583"/>
    <w:rsid w:val="00F35426"/>
    <w:rsid w:val="00F4287D"/>
    <w:rsid w:val="00F42CDB"/>
    <w:rsid w:val="00F458AC"/>
    <w:rsid w:val="00F45DB1"/>
    <w:rsid w:val="00F46996"/>
    <w:rsid w:val="00F504DF"/>
    <w:rsid w:val="00F55A14"/>
    <w:rsid w:val="00F619ED"/>
    <w:rsid w:val="00F6407B"/>
    <w:rsid w:val="00F7733D"/>
    <w:rsid w:val="00F77994"/>
    <w:rsid w:val="00F77E24"/>
    <w:rsid w:val="00F81534"/>
    <w:rsid w:val="00F9031A"/>
    <w:rsid w:val="00F91C6C"/>
    <w:rsid w:val="00F926D9"/>
    <w:rsid w:val="00F96DBA"/>
    <w:rsid w:val="00F971B5"/>
    <w:rsid w:val="00FA1598"/>
    <w:rsid w:val="00FA271C"/>
    <w:rsid w:val="00FB5A6A"/>
    <w:rsid w:val="00FC4442"/>
    <w:rsid w:val="00FC64E0"/>
    <w:rsid w:val="00FC6563"/>
    <w:rsid w:val="00FC68B7"/>
    <w:rsid w:val="00FC6CC2"/>
    <w:rsid w:val="00FC7A72"/>
    <w:rsid w:val="00FD18C0"/>
    <w:rsid w:val="00FD2DC2"/>
    <w:rsid w:val="00FE0E96"/>
    <w:rsid w:val="00FE2367"/>
    <w:rsid w:val="00FE2402"/>
    <w:rsid w:val="00FE3CE2"/>
    <w:rsid w:val="00FE4C02"/>
    <w:rsid w:val="00FF3215"/>
    <w:rsid w:val="00FF451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C62CF-3C07-488D-AD95-3659D371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213A4"/>
    <w:pPr>
      <w:suppressAutoHyphens/>
      <w:spacing w:line="240" w:lineRule="atLeast"/>
    </w:pPr>
    <w:rPr>
      <w:lang w:eastAsia="en-US"/>
    </w:rPr>
  </w:style>
  <w:style w:type="paragraph" w:styleId="Titre1">
    <w:name w:val="heading 1"/>
    <w:aliases w:val="Table_G"/>
    <w:basedOn w:val="SingleTxtG"/>
    <w:next w:val="SingleTxtG"/>
    <w:link w:val="Titre1Car"/>
    <w:qFormat/>
    <w:rsid w:val="00C213A4"/>
    <w:pPr>
      <w:spacing w:after="0" w:line="240" w:lineRule="auto"/>
      <w:ind w:right="0"/>
      <w:jc w:val="left"/>
      <w:outlineLvl w:val="0"/>
    </w:pPr>
  </w:style>
  <w:style w:type="paragraph" w:styleId="Titre2">
    <w:name w:val="heading 2"/>
    <w:basedOn w:val="Normal"/>
    <w:next w:val="Normal"/>
    <w:qFormat/>
    <w:rsid w:val="00C213A4"/>
    <w:pPr>
      <w:spacing w:line="240" w:lineRule="auto"/>
      <w:outlineLvl w:val="1"/>
    </w:pPr>
  </w:style>
  <w:style w:type="paragraph" w:styleId="Titre3">
    <w:name w:val="heading 3"/>
    <w:basedOn w:val="Normal"/>
    <w:next w:val="Normal"/>
    <w:qFormat/>
    <w:rsid w:val="00C213A4"/>
    <w:pPr>
      <w:spacing w:line="240" w:lineRule="auto"/>
      <w:outlineLvl w:val="2"/>
    </w:pPr>
  </w:style>
  <w:style w:type="paragraph" w:styleId="Titre4">
    <w:name w:val="heading 4"/>
    <w:basedOn w:val="Normal"/>
    <w:next w:val="Normal"/>
    <w:qFormat/>
    <w:rsid w:val="00C213A4"/>
    <w:pPr>
      <w:spacing w:line="240" w:lineRule="auto"/>
      <w:outlineLvl w:val="3"/>
    </w:pPr>
  </w:style>
  <w:style w:type="paragraph" w:styleId="Titre5">
    <w:name w:val="heading 5"/>
    <w:basedOn w:val="Normal"/>
    <w:next w:val="Normal"/>
    <w:qFormat/>
    <w:rsid w:val="00C213A4"/>
    <w:pPr>
      <w:spacing w:line="240" w:lineRule="auto"/>
      <w:outlineLvl w:val="4"/>
    </w:pPr>
  </w:style>
  <w:style w:type="paragraph" w:styleId="Titre6">
    <w:name w:val="heading 6"/>
    <w:basedOn w:val="Normal"/>
    <w:next w:val="Normal"/>
    <w:qFormat/>
    <w:rsid w:val="00C213A4"/>
    <w:pPr>
      <w:spacing w:line="240" w:lineRule="auto"/>
      <w:outlineLvl w:val="5"/>
    </w:pPr>
  </w:style>
  <w:style w:type="paragraph" w:styleId="Titre7">
    <w:name w:val="heading 7"/>
    <w:basedOn w:val="Normal"/>
    <w:next w:val="Normal"/>
    <w:qFormat/>
    <w:rsid w:val="00C213A4"/>
    <w:pPr>
      <w:spacing w:line="240" w:lineRule="auto"/>
      <w:outlineLvl w:val="6"/>
    </w:pPr>
  </w:style>
  <w:style w:type="paragraph" w:styleId="Titre8">
    <w:name w:val="heading 8"/>
    <w:basedOn w:val="Normal"/>
    <w:next w:val="Normal"/>
    <w:qFormat/>
    <w:rsid w:val="00C213A4"/>
    <w:pPr>
      <w:spacing w:line="240" w:lineRule="auto"/>
      <w:outlineLvl w:val="7"/>
    </w:pPr>
  </w:style>
  <w:style w:type="paragraph" w:styleId="Titre9">
    <w:name w:val="heading 9"/>
    <w:basedOn w:val="Normal"/>
    <w:next w:val="Normal"/>
    <w:qFormat/>
    <w:rsid w:val="00C213A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character" w:customStyle="1" w:styleId="SingleTxtGChar">
    <w:name w:val="_ Single Txt_G Char"/>
    <w:link w:val="SingleTxtG"/>
    <w:rsid w:val="00EE0BB9"/>
    <w:rPr>
      <w:lang w:val="en-GB" w:eastAsia="en-US" w:bidi="ar-SA"/>
    </w:rPr>
  </w:style>
  <w:style w:type="character" w:customStyle="1" w:styleId="Titre1Car">
    <w:name w:val="Titre 1 Car"/>
    <w:aliases w:val="Table_G Car"/>
    <w:link w:val="Titre1"/>
    <w:rsid w:val="00261894"/>
    <w:rPr>
      <w:lang w:val="en-GB" w:eastAsia="en-US" w:bidi="ar-SA"/>
    </w:r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213A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locked/>
    <w:rsid w:val="000A102B"/>
    <w:rPr>
      <w:b/>
      <w:sz w:val="28"/>
      <w:lang w:eastAsia="en-US"/>
    </w:rPr>
  </w:style>
  <w:style w:type="character" w:styleId="Appelnotedebasdep">
    <w:name w:val="footnote reference"/>
    <w:aliases w:val="4_G"/>
    <w:rsid w:val="00C213A4"/>
    <w:rPr>
      <w:rFonts w:ascii="Times New Roman" w:hAnsi="Times New Roman"/>
      <w:sz w:val="18"/>
      <w:vertAlign w:val="superscript"/>
    </w:rPr>
  </w:style>
  <w:style w:type="character" w:styleId="Appeldenotedefin">
    <w:name w:val="endnote reference"/>
    <w:aliases w:val="1_G"/>
    <w:basedOn w:val="Appelnotedebasdep"/>
    <w:rsid w:val="00C213A4"/>
    <w:rPr>
      <w:rFonts w:ascii="Times New Roman" w:hAnsi="Times New Roman"/>
      <w:sz w:val="18"/>
      <w:vertAlign w:val="superscript"/>
    </w:rPr>
  </w:style>
  <w:style w:type="paragraph" w:styleId="En-tte">
    <w:name w:val="header"/>
    <w:aliases w:val="6_G"/>
    <w:basedOn w:val="Normal"/>
    <w:rsid w:val="00C213A4"/>
    <w:pPr>
      <w:pBdr>
        <w:bottom w:val="single" w:sz="4" w:space="4" w:color="auto"/>
      </w:pBdr>
      <w:spacing w:line="240" w:lineRule="auto"/>
    </w:pPr>
    <w:rPr>
      <w:b/>
      <w:sz w:val="18"/>
    </w:rPr>
  </w:style>
  <w:style w:type="table" w:styleId="Grilledutableau">
    <w:name w:val="Table Grid"/>
    <w:basedOn w:val="Tableau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213A4"/>
    <w:rPr>
      <w:color w:val="auto"/>
      <w:u w:val="none"/>
    </w:rPr>
  </w:style>
  <w:style w:type="character" w:styleId="Lienhypertextesuivivisit">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rsid w:val="00C213A4"/>
    <w:pPr>
      <w:tabs>
        <w:tab w:val="right" w:pos="1021"/>
      </w:tabs>
      <w:spacing w:line="220" w:lineRule="exact"/>
      <w:ind w:left="1134" w:right="1134" w:hanging="1134"/>
    </w:pPr>
    <w:rPr>
      <w:sz w:val="18"/>
    </w:rPr>
  </w:style>
  <w:style w:type="paragraph" w:styleId="Notedefin">
    <w:name w:val="endnote text"/>
    <w:aliases w:val="2_G"/>
    <w:basedOn w:val="Notedebasdepage"/>
    <w:rsid w:val="00C213A4"/>
  </w:style>
  <w:style w:type="character" w:styleId="Numrodepage">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Pieddepage">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rsid w:val="00C213A4"/>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locked/>
    <w:rsid w:val="000A102B"/>
    <w:rPr>
      <w:b/>
      <w:sz w:val="24"/>
      <w:lang w:eastAsia="en-US"/>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paragraph" w:styleId="Retraitcorpsdetexte">
    <w:name w:val="Body Text Indent"/>
    <w:basedOn w:val="Normal"/>
    <w:rsid w:val="00261894"/>
    <w:pPr>
      <w:suppressAutoHyphens w:val="0"/>
      <w:spacing w:after="240" w:line="240" w:lineRule="auto"/>
      <w:ind w:left="720"/>
    </w:pPr>
    <w:rPr>
      <w:sz w:val="24"/>
    </w:rPr>
  </w:style>
  <w:style w:type="paragraph" w:styleId="NormalWeb">
    <w:name w:val="Normal (Web)"/>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singletxt">
    <w:name w:val="singletxt"/>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23">
    <w:name w:val="h23"/>
    <w:basedOn w:val="Normal"/>
    <w:rsid w:val="00261894"/>
    <w:pPr>
      <w:suppressAutoHyphens w:val="0"/>
      <w:spacing w:before="100" w:beforeAutospacing="1" w:after="100" w:afterAutospacing="1" w:line="240" w:lineRule="auto"/>
    </w:pPr>
    <w:rPr>
      <w:rFonts w:eastAsia="SimSun"/>
      <w:sz w:val="24"/>
      <w:szCs w:val="24"/>
      <w:lang w:val="en-US" w:eastAsia="zh-CN"/>
    </w:rPr>
  </w:style>
  <w:style w:type="paragraph" w:customStyle="1" w:styleId="Headinf2">
    <w:name w:val="Headinf 2"/>
    <w:basedOn w:val="Normal"/>
    <w:rsid w:val="00261894"/>
    <w:pPr>
      <w:suppressAutoHyphens w:val="0"/>
      <w:spacing w:line="240" w:lineRule="auto"/>
    </w:pPr>
    <w:rPr>
      <w:b/>
      <w:bCs/>
      <w:sz w:val="24"/>
      <w:szCs w:val="24"/>
    </w:rPr>
  </w:style>
  <w:style w:type="paragraph" w:customStyle="1" w:styleId="Heaing2">
    <w:name w:val="Heaing 2"/>
    <w:basedOn w:val="Normal"/>
    <w:rsid w:val="00261894"/>
    <w:pPr>
      <w:suppressAutoHyphens w:val="0"/>
      <w:spacing w:line="240" w:lineRule="auto"/>
    </w:pPr>
    <w:rPr>
      <w:b/>
      <w:bCs/>
      <w:sz w:val="24"/>
      <w:szCs w:val="24"/>
    </w:rPr>
  </w:style>
  <w:style w:type="paragraph" w:customStyle="1" w:styleId="Default">
    <w:name w:val="Default"/>
    <w:rsid w:val="00261894"/>
    <w:pPr>
      <w:autoSpaceDE w:val="0"/>
      <w:autoSpaceDN w:val="0"/>
      <w:adjustRightInd w:val="0"/>
    </w:pPr>
    <w:rPr>
      <w:rFonts w:eastAsia="SimSun"/>
      <w:color w:val="000000"/>
      <w:sz w:val="24"/>
      <w:szCs w:val="24"/>
      <w:lang w:val="en-US" w:eastAsia="zh-CN"/>
    </w:rPr>
  </w:style>
  <w:style w:type="paragraph" w:styleId="Explorateurdedocuments">
    <w:name w:val="Document Map"/>
    <w:basedOn w:val="Normal"/>
    <w:semiHidden/>
    <w:rsid w:val="00661CE7"/>
    <w:pPr>
      <w:shd w:val="clear" w:color="auto" w:fill="000080"/>
    </w:pPr>
    <w:rPr>
      <w:rFonts w:ascii="Tahoma" w:hAnsi="Tahoma" w:cs="Tahoma"/>
    </w:rPr>
  </w:style>
  <w:style w:type="paragraph" w:styleId="Textedebulles">
    <w:name w:val="Balloon Text"/>
    <w:basedOn w:val="Normal"/>
    <w:semiHidden/>
    <w:rsid w:val="00A12E00"/>
    <w:rPr>
      <w:rFonts w:ascii="Tahoma" w:hAnsi="Tahoma" w:cs="Tahoma"/>
      <w:sz w:val="16"/>
      <w:szCs w:val="16"/>
    </w:rPr>
  </w:style>
  <w:style w:type="character" w:styleId="Marquedecommentaire">
    <w:name w:val="annotation reference"/>
    <w:semiHidden/>
    <w:rsid w:val="004B5A3C"/>
    <w:rPr>
      <w:sz w:val="16"/>
      <w:szCs w:val="16"/>
    </w:rPr>
  </w:style>
  <w:style w:type="paragraph" w:styleId="Commentaire">
    <w:name w:val="annotation text"/>
    <w:basedOn w:val="Normal"/>
    <w:semiHidden/>
    <w:rsid w:val="004B5A3C"/>
  </w:style>
  <w:style w:type="paragraph" w:styleId="Objetducommentaire">
    <w:name w:val="annotation subject"/>
    <w:basedOn w:val="Commentaire"/>
    <w:next w:val="Commentaire"/>
    <w:semiHidden/>
    <w:rsid w:val="004B5A3C"/>
    <w:rPr>
      <w:b/>
      <w:bCs/>
    </w:rPr>
  </w:style>
  <w:style w:type="paragraph" w:styleId="TM1">
    <w:name w:val="toc 1"/>
    <w:basedOn w:val="Normal"/>
    <w:next w:val="Normal"/>
    <w:autoRedefine/>
    <w:semiHidden/>
    <w:rsid w:val="003E5E03"/>
  </w:style>
  <w:style w:type="character" w:customStyle="1" w:styleId="NotedebasdepageCar">
    <w:name w:val="Note de bas de page Car"/>
    <w:aliases w:val="5_G Car"/>
    <w:link w:val="Notedebasdepage"/>
    <w:rsid w:val="00A33AE5"/>
    <w:rPr>
      <w:sz w:val="18"/>
      <w:lang w:eastAsia="en-US"/>
    </w:rPr>
  </w:style>
  <w:style w:type="paragraph" w:styleId="Rvision">
    <w:name w:val="Revision"/>
    <w:hidden/>
    <w:uiPriority w:val="99"/>
    <w:semiHidden/>
    <w:rsid w:val="008F36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855">
      <w:bodyDiv w:val="1"/>
      <w:marLeft w:val="0"/>
      <w:marRight w:val="0"/>
      <w:marTop w:val="0"/>
      <w:marBottom w:val="0"/>
      <w:divBdr>
        <w:top w:val="none" w:sz="0" w:space="0" w:color="auto"/>
        <w:left w:val="none" w:sz="0" w:space="0" w:color="auto"/>
        <w:bottom w:val="none" w:sz="0" w:space="0" w:color="auto"/>
        <w:right w:val="none" w:sz="0" w:space="0" w:color="auto"/>
      </w:divBdr>
    </w:div>
    <w:div w:id="281887699">
      <w:bodyDiv w:val="1"/>
      <w:marLeft w:val="0"/>
      <w:marRight w:val="0"/>
      <w:marTop w:val="0"/>
      <w:marBottom w:val="0"/>
      <w:divBdr>
        <w:top w:val="none" w:sz="0" w:space="0" w:color="auto"/>
        <w:left w:val="none" w:sz="0" w:space="0" w:color="auto"/>
        <w:bottom w:val="none" w:sz="0" w:space="0" w:color="auto"/>
        <w:right w:val="none" w:sz="0" w:space="0" w:color="auto"/>
      </w:divBdr>
    </w:div>
    <w:div w:id="469442344">
      <w:bodyDiv w:val="1"/>
      <w:marLeft w:val="0"/>
      <w:marRight w:val="0"/>
      <w:marTop w:val="0"/>
      <w:marBottom w:val="0"/>
      <w:divBdr>
        <w:top w:val="none" w:sz="0" w:space="0" w:color="auto"/>
        <w:left w:val="none" w:sz="0" w:space="0" w:color="auto"/>
        <w:bottom w:val="none" w:sz="0" w:space="0" w:color="auto"/>
        <w:right w:val="none" w:sz="0" w:space="0" w:color="auto"/>
      </w:divBdr>
    </w:div>
    <w:div w:id="1364134613">
      <w:bodyDiv w:val="1"/>
      <w:marLeft w:val="0"/>
      <w:marRight w:val="0"/>
      <w:marTop w:val="0"/>
      <w:marBottom w:val="0"/>
      <w:divBdr>
        <w:top w:val="none" w:sz="0" w:space="0" w:color="auto"/>
        <w:left w:val="none" w:sz="0" w:space="0" w:color="auto"/>
        <w:bottom w:val="none" w:sz="0" w:space="0" w:color="auto"/>
        <w:right w:val="none" w:sz="0" w:space="0" w:color="auto"/>
      </w:divBdr>
    </w:div>
    <w:div w:id="20782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1573-5E59-4C8A-9536-8672F590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5852</Words>
  <Characters>32189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1617472</dc:title>
  <dc:subject>CRPD/C/1/Rev.1</dc:subject>
  <dc:creator>OHCHR</dc:creator>
  <cp:keywords/>
  <dc:description/>
  <cp:lastModifiedBy>David Pelerins</cp:lastModifiedBy>
  <cp:revision>3</cp:revision>
  <cp:lastPrinted>2014-04-17T08:50:00Z</cp:lastPrinted>
  <dcterms:created xsi:type="dcterms:W3CDTF">2016-10-10T13:46:00Z</dcterms:created>
  <dcterms:modified xsi:type="dcterms:W3CDTF">2019-06-12T12:31:00Z</dcterms:modified>
</cp:coreProperties>
</file>