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EA" w:rsidRPr="0091139A" w:rsidRDefault="00C053EA" w:rsidP="00C053EA">
      <w:pPr>
        <w:pStyle w:val="HChG"/>
      </w:pPr>
      <w:r w:rsidRPr="0091139A">
        <w:t>Annexe</w:t>
      </w:r>
    </w:p>
    <w:p w:rsidR="00C053EA" w:rsidRPr="0091139A" w:rsidRDefault="00C053EA" w:rsidP="00C053EA">
      <w:pPr>
        <w:pStyle w:val="HChG"/>
      </w:pPr>
      <w:r w:rsidRPr="0091139A">
        <w:tab/>
      </w:r>
      <w:r w:rsidRPr="0091139A">
        <w:tab/>
        <w:t>Directives relatives au droi</w:t>
      </w:r>
      <w:r>
        <w:t xml:space="preserve">t à la liberté et à la sécurité </w:t>
      </w:r>
      <w:r>
        <w:br/>
      </w:r>
      <w:r w:rsidRPr="0091139A">
        <w:t>des personnes handicapées</w:t>
      </w:r>
      <w:r w:rsidRPr="00941BB3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C053EA" w:rsidRPr="00F332B0" w:rsidRDefault="00C053EA" w:rsidP="00C053EA">
      <w:pPr>
        <w:pStyle w:val="H1G"/>
      </w:pPr>
      <w:r w:rsidRPr="0091139A">
        <w:tab/>
      </w:r>
      <w:bookmarkStart w:id="0" w:name="_Toc482101514"/>
      <w:r w:rsidRPr="00F332B0">
        <w:t>A.</w:t>
      </w:r>
      <w:r w:rsidRPr="00F332B0">
        <w:tab/>
        <w:t>Introduction</w:t>
      </w:r>
      <w:bookmarkEnd w:id="0"/>
    </w:p>
    <w:p w:rsidR="00C053EA" w:rsidRPr="0091139A" w:rsidRDefault="00C053EA" w:rsidP="00C053EA">
      <w:pPr>
        <w:pStyle w:val="SingleTxtG"/>
      </w:pPr>
      <w:r>
        <w:t>1.</w:t>
      </w:r>
      <w:r>
        <w:tab/>
      </w:r>
      <w:r w:rsidRPr="0091139A">
        <w:t>Depuis que le Comité des droits des personnes handicapées a adopté une déclaration sur l</w:t>
      </w:r>
      <w:r w:rsidR="00F44343">
        <w:t>’</w:t>
      </w:r>
      <w:r w:rsidR="00941BB3">
        <w:t>article </w:t>
      </w:r>
      <w:r w:rsidRPr="0091139A">
        <w:t>14 de la Convention relative aux droits des personnes handicapées, en septembre</w:t>
      </w:r>
      <w:r w:rsidR="00941BB3">
        <w:t xml:space="preserve"> 2014 (voir </w:t>
      </w:r>
      <w:hyperlink r:id="rId7" w:history="1">
        <w:r w:rsidR="00941BB3" w:rsidRPr="008D4076">
          <w:rPr>
            <w:rStyle w:val="Lienhypertexte"/>
          </w:rPr>
          <w:t>CRPD/C/12/2</w:t>
        </w:r>
      </w:hyperlink>
      <w:r w:rsidR="00941BB3">
        <w:t>, annexe </w:t>
      </w:r>
      <w:r w:rsidRPr="0091139A">
        <w:t xml:space="preserve">IV), </w:t>
      </w:r>
      <w:r>
        <w:t>des</w:t>
      </w:r>
      <w:r w:rsidRPr="0091139A">
        <w:t xml:space="preserve"> organismes des Nations Unies et </w:t>
      </w:r>
      <w:r>
        <w:t xml:space="preserve">des </w:t>
      </w:r>
      <w:r w:rsidRPr="0091139A">
        <w:t xml:space="preserve">mécanismes intergouvernementaux ont </w:t>
      </w:r>
      <w:r>
        <w:t xml:space="preserve">élaboré </w:t>
      </w:r>
      <w:r w:rsidRPr="0091139A">
        <w:t xml:space="preserve">des directives </w:t>
      </w:r>
      <w:r>
        <w:t xml:space="preserve">sur le </w:t>
      </w:r>
      <w:r w:rsidRPr="0091139A">
        <w:t xml:space="preserve">droit à la liberté et à la sécurité des personnes et </w:t>
      </w:r>
      <w:r>
        <w:t xml:space="preserve">le </w:t>
      </w:r>
      <w:r w:rsidRPr="0091139A">
        <w:t>traitement des détenus</w:t>
      </w:r>
      <w:r>
        <w:t xml:space="preserve"> à propos des </w:t>
      </w:r>
      <w:r w:rsidRPr="0091139A">
        <w:t>personnes handicapées</w:t>
      </w:r>
      <w:r>
        <w:t xml:space="preserve"> privées de </w:t>
      </w:r>
      <w:r w:rsidRPr="0091139A">
        <w:t xml:space="preserve">liberté. Certains organismes régionaux ont </w:t>
      </w:r>
      <w:r>
        <w:t xml:space="preserve">par ailleurs </w:t>
      </w:r>
      <w:r w:rsidRPr="0091139A">
        <w:t>envisagé d</w:t>
      </w:r>
      <w:r w:rsidR="00F44343">
        <w:t>’</w:t>
      </w:r>
      <w:r w:rsidRPr="0091139A">
        <w:t>adopter des instruments contraignants supplémentaires, qui permettraient de procéder à l</w:t>
      </w:r>
      <w:r w:rsidR="00F44343">
        <w:t>’</w:t>
      </w:r>
      <w:r w:rsidRPr="0091139A">
        <w:t>internement sans consentement et au traitement forcé de personne</w:t>
      </w:r>
      <w:r>
        <w:t>s</w:t>
      </w:r>
      <w:r w:rsidRPr="0091139A">
        <w:t xml:space="preserve"> </w:t>
      </w:r>
      <w:r>
        <w:t>présentant</w:t>
      </w:r>
      <w:r w:rsidRPr="0091139A">
        <w:t xml:space="preserve"> de</w:t>
      </w:r>
      <w:r>
        <w:t>s</w:t>
      </w:r>
      <w:r w:rsidRPr="0091139A">
        <w:t xml:space="preserve"> déficiences intellectuelles ou psychosociales. Pour sa part, le Comité a poursuivi ses travaux </w:t>
      </w:r>
      <w:r>
        <w:t xml:space="preserve">afin de </w:t>
      </w:r>
      <w:r w:rsidRPr="0091139A">
        <w:t>mieux comprendre l</w:t>
      </w:r>
      <w:r w:rsidR="00F44343">
        <w:t>’</w:t>
      </w:r>
      <w:r w:rsidR="00941BB3">
        <w:t>article </w:t>
      </w:r>
      <w:r w:rsidRPr="0091139A">
        <w:t>14, tout en participant à un dialogue constructif avec plusieurs États parties à la Convention.</w:t>
      </w:r>
    </w:p>
    <w:p w:rsidR="00C053EA" w:rsidRPr="0091139A" w:rsidRDefault="00C053EA" w:rsidP="00C053EA">
      <w:pPr>
        <w:pStyle w:val="SingleTxtG"/>
      </w:pPr>
      <w:r w:rsidRPr="0091139A">
        <w:t>2.</w:t>
      </w:r>
      <w:r w:rsidRPr="0091139A">
        <w:tab/>
        <w:t>En tant qu</w:t>
      </w:r>
      <w:r w:rsidR="00F44343">
        <w:t>’</w:t>
      </w:r>
      <w:r w:rsidRPr="0091139A">
        <w:t>organe international chargé de suivre la mise en œuvre de la Convention, le Comité a adopté les présentes directives en vue de fournir des éclaircissements supplémentaires aux États parties, aux organisations d</w:t>
      </w:r>
      <w:r w:rsidR="00F44343">
        <w:t>’</w:t>
      </w:r>
      <w:r w:rsidRPr="0091139A">
        <w:t>intégration régionale, aux institutions nationales des droits de l</w:t>
      </w:r>
      <w:r w:rsidR="00F44343">
        <w:t>’</w:t>
      </w:r>
      <w:r w:rsidRPr="0091139A">
        <w:t>homme</w:t>
      </w:r>
      <w:r>
        <w:t>,</w:t>
      </w:r>
      <w:r w:rsidRPr="0091139A">
        <w:t xml:space="preserve"> aux mécanismes nationaux de suivi, aux organisations de personnes handicapées, aux organisations de la société civile, ainsi qu</w:t>
      </w:r>
      <w:r w:rsidR="00F44343">
        <w:t>’</w:t>
      </w:r>
      <w:r w:rsidRPr="0091139A">
        <w:t>aux institutions spécialisées, organismes et experts indépendants des Nations Unies, sur l</w:t>
      </w:r>
      <w:r w:rsidR="00F44343">
        <w:t>’</w:t>
      </w:r>
      <w:r w:rsidRPr="0091139A">
        <w:t>obligation qui incombe aux États parties de respecter, protéger et garantir le droit des personnes handicapées à la liberté et à la sécurité, en vertu de la Convention. Les présentes directives remplacent la déclaration sur l</w:t>
      </w:r>
      <w:r w:rsidR="00F44343">
        <w:t>’</w:t>
      </w:r>
      <w:r w:rsidR="00941BB3">
        <w:t>article </w:t>
      </w:r>
      <w:r w:rsidRPr="0091139A">
        <w:t>14 de la Convention, adoptée par le Comité.</w:t>
      </w:r>
    </w:p>
    <w:p w:rsidR="00C053EA" w:rsidRPr="0091139A" w:rsidRDefault="00C053EA" w:rsidP="00C053EA">
      <w:pPr>
        <w:pStyle w:val="H1G"/>
      </w:pPr>
      <w:r w:rsidRPr="0091139A">
        <w:tab/>
      </w:r>
      <w:bookmarkStart w:id="1" w:name="_Toc482101515"/>
      <w:r w:rsidRPr="0091139A">
        <w:t>B.</w:t>
      </w:r>
      <w:r w:rsidRPr="0091139A">
        <w:tab/>
      </w:r>
      <w:bookmarkEnd w:id="1"/>
      <w:r w:rsidRPr="0091139A">
        <w:t>Droit à la liberté et à la sécurité des personnes handicapées</w:t>
      </w:r>
    </w:p>
    <w:p w:rsidR="00C053EA" w:rsidRPr="0091139A" w:rsidRDefault="00C053EA" w:rsidP="00C053EA">
      <w:pPr>
        <w:pStyle w:val="SingleTxtG"/>
      </w:pPr>
      <w:r w:rsidRPr="0091139A">
        <w:t>3.</w:t>
      </w:r>
      <w:r w:rsidRPr="0091139A">
        <w:tab/>
        <w:t>Le Comité réaffirme que le droit à la liberté et à la sécurité de sa personne est l</w:t>
      </w:r>
      <w:r w:rsidR="00F44343">
        <w:t>’</w:t>
      </w:r>
      <w:r w:rsidRPr="0091139A">
        <w:t xml:space="preserve">un des droits les plus précieux </w:t>
      </w:r>
      <w:r w:rsidRPr="00541795">
        <w:rPr>
          <w:lang w:val="fr-FR"/>
        </w:rPr>
        <w:t>auxquels</w:t>
      </w:r>
      <w:r w:rsidRPr="0091139A">
        <w:t xml:space="preserve"> chacun puisse prétendre. De fait, toutes les personnes handicapées, en particulier les personnes </w:t>
      </w:r>
      <w:r>
        <w:t>avec</w:t>
      </w:r>
      <w:r w:rsidRPr="0091139A">
        <w:t xml:space="preserve"> un handicap mental ou psychosocial, ont droit à la liberté, en vertu de l</w:t>
      </w:r>
      <w:r w:rsidR="00F44343">
        <w:t>’</w:t>
      </w:r>
      <w:r w:rsidR="00941BB3">
        <w:t>article </w:t>
      </w:r>
      <w:r w:rsidRPr="0091139A">
        <w:t>14 de la Convention.</w:t>
      </w:r>
    </w:p>
    <w:p w:rsidR="00C053EA" w:rsidRPr="0091139A" w:rsidRDefault="00C053EA" w:rsidP="00C053EA">
      <w:pPr>
        <w:pStyle w:val="SingleTxtG"/>
      </w:pPr>
      <w:r w:rsidRPr="0091139A">
        <w:t>4.</w:t>
      </w:r>
      <w:r w:rsidRPr="0091139A">
        <w:tab/>
        <w:t>L</w:t>
      </w:r>
      <w:r w:rsidR="00F44343">
        <w:t>’</w:t>
      </w:r>
      <w:r w:rsidR="00941BB3">
        <w:t>article </w:t>
      </w:r>
      <w:r w:rsidRPr="0091139A">
        <w:t>14 est, en soi, une disposition relative à la non-discrimination. Il précise la portée du droit à la liberté et à la sécurité de la personne s</w:t>
      </w:r>
      <w:r w:rsidR="00F44343">
        <w:t>’</w:t>
      </w:r>
      <w:r w:rsidRPr="0091139A">
        <w:t>agissant des personnes handicapées, et interdit toute forme de discrimination fondée sur le handicap dans l</w:t>
      </w:r>
      <w:r w:rsidR="00F44343">
        <w:t>’</w:t>
      </w:r>
      <w:r w:rsidRPr="0091139A">
        <w:t>exercice de ce droit. Il est donc directement lié à l</w:t>
      </w:r>
      <w:r w:rsidR="00F44343">
        <w:t>’</w:t>
      </w:r>
      <w:r w:rsidRPr="0091139A">
        <w:t>objectif de la Convention, qui vise à promouvoir, protéger et assurer la pleine et égale jouissance de tous les droits de l</w:t>
      </w:r>
      <w:r w:rsidR="00F44343">
        <w:t>’</w:t>
      </w:r>
      <w:r w:rsidRPr="0091139A">
        <w:t xml:space="preserve">homme et de toutes les libertés fondamentales par les personnes handicapées et </w:t>
      </w:r>
      <w:r>
        <w:t xml:space="preserve">à </w:t>
      </w:r>
      <w:r w:rsidRPr="0091139A">
        <w:t>promouvoir le respect de leur dignité intrinsèque.</w:t>
      </w:r>
    </w:p>
    <w:p w:rsidR="00C053EA" w:rsidRPr="0091139A" w:rsidRDefault="00C053EA" w:rsidP="00C053EA">
      <w:pPr>
        <w:pStyle w:val="SingleTxtG"/>
      </w:pPr>
      <w:r w:rsidRPr="0091139A">
        <w:t>5.</w:t>
      </w:r>
      <w:r w:rsidRPr="0091139A">
        <w:tab/>
        <w:t>Le caractère non discriminatoire de l</w:t>
      </w:r>
      <w:r w:rsidR="00F44343">
        <w:t>’</w:t>
      </w:r>
      <w:r w:rsidR="00941BB3">
        <w:t>article </w:t>
      </w:r>
      <w:r w:rsidRPr="0091139A">
        <w:t xml:space="preserve">14 </w:t>
      </w:r>
      <w:r>
        <w:t>témoigne de sa corrélation</w:t>
      </w:r>
      <w:r w:rsidRPr="0091139A">
        <w:t xml:space="preserve"> </w:t>
      </w:r>
      <w:r>
        <w:t xml:space="preserve">étroite </w:t>
      </w:r>
      <w:r w:rsidRPr="0091139A">
        <w:t>avec le droit à l</w:t>
      </w:r>
      <w:r w:rsidR="00F44343">
        <w:t>’</w:t>
      </w:r>
      <w:r w:rsidRPr="0091139A">
        <w:t>égalité e</w:t>
      </w:r>
      <w:r w:rsidR="00941BB3">
        <w:t>t à la non-discrimination (art. </w:t>
      </w:r>
      <w:r w:rsidRPr="0091139A">
        <w:t xml:space="preserve">5). </w:t>
      </w:r>
      <w:r>
        <w:t>Au paragraphe 1 de l</w:t>
      </w:r>
      <w:r w:rsidR="00F44343">
        <w:t>’</w:t>
      </w:r>
      <w:r w:rsidRPr="0091139A">
        <w:t>article</w:t>
      </w:r>
      <w:r>
        <w:t> 5</w:t>
      </w:r>
      <w:r w:rsidRPr="0091139A">
        <w:t xml:space="preserve">, les États </w:t>
      </w:r>
      <w:r w:rsidR="00A1392C">
        <w:t>p</w:t>
      </w:r>
      <w:r w:rsidRPr="0091139A">
        <w:t>arties reconnaissent que toutes les personnes sont égales devant la loi et en vertu de celle-ci et ont droit à l</w:t>
      </w:r>
      <w:r w:rsidR="00F44343">
        <w:t>’</w:t>
      </w:r>
      <w:r w:rsidRPr="0091139A">
        <w:t>égale prot</w:t>
      </w:r>
      <w:r w:rsidR="00941BB3">
        <w:t>ection de la loi. Au paragraphe </w:t>
      </w:r>
      <w:r w:rsidRPr="0091139A">
        <w:t xml:space="preserve">2 du même article, les États </w:t>
      </w:r>
      <w:r w:rsidR="00A1392C">
        <w:t>p</w:t>
      </w:r>
      <w:r w:rsidRPr="0091139A">
        <w:t>arties interdisent toutes les discriminations fondées sur le handicap et garantissent aux personnes handicapées une égale et effective protection juridique contre toute discrimination, quel qu</w:t>
      </w:r>
      <w:r w:rsidR="00F44343">
        <w:t>’</w:t>
      </w:r>
      <w:r w:rsidRPr="0091139A">
        <w:t xml:space="preserve">en soit le fondement. </w:t>
      </w:r>
    </w:p>
    <w:p w:rsidR="00C053EA" w:rsidRPr="0091139A" w:rsidRDefault="00C053EA" w:rsidP="00C053EA">
      <w:pPr>
        <w:pStyle w:val="H1G"/>
      </w:pPr>
      <w:r w:rsidRPr="0091139A">
        <w:lastRenderedPageBreak/>
        <w:tab/>
      </w:r>
      <w:bookmarkStart w:id="2" w:name="_Toc482101516"/>
      <w:r w:rsidRPr="0091139A">
        <w:t>C.</w:t>
      </w:r>
      <w:r w:rsidRPr="0091139A">
        <w:tab/>
      </w:r>
      <w:bookmarkEnd w:id="2"/>
      <w:r w:rsidRPr="0091139A">
        <w:t>Interdiction absolue de la détention fondée sur l</w:t>
      </w:r>
      <w:r w:rsidR="00F44343">
        <w:t>’</w:t>
      </w:r>
      <w:r>
        <w:t>incapacité</w:t>
      </w:r>
    </w:p>
    <w:p w:rsidR="00C053EA" w:rsidRPr="0091139A" w:rsidRDefault="00C053EA" w:rsidP="00C053EA">
      <w:pPr>
        <w:pStyle w:val="SingleTxtG"/>
      </w:pPr>
      <w:r w:rsidRPr="0091139A">
        <w:t>6.</w:t>
      </w:r>
      <w:r w:rsidRPr="0091139A">
        <w:tab/>
        <w:t>Il existe encore dans les État partie</w:t>
      </w:r>
      <w:r w:rsidR="00A1392C">
        <w:t>s</w:t>
      </w:r>
      <w:r w:rsidRPr="0091139A">
        <w:t xml:space="preserve"> des pratiques autorisant la privation de liberté en raison d</w:t>
      </w:r>
      <w:r w:rsidR="00F44343">
        <w:t>’</w:t>
      </w:r>
      <w:r w:rsidRPr="0091139A">
        <w:t>un</w:t>
      </w:r>
      <w:r>
        <w:t>e</w:t>
      </w:r>
      <w:r w:rsidRPr="0091139A">
        <w:t xml:space="preserve"> </w:t>
      </w:r>
      <w:r>
        <w:t xml:space="preserve">incapacité </w:t>
      </w:r>
      <w:r w:rsidRPr="0091139A">
        <w:t>réel</w:t>
      </w:r>
      <w:r>
        <w:t>le</w:t>
      </w:r>
      <w:r w:rsidRPr="0091139A">
        <w:t xml:space="preserve"> ou supposé</w:t>
      </w:r>
      <w:r>
        <w:t>e</w:t>
      </w:r>
      <w:r w:rsidRPr="0091139A">
        <w:t xml:space="preserve">. Dans les présentes directives, on entend par </w:t>
      </w:r>
      <w:r>
        <w:t xml:space="preserve">incapacité </w:t>
      </w:r>
      <w:r w:rsidRPr="0091139A">
        <w:t>l</w:t>
      </w:r>
      <w:r w:rsidR="00F44343">
        <w:t>’</w:t>
      </w:r>
      <w:r w:rsidRPr="0091139A">
        <w:t>état physique, psychosocial, intellectuel ou sensoriel d</w:t>
      </w:r>
      <w:r w:rsidR="00F44343">
        <w:t>’</w:t>
      </w:r>
      <w:r w:rsidRPr="0091139A">
        <w:t>un</w:t>
      </w:r>
      <w:r>
        <w:t>e</w:t>
      </w:r>
      <w:r w:rsidRPr="0091139A">
        <w:t xml:space="preserve"> </w:t>
      </w:r>
      <w:r>
        <w:t>personne</w:t>
      </w:r>
      <w:r w:rsidRPr="0091139A">
        <w:t xml:space="preserve"> qui peut ou non s</w:t>
      </w:r>
      <w:r w:rsidR="00F44343">
        <w:t>’</w:t>
      </w:r>
      <w:r w:rsidRPr="0091139A">
        <w:t>accompagner de limitations fonctionnelles physiques, intellectuelles ou sensorielles. L</w:t>
      </w:r>
      <w:r w:rsidR="00F44343">
        <w:t>’</w:t>
      </w:r>
      <w:r>
        <w:t>incapacité</w:t>
      </w:r>
      <w:r w:rsidRPr="0091139A">
        <w:t xml:space="preserve"> se distingue de ce qui est généralement considéré comme étant la norme. Il est entendu que le handicap est l</w:t>
      </w:r>
      <w:r w:rsidR="00F44343">
        <w:t>’</w:t>
      </w:r>
      <w:r w:rsidRPr="0091139A">
        <w:t>effet social de l</w:t>
      </w:r>
      <w:r w:rsidR="00F44343">
        <w:t>’</w:t>
      </w:r>
      <w:r w:rsidRPr="0091139A">
        <w:t>interaction entre une déficience individuelle et l</w:t>
      </w:r>
      <w:r w:rsidR="00F44343">
        <w:t>’</w:t>
      </w:r>
      <w:r w:rsidRPr="0091139A">
        <w:t>environnement social et physique, dans l</w:t>
      </w:r>
      <w:r w:rsidR="00F44343">
        <w:t>’</w:t>
      </w:r>
      <w:r w:rsidRPr="0091139A">
        <w:t>esprit des dispositions de l</w:t>
      </w:r>
      <w:r w:rsidR="00F44343">
        <w:t>’</w:t>
      </w:r>
      <w:r w:rsidRPr="0091139A">
        <w:t>article premier de la Convention. Le Comité a établi que l</w:t>
      </w:r>
      <w:r w:rsidR="00F44343">
        <w:t>’</w:t>
      </w:r>
      <w:r w:rsidR="005A3785">
        <w:t>article </w:t>
      </w:r>
      <w:r w:rsidRPr="0091139A">
        <w:t>14 ne prévoyait aucune exception qui permettrait de priver des personnes de leur liberté sur la base d</w:t>
      </w:r>
      <w:r w:rsidR="00F44343">
        <w:t>’</w:t>
      </w:r>
      <w:r w:rsidRPr="0091139A">
        <w:t>un</w:t>
      </w:r>
      <w:r>
        <w:t>e</w:t>
      </w:r>
      <w:r w:rsidRPr="0091139A">
        <w:t xml:space="preserve"> </w:t>
      </w:r>
      <w:r>
        <w:t xml:space="preserve">déficience </w:t>
      </w:r>
      <w:r w:rsidRPr="0091139A">
        <w:t>réel</w:t>
      </w:r>
      <w:r>
        <w:t>le</w:t>
      </w:r>
      <w:r w:rsidRPr="0091139A">
        <w:t xml:space="preserve"> ou perçu</w:t>
      </w:r>
      <w:r>
        <w:t>e</w:t>
      </w:r>
      <w:r w:rsidRPr="0091139A">
        <w:t xml:space="preserve">. Pourtant, la législation de plusieurs États parties, notamment les lois sur la santé mentale, </w:t>
      </w:r>
      <w:r>
        <w:t>continue</w:t>
      </w:r>
      <w:r w:rsidRPr="0091139A">
        <w:t xml:space="preserve"> de prévoir plusieurs cas dans lesquels des personnes peuvent être placées en établissement sur la base d</w:t>
      </w:r>
      <w:r w:rsidR="00F44343">
        <w:t>’</w:t>
      </w:r>
      <w:r w:rsidRPr="0091139A">
        <w:t>un</w:t>
      </w:r>
      <w:r>
        <w:t>e</w:t>
      </w:r>
      <w:r w:rsidRPr="0091139A">
        <w:t xml:space="preserve"> </w:t>
      </w:r>
      <w:r>
        <w:t>déficience</w:t>
      </w:r>
      <w:r w:rsidRPr="0091139A">
        <w:t>, réel</w:t>
      </w:r>
      <w:r>
        <w:t>le</w:t>
      </w:r>
      <w:r w:rsidRPr="0091139A">
        <w:t xml:space="preserve"> ou perçu</w:t>
      </w:r>
      <w:r>
        <w:t>e</w:t>
      </w:r>
      <w:r w:rsidRPr="0091139A">
        <w:t>, à condition qu</w:t>
      </w:r>
      <w:r w:rsidR="00F44343">
        <w:t>’</w:t>
      </w:r>
      <w:r w:rsidRPr="0091139A">
        <w:t>il existe d</w:t>
      </w:r>
      <w:r w:rsidR="00F44343">
        <w:t>’</w:t>
      </w:r>
      <w:r w:rsidRPr="0091139A">
        <w:t>autres motifs à leur placement, notamment le fait qu</w:t>
      </w:r>
      <w:r w:rsidR="00F44343">
        <w:t>’</w:t>
      </w:r>
      <w:r w:rsidRPr="0091139A">
        <w:t>elles présentent un danger pour elles-mêmes ou pour autrui. Cette pratique n</w:t>
      </w:r>
      <w:r w:rsidR="00F44343">
        <w:t>’</w:t>
      </w:r>
      <w:r w:rsidRPr="0091139A">
        <w:t>est pas compatible avec l</w:t>
      </w:r>
      <w:r w:rsidR="00F44343">
        <w:t>’</w:t>
      </w:r>
      <w:r w:rsidR="005A3785">
        <w:t>article </w:t>
      </w:r>
      <w:r w:rsidRPr="0091139A">
        <w:t>14</w:t>
      </w:r>
      <w:r w:rsidR="00606530">
        <w:t> ;</w:t>
      </w:r>
      <w:r w:rsidRPr="0091139A">
        <w:t xml:space="preserve"> elle est discriminatoire par nature et constitue une privation arbitraire de liberté.</w:t>
      </w:r>
    </w:p>
    <w:p w:rsidR="00C053EA" w:rsidRPr="0091139A" w:rsidRDefault="00C053EA" w:rsidP="00C053EA">
      <w:pPr>
        <w:pStyle w:val="SingleTxtG"/>
      </w:pPr>
      <w:r w:rsidRPr="0091139A">
        <w:t>7.</w:t>
      </w:r>
      <w:r w:rsidRPr="0091139A">
        <w:tab/>
        <w:t>Dans le cadre des négociations du Comité spécial chargé d</w:t>
      </w:r>
      <w:r w:rsidR="00F44343">
        <w:t>’</w:t>
      </w:r>
      <w:r w:rsidRPr="0091139A">
        <w:t xml:space="preserve">élaborer une convention internationale globale et </w:t>
      </w:r>
      <w:r w:rsidRPr="00541795">
        <w:rPr>
          <w:lang w:val="fr-FR"/>
        </w:rPr>
        <w:t>intégrée</w:t>
      </w:r>
      <w:r w:rsidRPr="0091139A">
        <w:t xml:space="preserve"> pour la protection et la promotion des droits et de la dignité des personnes handicapées, qui ont abouti à l</w:t>
      </w:r>
      <w:r w:rsidR="00F44343">
        <w:t>’</w:t>
      </w:r>
      <w:r w:rsidRPr="0091139A">
        <w:t>adoption de la Convention, la nécessité d</w:t>
      </w:r>
      <w:r w:rsidR="00F44343">
        <w:t>’</w:t>
      </w:r>
      <w:r w:rsidRPr="0091139A">
        <w:t>intégrer, dans le projet de texte de l</w:t>
      </w:r>
      <w:r w:rsidR="00F44343">
        <w:t>’</w:t>
      </w:r>
      <w:r w:rsidR="00941BB3">
        <w:t>article 14 (par. 1 b)), un adverbe, tel que « seulement » ou « exclusivement </w:t>
      </w:r>
      <w:r w:rsidRPr="0091139A">
        <w:t>», en rapport avec l</w:t>
      </w:r>
      <w:r w:rsidR="00F44343">
        <w:t>’</w:t>
      </w:r>
      <w:r w:rsidRPr="0091139A">
        <w:t>interdiction de la privation de liberté en raison d</w:t>
      </w:r>
      <w:r w:rsidR="00F44343">
        <w:t>’</w:t>
      </w:r>
      <w:r w:rsidRPr="0091139A">
        <w:t>un</w:t>
      </w:r>
      <w:r>
        <w:t>e</w:t>
      </w:r>
      <w:r w:rsidRPr="0091139A">
        <w:t xml:space="preserve"> </w:t>
      </w:r>
      <w:r>
        <w:t xml:space="preserve">incapacité </w:t>
      </w:r>
      <w:r w:rsidRPr="0091139A">
        <w:t>réel</w:t>
      </w:r>
      <w:r>
        <w:t>le</w:t>
      </w:r>
      <w:r w:rsidRPr="0091139A">
        <w:t xml:space="preserve"> ou supposé</w:t>
      </w:r>
      <w:r>
        <w:t>e</w:t>
      </w:r>
      <w:r w:rsidRPr="0091139A">
        <w:t>, a fait l</w:t>
      </w:r>
      <w:r w:rsidR="00F44343">
        <w:t>’</w:t>
      </w:r>
      <w:r w:rsidRPr="0091139A">
        <w:t>objet de débats nourris. Les États se sont opposé à cet ajout en faisant valoir qu</w:t>
      </w:r>
      <w:r w:rsidR="00F44343">
        <w:t>’</w:t>
      </w:r>
      <w:r w:rsidRPr="0091139A">
        <w:t>il pouvait entraîner des erreurs d</w:t>
      </w:r>
      <w:r w:rsidR="00F44343">
        <w:t>’</w:t>
      </w:r>
      <w:r w:rsidRPr="0091139A">
        <w:t>interprétation</w:t>
      </w:r>
      <w:r w:rsidRPr="001B11CC">
        <w:rPr>
          <w:rStyle w:val="Appelnotedebasdep"/>
        </w:rPr>
        <w:footnoteReference w:id="3"/>
      </w:r>
      <w:r w:rsidRPr="0091139A">
        <w:t xml:space="preserve"> et </w:t>
      </w:r>
      <w:r>
        <w:t xml:space="preserve">autoriser la détention de personnes </w:t>
      </w:r>
      <w:r w:rsidRPr="0091139A">
        <w:t xml:space="preserve">sur </w:t>
      </w:r>
      <w:r>
        <w:t>la base d</w:t>
      </w:r>
      <w:r w:rsidR="00F44343">
        <w:t>’</w:t>
      </w:r>
      <w:r>
        <w:t xml:space="preserve">une déficience </w:t>
      </w:r>
      <w:r w:rsidRPr="0091139A">
        <w:t>réel</w:t>
      </w:r>
      <w:r>
        <w:t>le</w:t>
      </w:r>
      <w:r w:rsidRPr="0091139A">
        <w:t xml:space="preserve"> ou supposé</w:t>
      </w:r>
      <w:r>
        <w:t>e,</w:t>
      </w:r>
      <w:r w:rsidRPr="0091139A">
        <w:t xml:space="preserve"> à la lumière d</w:t>
      </w:r>
      <w:r w:rsidR="00F44343">
        <w:t>’</w:t>
      </w:r>
      <w:r w:rsidRPr="0091139A">
        <w:t>autres critères, comme le fait de présenter un danger pour soi-même ou pour autrui</w:t>
      </w:r>
      <w:r w:rsidRPr="001B11CC">
        <w:rPr>
          <w:rStyle w:val="Appelnotedebasdep"/>
        </w:rPr>
        <w:footnoteReference w:id="4"/>
      </w:r>
      <w:r w:rsidRPr="0091139A">
        <w:t xml:space="preserve">. Les débats ont également porté sur </w:t>
      </w:r>
      <w:r>
        <w:t>la nécessité ou non d</w:t>
      </w:r>
      <w:r w:rsidR="00F44343">
        <w:t>’</w:t>
      </w:r>
      <w:r>
        <w:t>intégrer</w:t>
      </w:r>
      <w:r w:rsidRPr="0091139A">
        <w:t xml:space="preserve"> dans le texte du projet d</w:t>
      </w:r>
      <w:r w:rsidR="00F44343">
        <w:t>’</w:t>
      </w:r>
      <w:r w:rsidR="00941BB3">
        <w:t>article 14 (par. </w:t>
      </w:r>
      <w:r w:rsidRPr="0091139A">
        <w:t xml:space="preserve">2) une disposition sur le </w:t>
      </w:r>
      <w:r>
        <w:t xml:space="preserve">réexamen </w:t>
      </w:r>
      <w:r w:rsidRPr="0091139A">
        <w:t>périodique de</w:t>
      </w:r>
      <w:r>
        <w:t>s</w:t>
      </w:r>
      <w:r w:rsidRPr="0091139A">
        <w:t xml:space="preserve"> privation</w:t>
      </w:r>
      <w:r>
        <w:t>s</w:t>
      </w:r>
      <w:r w:rsidRPr="0091139A">
        <w:t xml:space="preserve"> de liberté</w:t>
      </w:r>
      <w:r w:rsidRPr="001B11CC">
        <w:rPr>
          <w:rStyle w:val="Appelnotedebasdep"/>
        </w:rPr>
        <w:footnoteReference w:id="5"/>
      </w:r>
      <w:r w:rsidRPr="0091139A">
        <w:t>. La société civile s</w:t>
      </w:r>
      <w:r w:rsidR="00F44343">
        <w:t>’</w:t>
      </w:r>
      <w:r w:rsidRPr="0091139A">
        <w:t>est opposée à l</w:t>
      </w:r>
      <w:r w:rsidR="00F44343">
        <w:t>’</w:t>
      </w:r>
      <w:r w:rsidRPr="0091139A">
        <w:t>utilisation d</w:t>
      </w:r>
      <w:r w:rsidR="00F44343">
        <w:t>’</w:t>
      </w:r>
      <w:r w:rsidRPr="0091139A">
        <w:t>adverbes et à l</w:t>
      </w:r>
      <w:r w:rsidR="00F44343">
        <w:t>’</w:t>
      </w:r>
      <w:r w:rsidRPr="0091139A">
        <w:t>intégration d</w:t>
      </w:r>
      <w:r w:rsidR="00F44343">
        <w:t>’</w:t>
      </w:r>
      <w:r w:rsidRPr="0091139A">
        <w:t xml:space="preserve">une disposition concernant le </w:t>
      </w:r>
      <w:r>
        <w:t xml:space="preserve">réexamen </w:t>
      </w:r>
      <w:r w:rsidRPr="0091139A">
        <w:t>périodique</w:t>
      </w:r>
      <w:r w:rsidRPr="001B11CC">
        <w:rPr>
          <w:rStyle w:val="Appelnotedebasdep"/>
        </w:rPr>
        <w:footnoteReference w:id="6"/>
      </w:r>
      <w:r w:rsidRPr="0091139A">
        <w:t>. Par conséquent, l</w:t>
      </w:r>
      <w:r w:rsidR="00F44343">
        <w:t>’</w:t>
      </w:r>
      <w:r w:rsidR="00941BB3">
        <w:t>article 14 (par. 1 </w:t>
      </w:r>
      <w:r w:rsidRPr="0091139A">
        <w:t xml:space="preserve">b)) interdit </w:t>
      </w:r>
      <w:r>
        <w:t xml:space="preserve">toute </w:t>
      </w:r>
      <w:r w:rsidRPr="0091139A">
        <w:t xml:space="preserve">privation de liberté pour des raisons </w:t>
      </w:r>
      <w:r>
        <w:t xml:space="preserve">de déficiences </w:t>
      </w:r>
      <w:r w:rsidRPr="0091139A">
        <w:t>réel</w:t>
      </w:r>
      <w:r>
        <w:t>les</w:t>
      </w:r>
      <w:r w:rsidRPr="0091139A">
        <w:t xml:space="preserve"> ou supposé</w:t>
      </w:r>
      <w:r>
        <w:t>es</w:t>
      </w:r>
      <w:r w:rsidRPr="0091139A">
        <w:t>, même si d</w:t>
      </w:r>
      <w:r w:rsidR="00F44343">
        <w:t>’</w:t>
      </w:r>
      <w:r w:rsidRPr="0091139A">
        <w:t xml:space="preserve">autres facteurs ou critères sont invoqués pour </w:t>
      </w:r>
      <w:r>
        <w:t xml:space="preserve">la </w:t>
      </w:r>
      <w:r w:rsidRPr="0091139A">
        <w:t>justifier. Cette question a été réglée lors de la septième réunion du Comité spécial</w:t>
      </w:r>
      <w:r w:rsidRPr="001B11CC">
        <w:rPr>
          <w:rStyle w:val="Appelnotedebasdep"/>
        </w:rPr>
        <w:footnoteReference w:id="7"/>
      </w:r>
      <w:r w:rsidRPr="0091139A">
        <w:t>.</w:t>
      </w:r>
    </w:p>
    <w:p w:rsidR="00C053EA" w:rsidRPr="00BB4828" w:rsidRDefault="00C053EA" w:rsidP="00C053EA">
      <w:pPr>
        <w:pStyle w:val="SingleTxtG"/>
      </w:pPr>
      <w:r w:rsidRPr="00F0113C">
        <w:t>8.</w:t>
      </w:r>
      <w:r w:rsidRPr="00F0113C">
        <w:tab/>
        <w:t>L</w:t>
      </w:r>
      <w:r w:rsidR="00F44343">
        <w:t>’</w:t>
      </w:r>
      <w:r w:rsidRPr="00F0113C">
        <w:t xml:space="preserve">interdiction absolue de la privation de liberté </w:t>
      </w:r>
      <w:r>
        <w:t>sur la base d</w:t>
      </w:r>
      <w:r w:rsidR="00F44343">
        <w:t>’</w:t>
      </w:r>
      <w:r>
        <w:t xml:space="preserve">une déficience </w:t>
      </w:r>
      <w:r w:rsidRPr="00F0113C">
        <w:t>réel</w:t>
      </w:r>
      <w:r>
        <w:t>le</w:t>
      </w:r>
      <w:r w:rsidRPr="00F0113C">
        <w:t xml:space="preserve"> ou supposé</w:t>
      </w:r>
      <w:r>
        <w:t>e</w:t>
      </w:r>
      <w:r w:rsidRPr="00F0113C">
        <w:t xml:space="preserve"> est étroitement liée à l</w:t>
      </w:r>
      <w:r w:rsidR="00F44343">
        <w:t>’</w:t>
      </w:r>
      <w:r w:rsidR="00941BB3">
        <w:t>article </w:t>
      </w:r>
      <w:r w:rsidRPr="00F0113C">
        <w:t xml:space="preserve">12 de la Convention </w:t>
      </w:r>
      <w:r>
        <w:t xml:space="preserve">sur </w:t>
      </w:r>
      <w:r w:rsidRPr="00F0113C">
        <w:t>la reconnaissance de la personnalité juridique dans des conditions d</w:t>
      </w:r>
      <w:r w:rsidR="00F44343">
        <w:t>’</w:t>
      </w:r>
      <w:r w:rsidRPr="00F0113C">
        <w:t xml:space="preserve">égalité. </w:t>
      </w:r>
      <w:r w:rsidRPr="00BB4828">
        <w:t>D</w:t>
      </w:r>
      <w:r>
        <w:t xml:space="preserve">ans son observation générale </w:t>
      </w:r>
      <w:r w:rsidR="00941BB3">
        <w:rPr>
          <w:rFonts w:eastAsia="MS Mincho"/>
        </w:rPr>
        <w:t>n</w:t>
      </w:r>
      <w:r w:rsidR="00941BB3">
        <w:rPr>
          <w:rFonts w:eastAsia="MS Mincho"/>
          <w:vertAlign w:val="superscript"/>
        </w:rPr>
        <w:t>o</w:t>
      </w:r>
      <w:r w:rsidR="00941BB3">
        <w:t> </w:t>
      </w:r>
      <w:r w:rsidRPr="00BB4828">
        <w:t>1 (2014) sur la reconnaissance de la personnalité juridique dans des conditions d</w:t>
      </w:r>
      <w:r w:rsidR="00F44343">
        <w:t>’</w:t>
      </w:r>
      <w:r w:rsidRPr="00BB4828">
        <w:t>égalité, le Comité a précisé que les États parties devaient s</w:t>
      </w:r>
      <w:r w:rsidR="00F44343">
        <w:t>’</w:t>
      </w:r>
      <w:r w:rsidRPr="00BB4828">
        <w:t xml:space="preserve">abstenir de priver les personnes handicapées de leur capacité juridique et de les détenir dans des établissements contre leur volonté, sans leur consentement </w:t>
      </w:r>
      <w:r>
        <w:t xml:space="preserve">libre et éclairé </w:t>
      </w:r>
      <w:r w:rsidRPr="00BB4828">
        <w:t>ou avec celui d</w:t>
      </w:r>
      <w:r w:rsidR="00F44343">
        <w:t>’</w:t>
      </w:r>
      <w:r w:rsidRPr="00BB4828">
        <w:t xml:space="preserve">une personne habilitée à se substituer à elles pour prendre les décisions les concernant, cette pratique constituant une privation </w:t>
      </w:r>
      <w:r>
        <w:t xml:space="preserve">arbitraire </w:t>
      </w:r>
      <w:r w:rsidRPr="00BB4828">
        <w:t>de liberté</w:t>
      </w:r>
      <w:r>
        <w:t>,</w:t>
      </w:r>
      <w:r w:rsidRPr="00BB4828">
        <w:t xml:space="preserve"> contraire aux </w:t>
      </w:r>
      <w:r>
        <w:t>articles </w:t>
      </w:r>
      <w:r w:rsidR="00DB2E90">
        <w:t>12 et 14 de la Convention (par. </w:t>
      </w:r>
      <w:r w:rsidRPr="00BB4828">
        <w:t>40).</w:t>
      </w:r>
    </w:p>
    <w:p w:rsidR="00C053EA" w:rsidRPr="00B9630A" w:rsidRDefault="00C053EA" w:rsidP="00F42A53">
      <w:pPr>
        <w:pStyle w:val="SingleTxtG"/>
        <w:keepNext/>
        <w:keepLines/>
      </w:pPr>
      <w:r w:rsidRPr="00BB4828">
        <w:lastRenderedPageBreak/>
        <w:t>9.</w:t>
      </w:r>
      <w:r w:rsidRPr="00BB4828">
        <w:tab/>
        <w:t>L</w:t>
      </w:r>
      <w:r w:rsidR="00F44343">
        <w:t>’</w:t>
      </w:r>
      <w:r w:rsidRPr="00BB4828">
        <w:t>exercice du droit à la liberté et à la sécurité de la personne est essentiel pour l</w:t>
      </w:r>
      <w:r w:rsidR="00F44343">
        <w:t>’</w:t>
      </w:r>
      <w:r w:rsidRPr="00BB4828">
        <w:t>application de l</w:t>
      </w:r>
      <w:r w:rsidR="00F44343">
        <w:t>’</w:t>
      </w:r>
      <w:r w:rsidR="00A159A8">
        <w:t>article </w:t>
      </w:r>
      <w:r w:rsidRPr="00BB4828">
        <w:t>19 sur l</w:t>
      </w:r>
      <w:r w:rsidR="00F44343">
        <w:t>’</w:t>
      </w:r>
      <w:r w:rsidRPr="00BB4828">
        <w:t>autonomie de vie et l</w:t>
      </w:r>
      <w:r w:rsidR="00F44343">
        <w:t>’</w:t>
      </w:r>
      <w:r w:rsidRPr="00BB4828">
        <w:t xml:space="preserve">inclusion dans la société. </w:t>
      </w:r>
      <w:r w:rsidRPr="00B9630A">
        <w:t>Le Comité a souligné le rapport existant avec l</w:t>
      </w:r>
      <w:r w:rsidR="00F44343">
        <w:t>’</w:t>
      </w:r>
      <w:r w:rsidR="00DB2E90">
        <w:t>article </w:t>
      </w:r>
      <w:r w:rsidRPr="00B9630A">
        <w:t xml:space="preserve">19. Il a fait part de </w:t>
      </w:r>
      <w:r>
        <w:t xml:space="preserve">son inquiétude </w:t>
      </w:r>
      <w:r w:rsidRPr="00B9630A">
        <w:t>concernant le placement en institution de personnes handicapées et l</w:t>
      </w:r>
      <w:r w:rsidR="00F44343">
        <w:t>’</w:t>
      </w:r>
      <w:r w:rsidRPr="00B9630A">
        <w:t xml:space="preserve">absence de services de soutien de proximité, et a recommandé la mise en place de services </w:t>
      </w:r>
      <w:r>
        <w:t xml:space="preserve">de soutien </w:t>
      </w:r>
      <w:r w:rsidRPr="00B9630A">
        <w:t>et de stratégies de désinstitutionnalisation efficaces, en concertation avec les organisations de personnes handicapées</w:t>
      </w:r>
      <w:r w:rsidRPr="001B11CC">
        <w:rPr>
          <w:rStyle w:val="Appelnotedebasdep"/>
        </w:rPr>
        <w:footnoteReference w:id="8"/>
      </w:r>
      <w:r w:rsidRPr="00B9630A">
        <w:t>. Il a en outre préconisé l</w:t>
      </w:r>
      <w:r w:rsidR="00F44343">
        <w:t>’</w:t>
      </w:r>
      <w:r w:rsidRPr="00B9630A">
        <w:t>allocation de ressources financières plus importantes pour garantir des services de proximité suffisants</w:t>
      </w:r>
      <w:r w:rsidRPr="001B11CC">
        <w:rPr>
          <w:rStyle w:val="Appelnotedebasdep"/>
        </w:rPr>
        <w:footnoteReference w:id="9"/>
      </w:r>
      <w:r w:rsidRPr="00B9630A">
        <w:t>.</w:t>
      </w:r>
    </w:p>
    <w:p w:rsidR="00C053EA" w:rsidRPr="00B9630A" w:rsidRDefault="00C053EA" w:rsidP="00C053EA">
      <w:pPr>
        <w:pStyle w:val="H1G"/>
      </w:pPr>
      <w:r w:rsidRPr="00BB4828">
        <w:tab/>
      </w:r>
      <w:bookmarkStart w:id="3" w:name="_Toc482101517"/>
      <w:r w:rsidRPr="00B9630A">
        <w:t>D.</w:t>
      </w:r>
      <w:r w:rsidRPr="00B9630A">
        <w:tab/>
      </w:r>
      <w:bookmarkEnd w:id="3"/>
      <w:r w:rsidRPr="00B9630A">
        <w:t xml:space="preserve">Placement forcé </w:t>
      </w:r>
      <w:r>
        <w:t xml:space="preserve">ou non consenti </w:t>
      </w:r>
      <w:r w:rsidRPr="00B9630A">
        <w:t>en institution psychiatrique</w:t>
      </w:r>
    </w:p>
    <w:p w:rsidR="00C053EA" w:rsidRPr="00CF3FB3" w:rsidRDefault="00C053EA" w:rsidP="00C053EA">
      <w:pPr>
        <w:pStyle w:val="SingleTxtG"/>
      </w:pPr>
      <w:r w:rsidRPr="00063254">
        <w:t>10.</w:t>
      </w:r>
      <w:r w:rsidRPr="00063254">
        <w:tab/>
        <w:t>L</w:t>
      </w:r>
      <w:r w:rsidR="00F44343">
        <w:t>’</w:t>
      </w:r>
      <w:r w:rsidRPr="00063254">
        <w:t>internement forcé de personnes handicapées pour des motifs de soins de santé est incompatible avec l</w:t>
      </w:r>
      <w:r w:rsidR="00F44343">
        <w:t>’</w:t>
      </w:r>
      <w:r w:rsidRPr="00063254">
        <w:t xml:space="preserve">interdiction absolue de la privation de liberté pour </w:t>
      </w:r>
      <w:r w:rsidR="00DB2E90">
        <w:t>des raisons de déficience (art. 14, par. 1 </w:t>
      </w:r>
      <w:r w:rsidRPr="00063254">
        <w:t>b)) et le principe du consentement libre et éclairé de la personne concern</w:t>
      </w:r>
      <w:r w:rsidR="00DB2E90">
        <w:t>ée par les soins de santé (art. </w:t>
      </w:r>
      <w:r w:rsidRPr="00063254">
        <w:t>25). Le Comité a souligné à plusieurs reprises</w:t>
      </w:r>
      <w:r>
        <w:t xml:space="preserve"> que les États parties dev</w:t>
      </w:r>
      <w:r w:rsidRPr="00CF3FB3">
        <w:t>aient abolir les dispositions prévoyant le placement de personnes handicapées en institution psychiatrique sans leur consentement, en raison d</w:t>
      </w:r>
      <w:r w:rsidR="00F44343">
        <w:t>’</w:t>
      </w:r>
      <w:r w:rsidRPr="00CF3FB3">
        <w:t>un</w:t>
      </w:r>
      <w:r>
        <w:t>e</w:t>
      </w:r>
      <w:r w:rsidRPr="00CF3FB3">
        <w:t xml:space="preserve"> </w:t>
      </w:r>
      <w:r>
        <w:t xml:space="preserve">déficience </w:t>
      </w:r>
      <w:r w:rsidRPr="00CF3FB3">
        <w:t>réel</w:t>
      </w:r>
      <w:r>
        <w:t>le</w:t>
      </w:r>
      <w:r w:rsidRPr="00CF3FB3">
        <w:t xml:space="preserve"> ou supposé</w:t>
      </w:r>
      <w:r>
        <w:t>e</w:t>
      </w:r>
      <w:r w:rsidRPr="001B11CC">
        <w:rPr>
          <w:rStyle w:val="Appelnotedebasdep"/>
        </w:rPr>
        <w:footnoteReference w:id="10"/>
      </w:r>
      <w:r w:rsidRPr="00CF3FB3">
        <w:t>. L</w:t>
      </w:r>
      <w:r w:rsidR="00F44343">
        <w:t>’</w:t>
      </w:r>
      <w:r w:rsidRPr="00CF3FB3">
        <w:t xml:space="preserve">internement non consenti </w:t>
      </w:r>
      <w:r>
        <w:t>prive</w:t>
      </w:r>
      <w:r w:rsidRPr="00CF3FB3">
        <w:t xml:space="preserve"> la personne de sa capacité juridique </w:t>
      </w:r>
      <w:r>
        <w:t xml:space="preserve">de </w:t>
      </w:r>
      <w:r w:rsidRPr="00CF3FB3">
        <w:t>décider si elle souhaite ou non faire l</w:t>
      </w:r>
      <w:r w:rsidR="00F44343">
        <w:t>’</w:t>
      </w:r>
      <w:r w:rsidRPr="00CF3FB3">
        <w:t>objet de soins et de traitements</w:t>
      </w:r>
      <w:r>
        <w:t>,</w:t>
      </w:r>
      <w:r w:rsidRPr="00CF3FB3">
        <w:t xml:space="preserve"> être hospitalisée ou placée en institution, et consti</w:t>
      </w:r>
      <w:r>
        <w:t>tue de ce fait une violation de</w:t>
      </w:r>
      <w:r w:rsidRPr="00CF3FB3">
        <w:t xml:space="preserve"> </w:t>
      </w:r>
      <w:r>
        <w:t>l</w:t>
      </w:r>
      <w:r w:rsidR="00F44343">
        <w:t>’</w:t>
      </w:r>
      <w:r>
        <w:t>article</w:t>
      </w:r>
      <w:r w:rsidR="00DB2E90">
        <w:t> </w:t>
      </w:r>
      <w:r w:rsidRPr="00CF3FB3">
        <w:t>12</w:t>
      </w:r>
      <w:r>
        <w:t>, lu en parallèle avec l</w:t>
      </w:r>
      <w:r w:rsidR="00F44343">
        <w:t>’</w:t>
      </w:r>
      <w:r>
        <w:t>article </w:t>
      </w:r>
      <w:r w:rsidRPr="00CF3FB3">
        <w:t>14.</w:t>
      </w:r>
    </w:p>
    <w:p w:rsidR="00C053EA" w:rsidRPr="00CF3FB3" w:rsidRDefault="00C053EA" w:rsidP="00C053EA">
      <w:pPr>
        <w:pStyle w:val="H1G"/>
      </w:pPr>
      <w:r w:rsidRPr="0052434D">
        <w:tab/>
      </w:r>
      <w:bookmarkStart w:id="4" w:name="_Toc482101518"/>
      <w:r w:rsidRPr="00CF3FB3">
        <w:t>E.</w:t>
      </w:r>
      <w:r w:rsidRPr="00CF3FB3">
        <w:tab/>
      </w:r>
      <w:bookmarkEnd w:id="4"/>
      <w:r w:rsidRPr="00CF3FB3">
        <w:t>Traitements non consentis</w:t>
      </w:r>
      <w:r>
        <w:t>,</w:t>
      </w:r>
      <w:r w:rsidRPr="00CF3FB3">
        <w:t xml:space="preserve"> </w:t>
      </w:r>
      <w:r>
        <w:t xml:space="preserve">dispensés </w:t>
      </w:r>
      <w:r w:rsidRPr="00CF3FB3">
        <w:t xml:space="preserve">dans le cadre </w:t>
      </w:r>
      <w:r w:rsidR="00DB2E90">
        <w:br/>
      </w:r>
      <w:r w:rsidRPr="00CF3FB3">
        <w:t>de la privation de liberté</w:t>
      </w:r>
    </w:p>
    <w:p w:rsidR="00C053EA" w:rsidRPr="00B04607" w:rsidRDefault="00C053EA" w:rsidP="00C053EA">
      <w:pPr>
        <w:pStyle w:val="SingleTxtG"/>
      </w:pPr>
      <w:r w:rsidRPr="00B04607">
        <w:t>11.</w:t>
      </w:r>
      <w:r w:rsidRPr="00B04607">
        <w:tab/>
        <w:t>Le Comité a mis l</w:t>
      </w:r>
      <w:r w:rsidR="00F44343">
        <w:t>’</w:t>
      </w:r>
      <w:r w:rsidRPr="00B04607">
        <w:t>accent sur le fait que les États parties doivent veiller à ce que la prestation de services de santé, y compris les services de santé mentale, soit fondée sur le consentement libre et éclairé de la personne concernée</w:t>
      </w:r>
      <w:r w:rsidRPr="001B11CC">
        <w:rPr>
          <w:rStyle w:val="Appelnotedebasdep"/>
        </w:rPr>
        <w:footnoteReference w:id="11"/>
      </w:r>
      <w:r w:rsidRPr="00B04607">
        <w:t>. D</w:t>
      </w:r>
      <w:r>
        <w:t xml:space="preserve">ans son observation générale </w:t>
      </w:r>
      <w:r w:rsidR="00DB2E90">
        <w:rPr>
          <w:rFonts w:eastAsia="MS Mincho"/>
        </w:rPr>
        <w:t>n</w:t>
      </w:r>
      <w:r w:rsidR="00DB2E90">
        <w:rPr>
          <w:rFonts w:eastAsia="MS Mincho"/>
          <w:vertAlign w:val="superscript"/>
        </w:rPr>
        <w:t>o</w:t>
      </w:r>
      <w:r w:rsidR="00DB2E90">
        <w:t> </w:t>
      </w:r>
      <w:r w:rsidRPr="00B04607">
        <w:t>1, le Comité a indiqué que les États parties avaient l</w:t>
      </w:r>
      <w:r w:rsidR="00F44343">
        <w:t>’</w:t>
      </w:r>
      <w:r w:rsidRPr="00B04607">
        <w:t>obligation d</w:t>
      </w:r>
      <w:r w:rsidR="00F44343">
        <w:t>’</w:t>
      </w:r>
      <w:r w:rsidRPr="00B04607">
        <w:t>exiger de tous les médecins et professionnels de la santé (y compris les psychiatres) qu</w:t>
      </w:r>
      <w:r w:rsidR="00F44343">
        <w:t>’</w:t>
      </w:r>
      <w:r w:rsidRPr="00B04607">
        <w:t xml:space="preserve">ils obtiennent le consentement libre et éclairé des personnes handicapées avant de les traiter. Il a </w:t>
      </w:r>
      <w:r>
        <w:t>fait observer</w:t>
      </w:r>
      <w:r w:rsidRPr="00B04607">
        <w:t xml:space="preserve"> que, en relation avec le droit à la capacité juridique sur la base de l</w:t>
      </w:r>
      <w:r w:rsidR="00F44343">
        <w:t>’</w:t>
      </w:r>
      <w:r w:rsidRPr="00B04607">
        <w:t>égalité avec les autres, les États parties avaient l</w:t>
      </w:r>
      <w:r w:rsidR="00F44343">
        <w:t>’</w:t>
      </w:r>
      <w:r w:rsidRPr="00B04607">
        <w:t>obligation de ne pas autoriser les régimes de prise de décisions substitutive pour l</w:t>
      </w:r>
      <w:r w:rsidR="00F44343">
        <w:t>’</w:t>
      </w:r>
      <w:r w:rsidRPr="00B04607">
        <w:t xml:space="preserve">expression de ce consentement. </w:t>
      </w:r>
      <w:r>
        <w:t>Tous les professionnels de la santé dev</w:t>
      </w:r>
      <w:r w:rsidRPr="00B04607">
        <w:t>aient veiller à ce que les personnes handicapées soient consultées directement et de manière appropriée. Ils devaient aussi veiller, dans la mesure de leurs moyens, à ce que les personnes fournissant aux personnes handicapées une aide ou un accompagnement ne se substituent pas aux personnes handicapées dans la prise des décisions les concernant ni n</w:t>
      </w:r>
      <w:r w:rsidR="00F44343">
        <w:t>’</w:t>
      </w:r>
      <w:r w:rsidRPr="00B04607">
        <w:t xml:space="preserve">exercent une influence </w:t>
      </w:r>
      <w:r w:rsidR="00DB2E90">
        <w:t>abusive sur ces décisions (par. </w:t>
      </w:r>
      <w:r w:rsidRPr="00B04607">
        <w:t>41).</w:t>
      </w:r>
    </w:p>
    <w:p w:rsidR="00C053EA" w:rsidRPr="00B04607" w:rsidRDefault="00C053EA" w:rsidP="00C053EA">
      <w:pPr>
        <w:pStyle w:val="H1G"/>
      </w:pPr>
      <w:r w:rsidRPr="0089616A">
        <w:tab/>
      </w:r>
      <w:bookmarkStart w:id="5" w:name="_Toc482101519"/>
      <w:r w:rsidRPr="00B04607">
        <w:t>F.</w:t>
      </w:r>
      <w:r w:rsidRPr="00B04607">
        <w:tab/>
      </w:r>
      <w:bookmarkEnd w:id="5"/>
      <w:r w:rsidRPr="00B04607">
        <w:t xml:space="preserve">Protection des personnes handicapées privées de leur liberté </w:t>
      </w:r>
      <w:r w:rsidR="00DB2E90">
        <w:br/>
      </w:r>
      <w:r w:rsidRPr="00B04607">
        <w:t>contre la violence, les sévices et les mauvais traitements</w:t>
      </w:r>
    </w:p>
    <w:p w:rsidR="00C053EA" w:rsidRPr="007A1FB1" w:rsidRDefault="00C053EA" w:rsidP="00C053EA">
      <w:pPr>
        <w:pStyle w:val="SingleTxtG"/>
      </w:pPr>
      <w:r w:rsidRPr="00624592">
        <w:t>12.</w:t>
      </w:r>
      <w:r w:rsidRPr="00624592">
        <w:tab/>
        <w:t>Le Comité a engagé les États parties à garantir la sécurité et l</w:t>
      </w:r>
      <w:r w:rsidR="00F44343">
        <w:t>’</w:t>
      </w:r>
      <w:r w:rsidRPr="00624592">
        <w:t>intégrité personnelle des personnes handicapées privées de liberté, notamment en mettant fin au recours au</w:t>
      </w:r>
      <w:r>
        <w:t>x</w:t>
      </w:r>
      <w:r w:rsidRPr="00624592">
        <w:t xml:space="preserve"> traitements forcés</w:t>
      </w:r>
      <w:r w:rsidRPr="001B11CC">
        <w:rPr>
          <w:rStyle w:val="Appelnotedebasdep"/>
        </w:rPr>
        <w:footnoteReference w:id="12"/>
      </w:r>
      <w:r w:rsidRPr="00624592">
        <w:t>, au placement à l</w:t>
      </w:r>
      <w:r w:rsidR="00F44343">
        <w:t>’</w:t>
      </w:r>
      <w:r w:rsidRPr="00624592">
        <w:t xml:space="preserve">isolement et aux différents moyens de contrainte </w:t>
      </w:r>
      <w:r w:rsidRPr="00624592">
        <w:lastRenderedPageBreak/>
        <w:t>employés dans les établissements médicaux, y compris les contraintes physiques, chimiques et mécaniques</w:t>
      </w:r>
      <w:r w:rsidRPr="001B11CC">
        <w:rPr>
          <w:rStyle w:val="Appelnotedebasdep"/>
        </w:rPr>
        <w:footnoteReference w:id="13"/>
      </w:r>
      <w:r w:rsidRPr="00624592">
        <w:t xml:space="preserve">. </w:t>
      </w:r>
      <w:r>
        <w:t>Il</w:t>
      </w:r>
      <w:r w:rsidRPr="007A1FB1">
        <w:t xml:space="preserve"> a jugé ces pratiques contraires à l</w:t>
      </w:r>
      <w:r w:rsidR="00F44343">
        <w:t>’</w:t>
      </w:r>
      <w:r w:rsidRPr="007A1FB1">
        <w:t>interdiction de soumettre une personne</w:t>
      </w:r>
      <w:r>
        <w:t xml:space="preserve"> handicapée</w:t>
      </w:r>
      <w:r w:rsidRPr="007A1FB1">
        <w:t xml:space="preserve"> à la torture et à d</w:t>
      </w:r>
      <w:r w:rsidR="00F44343">
        <w:t>’</w:t>
      </w:r>
      <w:r w:rsidRPr="007A1FB1">
        <w:t>autres peines ou traitements cruels, inhumains ou dégradants</w:t>
      </w:r>
      <w:r>
        <w:t>,</w:t>
      </w:r>
      <w:r w:rsidRPr="007A1FB1">
        <w:t xml:space="preserve"> découlant de l</w:t>
      </w:r>
      <w:r w:rsidR="00F44343">
        <w:t>’</w:t>
      </w:r>
      <w:r w:rsidR="00DB2E90">
        <w:t>article </w:t>
      </w:r>
      <w:r w:rsidRPr="007A1FB1">
        <w:t>15 de la Convention.</w:t>
      </w:r>
    </w:p>
    <w:p w:rsidR="00C053EA" w:rsidRPr="007A1FB1" w:rsidRDefault="00C053EA" w:rsidP="00C053EA">
      <w:pPr>
        <w:pStyle w:val="H1G"/>
      </w:pPr>
      <w:r w:rsidRPr="00624592">
        <w:tab/>
      </w:r>
      <w:bookmarkStart w:id="6" w:name="_Toc482101520"/>
      <w:r w:rsidRPr="007A1FB1">
        <w:t>G.</w:t>
      </w:r>
      <w:r w:rsidRPr="007A1FB1">
        <w:tab/>
      </w:r>
      <w:bookmarkEnd w:id="6"/>
      <w:r w:rsidRPr="007A1FB1">
        <w:t xml:space="preserve">Privation de liberté au motif que la personne handicapée </w:t>
      </w:r>
      <w:r w:rsidR="00DB2E90">
        <w:br/>
      </w:r>
      <w:r w:rsidRPr="007A1FB1">
        <w:t xml:space="preserve">présenterait un danger, aurait besoin de soins </w:t>
      </w:r>
      <w:r w:rsidR="00DB2E90">
        <w:br/>
      </w:r>
      <w:r w:rsidRPr="007A1FB1">
        <w:t>ou de traitements ou pour tout autre motif</w:t>
      </w:r>
    </w:p>
    <w:p w:rsidR="00C053EA" w:rsidRPr="00917FD2" w:rsidRDefault="00C053EA" w:rsidP="00C053EA">
      <w:pPr>
        <w:pStyle w:val="SingleTxtG"/>
      </w:pPr>
      <w:r w:rsidRPr="008F644F">
        <w:t>13.</w:t>
      </w:r>
      <w:r w:rsidRPr="008F644F">
        <w:tab/>
      </w:r>
      <w:r>
        <w:t xml:space="preserve">Dans tous les </w:t>
      </w:r>
      <w:r w:rsidRPr="008F644F">
        <w:t xml:space="preserve">examens des rapports des États parties, le Comité a </w:t>
      </w:r>
      <w:r>
        <w:t>estimé</w:t>
      </w:r>
      <w:r w:rsidRPr="008F644F">
        <w:t xml:space="preserve"> que la détention de personnes handicapées au motif qu</w:t>
      </w:r>
      <w:r w:rsidR="00F44343">
        <w:t>’</w:t>
      </w:r>
      <w:r w:rsidRPr="008F644F">
        <w:t>elles présenteraient un danger pour elles-mêmes ou pour autrui était contraire à l</w:t>
      </w:r>
      <w:r w:rsidR="00F44343">
        <w:t>’</w:t>
      </w:r>
      <w:r w:rsidR="00DB2E90">
        <w:t>article </w:t>
      </w:r>
      <w:r w:rsidRPr="008F644F">
        <w:t xml:space="preserve">14. </w:t>
      </w:r>
      <w:r w:rsidRPr="00917FD2">
        <w:t>La détention forcée de personnes handicapées au motif qu</w:t>
      </w:r>
      <w:r w:rsidR="00F44343">
        <w:t>’</w:t>
      </w:r>
      <w:r w:rsidRPr="00917FD2">
        <w:t>elles présenteraient un risque ou un danger, qu</w:t>
      </w:r>
      <w:r w:rsidR="00F44343">
        <w:t>’</w:t>
      </w:r>
      <w:r w:rsidRPr="00917FD2">
        <w:t>ell</w:t>
      </w:r>
      <w:r>
        <w:t xml:space="preserve">es auraient besoin de soins ou </w:t>
      </w:r>
      <w:r w:rsidRPr="00917FD2">
        <w:t xml:space="preserve">de traitements ou pour toute autre raison liée à leur </w:t>
      </w:r>
      <w:r>
        <w:t xml:space="preserve">déficience </w:t>
      </w:r>
      <w:r w:rsidRPr="00917FD2">
        <w:t xml:space="preserve">ou à un diagnostic, </w:t>
      </w:r>
      <w:r>
        <w:t xml:space="preserve">notamment </w:t>
      </w:r>
      <w:r w:rsidRPr="00917FD2">
        <w:t xml:space="preserve">la gravité de leur </w:t>
      </w:r>
      <w:r>
        <w:t>déficience</w:t>
      </w:r>
      <w:r w:rsidRPr="00917FD2">
        <w:t>, ou encore à des fins d</w:t>
      </w:r>
      <w:r w:rsidR="00F44343">
        <w:t>’</w:t>
      </w:r>
      <w:r w:rsidRPr="00917FD2">
        <w:t>observation, est contraire au droit à la liberté et constitue une privation arbitraire de liberté.</w:t>
      </w:r>
    </w:p>
    <w:p w:rsidR="00C053EA" w:rsidRPr="009C063E" w:rsidRDefault="00C053EA" w:rsidP="00C053EA">
      <w:pPr>
        <w:pStyle w:val="SingleTxtG"/>
      </w:pPr>
      <w:r w:rsidRPr="00917FD2">
        <w:t>14.</w:t>
      </w:r>
      <w:r w:rsidRPr="00917FD2">
        <w:tab/>
        <w:t xml:space="preserve">On considère souvent que les personnes </w:t>
      </w:r>
      <w:r>
        <w:t xml:space="preserve">présentant des troubles </w:t>
      </w:r>
      <w:r w:rsidRPr="00917FD2">
        <w:t>intellectuel</w:t>
      </w:r>
      <w:r>
        <w:t>s ou psychosociaux</w:t>
      </w:r>
      <w:r w:rsidRPr="00917FD2">
        <w:t xml:space="preserve"> </w:t>
      </w:r>
      <w:r>
        <w:t xml:space="preserve">constituent </w:t>
      </w:r>
      <w:r w:rsidRPr="00917FD2">
        <w:t>un danger pour elles-mêmes et pour autrui lorsqu</w:t>
      </w:r>
      <w:r w:rsidR="00F44343">
        <w:t>’</w:t>
      </w:r>
      <w:r w:rsidRPr="00917FD2">
        <w:t>elles ne consentent pas à faire l</w:t>
      </w:r>
      <w:r w:rsidR="00F44343">
        <w:t>’</w:t>
      </w:r>
      <w:r w:rsidRPr="00917FD2">
        <w:t>objet d</w:t>
      </w:r>
      <w:r w:rsidR="00F44343">
        <w:t>’</w:t>
      </w:r>
      <w:r w:rsidRPr="00917FD2">
        <w:t xml:space="preserve">un traitement médical ou thérapeutique </w:t>
      </w:r>
      <w:r>
        <w:t xml:space="preserve">ou </w:t>
      </w:r>
      <w:r w:rsidRPr="00917FD2">
        <w:t>s</w:t>
      </w:r>
      <w:r w:rsidR="00F44343">
        <w:t>’</w:t>
      </w:r>
      <w:r w:rsidRPr="00917FD2">
        <w:t xml:space="preserve">y </w:t>
      </w:r>
      <w:r>
        <w:t>opposent</w:t>
      </w:r>
      <w:r w:rsidRPr="00917FD2">
        <w:t xml:space="preserve">. </w:t>
      </w:r>
      <w:r w:rsidRPr="009C063E">
        <w:t>Toute personne, y compris handicapée, a l</w:t>
      </w:r>
      <w:r w:rsidR="00F44343">
        <w:t>’</w:t>
      </w:r>
      <w:r w:rsidRPr="009C063E">
        <w:t>obligation de ne pas causer de préjudice</w:t>
      </w:r>
      <w:r>
        <w:t xml:space="preserve">, et les </w:t>
      </w:r>
      <w:r w:rsidRPr="009C063E">
        <w:t>systèmes juridiques fondés sur la règle de droit contiennent des lois pénales et autres pour traiter tout manquement à cette obligation. Les personnes handicapées ne sont souvent pas protégées sur un pied d</w:t>
      </w:r>
      <w:r w:rsidR="00F44343">
        <w:t>’</w:t>
      </w:r>
      <w:r w:rsidRPr="009C063E">
        <w:t>égalité avec les autres par ces lois, dans la mesure où elles dépendent d</w:t>
      </w:r>
      <w:r w:rsidR="00F44343">
        <w:t>’</w:t>
      </w:r>
      <w:r w:rsidRPr="009C063E">
        <w:t>un ensemble distinct de lois, notamment de lois sur la santé mentale. Ces lois et procédures prévoient généralement des critères moins stricts</w:t>
      </w:r>
      <w:r>
        <w:t xml:space="preserve"> en matière de </w:t>
      </w:r>
      <w:r w:rsidRPr="009C063E">
        <w:t>protection des droits de l</w:t>
      </w:r>
      <w:r w:rsidR="00F44343">
        <w:t>’</w:t>
      </w:r>
      <w:r w:rsidRPr="009C063E">
        <w:t>homme, en particulier du droit à une procédure régulière</w:t>
      </w:r>
      <w:r>
        <w:t xml:space="preserve"> et à un procès équitable</w:t>
      </w:r>
      <w:r w:rsidRPr="009C063E">
        <w:t>, et ne sont pas conformes à l</w:t>
      </w:r>
      <w:r w:rsidR="00F44343">
        <w:t>’</w:t>
      </w:r>
      <w:r w:rsidR="00DB2E90">
        <w:t>article </w:t>
      </w:r>
      <w:r w:rsidRPr="009C063E">
        <w:t>13 de la Convention, lu en parallèle avec l</w:t>
      </w:r>
      <w:r w:rsidR="00F44343">
        <w:t>’</w:t>
      </w:r>
      <w:r w:rsidR="00DB2E90">
        <w:t>article </w:t>
      </w:r>
      <w:r w:rsidRPr="009C063E">
        <w:t>14.</w:t>
      </w:r>
    </w:p>
    <w:p w:rsidR="00C053EA" w:rsidRPr="0048670C" w:rsidRDefault="00C053EA" w:rsidP="00C053EA">
      <w:pPr>
        <w:pStyle w:val="SingleTxtG"/>
      </w:pPr>
      <w:r w:rsidRPr="009C063E">
        <w:t>15.</w:t>
      </w:r>
      <w:r w:rsidRPr="009C063E">
        <w:tab/>
        <w:t xml:space="preserve">La liberté de faire ses propres choix, posée </w:t>
      </w:r>
      <w:r>
        <w:t>comme</w:t>
      </w:r>
      <w:r w:rsidR="00DB2E90">
        <w:t xml:space="preserve"> un principe à l</w:t>
      </w:r>
      <w:r w:rsidR="00F44343">
        <w:t>’</w:t>
      </w:r>
      <w:r w:rsidR="00DB2E90">
        <w:t>article </w:t>
      </w:r>
      <w:r>
        <w:t>3 </w:t>
      </w:r>
      <w:r w:rsidRPr="009C063E">
        <w:t>a) de la Convention, comprend la liberté de prendre des risques et de faire des erreurs, sur un pied d</w:t>
      </w:r>
      <w:r w:rsidR="00F44343">
        <w:t>’</w:t>
      </w:r>
      <w:r w:rsidRPr="009C063E">
        <w:t xml:space="preserve">égalité avec les autres. </w:t>
      </w:r>
      <w:r w:rsidRPr="0048670C">
        <w:t>D</w:t>
      </w:r>
      <w:r w:rsidR="00DB2E90">
        <w:t xml:space="preserve">ans son observation générale </w:t>
      </w:r>
      <w:r w:rsidR="00DB2E90">
        <w:rPr>
          <w:rFonts w:eastAsia="MS Mincho"/>
        </w:rPr>
        <w:t>n</w:t>
      </w:r>
      <w:r w:rsidR="00DB2E90">
        <w:rPr>
          <w:rFonts w:eastAsia="MS Mincho"/>
          <w:vertAlign w:val="superscript"/>
        </w:rPr>
        <w:t>o</w:t>
      </w:r>
      <w:r w:rsidR="00DB2E90">
        <w:t> </w:t>
      </w:r>
      <w:r w:rsidRPr="0048670C">
        <w:t xml:space="preserve">1, le Comité a indiqué que les décisions relatives aux traitements médicaux et psychiatriques </w:t>
      </w:r>
      <w:r>
        <w:t xml:space="preserve">devaient </w:t>
      </w:r>
      <w:r w:rsidRPr="0048670C">
        <w:t>être fondées sur le consentement libre et éclairé de la personne concernée et respecter son autonomie, sa v</w:t>
      </w:r>
      <w:r w:rsidR="00DB2E90">
        <w:t>olonté et ses préférences (par. </w:t>
      </w:r>
      <w:r w:rsidRPr="0048670C">
        <w:t>21 et 42). L</w:t>
      </w:r>
      <w:r w:rsidR="00F44343">
        <w:t>’</w:t>
      </w:r>
      <w:r w:rsidRPr="0048670C">
        <w:t xml:space="preserve">internement en institution psychiatrique </w:t>
      </w:r>
      <w:r>
        <w:t>fondé sur la déficience,</w:t>
      </w:r>
      <w:r w:rsidRPr="0048670C">
        <w:t xml:space="preserve"> réel</w:t>
      </w:r>
      <w:r>
        <w:t>le</w:t>
      </w:r>
      <w:r w:rsidRPr="0048670C">
        <w:t xml:space="preserve"> ou supposé</w:t>
      </w:r>
      <w:r>
        <w:t>e,</w:t>
      </w:r>
      <w:r w:rsidRPr="0048670C">
        <w:t xml:space="preserve"> ou sur les conditions de santé des personnes </w:t>
      </w:r>
      <w:r>
        <w:t xml:space="preserve">concernées </w:t>
      </w:r>
      <w:r w:rsidRPr="0048670C">
        <w:t>prive les personnes handicapées de leur capacité juridique et constitue une violation de l</w:t>
      </w:r>
      <w:r w:rsidR="00F44343">
        <w:t>’</w:t>
      </w:r>
      <w:r w:rsidR="00DB2E90">
        <w:t>article </w:t>
      </w:r>
      <w:r w:rsidRPr="0048670C">
        <w:t>12 de la Convention.</w:t>
      </w:r>
    </w:p>
    <w:p w:rsidR="00C053EA" w:rsidRPr="0048670C" w:rsidRDefault="00C053EA" w:rsidP="00C053EA">
      <w:pPr>
        <w:pStyle w:val="H1G"/>
      </w:pPr>
      <w:r w:rsidRPr="009C063E">
        <w:tab/>
      </w:r>
      <w:bookmarkStart w:id="7" w:name="_Toc482101521"/>
      <w:r w:rsidRPr="0048670C">
        <w:t>H.</w:t>
      </w:r>
      <w:r w:rsidRPr="0048670C">
        <w:tab/>
      </w:r>
      <w:bookmarkEnd w:id="7"/>
      <w:r w:rsidRPr="0048670C">
        <w:t xml:space="preserve">Détention de personnes jugées inaptes à défendre leurs droits </w:t>
      </w:r>
      <w:r w:rsidR="00DB2E90">
        <w:br/>
      </w:r>
      <w:r w:rsidRPr="0048670C">
        <w:t xml:space="preserve">dans les systèmes de justice pénale ou incapables </w:t>
      </w:r>
      <w:r w:rsidR="00DB2E90">
        <w:br/>
      </w:r>
      <w:r w:rsidRPr="0048670C">
        <w:t>d</w:t>
      </w:r>
      <w:r w:rsidR="00F44343">
        <w:t>’</w:t>
      </w:r>
      <w:r w:rsidRPr="0048670C">
        <w:t>assumer leur responsabilité pénale</w:t>
      </w:r>
    </w:p>
    <w:p w:rsidR="00C053EA" w:rsidRPr="00E010F8" w:rsidRDefault="00C053EA" w:rsidP="00C053EA">
      <w:pPr>
        <w:pStyle w:val="SingleTxtG"/>
      </w:pPr>
      <w:r w:rsidRPr="00022EFB">
        <w:t>16.</w:t>
      </w:r>
      <w:r w:rsidRPr="00022EFB">
        <w:tab/>
        <w:t>Le Comité a affirmé que les déclaration</w:t>
      </w:r>
      <w:r>
        <w:t>s</w:t>
      </w:r>
      <w:r w:rsidRPr="00022EFB">
        <w:t xml:space="preserve"> d</w:t>
      </w:r>
      <w:r w:rsidR="00F44343">
        <w:t>’</w:t>
      </w:r>
      <w:r w:rsidRPr="00022EFB">
        <w:t>in</w:t>
      </w:r>
      <w:r>
        <w:t xml:space="preserve">aptitude à suivre un procès ou </w:t>
      </w:r>
      <w:r w:rsidRPr="00022EFB">
        <w:t xml:space="preserve">à assumer </w:t>
      </w:r>
      <w:r>
        <w:t>sa responsabilité pénale</w:t>
      </w:r>
      <w:r w:rsidRPr="00022EFB">
        <w:t xml:space="preserve"> dans </w:t>
      </w:r>
      <w:r w:rsidRPr="00541795">
        <w:rPr>
          <w:lang w:val="fr-FR"/>
        </w:rPr>
        <w:t>les</w:t>
      </w:r>
      <w:r w:rsidRPr="00022EFB">
        <w:t xml:space="preserve"> systèmes de justice pénale </w:t>
      </w:r>
      <w:r>
        <w:t xml:space="preserve">ainsi que </w:t>
      </w:r>
      <w:r w:rsidRPr="00022EFB">
        <w:t xml:space="preserve">la détention de personnes </w:t>
      </w:r>
      <w:r>
        <w:t xml:space="preserve">sur la base de ces </w:t>
      </w:r>
      <w:r w:rsidRPr="00022EFB">
        <w:t>déclaration</w:t>
      </w:r>
      <w:r>
        <w:t>s</w:t>
      </w:r>
      <w:r w:rsidRPr="00022EFB">
        <w:t xml:space="preserve"> étaient contraires à l</w:t>
      </w:r>
      <w:r w:rsidR="00F44343">
        <w:t>’</w:t>
      </w:r>
      <w:r w:rsidRPr="00022EFB">
        <w:t>article 14 de la Convention, en ce sens qu</w:t>
      </w:r>
      <w:r w:rsidR="00F44343">
        <w:t>’</w:t>
      </w:r>
      <w:r w:rsidRPr="00022EFB">
        <w:t xml:space="preserve">elles privent la personne concernée de son droit à une procédure régulière et des garanties applicables à chaque prévenu. </w:t>
      </w:r>
      <w:r>
        <w:t>Le</w:t>
      </w:r>
      <w:r w:rsidRPr="00E010F8">
        <w:t xml:space="preserve"> Comité a engagé les États parties à éliminer ce type de déclaration du système de justice pénale. Il a recommandé que toutes les personnes handicapées sous le coup d</w:t>
      </w:r>
      <w:r w:rsidR="00F44343">
        <w:t>’</w:t>
      </w:r>
      <w:r w:rsidRPr="00E010F8">
        <w:t>une accusation et placées en détention dans des prisons ou institutions sans jugement préalable aient la possibilité d</w:t>
      </w:r>
      <w:r w:rsidR="00F44343">
        <w:t>’</w:t>
      </w:r>
      <w:r w:rsidRPr="00E010F8">
        <w:t>assurer leur défense et de bénéficier de l</w:t>
      </w:r>
      <w:r w:rsidR="00F44343">
        <w:t>’</w:t>
      </w:r>
      <w:r w:rsidRPr="00E010F8">
        <w:t>appui et des aménagements qu</w:t>
      </w:r>
      <w:r w:rsidR="00F44343">
        <w:t>’</w:t>
      </w:r>
      <w:r w:rsidRPr="00E010F8">
        <w:t xml:space="preserve">elles souhaitent pour faciliter leur </w:t>
      </w:r>
      <w:r w:rsidRPr="00E010F8">
        <w:lastRenderedPageBreak/>
        <w:t>participation effective</w:t>
      </w:r>
      <w:r w:rsidRPr="001B11CC">
        <w:rPr>
          <w:rStyle w:val="Appelnotedebasdep"/>
        </w:rPr>
        <w:footnoteReference w:id="14"/>
      </w:r>
      <w:r w:rsidRPr="00E010F8">
        <w:t xml:space="preserve">, </w:t>
      </w:r>
      <w:r>
        <w:t xml:space="preserve">ainsi que </w:t>
      </w:r>
      <w:r w:rsidRPr="00E010F8">
        <w:t>d</w:t>
      </w:r>
      <w:r w:rsidR="00F44343">
        <w:t>’</w:t>
      </w:r>
      <w:r w:rsidRPr="00E010F8">
        <w:t>aménagements de procédure propres à leur offrir les garanties d</w:t>
      </w:r>
      <w:r w:rsidR="00F44343">
        <w:t>’</w:t>
      </w:r>
      <w:r w:rsidRPr="00E010F8">
        <w:t>un procès équitable et d</w:t>
      </w:r>
      <w:r w:rsidR="00F44343">
        <w:t>’</w:t>
      </w:r>
      <w:r w:rsidRPr="00E010F8">
        <w:t>une procédure régulière</w:t>
      </w:r>
      <w:r w:rsidRPr="001B11CC">
        <w:rPr>
          <w:rStyle w:val="Appelnotedebasdep"/>
        </w:rPr>
        <w:footnoteReference w:id="15"/>
      </w:r>
      <w:r w:rsidRPr="00E010F8">
        <w:t>.</w:t>
      </w:r>
    </w:p>
    <w:p w:rsidR="00C053EA" w:rsidRPr="00E010F8" w:rsidRDefault="00C053EA" w:rsidP="00C053EA">
      <w:pPr>
        <w:pStyle w:val="H1G"/>
      </w:pPr>
      <w:r w:rsidRPr="00022EFB">
        <w:tab/>
      </w:r>
      <w:bookmarkStart w:id="8" w:name="_Toc482101522"/>
      <w:r w:rsidRPr="00E010F8">
        <w:t>I.</w:t>
      </w:r>
      <w:r w:rsidRPr="00E010F8">
        <w:tab/>
      </w:r>
      <w:bookmarkEnd w:id="8"/>
      <w:r w:rsidRPr="00E010F8">
        <w:t>Conditions de détention des personnes handicapées</w:t>
      </w:r>
    </w:p>
    <w:p w:rsidR="00C053EA" w:rsidRPr="009B4B60" w:rsidRDefault="00C053EA" w:rsidP="00C053EA">
      <w:pPr>
        <w:pStyle w:val="SingleTxtG"/>
      </w:pPr>
      <w:r w:rsidRPr="0078202A">
        <w:t>17.</w:t>
      </w:r>
      <w:r w:rsidRPr="0078202A">
        <w:tab/>
        <w:t xml:space="preserve">Le Comité </w:t>
      </w:r>
      <w:r>
        <w:t>s</w:t>
      </w:r>
      <w:r w:rsidR="00F44343">
        <w:t>’</w:t>
      </w:r>
      <w:r>
        <w:t xml:space="preserve">est dit préoccupé par </w:t>
      </w:r>
      <w:r w:rsidRPr="0078202A">
        <w:t xml:space="preserve">les mauvaises conditions de vie dans les lieux de détention, en particulier dans les prisons, et a recommandé aux États parties de veiller à ce </w:t>
      </w:r>
      <w:r>
        <w:t xml:space="preserve">que ces lieux </w:t>
      </w:r>
      <w:r w:rsidRPr="0078202A">
        <w:t>soient accessibles et à ce qu</w:t>
      </w:r>
      <w:r w:rsidR="00F44343">
        <w:t>’</w:t>
      </w:r>
      <w:r w:rsidRPr="0078202A">
        <w:t xml:space="preserve">ils offrent des conditions de vie humaines. </w:t>
      </w:r>
      <w:r w:rsidRPr="009B4B60">
        <w:t>Il a recommandé que des mesures soient prises immédiatement en vue de remédier aux mauvaises conditions de vie dans les institutions</w:t>
      </w:r>
      <w:r w:rsidRPr="001B11CC">
        <w:rPr>
          <w:rStyle w:val="Appelnotedebasdep"/>
        </w:rPr>
        <w:footnoteReference w:id="16"/>
      </w:r>
      <w:r w:rsidRPr="009B4B60">
        <w:t xml:space="preserve">. Il a également recommandé aux États parties de mettre en place des cadres juridiques garantissant </w:t>
      </w:r>
      <w:r>
        <w:t>l</w:t>
      </w:r>
      <w:r w:rsidRPr="009B4B60">
        <w:t>es aménagements raisonnables voulus pour préserver la dignité des personnes handicapées, et de garantir ce droit aux personnes détenues dans les prisons</w:t>
      </w:r>
      <w:r w:rsidRPr="001B11CC">
        <w:rPr>
          <w:rStyle w:val="Appelnotedebasdep"/>
        </w:rPr>
        <w:footnoteReference w:id="17"/>
      </w:r>
      <w:r w:rsidRPr="009B4B60">
        <w:t>. Il a en outre relevé la nécessité d</w:t>
      </w:r>
      <w:r w:rsidR="00F44343">
        <w:t>’</w:t>
      </w:r>
      <w:r w:rsidRPr="009B4B60">
        <w:t>encourager la création de mécanismes pour assurer une formation au personnel judiciaire et pénitentiaire, qui soit conforme au cadre juridique de la Convention</w:t>
      </w:r>
      <w:r w:rsidRPr="001B11CC">
        <w:rPr>
          <w:rStyle w:val="Appelnotedebasdep"/>
        </w:rPr>
        <w:footnoteReference w:id="18"/>
      </w:r>
      <w:r w:rsidRPr="009B4B60">
        <w:t>.</w:t>
      </w:r>
    </w:p>
    <w:p w:rsidR="00C053EA" w:rsidRPr="00D4295D" w:rsidRDefault="00C053EA" w:rsidP="00C053EA">
      <w:pPr>
        <w:pStyle w:val="SingleTxtG"/>
      </w:pPr>
      <w:r w:rsidRPr="009B4B60">
        <w:t>18.</w:t>
      </w:r>
      <w:r w:rsidRPr="009B4B60">
        <w:tab/>
      </w:r>
      <w:r w:rsidRPr="00541795">
        <w:rPr>
          <w:lang w:val="fr-FR"/>
        </w:rPr>
        <w:t>Tout</w:t>
      </w:r>
      <w:r w:rsidRPr="009B4B60">
        <w:t xml:space="preserve"> en développant sa jurisprudence au titre du Protocole facultatif se rapportant à la Convention</w:t>
      </w:r>
      <w:r w:rsidRPr="001B11CC">
        <w:rPr>
          <w:rStyle w:val="Appelnotedebasdep"/>
        </w:rPr>
        <w:footnoteReference w:id="19"/>
      </w:r>
      <w:r w:rsidRPr="009B4B60">
        <w:t>, le Comité a affi</w:t>
      </w:r>
      <w:r w:rsidR="00DB2E90">
        <w:t>rmé que, en vertu du paragraphe </w:t>
      </w:r>
      <w:r w:rsidRPr="009B4B60">
        <w:t>2 de l</w:t>
      </w:r>
      <w:r w:rsidR="00F44343">
        <w:t>’</w:t>
      </w:r>
      <w:r w:rsidR="00DB2E90">
        <w:t>article </w:t>
      </w:r>
      <w:r w:rsidRPr="009B4B60">
        <w:t>14 de la Convention, les personnes handicapées privées de liberté ont le droit d</w:t>
      </w:r>
      <w:r w:rsidR="00F44343">
        <w:t>’</w:t>
      </w:r>
      <w:r w:rsidRPr="009B4B60">
        <w:t>être traitées conformément aux buts et principes de la Convention, y compris en bénéficiant de bonnes conditions d</w:t>
      </w:r>
      <w:r w:rsidR="00F44343">
        <w:t>’</w:t>
      </w:r>
      <w:r w:rsidRPr="009B4B60">
        <w:t>accessibilité et d</w:t>
      </w:r>
      <w:r w:rsidR="00F44343">
        <w:t>’</w:t>
      </w:r>
      <w:r w:rsidRPr="009B4B60">
        <w:t xml:space="preserve">aménagements raisonnables. </w:t>
      </w:r>
      <w:r>
        <w:t xml:space="preserve">Il </w:t>
      </w:r>
      <w:r w:rsidRPr="00D4295D">
        <w:t>a rappelé que les États parties devaient prendre toutes les mesures voulues pour veiller à ce que les personnes handicapées détenues puissent vivre de façon indépendante et participer pleinement à tous les aspects de la vie courante au sein de leur lieu de détention, notamment en garantissant leur accès, dans des conditions d</w:t>
      </w:r>
      <w:r w:rsidR="00F44343">
        <w:t>’</w:t>
      </w:r>
      <w:r w:rsidRPr="00D4295D">
        <w:t xml:space="preserve">égalité avec les autres, aux différents espaces et services </w:t>
      </w:r>
      <w:r>
        <w:t>–</w:t>
      </w:r>
      <w:r w:rsidRPr="00D4295D">
        <w:t xml:space="preserve"> salles de bain et toilettes, cour, bibliothèque, salle d</w:t>
      </w:r>
      <w:r w:rsidR="00F44343">
        <w:t>’</w:t>
      </w:r>
      <w:r w:rsidRPr="00D4295D">
        <w:t>étude, ateliers, ou encore service médical, psychologue et services sociaux et juridiques. Le Comité a souligné qu</w:t>
      </w:r>
      <w:r w:rsidR="00F44343">
        <w:t>’</w:t>
      </w:r>
      <w:r w:rsidRPr="00D4295D">
        <w:t>en l</w:t>
      </w:r>
      <w:r w:rsidR="00F44343">
        <w:t>’</w:t>
      </w:r>
      <w:r w:rsidRPr="00D4295D">
        <w:t>absence d</w:t>
      </w:r>
      <w:r w:rsidR="00F44343">
        <w:t>’</w:t>
      </w:r>
      <w:r w:rsidRPr="00D4295D">
        <w:t>accessibilité et d</w:t>
      </w:r>
      <w:r w:rsidR="00F44343">
        <w:t>’</w:t>
      </w:r>
      <w:r w:rsidRPr="00D4295D">
        <w:t>aménagements raisonnables, les personnes handicapées vivaient dans de mauvaises conditions de détention, contraires à l</w:t>
      </w:r>
      <w:r w:rsidR="00F44343">
        <w:t>’</w:t>
      </w:r>
      <w:r w:rsidR="00DB2E90">
        <w:t>article </w:t>
      </w:r>
      <w:r w:rsidRPr="00D4295D">
        <w:t>17 de la Convention et susceptibles de constituer une violation de l</w:t>
      </w:r>
      <w:r w:rsidR="00F44343">
        <w:t>’</w:t>
      </w:r>
      <w:r w:rsidR="00DB2E90">
        <w:t>article 15 (par. </w:t>
      </w:r>
      <w:r w:rsidRPr="00D4295D">
        <w:t>2).</w:t>
      </w:r>
    </w:p>
    <w:p w:rsidR="00C053EA" w:rsidRPr="00D4295D" w:rsidRDefault="00C053EA" w:rsidP="00C053EA">
      <w:pPr>
        <w:pStyle w:val="H1G"/>
      </w:pPr>
      <w:r w:rsidRPr="009B4B60">
        <w:tab/>
      </w:r>
      <w:bookmarkStart w:id="9" w:name="_Toc482101523"/>
      <w:r w:rsidRPr="00D4295D">
        <w:t>J.</w:t>
      </w:r>
      <w:r w:rsidRPr="00D4295D">
        <w:tab/>
      </w:r>
      <w:bookmarkEnd w:id="9"/>
      <w:r w:rsidRPr="00D4295D">
        <w:t xml:space="preserve">Surveillance des lieux de détention et vérification </w:t>
      </w:r>
      <w:r w:rsidR="00DB2E90">
        <w:br/>
      </w:r>
      <w:r w:rsidRPr="00D4295D">
        <w:t>de la légalité des détentions</w:t>
      </w:r>
    </w:p>
    <w:p w:rsidR="00C053EA" w:rsidRPr="00FC2BA0" w:rsidRDefault="00C053EA" w:rsidP="00C053EA">
      <w:pPr>
        <w:pStyle w:val="SingleTxtG"/>
      </w:pPr>
      <w:r w:rsidRPr="005623D3">
        <w:t>19.</w:t>
      </w:r>
      <w:r w:rsidRPr="005623D3">
        <w:tab/>
      </w:r>
      <w:r w:rsidRPr="00541795">
        <w:rPr>
          <w:lang w:val="fr-FR"/>
        </w:rPr>
        <w:t>Le</w:t>
      </w:r>
      <w:r w:rsidRPr="005623D3">
        <w:t xml:space="preserve"> Comité a mis l</w:t>
      </w:r>
      <w:r w:rsidR="00F44343">
        <w:t>’</w:t>
      </w:r>
      <w:r w:rsidRPr="005623D3">
        <w:t xml:space="preserve">accent sur la nécessité de mettre en </w:t>
      </w:r>
      <w:r>
        <w:t xml:space="preserve">œuvre </w:t>
      </w:r>
      <w:r w:rsidRPr="005623D3">
        <w:t>des mécanismes de suivi et d</w:t>
      </w:r>
      <w:r w:rsidR="00F44343">
        <w:t>’</w:t>
      </w:r>
      <w:r w:rsidRPr="005623D3">
        <w:t xml:space="preserve">examen </w:t>
      </w:r>
      <w:r>
        <w:t>à l</w:t>
      </w:r>
      <w:r w:rsidR="00F44343">
        <w:t>’</w:t>
      </w:r>
      <w:r>
        <w:t xml:space="preserve">intention des </w:t>
      </w:r>
      <w:r w:rsidRPr="005623D3">
        <w:t xml:space="preserve">personnes handicapées privées de liberté. </w:t>
      </w:r>
      <w:r>
        <w:t>Cependant, l</w:t>
      </w:r>
      <w:r w:rsidRPr="00FC2BA0">
        <w:t>a surveillance des institutions existantes et la vérification de la légalité des détentions ne signifient pas l</w:t>
      </w:r>
      <w:r w:rsidR="00F44343">
        <w:t>’</w:t>
      </w:r>
      <w:r w:rsidRPr="00FC2BA0">
        <w:t>acceptation de la pratique du placement forcé en institution. L</w:t>
      </w:r>
      <w:r w:rsidR="00F44343">
        <w:t>’</w:t>
      </w:r>
      <w:r w:rsidR="00DB2E90">
        <w:t>article 16 (par. </w:t>
      </w:r>
      <w:r w:rsidRPr="00FC2BA0">
        <w:t xml:space="preserve">3) de la Convention prévoit </w:t>
      </w:r>
      <w:r>
        <w:t>expressément</w:t>
      </w:r>
      <w:r w:rsidRPr="00FC2BA0">
        <w:t xml:space="preserve"> que tous les établissements et programmes destinés aux personnes handicapées soient effectivement contrôlés afin de prévenir toutes les formes d</w:t>
      </w:r>
      <w:r w:rsidR="00F44343">
        <w:t>’</w:t>
      </w:r>
      <w:r w:rsidRPr="00FC2BA0">
        <w:t>exploitation, de violence et</w:t>
      </w:r>
      <w:r w:rsidR="00DB2E90">
        <w:t xml:space="preserve"> de maltraitance. L</w:t>
      </w:r>
      <w:r w:rsidR="00F44343">
        <w:t>’</w:t>
      </w:r>
      <w:r w:rsidR="00DB2E90">
        <w:t>article </w:t>
      </w:r>
      <w:r>
        <w:t xml:space="preserve">33 </w:t>
      </w:r>
      <w:r w:rsidRPr="00FC2BA0">
        <w:t>dispose que les États parties créent un mécanisme national indépendant de suivi et veillent à ce que la société civile partici</w:t>
      </w:r>
      <w:r w:rsidR="00DB2E90">
        <w:t>pe à la fonction de suivi (par. </w:t>
      </w:r>
      <w:r w:rsidRPr="00FC2BA0">
        <w:t>2 et 3). La vérification de la légalité des détentions doit avoir pour but de dénoncer les détentions arbitraires et d</w:t>
      </w:r>
      <w:r w:rsidR="00F44343">
        <w:t>’</w:t>
      </w:r>
      <w:r w:rsidRPr="00FC2BA0">
        <w:t xml:space="preserve">obtenir la </w:t>
      </w:r>
      <w:r w:rsidRPr="00FC2BA0">
        <w:lastRenderedPageBreak/>
        <w:t>libération immédiate des personnes dont il est avéré qu</w:t>
      </w:r>
      <w:r w:rsidR="00F44343">
        <w:t>’</w:t>
      </w:r>
      <w:r w:rsidRPr="00FC2BA0">
        <w:t>elles ont fait l</w:t>
      </w:r>
      <w:r w:rsidR="00F44343">
        <w:t>’</w:t>
      </w:r>
      <w:r w:rsidRPr="00FC2BA0">
        <w:t>objet d</w:t>
      </w:r>
      <w:r w:rsidR="00F44343">
        <w:t>’</w:t>
      </w:r>
      <w:r w:rsidRPr="00FC2BA0">
        <w:t>une détention arbitraire</w:t>
      </w:r>
      <w:r w:rsidR="00606530">
        <w:t> ;</w:t>
      </w:r>
      <w:r w:rsidRPr="00FC2BA0">
        <w:t xml:space="preserve"> elle ne doit en aucun cas autoriser la prolongation d</w:t>
      </w:r>
      <w:r w:rsidR="00F44343">
        <w:t>’</w:t>
      </w:r>
      <w:r w:rsidRPr="00FC2BA0">
        <w:t>une détention arbitraire</w:t>
      </w:r>
      <w:r w:rsidRPr="001B11CC">
        <w:rPr>
          <w:rStyle w:val="Appelnotedebasdep"/>
        </w:rPr>
        <w:footnoteReference w:id="20"/>
      </w:r>
      <w:r w:rsidRPr="00FC2BA0">
        <w:t>.</w:t>
      </w:r>
    </w:p>
    <w:p w:rsidR="00C053EA" w:rsidRPr="008E2144" w:rsidRDefault="00C053EA" w:rsidP="00C053EA">
      <w:pPr>
        <w:pStyle w:val="H1G"/>
      </w:pPr>
      <w:r w:rsidRPr="005623D3">
        <w:tab/>
      </w:r>
      <w:bookmarkStart w:id="10" w:name="_Toc482101524"/>
      <w:r w:rsidRPr="008E2144">
        <w:t>K.</w:t>
      </w:r>
      <w:r w:rsidRPr="008E2144">
        <w:tab/>
      </w:r>
      <w:bookmarkEnd w:id="10"/>
      <w:r w:rsidRPr="008E2144">
        <w:t>Mesures de sécurité</w:t>
      </w:r>
    </w:p>
    <w:p w:rsidR="00C053EA" w:rsidRPr="00900E9F" w:rsidRDefault="00C053EA" w:rsidP="00C053EA">
      <w:pPr>
        <w:pStyle w:val="SingleTxtG"/>
      </w:pPr>
      <w:r w:rsidRPr="00900E9F">
        <w:t>20.</w:t>
      </w:r>
      <w:r w:rsidRPr="00900E9F">
        <w:tab/>
        <w:t xml:space="preserve">Le Comité a abordé la question des mesures de sécurité imposées aux personnes jugées inaptes à assumer </w:t>
      </w:r>
      <w:r>
        <w:t xml:space="preserve">une </w:t>
      </w:r>
      <w:r w:rsidRPr="00541795">
        <w:rPr>
          <w:lang w:val="fr-FR"/>
        </w:rPr>
        <w:t>responsabilité</w:t>
      </w:r>
      <w:r>
        <w:t xml:space="preserve"> pénale</w:t>
      </w:r>
      <w:r w:rsidR="00DB2E90">
        <w:t xml:space="preserve"> pour cause de « démence </w:t>
      </w:r>
      <w:r w:rsidRPr="00900E9F">
        <w:t>» ou d</w:t>
      </w:r>
      <w:r w:rsidR="00F44343">
        <w:t>’</w:t>
      </w:r>
      <w:r w:rsidRPr="00900E9F">
        <w:t>incapacité. Il a recommandé la suppression de ces mesures</w:t>
      </w:r>
      <w:r w:rsidRPr="001B11CC">
        <w:rPr>
          <w:rStyle w:val="Appelnotedebasdep"/>
        </w:rPr>
        <w:footnoteReference w:id="21"/>
      </w:r>
      <w:r w:rsidRPr="00900E9F">
        <w:t>, y compris celles qui entraînent obligatoirement l</w:t>
      </w:r>
      <w:r w:rsidR="00F44343">
        <w:t>’</w:t>
      </w:r>
      <w:r w:rsidRPr="00900E9F">
        <w:t>internement et le traitement médico-psychiatrique</w:t>
      </w:r>
      <w:r w:rsidRPr="001B11CC">
        <w:rPr>
          <w:rStyle w:val="Appelnotedebasdep"/>
        </w:rPr>
        <w:footnoteReference w:id="22"/>
      </w:r>
      <w:r w:rsidRPr="00900E9F">
        <w:t xml:space="preserve">. Il a fait part de son inquiétude concernant les mesures de sécurité </w:t>
      </w:r>
      <w:r>
        <w:t xml:space="preserve">qui donnent lieu à </w:t>
      </w:r>
      <w:r w:rsidRPr="00900E9F">
        <w:t xml:space="preserve">une privation de liberté pour une durée illimitée et </w:t>
      </w:r>
      <w:r>
        <w:t xml:space="preserve">entraînent </w:t>
      </w:r>
      <w:r w:rsidRPr="00900E9F">
        <w:t>l</w:t>
      </w:r>
      <w:r w:rsidR="00F44343">
        <w:t>’</w:t>
      </w:r>
      <w:r w:rsidRPr="00900E9F">
        <w:t xml:space="preserve">absence de garanties </w:t>
      </w:r>
      <w:r>
        <w:t>d</w:t>
      </w:r>
      <w:r w:rsidR="00F44343">
        <w:t>’</w:t>
      </w:r>
      <w:r>
        <w:t xml:space="preserve">une procédure régulière dans le </w:t>
      </w:r>
      <w:r w:rsidRPr="00900E9F">
        <w:t>système de justice pénale</w:t>
      </w:r>
      <w:r w:rsidRPr="001B11CC">
        <w:rPr>
          <w:rStyle w:val="Appelnotedebasdep"/>
        </w:rPr>
        <w:footnoteReference w:id="23"/>
      </w:r>
      <w:r w:rsidRPr="00900E9F">
        <w:t>.</w:t>
      </w:r>
    </w:p>
    <w:p w:rsidR="00C053EA" w:rsidRPr="0006571A" w:rsidRDefault="00C053EA" w:rsidP="00C053EA">
      <w:pPr>
        <w:pStyle w:val="H1G"/>
      </w:pPr>
      <w:r w:rsidRPr="00900E9F">
        <w:tab/>
      </w:r>
      <w:bookmarkStart w:id="11" w:name="_Toc482101525"/>
      <w:r w:rsidRPr="0006571A">
        <w:t>L.</w:t>
      </w:r>
      <w:r w:rsidRPr="0006571A">
        <w:tab/>
      </w:r>
      <w:bookmarkEnd w:id="11"/>
      <w:r>
        <w:t>Mécanismes d</w:t>
      </w:r>
      <w:r w:rsidR="00F44343">
        <w:t>’</w:t>
      </w:r>
      <w:r>
        <w:t xml:space="preserve">intervention extrajudiciaire </w:t>
      </w:r>
      <w:r w:rsidRPr="0006571A">
        <w:t xml:space="preserve">et systèmes </w:t>
      </w:r>
      <w:r w:rsidR="00DB2E90">
        <w:br/>
      </w:r>
      <w:r w:rsidRPr="0006571A">
        <w:t xml:space="preserve">de justice </w:t>
      </w:r>
      <w:r>
        <w:t>réparatrice</w:t>
      </w:r>
    </w:p>
    <w:p w:rsidR="00C053EA" w:rsidRPr="00FF198F" w:rsidRDefault="00C053EA" w:rsidP="00C053EA">
      <w:pPr>
        <w:pStyle w:val="SingleTxtG"/>
      </w:pPr>
      <w:r w:rsidRPr="00A00C39">
        <w:t>21.</w:t>
      </w:r>
      <w:r w:rsidRPr="00A00C39">
        <w:tab/>
        <w:t>Le Comité a déclaré que, dans les procédures pénales, la privation de liberté ne d</w:t>
      </w:r>
      <w:r>
        <w:t>evait</w:t>
      </w:r>
      <w:r w:rsidRPr="00A00C39">
        <w:t xml:space="preserve"> être appliquée qu</w:t>
      </w:r>
      <w:r w:rsidR="00F44343">
        <w:t>’</w:t>
      </w:r>
      <w:r w:rsidRPr="00A00C39">
        <w:t>en dernier ressort et lorsque les autres mesures extrajudiciaires, notamment les programmes de justice réparatrice, ne suffisent pas pour prévenir de nouvelles infractions</w:t>
      </w:r>
      <w:r w:rsidRPr="001B11CC">
        <w:rPr>
          <w:rStyle w:val="Appelnotedebasdep"/>
        </w:rPr>
        <w:footnoteReference w:id="24"/>
      </w:r>
      <w:r w:rsidRPr="00A00C39">
        <w:t xml:space="preserve">. </w:t>
      </w:r>
      <w:r w:rsidRPr="00FF198F">
        <w:t>Les programme</w:t>
      </w:r>
      <w:r>
        <w:t>s</w:t>
      </w:r>
      <w:r w:rsidRPr="00FF198F">
        <w:t xml:space="preserve"> d</w:t>
      </w:r>
      <w:r w:rsidR="00F44343">
        <w:t>’</w:t>
      </w:r>
      <w:r w:rsidRPr="00FF198F">
        <w:t xml:space="preserve">intervention extrajudiciaire ne </w:t>
      </w:r>
      <w:r>
        <w:t>doivent</w:t>
      </w:r>
      <w:r w:rsidRPr="00FF198F">
        <w:t xml:space="preserve"> pas faire basculer les individus dans des régimes d</w:t>
      </w:r>
      <w:r w:rsidR="00F44343">
        <w:t>’</w:t>
      </w:r>
      <w:r w:rsidRPr="00FF198F">
        <w:t>internement dans des établissements de santé mentale ou leur imposer de participer à des services de santé mentale, ces services devant être fournis sur la base d</w:t>
      </w:r>
      <w:r w:rsidR="00F44343">
        <w:t>’</w:t>
      </w:r>
      <w:r w:rsidRPr="00FF198F">
        <w:t>un consentement libre et éclairé de la personne</w:t>
      </w:r>
      <w:r w:rsidRPr="001B11CC">
        <w:rPr>
          <w:rStyle w:val="Appelnotedebasdep"/>
        </w:rPr>
        <w:footnoteReference w:id="25"/>
      </w:r>
      <w:r w:rsidRPr="00FF198F">
        <w:t>.</w:t>
      </w:r>
    </w:p>
    <w:p w:rsidR="00C053EA" w:rsidRPr="00FF198F" w:rsidRDefault="00C053EA" w:rsidP="00C053EA">
      <w:pPr>
        <w:pStyle w:val="H1G"/>
      </w:pPr>
      <w:r w:rsidRPr="00A00C39">
        <w:tab/>
      </w:r>
      <w:bookmarkStart w:id="12" w:name="_Toc482101526"/>
      <w:r w:rsidRPr="00FF198F">
        <w:t>M.</w:t>
      </w:r>
      <w:r w:rsidRPr="00FF198F">
        <w:tab/>
      </w:r>
      <w:bookmarkEnd w:id="12"/>
      <w:r>
        <w:t>C</w:t>
      </w:r>
      <w:r w:rsidRPr="00FF198F">
        <w:t>onsentement libre et éclairé dans les situations d</w:t>
      </w:r>
      <w:r w:rsidR="00F44343">
        <w:t>’</w:t>
      </w:r>
      <w:r w:rsidRPr="00FF198F">
        <w:t>urgence et de crise</w:t>
      </w:r>
    </w:p>
    <w:p w:rsidR="00C053EA" w:rsidRPr="00F51B74" w:rsidRDefault="00C053EA" w:rsidP="00C053EA">
      <w:pPr>
        <w:pStyle w:val="SingleTxtG"/>
      </w:pPr>
      <w:r w:rsidRPr="00023953">
        <w:t>22.</w:t>
      </w:r>
      <w:r w:rsidRPr="00023953">
        <w:tab/>
        <w:t>D</w:t>
      </w:r>
      <w:r w:rsidR="00DB2E90">
        <w:t xml:space="preserve">ans son observation générale </w:t>
      </w:r>
      <w:r w:rsidR="00DB2E90">
        <w:rPr>
          <w:rFonts w:eastAsia="MS Mincho"/>
        </w:rPr>
        <w:t>n</w:t>
      </w:r>
      <w:r w:rsidR="00DB2E90">
        <w:rPr>
          <w:rFonts w:eastAsia="MS Mincho"/>
          <w:vertAlign w:val="superscript"/>
        </w:rPr>
        <w:t>o</w:t>
      </w:r>
      <w:r w:rsidR="00DB2E90">
        <w:t> </w:t>
      </w:r>
      <w:r w:rsidRPr="00023953">
        <w:t xml:space="preserve">1, le Comité a indiqué que les États parties devaient respecter et </w:t>
      </w:r>
      <w:r>
        <w:t xml:space="preserve">renforcer </w:t>
      </w:r>
      <w:r w:rsidRPr="00023953">
        <w:t>la capacité juridique des personnes handicapées de prendre des décisions en tout temps, y compris dans les situations d</w:t>
      </w:r>
      <w:r w:rsidR="00F44343">
        <w:t>’</w:t>
      </w:r>
      <w:r w:rsidRPr="00023953">
        <w:t xml:space="preserve">urgence et de crise. </w:t>
      </w:r>
      <w:r w:rsidRPr="00F51B74">
        <w:t xml:space="preserve">Les États parties </w:t>
      </w:r>
      <w:r>
        <w:t xml:space="preserve">devaient </w:t>
      </w:r>
      <w:r w:rsidRPr="00F51B74">
        <w:t>veiller à ce que les personnes handicapées bénéficient d</w:t>
      </w:r>
      <w:r w:rsidR="00F44343">
        <w:t>’</w:t>
      </w:r>
      <w:r w:rsidRPr="00F51B74">
        <w:t>un appui, notamment dans les situations d</w:t>
      </w:r>
      <w:r w:rsidR="00F44343">
        <w:t>’</w:t>
      </w:r>
      <w:r w:rsidRPr="00F51B74">
        <w:t>urgence et de crise, et à ce que des informations exactes et accessibles soient disponibles quant aux diverses options et à ce que des approches non médicales s</w:t>
      </w:r>
      <w:r w:rsidR="00DB2E90">
        <w:t>oient mises à disposition (par. </w:t>
      </w:r>
      <w:r w:rsidRPr="00F51B74">
        <w:t xml:space="preserve">42). Le Comité a en outre indiqué que les États parties </w:t>
      </w:r>
      <w:r>
        <w:t xml:space="preserve">devaient </w:t>
      </w:r>
      <w:r w:rsidRPr="00F51B74">
        <w:t>abolir les politiques et abroger les dispositions législatives qui autorisent ou prévoient un traitement de force et faire en sorte que les décisions touchant l</w:t>
      </w:r>
      <w:r w:rsidR="00F44343">
        <w:t>’</w:t>
      </w:r>
      <w:r w:rsidRPr="00F51B74">
        <w:t>intégrité physique ou mentale de la personne ne puissent être prises qu</w:t>
      </w:r>
      <w:r w:rsidR="00F44343">
        <w:t>’</w:t>
      </w:r>
      <w:r w:rsidRPr="00F51B74">
        <w:t>avec le consentement libre et éclairé</w:t>
      </w:r>
      <w:r w:rsidR="00DB2E90">
        <w:t xml:space="preserve"> de la personne concernée (par. </w:t>
      </w:r>
      <w:r w:rsidRPr="00F51B74">
        <w:t xml:space="preserve">42). Il a </w:t>
      </w:r>
      <w:r>
        <w:t xml:space="preserve">déclaré </w:t>
      </w:r>
      <w:r w:rsidRPr="00F51B74">
        <w:t>que, en relation avec le droit à la capacité juridique sur la base de l</w:t>
      </w:r>
      <w:r w:rsidR="00F44343">
        <w:t>’</w:t>
      </w:r>
      <w:r w:rsidRPr="00F51B74">
        <w:t>égalité avec les autres, les États parties avaient l</w:t>
      </w:r>
      <w:r w:rsidR="00F44343">
        <w:t>’</w:t>
      </w:r>
      <w:r w:rsidRPr="00F51B74">
        <w:t>obligation de ne pas autoriser les régimes de prise de décisions substitutive pour l</w:t>
      </w:r>
      <w:r w:rsidR="00F44343">
        <w:t>’</w:t>
      </w:r>
      <w:r w:rsidRPr="00F51B74">
        <w:t>expr</w:t>
      </w:r>
      <w:r w:rsidR="00DB2E90">
        <w:t>ession de ce consentement (par. </w:t>
      </w:r>
      <w:r w:rsidRPr="00F51B74">
        <w:t>41).</w:t>
      </w:r>
    </w:p>
    <w:p w:rsidR="00D51CF1" w:rsidRDefault="00C053EA" w:rsidP="00C053EA">
      <w:pPr>
        <w:pStyle w:val="SingleTxtG"/>
      </w:pPr>
      <w:r w:rsidRPr="00F51B74">
        <w:t>23.</w:t>
      </w:r>
      <w:r w:rsidRPr="00F51B74">
        <w:tab/>
        <w:t>Dans la même observation générale, le Comité a également engagé les États parties à veiller à ce que les personnes handicapées ne soient pas privées du droit d</w:t>
      </w:r>
      <w:r w:rsidR="00F44343">
        <w:t>’</w:t>
      </w:r>
      <w:r w:rsidRPr="00F51B74">
        <w:t>exercer leur capacité juridique sur la base d</w:t>
      </w:r>
      <w:r w:rsidR="00F44343">
        <w:t>’</w:t>
      </w:r>
      <w:r w:rsidR="00DB2E90">
        <w:t>une analyse de leur « intérêt supérieur </w:t>
      </w:r>
      <w:r w:rsidRPr="00F51B74">
        <w:t>» par une tierce partie, et a indiqué que lorsque, en dépit d</w:t>
      </w:r>
      <w:r w:rsidR="00F44343">
        <w:t>’</w:t>
      </w:r>
      <w:r w:rsidRPr="00F51B74">
        <w:t>efforts significatifs à cette fin, il n</w:t>
      </w:r>
      <w:r w:rsidR="00F44343">
        <w:t>’</w:t>
      </w:r>
      <w:r>
        <w:t>était</w:t>
      </w:r>
      <w:r w:rsidRPr="00F51B74">
        <w:t xml:space="preserve"> pas possible de déterminer la volonté et les préférences d</w:t>
      </w:r>
      <w:r w:rsidR="00F44343">
        <w:t>’</w:t>
      </w:r>
      <w:r w:rsidRPr="00F51B74">
        <w:t>un individu, l</w:t>
      </w:r>
      <w:r w:rsidR="00F44343">
        <w:t>’</w:t>
      </w:r>
      <w:r w:rsidRPr="00F51B74">
        <w:t>«</w:t>
      </w:r>
      <w:r w:rsidR="00DB2E90">
        <w:t> </w:t>
      </w:r>
      <w:r w:rsidRPr="00F51B74">
        <w:t>interprétation optimale de la volonté et des préférences</w:t>
      </w:r>
      <w:r w:rsidR="00DB2E90">
        <w:t> </w:t>
      </w:r>
      <w:r w:rsidRPr="00F51B74">
        <w:t xml:space="preserve">» devait remplacer </w:t>
      </w:r>
      <w:r>
        <w:t xml:space="preserve">les pratiques liées à </w:t>
      </w:r>
      <w:r w:rsidRPr="00F51B74">
        <w:t>la notion d</w:t>
      </w:r>
      <w:r w:rsidR="00F44343">
        <w:t>’</w:t>
      </w:r>
      <w:r w:rsidR="00DB2E90">
        <w:t>« intérêt supérieur » (par. </w:t>
      </w:r>
      <w:r w:rsidRPr="00F51B74">
        <w:t>21)</w:t>
      </w:r>
    </w:p>
    <w:p w:rsidR="00D51CF1" w:rsidRDefault="00C053EA" w:rsidP="00C053EA">
      <w:pPr>
        <w:pStyle w:val="SingleTxtG"/>
        <w:sectPr w:rsidR="00D51CF1" w:rsidSect="00C053EA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Fmt w:val="lowerLetter"/>
            <w:numRestart w:val="eachSect"/>
          </w:footnotePr>
          <w:endnotePr>
            <w:numFmt w:val="decimal"/>
          </w:endnotePr>
          <w:pgSz w:w="11907" w:h="16840" w:code="9"/>
          <w:pgMar w:top="1417" w:right="1134" w:bottom="1134" w:left="1134" w:header="850" w:footer="567" w:gutter="0"/>
          <w:pgNumType w:start="17"/>
          <w:cols w:space="720"/>
          <w:docGrid w:linePitch="272"/>
        </w:sectPr>
      </w:pPr>
      <w:r w:rsidRPr="00F51B74">
        <w:t>.</w:t>
      </w:r>
      <w:r w:rsidR="00D51CF1">
        <w:t xml:space="preserve"> </w:t>
      </w:r>
    </w:p>
    <w:p w:rsidR="00C053EA" w:rsidRPr="001D5106" w:rsidRDefault="00C053EA" w:rsidP="00C053EA">
      <w:pPr>
        <w:pStyle w:val="H1G"/>
      </w:pPr>
      <w:r w:rsidRPr="00F51B74">
        <w:lastRenderedPageBreak/>
        <w:tab/>
      </w:r>
      <w:bookmarkStart w:id="13" w:name="_Toc482101527"/>
      <w:r w:rsidRPr="001D5106">
        <w:t>N.</w:t>
      </w:r>
      <w:r w:rsidRPr="001D5106">
        <w:tab/>
      </w:r>
      <w:bookmarkEnd w:id="13"/>
      <w:r w:rsidRPr="001D5106">
        <w:t xml:space="preserve">Accès à la justice et à des mécanismes de réparation </w:t>
      </w:r>
      <w:r w:rsidR="00C567BC">
        <w:br/>
      </w:r>
      <w:r w:rsidRPr="001D5106">
        <w:t>et d</w:t>
      </w:r>
      <w:r w:rsidR="00F44343">
        <w:t>’</w:t>
      </w:r>
      <w:r w:rsidRPr="001D5106">
        <w:t xml:space="preserve">indemnisation pour les personnes handicapées privées </w:t>
      </w:r>
      <w:r w:rsidR="00C567BC">
        <w:br/>
      </w:r>
      <w:r w:rsidRPr="001D5106">
        <w:t>de liberté en violation de l</w:t>
      </w:r>
      <w:r w:rsidR="00F44343">
        <w:t>’</w:t>
      </w:r>
      <w:r w:rsidRPr="001D5106">
        <w:t xml:space="preserve">article 14, lu séparément </w:t>
      </w:r>
      <w:r w:rsidR="00C567BC">
        <w:br/>
      </w:r>
      <w:r w:rsidRPr="001D5106">
        <w:t>et en parallèle avec les articles 12 et 15 de la Convention</w:t>
      </w:r>
    </w:p>
    <w:p w:rsidR="00C053EA" w:rsidRDefault="00C053EA" w:rsidP="00C053EA">
      <w:pPr>
        <w:pStyle w:val="SingleTxtG"/>
      </w:pPr>
      <w:r w:rsidRPr="000A58E3">
        <w:t>24.</w:t>
      </w:r>
      <w:r w:rsidRPr="000A58E3">
        <w:tab/>
        <w:t>Les personnes handicapées qui sont arbitrairement ou illégalement privées de liberté ont le droit d</w:t>
      </w:r>
      <w:r w:rsidR="00F44343">
        <w:t>’</w:t>
      </w:r>
      <w:r w:rsidRPr="000A58E3">
        <w:t xml:space="preserve">avoir accès à la justice pour faire vérifier la légalité de leur détention et obtenir une réparation et une indemnisation adéquates. </w:t>
      </w:r>
      <w:r w:rsidRPr="00BA79F0">
        <w:t>À cet égard, le Comité appelle l</w:t>
      </w:r>
      <w:r w:rsidR="00F44343">
        <w:t>’</w:t>
      </w:r>
      <w:r w:rsidRPr="00BA79F0">
        <w:t xml:space="preserve">attention des États </w:t>
      </w:r>
      <w:r w:rsidR="00C567BC">
        <w:t>parties sur la ligne directrice </w:t>
      </w:r>
      <w:r w:rsidRPr="00BA79F0">
        <w:t>20 des Principes de base et lignes directrices des Nations Unies sur les voies et procédures permettant aux personnes privées de liberté d</w:t>
      </w:r>
      <w:r w:rsidR="00F44343">
        <w:t>’</w:t>
      </w:r>
      <w:r w:rsidRPr="00BA79F0">
        <w:t>introduire un recours devant un tribunal, adoptés par le Groupe de travail sur la détention arbitraire, qui prévoit des mesures spécifiques concernant les personnes handi</w:t>
      </w:r>
      <w:r>
        <w:t>capées (voir A/HRC/30/37, par. </w:t>
      </w:r>
      <w:r w:rsidRPr="00B81C21">
        <w:t>107).</w:t>
      </w:r>
    </w:p>
    <w:p w:rsidR="00C053EA" w:rsidRPr="00C053EA" w:rsidRDefault="00C053EA" w:rsidP="00C053E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14" w:name="_GoBack"/>
      <w:bookmarkEnd w:id="14"/>
    </w:p>
    <w:sectPr w:rsidR="00C053EA" w:rsidRPr="00C053EA" w:rsidSect="00D51CF1">
      <w:headerReference w:type="even" r:id="rId12"/>
      <w:headerReference w:type="default" r:id="rId13"/>
      <w:footerReference w:type="even" r:id="rId14"/>
      <w:footerReference w:type="default" r:id="rId15"/>
      <w:footnotePr>
        <w:numFmt w:val="lowerLetter"/>
        <w:numRestart w:val="eachSect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29" w:rsidRDefault="00833229"/>
  </w:endnote>
  <w:endnote w:type="continuationSeparator" w:id="0">
    <w:p w:rsidR="00833229" w:rsidRDefault="00833229">
      <w:pPr>
        <w:pStyle w:val="Pieddepage"/>
      </w:pPr>
    </w:p>
  </w:endnote>
  <w:endnote w:type="continuationNotice" w:id="1">
    <w:p w:rsidR="00833229" w:rsidRPr="00C451B9" w:rsidRDefault="0083322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F1" w:rsidRPr="002179EF" w:rsidRDefault="00D51CF1" w:rsidP="002179EF">
    <w:pPr>
      <w:pStyle w:val="Pieddepage"/>
      <w:tabs>
        <w:tab w:val="right" w:pos="9638"/>
      </w:tabs>
    </w:pPr>
    <w:r w:rsidRPr="002179EF">
      <w:rPr>
        <w:b/>
        <w:sz w:val="18"/>
      </w:rPr>
      <w:fldChar w:fldCharType="begin"/>
    </w:r>
    <w:r w:rsidRPr="002179EF">
      <w:rPr>
        <w:b/>
        <w:sz w:val="18"/>
      </w:rPr>
      <w:instrText xml:space="preserve"> PAGE  \* MERGEFORMAT </w:instrText>
    </w:r>
    <w:r w:rsidRPr="002179EF">
      <w:rPr>
        <w:b/>
        <w:sz w:val="18"/>
      </w:rPr>
      <w:fldChar w:fldCharType="separate"/>
    </w:r>
    <w:r w:rsidR="0034572E">
      <w:rPr>
        <w:b/>
        <w:noProof/>
        <w:sz w:val="18"/>
      </w:rPr>
      <w:t>22</w:t>
    </w:r>
    <w:r w:rsidRPr="002179EF">
      <w:rPr>
        <w:b/>
        <w:sz w:val="18"/>
      </w:rPr>
      <w:fldChar w:fldCharType="end"/>
    </w:r>
    <w:r>
      <w:rPr>
        <w:b/>
        <w:sz w:val="18"/>
      </w:rPr>
      <w:tab/>
    </w:r>
    <w:r>
      <w:t>GE.17-07584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F1" w:rsidRPr="002179EF" w:rsidRDefault="00D51CF1" w:rsidP="002179EF">
    <w:pPr>
      <w:pStyle w:val="Pieddepage"/>
      <w:tabs>
        <w:tab w:val="right" w:pos="9638"/>
      </w:tabs>
      <w:rPr>
        <w:b/>
        <w:sz w:val="18"/>
      </w:rPr>
    </w:pPr>
    <w:r>
      <w:t>GE.17-07584</w:t>
    </w:r>
    <w:r>
      <w:tab/>
    </w:r>
    <w:r w:rsidRPr="002179EF">
      <w:rPr>
        <w:b/>
        <w:sz w:val="18"/>
      </w:rPr>
      <w:fldChar w:fldCharType="begin"/>
    </w:r>
    <w:r w:rsidRPr="002179EF">
      <w:rPr>
        <w:b/>
        <w:sz w:val="18"/>
      </w:rPr>
      <w:instrText xml:space="preserve"> PAGE  \* MERGEFORMAT </w:instrText>
    </w:r>
    <w:r w:rsidRPr="002179EF">
      <w:rPr>
        <w:b/>
        <w:sz w:val="18"/>
      </w:rPr>
      <w:fldChar w:fldCharType="separate"/>
    </w:r>
    <w:r w:rsidR="0034572E">
      <w:rPr>
        <w:b/>
        <w:noProof/>
        <w:sz w:val="18"/>
      </w:rPr>
      <w:t>21</w:t>
    </w:r>
    <w:r w:rsidRPr="002179E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F1" w:rsidRPr="002179EF" w:rsidRDefault="00D51CF1" w:rsidP="002179EF">
    <w:pPr>
      <w:pStyle w:val="Pieddepage"/>
      <w:tabs>
        <w:tab w:val="right" w:pos="9638"/>
      </w:tabs>
    </w:pPr>
    <w:r w:rsidRPr="002179EF">
      <w:rPr>
        <w:b/>
        <w:sz w:val="18"/>
      </w:rPr>
      <w:fldChar w:fldCharType="begin"/>
    </w:r>
    <w:r w:rsidRPr="002179EF">
      <w:rPr>
        <w:b/>
        <w:sz w:val="18"/>
      </w:rPr>
      <w:instrText xml:space="preserve"> PAGE  \* MERGEFORMAT </w:instrText>
    </w:r>
    <w:r w:rsidRPr="002179EF">
      <w:rPr>
        <w:b/>
        <w:sz w:val="18"/>
      </w:rPr>
      <w:fldChar w:fldCharType="separate"/>
    </w:r>
    <w:r>
      <w:rPr>
        <w:b/>
        <w:noProof/>
        <w:sz w:val="18"/>
      </w:rPr>
      <w:t>18</w:t>
    </w:r>
    <w:r w:rsidRPr="002179EF">
      <w:rPr>
        <w:b/>
        <w:sz w:val="18"/>
      </w:rPr>
      <w:fldChar w:fldCharType="end"/>
    </w:r>
    <w:r>
      <w:rPr>
        <w:b/>
        <w:sz w:val="18"/>
      </w:rPr>
      <w:tab/>
    </w:r>
    <w:r>
      <w:t>GE.17-07584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F1" w:rsidRDefault="00D51CF1" w:rsidP="002179EF">
    <w:pPr>
      <w:pStyle w:val="Pieddepage"/>
      <w:tabs>
        <w:tab w:val="right" w:pos="9638"/>
      </w:tabs>
      <w:rPr>
        <w:b/>
        <w:sz w:val="18"/>
      </w:rPr>
    </w:pPr>
    <w:r w:rsidRPr="008248AC">
      <w:rPr>
        <w:noProof/>
        <w:lang w:eastAsia="fr-CH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98F7E9" wp14:editId="4D6B943D">
              <wp:simplePos x="0" y="0"/>
              <wp:positionH relativeFrom="column">
                <wp:posOffset>-24282</wp:posOffset>
              </wp:positionH>
              <wp:positionV relativeFrom="paragraph">
                <wp:posOffset>120858</wp:posOffset>
              </wp:positionV>
              <wp:extent cx="1155700" cy="445770"/>
              <wp:effectExtent l="0" t="0" r="635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1CF1" w:rsidRPr="00D51CF1" w:rsidRDefault="00D51CF1" w:rsidP="00D51CF1">
                          <w:pPr>
                            <w:pStyle w:val="Pieddepage"/>
                            <w:tabs>
                              <w:tab w:val="right" w:pos="9639"/>
                            </w:tabs>
                            <w:rPr>
                              <w:rFonts w:ascii="C39T30Lfz" w:hAnsi="C39T30Lfz"/>
                              <w:sz w:val="56"/>
                            </w:rPr>
                          </w:pPr>
                          <w:r w:rsidRPr="00D51CF1">
                            <w:rPr>
                              <w:rFonts w:ascii="C39T30Lfz" w:hAnsi="C39T30Lfz"/>
                              <w:sz w:val="56"/>
                            </w:rPr>
                            <w:t></w:t>
                          </w:r>
                          <w:r w:rsidRPr="00D51CF1">
                            <w:rPr>
                              <w:rFonts w:ascii="C39T30Lfz" w:hAnsi="C39T30Lfz"/>
                              <w:sz w:val="56"/>
                            </w:rPr>
                            <w:t></w:t>
                          </w:r>
                          <w:r w:rsidRPr="00D51CF1">
                            <w:rPr>
                              <w:rFonts w:ascii="C39T30Lfz" w:hAnsi="C39T30Lfz"/>
                              <w:sz w:val="56"/>
                            </w:rPr>
                            <w:t></w:t>
                          </w:r>
                          <w:r w:rsidRPr="00D51CF1">
                            <w:rPr>
                              <w:rFonts w:ascii="C39T30Lfz" w:hAnsi="C39T30Lfz"/>
                              <w:sz w:val="56"/>
                            </w:rPr>
                            <w:t></w:t>
                          </w:r>
                          <w:r w:rsidRPr="00D51CF1">
                            <w:rPr>
                              <w:rFonts w:ascii="C39T30Lfz" w:hAnsi="C39T30Lfz"/>
                              <w:sz w:val="56"/>
                            </w:rPr>
                            <w:t></w:t>
                          </w:r>
                          <w:r w:rsidRPr="00D51CF1">
                            <w:rPr>
                              <w:rFonts w:ascii="C39T30Lfz" w:hAnsi="C39T30Lfz"/>
                              <w:sz w:val="56"/>
                            </w:rPr>
                            <w:t></w:t>
                          </w:r>
                          <w:r w:rsidRPr="00D51CF1">
                            <w:rPr>
                              <w:rFonts w:ascii="C39T30Lfz" w:hAnsi="C39T30Lfz"/>
                              <w:sz w:val="56"/>
                            </w:rPr>
                            <w:t></w:t>
                          </w:r>
                          <w:r w:rsidRPr="00D51CF1">
                            <w:rPr>
                              <w:rFonts w:ascii="C39T30Lfz" w:hAnsi="C39T30Lfz"/>
                              <w:sz w:val="56"/>
                            </w:rPr>
                            <w:t></w:t>
                          </w:r>
                          <w:r w:rsidRPr="00D51CF1">
                            <w:rPr>
                              <w:rFonts w:ascii="C39T30Lfz" w:hAnsi="C39T30Lfz"/>
                              <w:sz w:val="56"/>
                            </w:rPr>
                            <w:t>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8F7E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.9pt;margin-top:9.5pt;width:91pt;height:3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" stroked="f">
              <v:textbox inset="0,0,0,0">
                <w:txbxContent>
                  <w:p w:rsidR="00D51CF1" w:rsidRPr="00D51CF1" w:rsidRDefault="00D51CF1" w:rsidP="00D51CF1">
                    <w:pPr>
                      <w:pStyle w:val="Pieddepage"/>
                      <w:tabs>
                        <w:tab w:val="right" w:pos="9639"/>
                      </w:tabs>
                      <w:rPr>
                        <w:rFonts w:ascii="C39T30Lfz" w:hAnsi="C39T30Lfz"/>
                        <w:sz w:val="56"/>
                      </w:rPr>
                    </w:pPr>
                    <w:r w:rsidRPr="00D51CF1">
                      <w:rPr>
                        <w:rFonts w:ascii="C39T30Lfz" w:hAnsi="C39T30Lfz"/>
                        <w:sz w:val="56"/>
                      </w:rPr>
                      <w:t></w:t>
                    </w:r>
                    <w:r w:rsidRPr="00D51CF1">
                      <w:rPr>
                        <w:rFonts w:ascii="C39T30Lfz" w:hAnsi="C39T30Lfz"/>
                        <w:sz w:val="56"/>
                      </w:rPr>
                      <w:t></w:t>
                    </w:r>
                    <w:r w:rsidRPr="00D51CF1">
                      <w:rPr>
                        <w:rFonts w:ascii="C39T30Lfz" w:hAnsi="C39T30Lfz"/>
                        <w:sz w:val="56"/>
                      </w:rPr>
                      <w:t></w:t>
                    </w:r>
                    <w:r w:rsidRPr="00D51CF1">
                      <w:rPr>
                        <w:rFonts w:ascii="C39T30Lfz" w:hAnsi="C39T30Lfz"/>
                        <w:sz w:val="56"/>
                      </w:rPr>
                      <w:t></w:t>
                    </w:r>
                    <w:r w:rsidRPr="00D51CF1">
                      <w:rPr>
                        <w:rFonts w:ascii="C39T30Lfz" w:hAnsi="C39T30Lfz"/>
                        <w:sz w:val="56"/>
                      </w:rPr>
                      <w:t></w:t>
                    </w:r>
                    <w:r w:rsidRPr="00D51CF1">
                      <w:rPr>
                        <w:rFonts w:ascii="C39T30Lfz" w:hAnsi="C39T30Lfz"/>
                        <w:sz w:val="56"/>
                      </w:rPr>
                      <w:t></w:t>
                    </w:r>
                    <w:r w:rsidRPr="00D51CF1">
                      <w:rPr>
                        <w:rFonts w:ascii="C39T30Lfz" w:hAnsi="C39T30Lfz"/>
                        <w:sz w:val="56"/>
                      </w:rPr>
                      <w:t></w:t>
                    </w:r>
                    <w:r w:rsidRPr="00D51CF1">
                      <w:rPr>
                        <w:rFonts w:ascii="C39T30Lfz" w:hAnsi="C39T30Lfz"/>
                        <w:sz w:val="56"/>
                      </w:rPr>
                      <w:t></w:t>
                    </w:r>
                    <w:r w:rsidRPr="00D51CF1">
                      <w:rPr>
                        <w:rFonts w:ascii="C39T30Lfz" w:hAnsi="C39T30Lfz"/>
                        <w:sz w:val="56"/>
                      </w:rPr>
                      <w:t>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>GE.17-07584</w:t>
    </w:r>
    <w:r>
      <w:tab/>
    </w:r>
    <w:r w:rsidRPr="002179EF">
      <w:rPr>
        <w:b/>
        <w:sz w:val="18"/>
      </w:rPr>
      <w:fldChar w:fldCharType="begin"/>
    </w:r>
    <w:r w:rsidRPr="002179EF">
      <w:rPr>
        <w:b/>
        <w:sz w:val="18"/>
      </w:rPr>
      <w:instrText xml:space="preserve"> PAGE  \* MERGEFORMAT </w:instrText>
    </w:r>
    <w:r w:rsidRPr="002179EF">
      <w:rPr>
        <w:b/>
        <w:sz w:val="18"/>
      </w:rPr>
      <w:fldChar w:fldCharType="separate"/>
    </w:r>
    <w:r w:rsidR="0034572E">
      <w:rPr>
        <w:b/>
        <w:noProof/>
        <w:sz w:val="18"/>
      </w:rPr>
      <w:t>23</w:t>
    </w:r>
    <w:r w:rsidRPr="002179EF">
      <w:rPr>
        <w:b/>
        <w:sz w:val="18"/>
      </w:rPr>
      <w:fldChar w:fldCharType="end"/>
    </w:r>
  </w:p>
  <w:p w:rsidR="00D51CF1" w:rsidRPr="00D51CF1" w:rsidRDefault="00D51CF1" w:rsidP="00D51C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29" w:rsidRPr="00D27D5E" w:rsidRDefault="0083322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33229" w:rsidRPr="00D171D4" w:rsidRDefault="0083322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833229" w:rsidRPr="00C451B9" w:rsidRDefault="00833229" w:rsidP="00C451B9">
      <w:pPr>
        <w:spacing w:line="240" w:lineRule="auto"/>
        <w:rPr>
          <w:sz w:val="2"/>
          <w:szCs w:val="2"/>
        </w:rPr>
      </w:pPr>
    </w:p>
  </w:footnote>
  <w:footnote w:id="2">
    <w:p w:rsidR="00D51CF1" w:rsidRPr="00BA79F0" w:rsidRDefault="00D51CF1" w:rsidP="00C053EA">
      <w:pPr>
        <w:pStyle w:val="Notedebasdepage"/>
      </w:pPr>
      <w:r>
        <w:tab/>
      </w:r>
      <w:r w:rsidRPr="00941BB3">
        <w:rPr>
          <w:rStyle w:val="Appelnotedebasdep"/>
          <w:sz w:val="20"/>
          <w:vertAlign w:val="baseline"/>
        </w:rPr>
        <w:t>*</w:t>
      </w:r>
      <w:r>
        <w:tab/>
        <w:t>Adoptées par le Comité à sa quatorzième session (17 août-4 septembre 2015).</w:t>
      </w:r>
    </w:p>
  </w:footnote>
  <w:footnote w:id="3">
    <w:p w:rsidR="00D51CF1" w:rsidRPr="00C14267" w:rsidRDefault="00D51CF1" w:rsidP="00C053EA">
      <w:pPr>
        <w:pStyle w:val="Notedebasdepage"/>
      </w:pPr>
      <w:r>
        <w:tab/>
      </w:r>
      <w:r w:rsidRPr="00541795">
        <w:rPr>
          <w:rStyle w:val="Appelnotedebasdep"/>
        </w:rPr>
        <w:footnoteRef/>
      </w:r>
      <w:r>
        <w:tab/>
      </w:r>
      <w:r w:rsidRPr="00C14267">
        <w:t>Voir le résumé quotidien des débats de la troisièm</w:t>
      </w:r>
      <w:r>
        <w:t>e session du Comité spécial, 26 </w:t>
      </w:r>
      <w:r w:rsidRPr="00C14267">
        <w:t xml:space="preserve">mai 2004, </w:t>
      </w:r>
      <w:r>
        <w:t xml:space="preserve">vol. 4,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C14267">
        <w:t>3.</w:t>
      </w:r>
      <w:r>
        <w:t xml:space="preserve"> </w:t>
      </w:r>
      <w:r w:rsidRPr="00C14267">
        <w:t>Disponible à l</w:t>
      </w:r>
      <w:r>
        <w:t>’</w:t>
      </w:r>
      <w:r w:rsidRPr="00C14267">
        <w:t>adresse</w:t>
      </w:r>
      <w:r>
        <w:t> :</w:t>
      </w:r>
      <w:r w:rsidRPr="00C14267">
        <w:t xml:space="preserve"> </w:t>
      </w:r>
      <w:hyperlink r:id="rId1" w:history="1">
        <w:r w:rsidRPr="005A3785">
          <w:rPr>
            <w:color w:val="0000FF"/>
          </w:rPr>
          <w:t>www.un.org/esa/socdev/enable/rights/ahc3sum10.htm</w:t>
        </w:r>
      </w:hyperlink>
      <w:r w:rsidRPr="00C14267">
        <w:t>.</w:t>
      </w:r>
      <w:r>
        <w:t xml:space="preserve"> </w:t>
      </w:r>
      <w:r w:rsidRPr="00804F4E">
        <w:t xml:space="preserve">Voir </w:t>
      </w:r>
      <w:r>
        <w:t xml:space="preserve">également </w:t>
      </w:r>
      <w:r w:rsidRPr="00804F4E">
        <w:t>le résumé quotidien des débats de la cinquième session du Comité spé</w:t>
      </w:r>
      <w:r>
        <w:t xml:space="preserve">cial, 26 janvier 2005, vol. 6,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804F4E">
        <w:t>3.</w:t>
      </w:r>
      <w:r>
        <w:t xml:space="preserve"> </w:t>
      </w:r>
      <w:r w:rsidRPr="00804F4E">
        <w:t>Disponible à l</w:t>
      </w:r>
      <w:r>
        <w:t>’</w:t>
      </w:r>
      <w:r w:rsidRPr="00804F4E">
        <w:t>adresse</w:t>
      </w:r>
      <w:r>
        <w:t> :</w:t>
      </w:r>
      <w:r w:rsidRPr="00804F4E">
        <w:t xml:space="preserve"> </w:t>
      </w:r>
      <w:r w:rsidRPr="005A3785">
        <w:rPr>
          <w:color w:val="0000FF"/>
        </w:rPr>
        <w:t>www.un.org/esa/socdev/enable/rights/ahc5sum26jan.htm</w:t>
      </w:r>
      <w:r w:rsidRPr="00804F4E">
        <w:t>.</w:t>
      </w:r>
    </w:p>
  </w:footnote>
  <w:footnote w:id="4">
    <w:p w:rsidR="00D51CF1" w:rsidRPr="00FD1359" w:rsidRDefault="00D51CF1" w:rsidP="00C053EA">
      <w:pPr>
        <w:pStyle w:val="Notedebasdepage"/>
      </w:pPr>
      <w:r>
        <w:tab/>
      </w:r>
      <w:r w:rsidRPr="00541795">
        <w:rPr>
          <w:rStyle w:val="Appelnotedebasdep"/>
        </w:rPr>
        <w:footnoteRef/>
      </w:r>
      <w:r>
        <w:tab/>
      </w:r>
      <w:r w:rsidRPr="00FD1359">
        <w:t>Voir le résumé quotidien des débats de la cinquièm</w:t>
      </w:r>
      <w:r>
        <w:t>e session du Comité spécial, 26 </w:t>
      </w:r>
      <w:r w:rsidRPr="00FD1359">
        <w:t>janvier 2005.</w:t>
      </w:r>
    </w:p>
  </w:footnote>
  <w:footnote w:id="5">
    <w:p w:rsidR="00D51CF1" w:rsidRPr="00E10401" w:rsidRDefault="00D51CF1" w:rsidP="00C053EA">
      <w:pPr>
        <w:pStyle w:val="Notedebasdepage"/>
      </w:pPr>
      <w:r>
        <w:tab/>
      </w:r>
      <w:r w:rsidRPr="00541795">
        <w:rPr>
          <w:rStyle w:val="Appelnotedebasdep"/>
        </w:rPr>
        <w:footnoteRef/>
      </w:r>
      <w:r>
        <w:tab/>
      </w:r>
      <w:r w:rsidRPr="00E10401">
        <w:t xml:space="preserve">Initialement, </w:t>
      </w:r>
      <w:r>
        <w:t>cette</w:t>
      </w:r>
      <w:r w:rsidRPr="00E10401">
        <w:t xml:space="preserve"> disposition figurait à l</w:t>
      </w:r>
      <w:r>
        <w:t>’article 10 (par. 2 c) </w:t>
      </w:r>
      <w:r w:rsidRPr="00E10401">
        <w:t>ii)) du projet de Convention.</w:t>
      </w:r>
    </w:p>
  </w:footnote>
  <w:footnote w:id="6">
    <w:p w:rsidR="00D51CF1" w:rsidRPr="00AF3D21" w:rsidRDefault="00D51CF1" w:rsidP="00C053EA">
      <w:pPr>
        <w:pStyle w:val="Notedebasdepage"/>
      </w:pPr>
      <w:r>
        <w:tab/>
      </w:r>
      <w:r w:rsidRPr="00541795">
        <w:rPr>
          <w:rStyle w:val="Appelnotedebasdep"/>
        </w:rPr>
        <w:footnoteRef/>
      </w:r>
      <w:r>
        <w:tab/>
      </w:r>
      <w:r w:rsidRPr="00AF3D21">
        <w:t>Voir le résumé quotidien des déb</w:t>
      </w:r>
      <w:r>
        <w:t>ats de la cinquième session, 27 </w:t>
      </w:r>
      <w:r w:rsidRPr="00AF3D21">
        <w:t xml:space="preserve">janvier 2005, vol. 6,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AF3D21">
        <w:t>4.</w:t>
      </w:r>
      <w:r>
        <w:t xml:space="preserve"> </w:t>
      </w:r>
      <w:r w:rsidRPr="00AF3D21">
        <w:t>Disponible à l</w:t>
      </w:r>
      <w:r>
        <w:t>’</w:t>
      </w:r>
      <w:r w:rsidRPr="00AF3D21">
        <w:t>adresse</w:t>
      </w:r>
      <w:r>
        <w:t> :</w:t>
      </w:r>
      <w:r w:rsidRPr="00AF3D21">
        <w:t xml:space="preserve"> </w:t>
      </w:r>
      <w:hyperlink r:id="rId2" w:history="1">
        <w:r w:rsidRPr="005A3785">
          <w:rPr>
            <w:color w:val="0000FF"/>
          </w:rPr>
          <w:t>www.un.org/esa/socdev/enable/rights/ahc5sum27jan.htm</w:t>
        </w:r>
      </w:hyperlink>
      <w:r w:rsidRPr="00AF3D21">
        <w:t>.</w:t>
      </w:r>
      <w:r>
        <w:t xml:space="preserve"> </w:t>
      </w:r>
      <w:r w:rsidRPr="00AF3D21">
        <w:t xml:space="preserve">Voir </w:t>
      </w:r>
      <w:r>
        <w:t xml:space="preserve">également </w:t>
      </w:r>
      <w:r w:rsidRPr="00AF3D21">
        <w:t>le résumé quotidien des débats de la troisièm</w:t>
      </w:r>
      <w:r>
        <w:t>e session du Comité spécial, 26 </w:t>
      </w:r>
      <w:r w:rsidRPr="00AF3D21">
        <w:t xml:space="preserve">mai 2004, vol. 4,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AF3D21">
        <w:t>3.</w:t>
      </w:r>
    </w:p>
  </w:footnote>
  <w:footnote w:id="7">
    <w:p w:rsidR="00D51CF1" w:rsidRPr="001C2BFC" w:rsidRDefault="00D51CF1" w:rsidP="00C053EA">
      <w:pPr>
        <w:pStyle w:val="Notedebasdepage"/>
      </w:pPr>
      <w:r>
        <w:tab/>
      </w:r>
      <w:r w:rsidRPr="00541795">
        <w:rPr>
          <w:rStyle w:val="Appelnotedebasdep"/>
        </w:rPr>
        <w:footnoteRef/>
      </w:r>
      <w:r>
        <w:tab/>
      </w:r>
      <w:r w:rsidRPr="001C2BFC">
        <w:t>Voir le résumé quotidien des débats de la septième sessi</w:t>
      </w:r>
      <w:r>
        <w:t xml:space="preserve">on, 18 janvier 2006, vol. 8,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1C2BFC">
        <w:t>3.</w:t>
      </w:r>
      <w:r>
        <w:t xml:space="preserve"> </w:t>
      </w:r>
      <w:r w:rsidRPr="001C2BFC">
        <w:t>Disponible à l</w:t>
      </w:r>
      <w:r>
        <w:t>’</w:t>
      </w:r>
      <w:r w:rsidRPr="001C2BFC">
        <w:t>adresse</w:t>
      </w:r>
      <w:r>
        <w:t> :</w:t>
      </w:r>
      <w:r w:rsidRPr="001C2BFC">
        <w:t xml:space="preserve"> </w:t>
      </w:r>
      <w:hyperlink r:id="rId3" w:history="1">
        <w:r w:rsidRPr="005A3785">
          <w:rPr>
            <w:color w:val="0000FF"/>
          </w:rPr>
          <w:t>www.un.org/esa/socdev/enable/rights/ahc7sum18jan.htm</w:t>
        </w:r>
      </w:hyperlink>
      <w:r w:rsidRPr="001C2BFC">
        <w:t>.</w:t>
      </w:r>
      <w:r>
        <w:t xml:space="preserve"> </w:t>
      </w:r>
      <w:r w:rsidRPr="001C2BFC">
        <w:t xml:space="preserve">Voir </w:t>
      </w:r>
      <w:r>
        <w:t xml:space="preserve">aussi </w:t>
      </w:r>
      <w:r w:rsidRPr="001C2BFC">
        <w:t>le résumé quotidien des dé</w:t>
      </w:r>
      <w:r>
        <w:t>bats de la septième session, 19 </w:t>
      </w:r>
      <w:r w:rsidRPr="001C2BFC">
        <w:t xml:space="preserve">janvier 2006, vol. 8,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</w:t>
      </w:r>
      <w:r w:rsidRPr="001C2BFC">
        <w:t>4.</w:t>
      </w:r>
      <w:r>
        <w:t xml:space="preserve"> </w:t>
      </w:r>
      <w:r w:rsidRPr="001C2BFC">
        <w:t>Disponible à l</w:t>
      </w:r>
      <w:r>
        <w:t>’</w:t>
      </w:r>
      <w:r w:rsidRPr="001C2BFC">
        <w:t>adresse</w:t>
      </w:r>
      <w:r>
        <w:t> :</w:t>
      </w:r>
      <w:r w:rsidRPr="001C2BFC">
        <w:t xml:space="preserve"> </w:t>
      </w:r>
      <w:r w:rsidRPr="005A3785">
        <w:rPr>
          <w:color w:val="0000FF"/>
        </w:rPr>
        <w:t>www.un.org/esa/socdev/enable/rights/ahc7sum19jan.htm</w:t>
      </w:r>
      <w:r w:rsidRPr="001C2BFC">
        <w:t>.</w:t>
      </w:r>
    </w:p>
  </w:footnote>
  <w:footnote w:id="8">
    <w:p w:rsidR="00D51CF1" w:rsidRPr="00E45894" w:rsidRDefault="00D51CF1" w:rsidP="00C053EA">
      <w:pPr>
        <w:pStyle w:val="Notedebasdepage"/>
      </w:pPr>
      <w:r>
        <w:tab/>
      </w:r>
      <w:r w:rsidRPr="00541795">
        <w:rPr>
          <w:rStyle w:val="Appelnotedebasdep"/>
        </w:rPr>
        <w:footnoteRef/>
      </w:r>
      <w:r>
        <w:tab/>
        <w:t xml:space="preserve">Voir </w:t>
      </w:r>
      <w:hyperlink r:id="rId4" w:history="1">
        <w:r w:rsidRPr="008D4076">
          <w:rPr>
            <w:rStyle w:val="Lienhypertexte"/>
          </w:rPr>
          <w:t>CRPD/C/ESP/CO/1</w:t>
        </w:r>
      </w:hyperlink>
      <w:r>
        <w:t>, par. </w:t>
      </w:r>
      <w:r w:rsidRPr="00E45894">
        <w:t>35 et 36</w:t>
      </w:r>
      <w:r>
        <w:t> ;</w:t>
      </w:r>
      <w:r w:rsidRPr="00E45894">
        <w:t xml:space="preserve"> </w:t>
      </w:r>
      <w:hyperlink r:id="rId5" w:history="1">
        <w:r w:rsidRPr="008D4076">
          <w:rPr>
            <w:rStyle w:val="Lienhypertexte"/>
          </w:rPr>
          <w:t>CRPD/C/CHN/CO/1</w:t>
        </w:r>
      </w:hyperlink>
      <w:r w:rsidRPr="00E45894">
        <w:t xml:space="preserve"> et </w:t>
      </w:r>
      <w:r w:rsidRPr="008D4076">
        <w:t>Corr.1</w:t>
      </w:r>
      <w:r w:rsidRPr="00E45894">
        <w:t>, par. 25 et 26</w:t>
      </w:r>
      <w:r>
        <w:t> ;</w:t>
      </w:r>
      <w:r w:rsidRPr="00E45894">
        <w:t xml:space="preserve"> </w:t>
      </w:r>
      <w:hyperlink r:id="rId6" w:history="1">
        <w:r w:rsidRPr="008D4076">
          <w:rPr>
            <w:rStyle w:val="Lienhypertexte"/>
          </w:rPr>
          <w:t>CRPD/C/ARG/CO/1</w:t>
        </w:r>
      </w:hyperlink>
      <w:r w:rsidRPr="00E45894">
        <w:t>, par. 23 et 24</w:t>
      </w:r>
      <w:r>
        <w:t> ;</w:t>
      </w:r>
      <w:r w:rsidRPr="00E45894">
        <w:t xml:space="preserve"> </w:t>
      </w:r>
      <w:hyperlink r:id="rId7" w:history="1">
        <w:r w:rsidRPr="008D4076">
          <w:rPr>
            <w:rStyle w:val="Lienhypertexte"/>
          </w:rPr>
          <w:t>CRPD/C/PRY/CO/1</w:t>
        </w:r>
      </w:hyperlink>
      <w:r w:rsidRPr="00E45894">
        <w:t>, par. 35 et 36</w:t>
      </w:r>
      <w:r>
        <w:t> ;</w:t>
      </w:r>
      <w:r w:rsidRPr="00E45894">
        <w:t xml:space="preserve"> </w:t>
      </w:r>
      <w:hyperlink r:id="rId8" w:history="1">
        <w:r w:rsidRPr="008D4076">
          <w:rPr>
            <w:rStyle w:val="Lienhypertexte"/>
          </w:rPr>
          <w:t>CRPD/C/AUT/CO/1</w:t>
        </w:r>
      </w:hyperlink>
      <w:r>
        <w:t>, par. </w:t>
      </w:r>
      <w:r w:rsidRPr="00E45894">
        <w:t>29 et 30</w:t>
      </w:r>
      <w:r>
        <w:t> ;</w:t>
      </w:r>
      <w:r w:rsidRPr="00E45894">
        <w:t xml:space="preserve"> CRPD/C/SWE/CO/1, par. 35 et 36</w:t>
      </w:r>
      <w:r>
        <w:t> ;</w:t>
      </w:r>
      <w:r w:rsidRPr="00E45894">
        <w:t xml:space="preserve"> CRPD/C/CRI/CO/1, par. 29 et 30</w:t>
      </w:r>
      <w:r>
        <w:t> ;</w:t>
      </w:r>
      <w:r w:rsidRPr="00E45894">
        <w:t xml:space="preserve"> CRPD/C/AZE/CO/1, par. 28 et 29</w:t>
      </w:r>
      <w:r>
        <w:t> ;</w:t>
      </w:r>
      <w:r w:rsidRPr="00E45894">
        <w:t xml:space="preserve"> </w:t>
      </w:r>
      <w:hyperlink r:id="rId9" w:history="1">
        <w:r w:rsidRPr="008D4076">
          <w:rPr>
            <w:rStyle w:val="Lienhypertexte"/>
          </w:rPr>
          <w:t>CRPD/C/ECU/CO/1</w:t>
        </w:r>
      </w:hyperlink>
      <w:r w:rsidRPr="00E45894">
        <w:t>, par. 28 et 29</w:t>
      </w:r>
      <w:r>
        <w:t> ;</w:t>
      </w:r>
      <w:r w:rsidRPr="00E45894">
        <w:t xml:space="preserve"> </w:t>
      </w:r>
      <w:hyperlink r:id="rId10" w:history="1">
        <w:r w:rsidRPr="008D4076">
          <w:rPr>
            <w:rStyle w:val="Lienhypertexte"/>
          </w:rPr>
          <w:t>CRPD/C/MEX/CO/1</w:t>
        </w:r>
      </w:hyperlink>
      <w:r w:rsidRPr="00E45894">
        <w:t>, par. 29 et 30.</w:t>
      </w:r>
    </w:p>
  </w:footnote>
  <w:footnote w:id="9">
    <w:p w:rsidR="00D51CF1" w:rsidRPr="00F42A53" w:rsidRDefault="00D51CF1" w:rsidP="00C053EA">
      <w:pPr>
        <w:pStyle w:val="Notedebasdepage"/>
        <w:rPr>
          <w:spacing w:val="-4"/>
        </w:rPr>
      </w:pPr>
      <w:r>
        <w:tab/>
      </w:r>
      <w:r w:rsidRPr="00541795">
        <w:rPr>
          <w:rStyle w:val="Appelnotedebasdep"/>
        </w:rPr>
        <w:footnoteRef/>
      </w:r>
      <w:r>
        <w:tab/>
      </w:r>
      <w:r w:rsidRPr="00F42A53">
        <w:rPr>
          <w:spacing w:val="-4"/>
        </w:rPr>
        <w:t xml:space="preserve">Voir </w:t>
      </w:r>
      <w:hyperlink r:id="rId11" w:history="1">
        <w:r w:rsidRPr="00F42A53">
          <w:rPr>
            <w:rStyle w:val="Lienhypertexte"/>
            <w:spacing w:val="-4"/>
          </w:rPr>
          <w:t>CRPD/C/CHN/CO/1</w:t>
        </w:r>
      </w:hyperlink>
      <w:r w:rsidRPr="00F42A53">
        <w:rPr>
          <w:spacing w:val="-4"/>
        </w:rPr>
        <w:t xml:space="preserve"> et Corr.1, par. 26 ; </w:t>
      </w:r>
      <w:hyperlink r:id="rId12" w:history="1">
        <w:r w:rsidRPr="00F42A53">
          <w:rPr>
            <w:rStyle w:val="Lienhypertexte"/>
            <w:spacing w:val="-4"/>
          </w:rPr>
          <w:t>CRPD/C/AUT/CO/1</w:t>
        </w:r>
      </w:hyperlink>
      <w:r w:rsidRPr="00F42A53">
        <w:rPr>
          <w:spacing w:val="-4"/>
        </w:rPr>
        <w:t xml:space="preserve">, par. 31 ; </w:t>
      </w:r>
      <w:hyperlink r:id="rId13" w:history="1">
        <w:r w:rsidRPr="00F42A53">
          <w:rPr>
            <w:rStyle w:val="Lienhypertexte"/>
            <w:spacing w:val="-4"/>
          </w:rPr>
          <w:t>CRPD/C/SWE/CO/1</w:t>
        </w:r>
      </w:hyperlink>
      <w:r w:rsidRPr="00F42A53">
        <w:rPr>
          <w:spacing w:val="-4"/>
        </w:rPr>
        <w:t>, par. 36.</w:t>
      </w:r>
    </w:p>
  </w:footnote>
  <w:footnote w:id="10">
    <w:p w:rsidR="00D51CF1" w:rsidRPr="008D4076" w:rsidRDefault="00D51CF1" w:rsidP="00C053EA">
      <w:pPr>
        <w:pStyle w:val="Notedebasdepage"/>
        <w:rPr>
          <w:lang w:val="en-US"/>
        </w:rPr>
      </w:pPr>
      <w:r>
        <w:tab/>
      </w:r>
      <w:r w:rsidRPr="00541795">
        <w:rPr>
          <w:rStyle w:val="Appelnotedebasdep"/>
        </w:rPr>
        <w:footnoteRef/>
      </w:r>
      <w:r w:rsidRPr="008D4076">
        <w:rPr>
          <w:lang w:val="en-US"/>
        </w:rPr>
        <w:tab/>
        <w:t xml:space="preserve">Voir </w:t>
      </w:r>
      <w:hyperlink r:id="rId14" w:history="1">
        <w:r w:rsidRPr="008D4076">
          <w:rPr>
            <w:rStyle w:val="Lienhypertexte"/>
            <w:lang w:val="en-US"/>
          </w:rPr>
          <w:t>CRPD/C/KOR/CO/1</w:t>
        </w:r>
      </w:hyperlink>
      <w:r w:rsidRPr="008D4076">
        <w:rPr>
          <w:lang w:val="en-US"/>
        </w:rPr>
        <w:t xml:space="preserve">, par. 29 ; </w:t>
      </w:r>
      <w:hyperlink r:id="rId15" w:history="1">
        <w:r w:rsidRPr="008D4076">
          <w:rPr>
            <w:rStyle w:val="Lienhypertexte"/>
            <w:lang w:val="en-US"/>
          </w:rPr>
          <w:t>CRPD/C/DOM/CO/1</w:t>
        </w:r>
      </w:hyperlink>
      <w:r w:rsidRPr="008D4076">
        <w:rPr>
          <w:lang w:val="en-US"/>
        </w:rPr>
        <w:t xml:space="preserve">, par. 27 ; </w:t>
      </w:r>
      <w:hyperlink r:id="rId16" w:history="1">
        <w:r w:rsidRPr="008D4076">
          <w:rPr>
            <w:rStyle w:val="Lienhypertexte"/>
            <w:lang w:val="en-US"/>
          </w:rPr>
          <w:t>CRPD/C/AUT/CO/1</w:t>
        </w:r>
      </w:hyperlink>
      <w:r w:rsidRPr="008D4076">
        <w:rPr>
          <w:lang w:val="en-US"/>
        </w:rPr>
        <w:t>, par. 30.</w:t>
      </w:r>
    </w:p>
  </w:footnote>
  <w:footnote w:id="11">
    <w:p w:rsidR="00D51CF1" w:rsidRPr="008D4076" w:rsidRDefault="00D51CF1" w:rsidP="00C053EA">
      <w:pPr>
        <w:pStyle w:val="Notedebasdepage"/>
        <w:rPr>
          <w:lang w:val="en-US"/>
        </w:rPr>
      </w:pPr>
      <w:r w:rsidRPr="008D4076">
        <w:rPr>
          <w:lang w:val="en-US"/>
        </w:rPr>
        <w:tab/>
      </w:r>
      <w:r w:rsidRPr="00541795">
        <w:rPr>
          <w:rStyle w:val="Appelnotedebasdep"/>
        </w:rPr>
        <w:footnoteRef/>
      </w:r>
      <w:r w:rsidRPr="008D4076">
        <w:rPr>
          <w:lang w:val="en-US"/>
        </w:rPr>
        <w:tab/>
        <w:t xml:space="preserve">Voir </w:t>
      </w:r>
      <w:hyperlink r:id="rId17" w:history="1">
        <w:r w:rsidRPr="008D4076">
          <w:rPr>
            <w:rStyle w:val="Lienhypertexte"/>
            <w:lang w:val="en-US"/>
          </w:rPr>
          <w:t>CRPD/C/ECU/CO/1</w:t>
        </w:r>
      </w:hyperlink>
      <w:r w:rsidRPr="008D4076">
        <w:rPr>
          <w:lang w:val="en-US"/>
        </w:rPr>
        <w:t xml:space="preserve">, par. 29 d) ; </w:t>
      </w:r>
      <w:hyperlink r:id="rId18" w:history="1">
        <w:r w:rsidRPr="008D4076">
          <w:rPr>
            <w:rStyle w:val="Lienhypertexte"/>
            <w:lang w:val="en-US"/>
          </w:rPr>
          <w:t>CRPD/C/NZL/CO/1</w:t>
        </w:r>
      </w:hyperlink>
      <w:r w:rsidRPr="008D4076">
        <w:rPr>
          <w:lang w:val="en-US"/>
        </w:rPr>
        <w:t xml:space="preserve">, par. 30 ; </w:t>
      </w:r>
      <w:hyperlink r:id="rId19" w:history="1">
        <w:r w:rsidRPr="008D4076">
          <w:rPr>
            <w:rStyle w:val="Lienhypertexte"/>
            <w:lang w:val="en-US"/>
          </w:rPr>
          <w:t>CRPD/C/SWE/CO/1</w:t>
        </w:r>
      </w:hyperlink>
      <w:r w:rsidRPr="008D4076">
        <w:rPr>
          <w:lang w:val="en-US"/>
        </w:rPr>
        <w:t>, par. 36.</w:t>
      </w:r>
    </w:p>
  </w:footnote>
  <w:footnote w:id="12">
    <w:p w:rsidR="00D51CF1" w:rsidRPr="008D4076" w:rsidRDefault="00D51CF1" w:rsidP="00C053EA">
      <w:pPr>
        <w:pStyle w:val="Notedebasdepage"/>
        <w:rPr>
          <w:lang w:val="en-US"/>
        </w:rPr>
      </w:pPr>
      <w:r w:rsidRPr="008D4076">
        <w:rPr>
          <w:lang w:val="en-US"/>
        </w:rPr>
        <w:tab/>
      </w:r>
      <w:r w:rsidRPr="00541795">
        <w:rPr>
          <w:rStyle w:val="Appelnotedebasdep"/>
        </w:rPr>
        <w:footnoteRef/>
      </w:r>
      <w:r w:rsidRPr="008D4076">
        <w:rPr>
          <w:lang w:val="en-US"/>
        </w:rPr>
        <w:tab/>
        <w:t xml:space="preserve">Voir </w:t>
      </w:r>
      <w:hyperlink r:id="rId20" w:history="1">
        <w:r w:rsidRPr="008D4076">
          <w:rPr>
            <w:rStyle w:val="Lienhypertexte"/>
            <w:lang w:val="en-US"/>
          </w:rPr>
          <w:t>CRPD/C/PER/CO/1</w:t>
        </w:r>
      </w:hyperlink>
      <w:r w:rsidRPr="008D4076">
        <w:rPr>
          <w:lang w:val="en-US"/>
        </w:rPr>
        <w:t xml:space="preserve">, par. 30 et 31 ; </w:t>
      </w:r>
      <w:hyperlink r:id="rId21" w:history="1">
        <w:r w:rsidRPr="008D4076">
          <w:rPr>
            <w:rStyle w:val="Lienhypertexte"/>
            <w:lang w:val="en-US"/>
          </w:rPr>
          <w:t>CRPD/C/HRV/CO/1</w:t>
        </w:r>
      </w:hyperlink>
      <w:r w:rsidRPr="008D4076">
        <w:rPr>
          <w:lang w:val="en-US"/>
        </w:rPr>
        <w:t xml:space="preserve">, par. 24 ; </w:t>
      </w:r>
      <w:hyperlink r:id="rId22" w:history="1">
        <w:r w:rsidRPr="008D4076">
          <w:rPr>
            <w:rStyle w:val="Lienhypertexte"/>
            <w:lang w:val="en-US"/>
          </w:rPr>
          <w:t>CRPD/C/TKM/CO/1</w:t>
        </w:r>
      </w:hyperlink>
      <w:r>
        <w:rPr>
          <w:lang w:val="en-US"/>
        </w:rPr>
        <w:t>, par. </w:t>
      </w:r>
      <w:r w:rsidRPr="008D4076">
        <w:rPr>
          <w:lang w:val="en-US"/>
        </w:rPr>
        <w:t>32 ; CRPD/C/DOM/CO/1, par. 31 ; CRPD/C/SVK/CO/1, par. 33 et 34 ;</w:t>
      </w:r>
      <w:r>
        <w:rPr>
          <w:lang w:val="en-US"/>
        </w:rPr>
        <w:t xml:space="preserve"> CRPD/C/SWE/CO/1, par. </w:t>
      </w:r>
      <w:r w:rsidRPr="008D4076">
        <w:rPr>
          <w:lang w:val="en-US"/>
        </w:rPr>
        <w:t>37 et 38.</w:t>
      </w:r>
    </w:p>
  </w:footnote>
  <w:footnote w:id="13">
    <w:p w:rsidR="00D51CF1" w:rsidRPr="003A3CD4" w:rsidRDefault="00D51CF1" w:rsidP="00C053EA">
      <w:pPr>
        <w:pStyle w:val="Notedebasdepage"/>
      </w:pPr>
      <w:r w:rsidRPr="008D4076">
        <w:rPr>
          <w:lang w:val="en-US"/>
        </w:rPr>
        <w:tab/>
      </w:r>
      <w:r w:rsidRPr="00541795">
        <w:rPr>
          <w:rStyle w:val="Appelnotedebasdep"/>
        </w:rPr>
        <w:footnoteRef/>
      </w:r>
      <w:r>
        <w:tab/>
      </w:r>
      <w:r w:rsidRPr="003A3CD4">
        <w:t xml:space="preserve">Voir </w:t>
      </w:r>
      <w:hyperlink r:id="rId23" w:history="1">
        <w:r w:rsidRPr="00465C11">
          <w:rPr>
            <w:rStyle w:val="Lienhypertexte"/>
          </w:rPr>
          <w:t>CRPD/C/NZL/1</w:t>
        </w:r>
      </w:hyperlink>
      <w:r w:rsidRPr="003A3CD4">
        <w:t>, par. 32</w:t>
      </w:r>
      <w:r>
        <w:t> ;</w:t>
      </w:r>
      <w:r w:rsidRPr="003A3CD4">
        <w:t xml:space="preserve"> </w:t>
      </w:r>
      <w:hyperlink r:id="rId24" w:history="1">
        <w:r w:rsidRPr="00465C11">
          <w:rPr>
            <w:rStyle w:val="Lienhypertexte"/>
          </w:rPr>
          <w:t>CRPD/C/AUS/CO/1</w:t>
        </w:r>
      </w:hyperlink>
      <w:r w:rsidRPr="003A3CD4">
        <w:t>, par. 36.</w:t>
      </w:r>
    </w:p>
  </w:footnote>
  <w:footnote w:id="14">
    <w:p w:rsidR="00D51CF1" w:rsidRPr="009F656A" w:rsidRDefault="00D51CF1" w:rsidP="00C053EA">
      <w:pPr>
        <w:pStyle w:val="Notedebasdepage"/>
      </w:pPr>
      <w:r>
        <w:tab/>
      </w:r>
      <w:r w:rsidRPr="00541795">
        <w:rPr>
          <w:rStyle w:val="Appelnotedebasdep"/>
        </w:rPr>
        <w:footnoteRef/>
      </w:r>
      <w:r>
        <w:tab/>
      </w:r>
      <w:r w:rsidRPr="009F656A">
        <w:t xml:space="preserve">Voir </w:t>
      </w:r>
      <w:hyperlink r:id="rId25" w:history="1">
        <w:r w:rsidRPr="00465C11">
          <w:rPr>
            <w:rStyle w:val="Lienhypertexte"/>
          </w:rPr>
          <w:t>CRPD/C/AUS/CO/1</w:t>
        </w:r>
      </w:hyperlink>
      <w:r w:rsidRPr="009F656A">
        <w:t>, par. 30.</w:t>
      </w:r>
    </w:p>
  </w:footnote>
  <w:footnote w:id="15">
    <w:p w:rsidR="00D51CF1" w:rsidRPr="00C71211" w:rsidRDefault="00D51CF1" w:rsidP="00C053EA">
      <w:pPr>
        <w:pStyle w:val="Notedebasdepage"/>
      </w:pPr>
      <w:r>
        <w:tab/>
      </w:r>
      <w:r w:rsidRPr="00541795">
        <w:rPr>
          <w:rStyle w:val="Appelnotedebasdep"/>
        </w:rPr>
        <w:footnoteRef/>
      </w:r>
      <w:r>
        <w:tab/>
      </w:r>
      <w:r w:rsidRPr="009F656A">
        <w:t xml:space="preserve">Voir </w:t>
      </w:r>
      <w:hyperlink r:id="rId26" w:history="1">
        <w:r w:rsidRPr="00465C11">
          <w:rPr>
            <w:rStyle w:val="Lienhypertexte"/>
          </w:rPr>
          <w:t>CRPD/C/MNG/CO/1</w:t>
        </w:r>
      </w:hyperlink>
      <w:r w:rsidRPr="009F656A">
        <w:t>, par. 25</w:t>
      </w:r>
      <w:r>
        <w:t> </w:t>
      </w:r>
      <w:r w:rsidRPr="00C71211">
        <w:t xml:space="preserve">; </w:t>
      </w:r>
      <w:hyperlink r:id="rId27" w:history="1">
        <w:r w:rsidRPr="00C71211">
          <w:rPr>
            <w:rStyle w:val="Lienhypertexte"/>
          </w:rPr>
          <w:t>CRPD/C/DOM/CO/1</w:t>
        </w:r>
      </w:hyperlink>
      <w:r w:rsidRPr="00C71211">
        <w:t xml:space="preserve">, par. 29 a) ; </w:t>
      </w:r>
      <w:hyperlink r:id="rId28" w:history="1">
        <w:r w:rsidRPr="00C71211">
          <w:rPr>
            <w:rStyle w:val="Lienhypertexte"/>
          </w:rPr>
          <w:t>CRPD/C/CZE/CO/1</w:t>
        </w:r>
      </w:hyperlink>
      <w:r w:rsidRPr="00C71211">
        <w:t xml:space="preserve">, par. 28 ; </w:t>
      </w:r>
      <w:hyperlink r:id="rId29" w:history="1">
        <w:r w:rsidRPr="00C71211">
          <w:rPr>
            <w:rStyle w:val="Lienhypertexte"/>
          </w:rPr>
          <w:t>CRPD/C/HRV/CO/1</w:t>
        </w:r>
      </w:hyperlink>
      <w:r w:rsidRPr="00C71211">
        <w:t xml:space="preserve">, par. 22 ; </w:t>
      </w:r>
      <w:hyperlink r:id="rId30" w:history="1">
        <w:r w:rsidRPr="00C71211">
          <w:rPr>
            <w:rStyle w:val="Lienhypertexte"/>
          </w:rPr>
          <w:t>CRPD/C/DEU/CO/1</w:t>
        </w:r>
      </w:hyperlink>
      <w:r w:rsidRPr="00C71211">
        <w:t xml:space="preserve">, par. 32 ; </w:t>
      </w:r>
      <w:hyperlink r:id="rId31" w:history="1">
        <w:r w:rsidRPr="00C71211">
          <w:rPr>
            <w:rStyle w:val="Lienhypertexte"/>
          </w:rPr>
          <w:t>CRPD/C/DNK/CO/1</w:t>
        </w:r>
      </w:hyperlink>
      <w:r w:rsidRPr="00C71211">
        <w:t xml:space="preserve">, par. 34 et 35 ; </w:t>
      </w:r>
      <w:hyperlink r:id="rId32" w:history="1">
        <w:r w:rsidRPr="00C71211">
          <w:rPr>
            <w:rStyle w:val="Lienhypertexte"/>
          </w:rPr>
          <w:t>CRPD/C/ECU/CO/1</w:t>
        </w:r>
      </w:hyperlink>
      <w:r w:rsidRPr="00C71211">
        <w:t xml:space="preserve">, par. 29 b) ; </w:t>
      </w:r>
      <w:hyperlink r:id="rId33" w:history="1">
        <w:r w:rsidRPr="00C71211">
          <w:rPr>
            <w:rStyle w:val="Lienhypertexte"/>
          </w:rPr>
          <w:t>CRPD/C/KOR/CO/1</w:t>
        </w:r>
      </w:hyperlink>
      <w:r w:rsidRPr="00C71211">
        <w:t xml:space="preserve">, par. 28 ; </w:t>
      </w:r>
      <w:hyperlink r:id="rId34" w:history="1">
        <w:r w:rsidRPr="00C71211">
          <w:rPr>
            <w:rStyle w:val="Lienhypertexte"/>
          </w:rPr>
          <w:t>CRPD/C/MEX/CO/1</w:t>
        </w:r>
      </w:hyperlink>
      <w:r w:rsidRPr="00C71211">
        <w:t xml:space="preserve">, par. 27 ; </w:t>
      </w:r>
      <w:hyperlink r:id="rId35" w:history="1">
        <w:r w:rsidRPr="00C71211">
          <w:rPr>
            <w:rStyle w:val="Lienhypertexte"/>
          </w:rPr>
          <w:t>CRPD/C/NZL/CO/1</w:t>
        </w:r>
      </w:hyperlink>
      <w:r w:rsidRPr="00C71211">
        <w:t>, par. 34.</w:t>
      </w:r>
    </w:p>
  </w:footnote>
  <w:footnote w:id="16">
    <w:p w:rsidR="00D51CF1" w:rsidRPr="00122EBE" w:rsidRDefault="00D51CF1" w:rsidP="00C053EA">
      <w:pPr>
        <w:pStyle w:val="Notedebasdepage"/>
      </w:pPr>
      <w:r w:rsidRPr="00C71211">
        <w:tab/>
      </w:r>
      <w:r w:rsidRPr="00541795">
        <w:rPr>
          <w:rStyle w:val="Appelnotedebasdep"/>
        </w:rPr>
        <w:footnoteRef/>
      </w:r>
      <w:r>
        <w:tab/>
      </w:r>
      <w:r w:rsidRPr="00122EBE">
        <w:t xml:space="preserve">Voir </w:t>
      </w:r>
      <w:hyperlink r:id="rId36" w:history="1">
        <w:r w:rsidRPr="00465C11">
          <w:rPr>
            <w:rStyle w:val="Lienhypertexte"/>
          </w:rPr>
          <w:t>CRPD/C/HRV/CO/1</w:t>
        </w:r>
      </w:hyperlink>
      <w:r w:rsidRPr="00122EBE">
        <w:t>, par. 24.</w:t>
      </w:r>
    </w:p>
  </w:footnote>
  <w:footnote w:id="17">
    <w:p w:rsidR="00D51CF1" w:rsidRPr="00C71211" w:rsidRDefault="00D51CF1" w:rsidP="00C053EA">
      <w:pPr>
        <w:pStyle w:val="Notedebasdepage"/>
      </w:pPr>
      <w:r>
        <w:tab/>
      </w:r>
      <w:r w:rsidRPr="00541795">
        <w:rPr>
          <w:rStyle w:val="Appelnotedebasdep"/>
        </w:rPr>
        <w:footnoteRef/>
      </w:r>
      <w:r>
        <w:tab/>
      </w:r>
      <w:r w:rsidRPr="009D301C">
        <w:t xml:space="preserve">Voir </w:t>
      </w:r>
      <w:hyperlink r:id="rId37" w:history="1">
        <w:r w:rsidRPr="00465C11">
          <w:rPr>
            <w:rStyle w:val="Lienhypertexte"/>
          </w:rPr>
          <w:t>CRPD/C/COK/CO/1</w:t>
        </w:r>
      </w:hyperlink>
      <w:r w:rsidRPr="009D301C">
        <w:t>, par. 28 b)</w:t>
      </w:r>
      <w:r>
        <w:t> ;</w:t>
      </w:r>
      <w:r w:rsidRPr="009D301C">
        <w:t xml:space="preserve"> </w:t>
      </w:r>
      <w:hyperlink r:id="rId38" w:history="1">
        <w:r w:rsidRPr="00465C11">
          <w:rPr>
            <w:rStyle w:val="Lienhypertexte"/>
          </w:rPr>
          <w:t>CRPD/C/MNG/CO/1</w:t>
        </w:r>
      </w:hyperlink>
      <w:r w:rsidRPr="009D301C">
        <w:t>, par. </w:t>
      </w:r>
      <w:r w:rsidRPr="00C71211">
        <w:t xml:space="preserve">25 ; </w:t>
      </w:r>
      <w:hyperlink r:id="rId39" w:history="1">
        <w:r w:rsidRPr="00C71211">
          <w:rPr>
            <w:rStyle w:val="Lienhypertexte"/>
          </w:rPr>
          <w:t>CRPD/C/TKM/CO/1</w:t>
        </w:r>
      </w:hyperlink>
      <w:r w:rsidRPr="00C71211">
        <w:t xml:space="preserve">, par. 26 b) ; </w:t>
      </w:r>
      <w:hyperlink r:id="rId40" w:history="1">
        <w:r w:rsidRPr="00C71211">
          <w:rPr>
            <w:rStyle w:val="Lienhypertexte"/>
          </w:rPr>
          <w:t>CRPD/C/CZE/CO/1</w:t>
        </w:r>
      </w:hyperlink>
      <w:r w:rsidRPr="00C71211">
        <w:t xml:space="preserve">, par. 28 ; </w:t>
      </w:r>
      <w:hyperlink r:id="rId41" w:history="1">
        <w:r w:rsidRPr="00C71211">
          <w:rPr>
            <w:rStyle w:val="Lienhypertexte"/>
          </w:rPr>
          <w:t>CRPD/C/DEU/CO/1</w:t>
        </w:r>
      </w:hyperlink>
      <w:r w:rsidRPr="00C71211">
        <w:t xml:space="preserve">, par. 32 c) ; </w:t>
      </w:r>
      <w:hyperlink r:id="rId42" w:history="1">
        <w:r w:rsidRPr="00C71211">
          <w:rPr>
            <w:rStyle w:val="Lienhypertexte"/>
          </w:rPr>
          <w:t>CRPD/C/KOR/CO/1</w:t>
        </w:r>
      </w:hyperlink>
      <w:r w:rsidRPr="00C71211">
        <w:t xml:space="preserve">, par. 29 ; </w:t>
      </w:r>
      <w:hyperlink r:id="rId43" w:history="1">
        <w:r w:rsidRPr="00C71211">
          <w:rPr>
            <w:rStyle w:val="Lienhypertexte"/>
          </w:rPr>
          <w:t>CRPD/C/NZL/CO/1</w:t>
        </w:r>
      </w:hyperlink>
      <w:r w:rsidRPr="00C71211">
        <w:t xml:space="preserve">, par. 34 ; </w:t>
      </w:r>
      <w:hyperlink r:id="rId44" w:history="1">
        <w:r w:rsidRPr="00C71211">
          <w:rPr>
            <w:rStyle w:val="Lienhypertexte"/>
          </w:rPr>
          <w:t>CRPD/C/AZE/CO/1</w:t>
        </w:r>
      </w:hyperlink>
      <w:r w:rsidRPr="00C71211">
        <w:t xml:space="preserve">, par. 31 ; </w:t>
      </w:r>
      <w:hyperlink r:id="rId45" w:history="1">
        <w:r w:rsidRPr="00C71211">
          <w:rPr>
            <w:rStyle w:val="Lienhypertexte"/>
          </w:rPr>
          <w:t>CRPD/C/AUS/CO/1</w:t>
        </w:r>
      </w:hyperlink>
      <w:r w:rsidRPr="00C71211">
        <w:t xml:space="preserve">, par. 32 b) ; </w:t>
      </w:r>
      <w:hyperlink r:id="rId46" w:history="1">
        <w:r w:rsidRPr="00C71211">
          <w:rPr>
            <w:rStyle w:val="Lienhypertexte"/>
          </w:rPr>
          <w:t>CRPD/C/SVK/CO/1</w:t>
        </w:r>
      </w:hyperlink>
      <w:r w:rsidRPr="00C71211">
        <w:t>, par. 32.</w:t>
      </w:r>
    </w:p>
  </w:footnote>
  <w:footnote w:id="18">
    <w:p w:rsidR="00D51CF1" w:rsidRPr="007E473C" w:rsidRDefault="00D51CF1" w:rsidP="00C053EA">
      <w:pPr>
        <w:pStyle w:val="Notedebasdepage"/>
      </w:pPr>
      <w:r w:rsidRPr="00C71211">
        <w:tab/>
      </w:r>
      <w:r w:rsidRPr="00541795">
        <w:rPr>
          <w:rStyle w:val="Appelnotedebasdep"/>
        </w:rPr>
        <w:footnoteRef/>
      </w:r>
      <w:r>
        <w:tab/>
      </w:r>
      <w:r w:rsidRPr="007E473C">
        <w:t xml:space="preserve">Voir </w:t>
      </w:r>
      <w:hyperlink r:id="rId47" w:history="1">
        <w:r w:rsidRPr="00465C11">
          <w:rPr>
            <w:rStyle w:val="Lienhypertexte"/>
          </w:rPr>
          <w:t>CRPD/C/MEX/CO/1</w:t>
        </w:r>
      </w:hyperlink>
      <w:r w:rsidRPr="007E473C">
        <w:t>, par. 28.</w:t>
      </w:r>
    </w:p>
  </w:footnote>
  <w:footnote w:id="19">
    <w:p w:rsidR="00D51CF1" w:rsidRPr="00C04378" w:rsidRDefault="00D51CF1" w:rsidP="00C053EA">
      <w:pPr>
        <w:pStyle w:val="Notedebasdepage"/>
      </w:pPr>
      <w:r>
        <w:tab/>
      </w:r>
      <w:r w:rsidRPr="00541795">
        <w:rPr>
          <w:rStyle w:val="Appelnotedebasdep"/>
        </w:rPr>
        <w:footnoteRef/>
      </w:r>
      <w:r>
        <w:tab/>
      </w:r>
      <w:r w:rsidRPr="00F332B0">
        <w:t xml:space="preserve">Voir </w:t>
      </w:r>
      <w:hyperlink r:id="rId48" w:history="1">
        <w:r w:rsidRPr="00465C11">
          <w:rPr>
            <w:rStyle w:val="Lienhypertexte"/>
          </w:rPr>
          <w:t>CRPD/C/11/D/8/2012</w:t>
        </w:r>
      </w:hyperlink>
      <w:r w:rsidRPr="00F332B0">
        <w:t>.</w:t>
      </w:r>
    </w:p>
  </w:footnote>
  <w:footnote w:id="20">
    <w:p w:rsidR="00D51CF1" w:rsidRPr="004A0BE4" w:rsidRDefault="00D51CF1" w:rsidP="00C053EA">
      <w:pPr>
        <w:pStyle w:val="Notedebasdepage"/>
      </w:pPr>
      <w:r>
        <w:tab/>
      </w:r>
      <w:r w:rsidRPr="00541795">
        <w:rPr>
          <w:rStyle w:val="Appelnotedebasdep"/>
        </w:rPr>
        <w:footnoteRef/>
      </w:r>
      <w:r>
        <w:tab/>
      </w:r>
      <w:r w:rsidRPr="004A0BE4">
        <w:t xml:space="preserve">Voir </w:t>
      </w:r>
      <w:hyperlink r:id="rId49" w:history="1">
        <w:r w:rsidRPr="00465C11">
          <w:rPr>
            <w:rStyle w:val="Lienhypertexte"/>
          </w:rPr>
          <w:t>CRPD/C/KOR/CO/1</w:t>
        </w:r>
      </w:hyperlink>
      <w:r w:rsidRPr="004A0BE4">
        <w:t>, par. 26.</w:t>
      </w:r>
    </w:p>
  </w:footnote>
  <w:footnote w:id="21">
    <w:p w:rsidR="00D51CF1" w:rsidRPr="00FE136E" w:rsidRDefault="00D51CF1" w:rsidP="00C053EA">
      <w:pPr>
        <w:pStyle w:val="Notedebasdepage"/>
      </w:pPr>
      <w:r>
        <w:tab/>
      </w:r>
      <w:r w:rsidRPr="00541795">
        <w:rPr>
          <w:rStyle w:val="Appelnotedebasdep"/>
        </w:rPr>
        <w:footnoteRef/>
      </w:r>
      <w:r>
        <w:tab/>
      </w:r>
      <w:r w:rsidRPr="00F332B0">
        <w:t xml:space="preserve">Voir </w:t>
      </w:r>
      <w:hyperlink r:id="rId50" w:history="1">
        <w:r w:rsidRPr="00465C11">
          <w:rPr>
            <w:rStyle w:val="Lienhypertexte"/>
          </w:rPr>
          <w:t>CRPD/C/BEL/CO/1</w:t>
        </w:r>
      </w:hyperlink>
      <w:r w:rsidRPr="00F332B0">
        <w:t>, par. 28.</w:t>
      </w:r>
    </w:p>
  </w:footnote>
  <w:footnote w:id="22">
    <w:p w:rsidR="00D51CF1" w:rsidRPr="004432A6" w:rsidRDefault="00D51CF1" w:rsidP="00C053EA">
      <w:pPr>
        <w:pStyle w:val="Notedebasdepage"/>
      </w:pPr>
      <w:r>
        <w:tab/>
      </w:r>
      <w:r w:rsidRPr="00541795">
        <w:rPr>
          <w:rStyle w:val="Appelnotedebasdep"/>
        </w:rPr>
        <w:footnoteRef/>
      </w:r>
      <w:r>
        <w:tab/>
      </w:r>
      <w:r w:rsidRPr="004432A6">
        <w:t xml:space="preserve">Voir </w:t>
      </w:r>
      <w:hyperlink r:id="rId51" w:history="1">
        <w:r w:rsidRPr="00465C11">
          <w:rPr>
            <w:rStyle w:val="Lienhypertexte"/>
          </w:rPr>
          <w:t>CRPD/C/ECU/CO/1</w:t>
        </w:r>
      </w:hyperlink>
      <w:r w:rsidRPr="004432A6">
        <w:t>, par. 29 c).</w:t>
      </w:r>
    </w:p>
  </w:footnote>
  <w:footnote w:id="23">
    <w:p w:rsidR="00D51CF1" w:rsidRPr="00D43B4E" w:rsidRDefault="00D51CF1" w:rsidP="00C053EA">
      <w:pPr>
        <w:pStyle w:val="Notedebasdepage"/>
      </w:pPr>
      <w:r>
        <w:tab/>
      </w:r>
      <w:r w:rsidRPr="00541795">
        <w:rPr>
          <w:rStyle w:val="Appelnotedebasdep"/>
        </w:rPr>
        <w:footnoteRef/>
      </w:r>
      <w:r>
        <w:tab/>
      </w:r>
      <w:r w:rsidRPr="00D43B4E">
        <w:t xml:space="preserve">Voir </w:t>
      </w:r>
      <w:hyperlink r:id="rId52" w:history="1">
        <w:r w:rsidRPr="00465C11">
          <w:rPr>
            <w:rStyle w:val="Lienhypertexte"/>
          </w:rPr>
          <w:t>CRPD/C/DEU/CO/1</w:t>
        </w:r>
      </w:hyperlink>
      <w:r w:rsidRPr="00D43B4E">
        <w:t>, par. 31.</w:t>
      </w:r>
    </w:p>
  </w:footnote>
  <w:footnote w:id="24">
    <w:p w:rsidR="00D51CF1" w:rsidRPr="00356021" w:rsidRDefault="00D51CF1" w:rsidP="00C053EA">
      <w:pPr>
        <w:pStyle w:val="Notedebasdepage"/>
      </w:pPr>
      <w:r>
        <w:tab/>
      </w:r>
      <w:r w:rsidRPr="00541795">
        <w:rPr>
          <w:rStyle w:val="Appelnotedebasdep"/>
        </w:rPr>
        <w:footnoteRef/>
      </w:r>
      <w:r>
        <w:tab/>
      </w:r>
      <w:r w:rsidRPr="00356021">
        <w:t xml:space="preserve">Voir </w:t>
      </w:r>
      <w:hyperlink r:id="rId53" w:history="1">
        <w:r w:rsidRPr="00465C11">
          <w:rPr>
            <w:rStyle w:val="Lienhypertexte"/>
          </w:rPr>
          <w:t>CRPD/C/NZL/CO/1</w:t>
        </w:r>
      </w:hyperlink>
      <w:r w:rsidRPr="00356021">
        <w:t>, par. 34.</w:t>
      </w:r>
    </w:p>
  </w:footnote>
  <w:footnote w:id="25">
    <w:p w:rsidR="00D51CF1" w:rsidRPr="00374674" w:rsidRDefault="00D51CF1" w:rsidP="00C053EA">
      <w:pPr>
        <w:pStyle w:val="Notedebasdepage"/>
      </w:pPr>
      <w:r>
        <w:tab/>
      </w:r>
      <w:r w:rsidRPr="00541795">
        <w:rPr>
          <w:rStyle w:val="Appelnotedebasdep"/>
        </w:rPr>
        <w:footnoteRef/>
      </w:r>
      <w:r>
        <w:tab/>
      </w:r>
      <w:r w:rsidRPr="00374674">
        <w:t xml:space="preserve">Voir </w:t>
      </w:r>
      <w:hyperlink r:id="rId54" w:history="1">
        <w:r w:rsidRPr="00465C11">
          <w:rPr>
            <w:rStyle w:val="Lienhypertexte"/>
          </w:rPr>
          <w:t>CRPD/C/AUS/CO/1</w:t>
        </w:r>
      </w:hyperlink>
      <w:r w:rsidRPr="00374674">
        <w:t>, par. 29.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F1" w:rsidRPr="002179EF" w:rsidRDefault="00833229" w:rsidP="002179EF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4613FB">
      <w:t>A/72/55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F1" w:rsidRDefault="00833229" w:rsidP="002179EF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613FB">
      <w:t>A/72/55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F1" w:rsidRPr="002179EF" w:rsidRDefault="00833229" w:rsidP="002179EF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4613FB">
      <w:t>A/72/55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CF1" w:rsidRDefault="00833229" w:rsidP="002179EF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613FB">
      <w:t>A/72/55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70838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lowerLetter"/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7628E06-6B6C-48CD-9DEF-C39085C922DE}"/>
    <w:docVar w:name="dgnword-eventsink" w:val="512925968"/>
  </w:docVars>
  <w:rsids>
    <w:rsidRoot w:val="003E0338"/>
    <w:rsid w:val="000067A6"/>
    <w:rsid w:val="0001470D"/>
    <w:rsid w:val="000159D9"/>
    <w:rsid w:val="00016165"/>
    <w:rsid w:val="00016AC5"/>
    <w:rsid w:val="00021907"/>
    <w:rsid w:val="000233A5"/>
    <w:rsid w:val="00024045"/>
    <w:rsid w:val="0002445D"/>
    <w:rsid w:val="00024C50"/>
    <w:rsid w:val="00025E92"/>
    <w:rsid w:val="000276A3"/>
    <w:rsid w:val="00030923"/>
    <w:rsid w:val="00031C3D"/>
    <w:rsid w:val="00032060"/>
    <w:rsid w:val="000333BC"/>
    <w:rsid w:val="00040539"/>
    <w:rsid w:val="00040598"/>
    <w:rsid w:val="00047F10"/>
    <w:rsid w:val="00052157"/>
    <w:rsid w:val="0005346D"/>
    <w:rsid w:val="0005490A"/>
    <w:rsid w:val="00055FE4"/>
    <w:rsid w:val="00063254"/>
    <w:rsid w:val="000641CE"/>
    <w:rsid w:val="00067310"/>
    <w:rsid w:val="00077E35"/>
    <w:rsid w:val="0008669E"/>
    <w:rsid w:val="00090599"/>
    <w:rsid w:val="00091492"/>
    <w:rsid w:val="00096270"/>
    <w:rsid w:val="000A1501"/>
    <w:rsid w:val="000A2494"/>
    <w:rsid w:val="000A6B7E"/>
    <w:rsid w:val="000C6CDB"/>
    <w:rsid w:val="000D5C25"/>
    <w:rsid w:val="000E4F06"/>
    <w:rsid w:val="000E5601"/>
    <w:rsid w:val="000F41F2"/>
    <w:rsid w:val="0010373B"/>
    <w:rsid w:val="00125446"/>
    <w:rsid w:val="00126DCC"/>
    <w:rsid w:val="001358D9"/>
    <w:rsid w:val="00141E26"/>
    <w:rsid w:val="00143EB9"/>
    <w:rsid w:val="00145051"/>
    <w:rsid w:val="00145EFA"/>
    <w:rsid w:val="0015389C"/>
    <w:rsid w:val="00160540"/>
    <w:rsid w:val="00166C68"/>
    <w:rsid w:val="0017343D"/>
    <w:rsid w:val="00174814"/>
    <w:rsid w:val="00181A90"/>
    <w:rsid w:val="00190D5D"/>
    <w:rsid w:val="00192660"/>
    <w:rsid w:val="00192EEB"/>
    <w:rsid w:val="00194484"/>
    <w:rsid w:val="0019559B"/>
    <w:rsid w:val="001A2040"/>
    <w:rsid w:val="001A20FB"/>
    <w:rsid w:val="001A2F3A"/>
    <w:rsid w:val="001A376F"/>
    <w:rsid w:val="001B09BB"/>
    <w:rsid w:val="001B5B16"/>
    <w:rsid w:val="001B5FBA"/>
    <w:rsid w:val="001C3D8D"/>
    <w:rsid w:val="001C560B"/>
    <w:rsid w:val="001C6497"/>
    <w:rsid w:val="001D12EC"/>
    <w:rsid w:val="001D7F8A"/>
    <w:rsid w:val="001E0447"/>
    <w:rsid w:val="001E1495"/>
    <w:rsid w:val="001E34CB"/>
    <w:rsid w:val="001E3FEB"/>
    <w:rsid w:val="001E4541"/>
    <w:rsid w:val="001E4A02"/>
    <w:rsid w:val="001E4E3F"/>
    <w:rsid w:val="001E5979"/>
    <w:rsid w:val="001E653B"/>
    <w:rsid w:val="001E6DF0"/>
    <w:rsid w:val="001F3E68"/>
    <w:rsid w:val="001F4931"/>
    <w:rsid w:val="001F6DE4"/>
    <w:rsid w:val="001F6EA4"/>
    <w:rsid w:val="00200CBA"/>
    <w:rsid w:val="002029EA"/>
    <w:rsid w:val="00204B66"/>
    <w:rsid w:val="002059CE"/>
    <w:rsid w:val="00206AD4"/>
    <w:rsid w:val="002179EF"/>
    <w:rsid w:val="0022017D"/>
    <w:rsid w:val="00224B8B"/>
    <w:rsid w:val="00225A8C"/>
    <w:rsid w:val="00231A7F"/>
    <w:rsid w:val="00242BBD"/>
    <w:rsid w:val="0024586F"/>
    <w:rsid w:val="00246BC8"/>
    <w:rsid w:val="00251F95"/>
    <w:rsid w:val="00252317"/>
    <w:rsid w:val="00253E2F"/>
    <w:rsid w:val="002659F1"/>
    <w:rsid w:val="00270821"/>
    <w:rsid w:val="00271E41"/>
    <w:rsid w:val="00284C19"/>
    <w:rsid w:val="00286E23"/>
    <w:rsid w:val="002876A1"/>
    <w:rsid w:val="00287CA6"/>
    <w:rsid w:val="00287E79"/>
    <w:rsid w:val="00290049"/>
    <w:rsid w:val="002928F9"/>
    <w:rsid w:val="00294D5B"/>
    <w:rsid w:val="002A11BD"/>
    <w:rsid w:val="002A2A2C"/>
    <w:rsid w:val="002A5D07"/>
    <w:rsid w:val="002D25CA"/>
    <w:rsid w:val="002D3DA4"/>
    <w:rsid w:val="002D64CF"/>
    <w:rsid w:val="002E2F5C"/>
    <w:rsid w:val="002F0C48"/>
    <w:rsid w:val="003016B7"/>
    <w:rsid w:val="00302025"/>
    <w:rsid w:val="00305BCD"/>
    <w:rsid w:val="00306E12"/>
    <w:rsid w:val="0030754C"/>
    <w:rsid w:val="00317E54"/>
    <w:rsid w:val="00322DF1"/>
    <w:rsid w:val="00324EBF"/>
    <w:rsid w:val="0032556C"/>
    <w:rsid w:val="00330508"/>
    <w:rsid w:val="0033286A"/>
    <w:rsid w:val="00333130"/>
    <w:rsid w:val="0034168A"/>
    <w:rsid w:val="0034572E"/>
    <w:rsid w:val="00346E32"/>
    <w:rsid w:val="003515AA"/>
    <w:rsid w:val="00364F13"/>
    <w:rsid w:val="0036776C"/>
    <w:rsid w:val="00371AB2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C07E7"/>
    <w:rsid w:val="003D0EE2"/>
    <w:rsid w:val="003D3C77"/>
    <w:rsid w:val="003D6C68"/>
    <w:rsid w:val="003E01D0"/>
    <w:rsid w:val="003E0338"/>
    <w:rsid w:val="003E49B9"/>
    <w:rsid w:val="003E5F12"/>
    <w:rsid w:val="003E786C"/>
    <w:rsid w:val="003F2A89"/>
    <w:rsid w:val="003F4433"/>
    <w:rsid w:val="003F4A54"/>
    <w:rsid w:val="0040144C"/>
    <w:rsid w:val="004067AE"/>
    <w:rsid w:val="00410521"/>
    <w:rsid w:val="00413BB0"/>
    <w:rsid w:val="0041534D"/>
    <w:rsid w:val="004159D0"/>
    <w:rsid w:val="00417326"/>
    <w:rsid w:val="00422499"/>
    <w:rsid w:val="00432402"/>
    <w:rsid w:val="004342E2"/>
    <w:rsid w:val="00434354"/>
    <w:rsid w:val="00440BC8"/>
    <w:rsid w:val="004504F5"/>
    <w:rsid w:val="00454F8D"/>
    <w:rsid w:val="004567EB"/>
    <w:rsid w:val="00460E72"/>
    <w:rsid w:val="004613FB"/>
    <w:rsid w:val="00465C11"/>
    <w:rsid w:val="00467412"/>
    <w:rsid w:val="00476265"/>
    <w:rsid w:val="00481132"/>
    <w:rsid w:val="00483E94"/>
    <w:rsid w:val="00490F56"/>
    <w:rsid w:val="00491F39"/>
    <w:rsid w:val="004A49A5"/>
    <w:rsid w:val="004A66A2"/>
    <w:rsid w:val="004B51CD"/>
    <w:rsid w:val="004B690C"/>
    <w:rsid w:val="004C54C0"/>
    <w:rsid w:val="004C56B2"/>
    <w:rsid w:val="004D00B2"/>
    <w:rsid w:val="004E4963"/>
    <w:rsid w:val="004E6809"/>
    <w:rsid w:val="004E7F24"/>
    <w:rsid w:val="004F49A4"/>
    <w:rsid w:val="00507590"/>
    <w:rsid w:val="005111B1"/>
    <w:rsid w:val="0051212F"/>
    <w:rsid w:val="00512F7F"/>
    <w:rsid w:val="00514288"/>
    <w:rsid w:val="0051457E"/>
    <w:rsid w:val="00516D6F"/>
    <w:rsid w:val="0051714B"/>
    <w:rsid w:val="00517C87"/>
    <w:rsid w:val="00520F80"/>
    <w:rsid w:val="005239FF"/>
    <w:rsid w:val="00523DB8"/>
    <w:rsid w:val="00533150"/>
    <w:rsid w:val="00541795"/>
    <w:rsid w:val="00541BE4"/>
    <w:rsid w:val="00543B57"/>
    <w:rsid w:val="00543C47"/>
    <w:rsid w:val="00543D5E"/>
    <w:rsid w:val="00550C89"/>
    <w:rsid w:val="00552260"/>
    <w:rsid w:val="00552777"/>
    <w:rsid w:val="00555494"/>
    <w:rsid w:val="00555CBA"/>
    <w:rsid w:val="005629D6"/>
    <w:rsid w:val="00565B29"/>
    <w:rsid w:val="00567F8A"/>
    <w:rsid w:val="00571BC1"/>
    <w:rsid w:val="00571F41"/>
    <w:rsid w:val="00575476"/>
    <w:rsid w:val="00575613"/>
    <w:rsid w:val="00584373"/>
    <w:rsid w:val="00591DB3"/>
    <w:rsid w:val="005939ED"/>
    <w:rsid w:val="005947BC"/>
    <w:rsid w:val="00595E8A"/>
    <w:rsid w:val="005A0268"/>
    <w:rsid w:val="005A3785"/>
    <w:rsid w:val="005A6014"/>
    <w:rsid w:val="005B473C"/>
    <w:rsid w:val="005B75BB"/>
    <w:rsid w:val="005C549A"/>
    <w:rsid w:val="005D7719"/>
    <w:rsid w:val="005E1B9B"/>
    <w:rsid w:val="005E32D1"/>
    <w:rsid w:val="005E5D1F"/>
    <w:rsid w:val="005F1114"/>
    <w:rsid w:val="00606530"/>
    <w:rsid w:val="0061113B"/>
    <w:rsid w:val="00611D43"/>
    <w:rsid w:val="00612D48"/>
    <w:rsid w:val="00613A5E"/>
    <w:rsid w:val="00614FBD"/>
    <w:rsid w:val="00616B45"/>
    <w:rsid w:val="006241C6"/>
    <w:rsid w:val="00627593"/>
    <w:rsid w:val="00630D9B"/>
    <w:rsid w:val="00631953"/>
    <w:rsid w:val="0063208D"/>
    <w:rsid w:val="00643814"/>
    <w:rsid w:val="006439EC"/>
    <w:rsid w:val="00645090"/>
    <w:rsid w:val="00647059"/>
    <w:rsid w:val="00647162"/>
    <w:rsid w:val="0065029A"/>
    <w:rsid w:val="00650770"/>
    <w:rsid w:val="00657FC0"/>
    <w:rsid w:val="00661667"/>
    <w:rsid w:val="00661E96"/>
    <w:rsid w:val="00665786"/>
    <w:rsid w:val="00671C93"/>
    <w:rsid w:val="00671F00"/>
    <w:rsid w:val="006729C8"/>
    <w:rsid w:val="00675501"/>
    <w:rsid w:val="0068562A"/>
    <w:rsid w:val="006957F9"/>
    <w:rsid w:val="006A6B31"/>
    <w:rsid w:val="006A6C95"/>
    <w:rsid w:val="006A7B29"/>
    <w:rsid w:val="006B0EB2"/>
    <w:rsid w:val="006B0FF8"/>
    <w:rsid w:val="006B4590"/>
    <w:rsid w:val="006C340C"/>
    <w:rsid w:val="006C50EA"/>
    <w:rsid w:val="006E492F"/>
    <w:rsid w:val="006F1D0B"/>
    <w:rsid w:val="006F27A8"/>
    <w:rsid w:val="006F3493"/>
    <w:rsid w:val="006F3544"/>
    <w:rsid w:val="006F5A52"/>
    <w:rsid w:val="00702F0F"/>
    <w:rsid w:val="0070347C"/>
    <w:rsid w:val="007102D2"/>
    <w:rsid w:val="00714647"/>
    <w:rsid w:val="00714A66"/>
    <w:rsid w:val="007176C1"/>
    <w:rsid w:val="00720BC0"/>
    <w:rsid w:val="0072116B"/>
    <w:rsid w:val="00725063"/>
    <w:rsid w:val="007255D3"/>
    <w:rsid w:val="00732E72"/>
    <w:rsid w:val="00741D90"/>
    <w:rsid w:val="007568F7"/>
    <w:rsid w:val="007607B1"/>
    <w:rsid w:val="00765296"/>
    <w:rsid w:val="00766D28"/>
    <w:rsid w:val="007723C2"/>
    <w:rsid w:val="007815B7"/>
    <w:rsid w:val="007815B9"/>
    <w:rsid w:val="00785F1F"/>
    <w:rsid w:val="00790B9D"/>
    <w:rsid w:val="00796316"/>
    <w:rsid w:val="007A1C58"/>
    <w:rsid w:val="007A20D2"/>
    <w:rsid w:val="007A79CD"/>
    <w:rsid w:val="007B6D61"/>
    <w:rsid w:val="007C7626"/>
    <w:rsid w:val="007D2668"/>
    <w:rsid w:val="007D3119"/>
    <w:rsid w:val="007F1867"/>
    <w:rsid w:val="007F1EC4"/>
    <w:rsid w:val="007F55CB"/>
    <w:rsid w:val="007F6597"/>
    <w:rsid w:val="007F768E"/>
    <w:rsid w:val="008021D4"/>
    <w:rsid w:val="008149F9"/>
    <w:rsid w:val="0082150A"/>
    <w:rsid w:val="008245B7"/>
    <w:rsid w:val="0082755E"/>
    <w:rsid w:val="00831A18"/>
    <w:rsid w:val="00833229"/>
    <w:rsid w:val="00837345"/>
    <w:rsid w:val="00844750"/>
    <w:rsid w:val="00851A74"/>
    <w:rsid w:val="00853AB8"/>
    <w:rsid w:val="00854C34"/>
    <w:rsid w:val="0085586A"/>
    <w:rsid w:val="00863E54"/>
    <w:rsid w:val="008819DA"/>
    <w:rsid w:val="00895DE5"/>
    <w:rsid w:val="008A0FA8"/>
    <w:rsid w:val="008A1EC0"/>
    <w:rsid w:val="008B44C4"/>
    <w:rsid w:val="008B6DFA"/>
    <w:rsid w:val="008C0FB2"/>
    <w:rsid w:val="008C322B"/>
    <w:rsid w:val="008C4B74"/>
    <w:rsid w:val="008D1156"/>
    <w:rsid w:val="008D4076"/>
    <w:rsid w:val="008D59DB"/>
    <w:rsid w:val="008E0319"/>
    <w:rsid w:val="008E4D73"/>
    <w:rsid w:val="008E4DE2"/>
    <w:rsid w:val="008E7CE2"/>
    <w:rsid w:val="008E7FAE"/>
    <w:rsid w:val="009113E4"/>
    <w:rsid w:val="00911BF7"/>
    <w:rsid w:val="0091594A"/>
    <w:rsid w:val="009230F1"/>
    <w:rsid w:val="00935490"/>
    <w:rsid w:val="009418DE"/>
    <w:rsid w:val="00941BB3"/>
    <w:rsid w:val="009516B7"/>
    <w:rsid w:val="0095776B"/>
    <w:rsid w:val="00957CE5"/>
    <w:rsid w:val="009624E2"/>
    <w:rsid w:val="00977EC8"/>
    <w:rsid w:val="009813B9"/>
    <w:rsid w:val="00983432"/>
    <w:rsid w:val="00997C8C"/>
    <w:rsid w:val="009A3048"/>
    <w:rsid w:val="009A6C26"/>
    <w:rsid w:val="009B17AD"/>
    <w:rsid w:val="009B3F8C"/>
    <w:rsid w:val="009B45E0"/>
    <w:rsid w:val="009B540F"/>
    <w:rsid w:val="009D3A8C"/>
    <w:rsid w:val="009E0720"/>
    <w:rsid w:val="009E1BA9"/>
    <w:rsid w:val="009E2876"/>
    <w:rsid w:val="009E2F0B"/>
    <w:rsid w:val="009E4532"/>
    <w:rsid w:val="009E5E79"/>
    <w:rsid w:val="009E7956"/>
    <w:rsid w:val="009F072F"/>
    <w:rsid w:val="009F26C1"/>
    <w:rsid w:val="009F3F95"/>
    <w:rsid w:val="00A023FC"/>
    <w:rsid w:val="00A0338D"/>
    <w:rsid w:val="00A05DD1"/>
    <w:rsid w:val="00A077E9"/>
    <w:rsid w:val="00A1392C"/>
    <w:rsid w:val="00A159A8"/>
    <w:rsid w:val="00A2492E"/>
    <w:rsid w:val="00A31163"/>
    <w:rsid w:val="00A34593"/>
    <w:rsid w:val="00A364DB"/>
    <w:rsid w:val="00A45E90"/>
    <w:rsid w:val="00A4770F"/>
    <w:rsid w:val="00A50D6B"/>
    <w:rsid w:val="00A51050"/>
    <w:rsid w:val="00A51FDA"/>
    <w:rsid w:val="00A56945"/>
    <w:rsid w:val="00A57027"/>
    <w:rsid w:val="00A5750C"/>
    <w:rsid w:val="00A65787"/>
    <w:rsid w:val="00A72C35"/>
    <w:rsid w:val="00A752BB"/>
    <w:rsid w:val="00A81F93"/>
    <w:rsid w:val="00A9247E"/>
    <w:rsid w:val="00AA7796"/>
    <w:rsid w:val="00AC67A1"/>
    <w:rsid w:val="00AC7977"/>
    <w:rsid w:val="00AC7E56"/>
    <w:rsid w:val="00AE2617"/>
    <w:rsid w:val="00AE352C"/>
    <w:rsid w:val="00AE555B"/>
    <w:rsid w:val="00AE79AC"/>
    <w:rsid w:val="00B01AAD"/>
    <w:rsid w:val="00B101DB"/>
    <w:rsid w:val="00B10DD9"/>
    <w:rsid w:val="00B21751"/>
    <w:rsid w:val="00B256F0"/>
    <w:rsid w:val="00B31D7D"/>
    <w:rsid w:val="00B32E2D"/>
    <w:rsid w:val="00B43741"/>
    <w:rsid w:val="00B45642"/>
    <w:rsid w:val="00B52F29"/>
    <w:rsid w:val="00B5388D"/>
    <w:rsid w:val="00B61990"/>
    <w:rsid w:val="00B6249B"/>
    <w:rsid w:val="00B70CCD"/>
    <w:rsid w:val="00B7180A"/>
    <w:rsid w:val="00B75E66"/>
    <w:rsid w:val="00B773BF"/>
    <w:rsid w:val="00B93C7D"/>
    <w:rsid w:val="00BC3F20"/>
    <w:rsid w:val="00BD03A2"/>
    <w:rsid w:val="00BD28B2"/>
    <w:rsid w:val="00BD5A8D"/>
    <w:rsid w:val="00BD7343"/>
    <w:rsid w:val="00BF0556"/>
    <w:rsid w:val="00BF37EE"/>
    <w:rsid w:val="00C024A1"/>
    <w:rsid w:val="00C02C42"/>
    <w:rsid w:val="00C053EA"/>
    <w:rsid w:val="00C10FB1"/>
    <w:rsid w:val="00C11282"/>
    <w:rsid w:val="00C12CA3"/>
    <w:rsid w:val="00C14108"/>
    <w:rsid w:val="00C261F8"/>
    <w:rsid w:val="00C27662"/>
    <w:rsid w:val="00C33100"/>
    <w:rsid w:val="00C451B9"/>
    <w:rsid w:val="00C467A6"/>
    <w:rsid w:val="00C51D9C"/>
    <w:rsid w:val="00C54DA4"/>
    <w:rsid w:val="00C55118"/>
    <w:rsid w:val="00C556F2"/>
    <w:rsid w:val="00C567BC"/>
    <w:rsid w:val="00C577D1"/>
    <w:rsid w:val="00C57A2D"/>
    <w:rsid w:val="00C6018C"/>
    <w:rsid w:val="00C67D23"/>
    <w:rsid w:val="00C71211"/>
    <w:rsid w:val="00C71827"/>
    <w:rsid w:val="00C825E5"/>
    <w:rsid w:val="00C8511A"/>
    <w:rsid w:val="00C95EB8"/>
    <w:rsid w:val="00CB02C5"/>
    <w:rsid w:val="00CB39CD"/>
    <w:rsid w:val="00CC49ED"/>
    <w:rsid w:val="00CC7CE6"/>
    <w:rsid w:val="00CD044C"/>
    <w:rsid w:val="00CD1718"/>
    <w:rsid w:val="00CD1A71"/>
    <w:rsid w:val="00CD1FBB"/>
    <w:rsid w:val="00CE033D"/>
    <w:rsid w:val="00CE08E5"/>
    <w:rsid w:val="00D016B5"/>
    <w:rsid w:val="00D034F1"/>
    <w:rsid w:val="00D14F42"/>
    <w:rsid w:val="00D171D4"/>
    <w:rsid w:val="00D26F76"/>
    <w:rsid w:val="00D27D5E"/>
    <w:rsid w:val="00D32B08"/>
    <w:rsid w:val="00D37BF2"/>
    <w:rsid w:val="00D407D1"/>
    <w:rsid w:val="00D43E5F"/>
    <w:rsid w:val="00D50DC8"/>
    <w:rsid w:val="00D51CE6"/>
    <w:rsid w:val="00D51CF1"/>
    <w:rsid w:val="00D639BD"/>
    <w:rsid w:val="00D65777"/>
    <w:rsid w:val="00D66E0D"/>
    <w:rsid w:val="00D7425A"/>
    <w:rsid w:val="00D74F7E"/>
    <w:rsid w:val="00D7695F"/>
    <w:rsid w:val="00D83B6C"/>
    <w:rsid w:val="00D87D73"/>
    <w:rsid w:val="00D9039B"/>
    <w:rsid w:val="00D93582"/>
    <w:rsid w:val="00DA41A2"/>
    <w:rsid w:val="00DA43A1"/>
    <w:rsid w:val="00DA5E1D"/>
    <w:rsid w:val="00DB2E90"/>
    <w:rsid w:val="00DC024D"/>
    <w:rsid w:val="00DC4F43"/>
    <w:rsid w:val="00DE6D90"/>
    <w:rsid w:val="00DF002F"/>
    <w:rsid w:val="00DF128E"/>
    <w:rsid w:val="00DF4D0D"/>
    <w:rsid w:val="00E0244D"/>
    <w:rsid w:val="00E026DF"/>
    <w:rsid w:val="00E02F48"/>
    <w:rsid w:val="00E03712"/>
    <w:rsid w:val="00E06B3F"/>
    <w:rsid w:val="00E10A73"/>
    <w:rsid w:val="00E1279F"/>
    <w:rsid w:val="00E14F27"/>
    <w:rsid w:val="00E171D2"/>
    <w:rsid w:val="00E25534"/>
    <w:rsid w:val="00E26EF3"/>
    <w:rsid w:val="00E319B6"/>
    <w:rsid w:val="00E32145"/>
    <w:rsid w:val="00E32F5A"/>
    <w:rsid w:val="00E33029"/>
    <w:rsid w:val="00E37E21"/>
    <w:rsid w:val="00E40F26"/>
    <w:rsid w:val="00E42E2C"/>
    <w:rsid w:val="00E510F3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A3B1D"/>
    <w:rsid w:val="00EB77B9"/>
    <w:rsid w:val="00EB7D07"/>
    <w:rsid w:val="00ED3A26"/>
    <w:rsid w:val="00EF33E0"/>
    <w:rsid w:val="00EF70BB"/>
    <w:rsid w:val="00EF7D1D"/>
    <w:rsid w:val="00F02FA9"/>
    <w:rsid w:val="00F06660"/>
    <w:rsid w:val="00F115C8"/>
    <w:rsid w:val="00F116EB"/>
    <w:rsid w:val="00F1794E"/>
    <w:rsid w:val="00F17DC0"/>
    <w:rsid w:val="00F211AF"/>
    <w:rsid w:val="00F25EC3"/>
    <w:rsid w:val="00F32ADB"/>
    <w:rsid w:val="00F32C98"/>
    <w:rsid w:val="00F37E12"/>
    <w:rsid w:val="00F424BD"/>
    <w:rsid w:val="00F42A53"/>
    <w:rsid w:val="00F44343"/>
    <w:rsid w:val="00F515AD"/>
    <w:rsid w:val="00F52CC9"/>
    <w:rsid w:val="00F54DCD"/>
    <w:rsid w:val="00F57DD7"/>
    <w:rsid w:val="00F636AD"/>
    <w:rsid w:val="00F734D9"/>
    <w:rsid w:val="00F73F83"/>
    <w:rsid w:val="00F74902"/>
    <w:rsid w:val="00F85A4E"/>
    <w:rsid w:val="00F9353A"/>
    <w:rsid w:val="00F94EBB"/>
    <w:rsid w:val="00F965C2"/>
    <w:rsid w:val="00FA1D61"/>
    <w:rsid w:val="00FA27D4"/>
    <w:rsid w:val="00FA5A79"/>
    <w:rsid w:val="00FB0BFE"/>
    <w:rsid w:val="00FB1C8F"/>
    <w:rsid w:val="00FB4300"/>
    <w:rsid w:val="00FB4C51"/>
    <w:rsid w:val="00FB734D"/>
    <w:rsid w:val="00FC21B2"/>
    <w:rsid w:val="00FD02A2"/>
    <w:rsid w:val="00FD5E64"/>
    <w:rsid w:val="00FD7985"/>
    <w:rsid w:val="00FE6526"/>
    <w:rsid w:val="00FF1DBD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07DFFBC-2364-4641-B9D5-45AEE8B2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nhideWhenUsed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45EFA"/>
    <w:pPr>
      <w:suppressAutoHyphens/>
      <w:spacing w:line="240" w:lineRule="atLeast"/>
    </w:pPr>
    <w:rPr>
      <w:lang w:val="fr-CH" w:eastAsia="en-US"/>
    </w:rPr>
  </w:style>
  <w:style w:type="paragraph" w:styleId="Titre1">
    <w:name w:val="heading 1"/>
    <w:aliases w:val="Table_G"/>
    <w:basedOn w:val="SingleTxtG"/>
    <w:next w:val="SingleTxtG"/>
    <w:qFormat/>
    <w:rsid w:val="00145EF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uiPriority w:val="99"/>
    <w:semiHidden/>
    <w:qFormat/>
    <w:rsid w:val="00145EFA"/>
    <w:pPr>
      <w:outlineLvl w:val="1"/>
    </w:pPr>
  </w:style>
  <w:style w:type="paragraph" w:styleId="Titre3">
    <w:name w:val="heading 3"/>
    <w:basedOn w:val="Normal"/>
    <w:next w:val="Normal"/>
    <w:uiPriority w:val="99"/>
    <w:semiHidden/>
    <w:qFormat/>
    <w:rsid w:val="00145EFA"/>
    <w:pPr>
      <w:outlineLvl w:val="2"/>
    </w:pPr>
  </w:style>
  <w:style w:type="paragraph" w:styleId="Titre4">
    <w:name w:val="heading 4"/>
    <w:basedOn w:val="Normal"/>
    <w:next w:val="Normal"/>
    <w:uiPriority w:val="99"/>
    <w:semiHidden/>
    <w:qFormat/>
    <w:rsid w:val="00145EFA"/>
    <w:pPr>
      <w:outlineLvl w:val="3"/>
    </w:pPr>
  </w:style>
  <w:style w:type="paragraph" w:styleId="Titre5">
    <w:name w:val="heading 5"/>
    <w:basedOn w:val="Normal"/>
    <w:next w:val="Normal"/>
    <w:uiPriority w:val="99"/>
    <w:semiHidden/>
    <w:qFormat/>
    <w:rsid w:val="00145EFA"/>
    <w:pPr>
      <w:outlineLvl w:val="4"/>
    </w:pPr>
  </w:style>
  <w:style w:type="paragraph" w:styleId="Titre6">
    <w:name w:val="heading 6"/>
    <w:basedOn w:val="Normal"/>
    <w:next w:val="Normal"/>
    <w:uiPriority w:val="99"/>
    <w:semiHidden/>
    <w:qFormat/>
    <w:rsid w:val="00145EFA"/>
    <w:pPr>
      <w:outlineLvl w:val="5"/>
    </w:pPr>
  </w:style>
  <w:style w:type="paragraph" w:styleId="Titre7">
    <w:name w:val="heading 7"/>
    <w:basedOn w:val="Normal"/>
    <w:next w:val="Normal"/>
    <w:uiPriority w:val="99"/>
    <w:semiHidden/>
    <w:qFormat/>
    <w:rsid w:val="00145EFA"/>
    <w:pPr>
      <w:outlineLvl w:val="6"/>
    </w:pPr>
  </w:style>
  <w:style w:type="paragraph" w:styleId="Titre8">
    <w:name w:val="heading 8"/>
    <w:basedOn w:val="Normal"/>
    <w:next w:val="Normal"/>
    <w:uiPriority w:val="99"/>
    <w:semiHidden/>
    <w:qFormat/>
    <w:rsid w:val="00145EFA"/>
    <w:pPr>
      <w:outlineLvl w:val="7"/>
    </w:pPr>
  </w:style>
  <w:style w:type="paragraph" w:styleId="Titre9">
    <w:name w:val="heading 9"/>
    <w:basedOn w:val="Normal"/>
    <w:next w:val="Normal"/>
    <w:uiPriority w:val="99"/>
    <w:semiHidden/>
    <w:qFormat/>
    <w:rsid w:val="00145EFA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rsid w:val="00145EFA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rsid w:val="00145EFA"/>
  </w:style>
  <w:style w:type="paragraph" w:styleId="Notedebasdepage">
    <w:name w:val="footnote text"/>
    <w:aliases w:val="5_G"/>
    <w:basedOn w:val="Normal"/>
    <w:link w:val="NotedebasdepageCar"/>
    <w:qFormat/>
    <w:rsid w:val="00145EF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145EFA"/>
    <w:pPr>
      <w:spacing w:line="240" w:lineRule="auto"/>
    </w:pPr>
    <w:rPr>
      <w:sz w:val="16"/>
    </w:rPr>
  </w:style>
  <w:style w:type="character" w:styleId="Appeldenotedefin">
    <w:name w:val="endnote reference"/>
    <w:aliases w:val="1_G"/>
    <w:basedOn w:val="Appelnotedebasdep"/>
    <w:rsid w:val="00145EFA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basedOn w:val="Policepardfaut"/>
    <w:qFormat/>
    <w:rsid w:val="00145EFA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basedOn w:val="Policepardfaut"/>
    <w:uiPriority w:val="99"/>
    <w:semiHidden/>
    <w:rsid w:val="00145EFA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rsid w:val="00145EFA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145EF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145EF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145EF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145EF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145EF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145EF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45EF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45EF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45EF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45EF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145EFA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145EFA"/>
    <w:pPr>
      <w:numPr>
        <w:numId w:val="2"/>
      </w:numPr>
      <w:spacing w:after="120"/>
      <w:ind w:right="1134"/>
      <w:jc w:val="both"/>
    </w:pPr>
  </w:style>
  <w:style w:type="table" w:styleId="Grilledutableau">
    <w:name w:val="Table Grid"/>
    <w:basedOn w:val="TableauNormal"/>
    <w:semiHidden/>
    <w:rsid w:val="00145EF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ar">
    <w:name w:val="_ Single Txt_G Car"/>
    <w:basedOn w:val="Policepardfaut"/>
    <w:link w:val="SingleTxtG"/>
    <w:rsid w:val="00145EFA"/>
    <w:rPr>
      <w:lang w:val="fr-CH" w:eastAsia="en-US"/>
    </w:rPr>
  </w:style>
  <w:style w:type="character" w:styleId="Lienhypertexte">
    <w:name w:val="Hyperlink"/>
    <w:basedOn w:val="Policepardfaut"/>
    <w:uiPriority w:val="99"/>
    <w:rsid w:val="00145EFA"/>
    <w:rPr>
      <w:color w:val="0000FF"/>
      <w:u w:val="none"/>
    </w:rPr>
  </w:style>
  <w:style w:type="character" w:styleId="Lienhypertextesuivivisit">
    <w:name w:val="FollowedHyperlink"/>
    <w:basedOn w:val="Policepardfaut"/>
    <w:semiHidden/>
    <w:rsid w:val="00145EFA"/>
    <w:rPr>
      <w:color w:val="0000FF"/>
      <w:u w:val="none"/>
    </w:rPr>
  </w:style>
  <w:style w:type="paragraph" w:customStyle="1" w:styleId="ParNoG">
    <w:name w:val="_ParNo_G"/>
    <w:basedOn w:val="SingleTxtG"/>
    <w:rsid w:val="00145EFA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rsid w:val="00145E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EFA"/>
    <w:rPr>
      <w:rFonts w:ascii="Tahoma" w:hAnsi="Tahoma" w:cs="Tahoma"/>
      <w:sz w:val="16"/>
      <w:szCs w:val="16"/>
      <w:lang w:val="fr-CH" w:eastAsia="en-US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091492"/>
    <w:rPr>
      <w:sz w:val="18"/>
      <w:lang w:val="fr-CH" w:eastAsia="en-US"/>
    </w:rPr>
  </w:style>
  <w:style w:type="character" w:styleId="Textedelespacerserv">
    <w:name w:val="Placeholder Text"/>
    <w:basedOn w:val="Policepardfaut"/>
    <w:uiPriority w:val="99"/>
    <w:semiHidden/>
    <w:rsid w:val="00063254"/>
    <w:rPr>
      <w:color w:val="808080"/>
    </w:rPr>
  </w:style>
  <w:style w:type="character" w:customStyle="1" w:styleId="PieddepageCar">
    <w:name w:val="Pied de page Car"/>
    <w:aliases w:val="3_G Car"/>
    <w:basedOn w:val="Policepardfaut"/>
    <w:link w:val="Pieddepage"/>
    <w:rsid w:val="00D51CF1"/>
    <w:rPr>
      <w:sz w:val="16"/>
      <w:lang w:val="fr-CH" w:eastAsia="en-US"/>
    </w:rPr>
  </w:style>
  <w:style w:type="paragraph" w:styleId="Listepuces">
    <w:name w:val="List Bullet"/>
    <w:basedOn w:val="Normal"/>
    <w:semiHidden/>
    <w:rsid w:val="00D51CF1"/>
    <w:pPr>
      <w:numPr>
        <w:numId w:val="4"/>
      </w:numPr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undocs.org/fr/CRPD/C/12/2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undocs.org/fr/CRPD/C/SWE/CO/1" TargetMode="External"/><Relationship Id="rId18" Type="http://schemas.openxmlformats.org/officeDocument/2006/relationships/hyperlink" Target="https://undocs.org/fr/CRPD/C/NZL/CO/1" TargetMode="External"/><Relationship Id="rId26" Type="http://schemas.openxmlformats.org/officeDocument/2006/relationships/hyperlink" Target="https://undocs.org/fr/CRPD/C/MNG/CO/1" TargetMode="External"/><Relationship Id="rId39" Type="http://schemas.openxmlformats.org/officeDocument/2006/relationships/hyperlink" Target="https://undocs.org/fr/CRPD/C/TKM/CO/1" TargetMode="External"/><Relationship Id="rId3" Type="http://schemas.openxmlformats.org/officeDocument/2006/relationships/hyperlink" Target="http://www.un.org/esa/socdev/enable/rights/ahc7sum18jan.htm" TargetMode="External"/><Relationship Id="rId21" Type="http://schemas.openxmlformats.org/officeDocument/2006/relationships/hyperlink" Target="https://undocs.org/fr/CRPD/C/HRV/CO/1" TargetMode="External"/><Relationship Id="rId34" Type="http://schemas.openxmlformats.org/officeDocument/2006/relationships/hyperlink" Target="https://undocs.org/fr/CRPD/C/MEX/CO/1" TargetMode="External"/><Relationship Id="rId42" Type="http://schemas.openxmlformats.org/officeDocument/2006/relationships/hyperlink" Target="https://undocs.org/fr/CRPD/C/KOR/CO/1" TargetMode="External"/><Relationship Id="rId47" Type="http://schemas.openxmlformats.org/officeDocument/2006/relationships/hyperlink" Target="https://undocs.org/fr/CRPD/C/MEX/CO/1" TargetMode="External"/><Relationship Id="rId50" Type="http://schemas.openxmlformats.org/officeDocument/2006/relationships/hyperlink" Target="https://undocs.org/fr/CRPD/C/BEL/CO/1" TargetMode="External"/><Relationship Id="rId7" Type="http://schemas.openxmlformats.org/officeDocument/2006/relationships/hyperlink" Target="https://undocs.org/fr/CRPD/C/PRY/CO/1" TargetMode="External"/><Relationship Id="rId12" Type="http://schemas.openxmlformats.org/officeDocument/2006/relationships/hyperlink" Target="https://undocs.org/fr/CRPD/C/AUT/CO/1" TargetMode="External"/><Relationship Id="rId17" Type="http://schemas.openxmlformats.org/officeDocument/2006/relationships/hyperlink" Target="https://undocs.org/fr/CRPD/C/ECU/CO/1" TargetMode="External"/><Relationship Id="rId25" Type="http://schemas.openxmlformats.org/officeDocument/2006/relationships/hyperlink" Target="https://undocs.org/fr/CRPD/C/AUS/CO/1" TargetMode="External"/><Relationship Id="rId33" Type="http://schemas.openxmlformats.org/officeDocument/2006/relationships/hyperlink" Target="https://undocs.org/fr/CRPD/C/KOR/CO/1" TargetMode="External"/><Relationship Id="rId38" Type="http://schemas.openxmlformats.org/officeDocument/2006/relationships/hyperlink" Target="https://undocs.org/fr/CRPD/C/MNG/CO/1" TargetMode="External"/><Relationship Id="rId46" Type="http://schemas.openxmlformats.org/officeDocument/2006/relationships/hyperlink" Target="https://undocs.org/fr/CRPD/C/SVK/CO/1" TargetMode="External"/><Relationship Id="rId2" Type="http://schemas.openxmlformats.org/officeDocument/2006/relationships/hyperlink" Target="http://www.un.org/esa/socdev/enable/rights/ahc5sum27jan.htm" TargetMode="External"/><Relationship Id="rId16" Type="http://schemas.openxmlformats.org/officeDocument/2006/relationships/hyperlink" Target="https://undocs.org/fr/CRPD/C/AUT/CO/1" TargetMode="External"/><Relationship Id="rId20" Type="http://schemas.openxmlformats.org/officeDocument/2006/relationships/hyperlink" Target="https://undocs.org/fr/CRPD/C/PER/CO/1" TargetMode="External"/><Relationship Id="rId29" Type="http://schemas.openxmlformats.org/officeDocument/2006/relationships/hyperlink" Target="https://undocs.org/fr/CRPD/C/HRV/CO/1" TargetMode="External"/><Relationship Id="rId41" Type="http://schemas.openxmlformats.org/officeDocument/2006/relationships/hyperlink" Target="https://undocs.org/fr/CRPD/C/DEU/CO/1" TargetMode="External"/><Relationship Id="rId54" Type="http://schemas.openxmlformats.org/officeDocument/2006/relationships/hyperlink" Target="https://undocs.org/fr/CRPD/C/AUS/CO/1" TargetMode="External"/><Relationship Id="rId1" Type="http://schemas.openxmlformats.org/officeDocument/2006/relationships/hyperlink" Target="http://www.un.org/esa/socdev/enable/rights/ahc3sum10.htm" TargetMode="External"/><Relationship Id="rId6" Type="http://schemas.openxmlformats.org/officeDocument/2006/relationships/hyperlink" Target="https://undocs.org/fr/CRPD/C/ARG/CO/1" TargetMode="External"/><Relationship Id="rId11" Type="http://schemas.openxmlformats.org/officeDocument/2006/relationships/hyperlink" Target="https://undocs.org/fr/CRPD/C/CHN/CO/1" TargetMode="External"/><Relationship Id="rId24" Type="http://schemas.openxmlformats.org/officeDocument/2006/relationships/hyperlink" Target="https://undocs.org/fr/CRPD/C/AUS/CO/1" TargetMode="External"/><Relationship Id="rId32" Type="http://schemas.openxmlformats.org/officeDocument/2006/relationships/hyperlink" Target="https://undocs.org/fr/CRPD/C/ECU/CO/1" TargetMode="External"/><Relationship Id="rId37" Type="http://schemas.openxmlformats.org/officeDocument/2006/relationships/hyperlink" Target="https://undocs.org/fr/CRPD/C/COK/CO/1" TargetMode="External"/><Relationship Id="rId40" Type="http://schemas.openxmlformats.org/officeDocument/2006/relationships/hyperlink" Target="https://undocs.org/fr/CRPD/C/CZE/CO/1" TargetMode="External"/><Relationship Id="rId45" Type="http://schemas.openxmlformats.org/officeDocument/2006/relationships/hyperlink" Target="https://undocs.org/fr/CRPD/C/AUS/CO/1" TargetMode="External"/><Relationship Id="rId53" Type="http://schemas.openxmlformats.org/officeDocument/2006/relationships/hyperlink" Target="https://undocs.org/fr/CRPD/C/NZL/CO/1" TargetMode="External"/><Relationship Id="rId5" Type="http://schemas.openxmlformats.org/officeDocument/2006/relationships/hyperlink" Target="https://undocs.org/fr/CRPD/C/CHN/CO/1" TargetMode="External"/><Relationship Id="rId15" Type="http://schemas.openxmlformats.org/officeDocument/2006/relationships/hyperlink" Target="https://undocs.org/fr/CRPD/C/DOM/CO/1" TargetMode="External"/><Relationship Id="rId23" Type="http://schemas.openxmlformats.org/officeDocument/2006/relationships/hyperlink" Target="https://undocs.org/fr/CRPD/C/NZL/1" TargetMode="External"/><Relationship Id="rId28" Type="http://schemas.openxmlformats.org/officeDocument/2006/relationships/hyperlink" Target="https://undocs.org/fr/CRPD/C/CZE/CO/1" TargetMode="External"/><Relationship Id="rId36" Type="http://schemas.openxmlformats.org/officeDocument/2006/relationships/hyperlink" Target="https://undocs.org/fr/CRPD/C/HRV/CO/1" TargetMode="External"/><Relationship Id="rId49" Type="http://schemas.openxmlformats.org/officeDocument/2006/relationships/hyperlink" Target="https://undocs.org/fr/CRPD/C/KOR/CO/1" TargetMode="External"/><Relationship Id="rId10" Type="http://schemas.openxmlformats.org/officeDocument/2006/relationships/hyperlink" Target="https://undocs.org/fr/CRPD/C/MEX/CO/1" TargetMode="External"/><Relationship Id="rId19" Type="http://schemas.openxmlformats.org/officeDocument/2006/relationships/hyperlink" Target="https://undocs.org/fr/CRPD/C/SWE/CO/1" TargetMode="External"/><Relationship Id="rId31" Type="http://schemas.openxmlformats.org/officeDocument/2006/relationships/hyperlink" Target="https://undocs.org/fr/CRPD/C/DNK/CO/1" TargetMode="External"/><Relationship Id="rId44" Type="http://schemas.openxmlformats.org/officeDocument/2006/relationships/hyperlink" Target="https://undocs.org/fr/CRPD/C/AZE/CO/1" TargetMode="External"/><Relationship Id="rId52" Type="http://schemas.openxmlformats.org/officeDocument/2006/relationships/hyperlink" Target="https://undocs.org/fr/CRPD/C/DEU/CO/1" TargetMode="External"/><Relationship Id="rId4" Type="http://schemas.openxmlformats.org/officeDocument/2006/relationships/hyperlink" Target="https://undocs.org/fr/CRPD/C/ESP/CO/1" TargetMode="External"/><Relationship Id="rId9" Type="http://schemas.openxmlformats.org/officeDocument/2006/relationships/hyperlink" Target="https://undocs.org/fr/CRPD/C/ECU/CO/1" TargetMode="External"/><Relationship Id="rId14" Type="http://schemas.openxmlformats.org/officeDocument/2006/relationships/hyperlink" Target="https://undocs.org/fr/CRPD/C/KOR/CO/1" TargetMode="External"/><Relationship Id="rId22" Type="http://schemas.openxmlformats.org/officeDocument/2006/relationships/hyperlink" Target="https://undocs.org/fr/CRPD/C/TKM/CO/1" TargetMode="External"/><Relationship Id="rId27" Type="http://schemas.openxmlformats.org/officeDocument/2006/relationships/hyperlink" Target="https://undocs.org/fr/CRPD/C/DOM/CO/1" TargetMode="External"/><Relationship Id="rId30" Type="http://schemas.openxmlformats.org/officeDocument/2006/relationships/hyperlink" Target="https://undocs.org/fr/CRPD/C/DEU/CO/1" TargetMode="External"/><Relationship Id="rId35" Type="http://schemas.openxmlformats.org/officeDocument/2006/relationships/hyperlink" Target="https://undocs.org/fr/CRPD/C/NZL/CO/1" TargetMode="External"/><Relationship Id="rId43" Type="http://schemas.openxmlformats.org/officeDocument/2006/relationships/hyperlink" Target="https://undocs.org/fr/CRPD/C/NZL/CO/1" TargetMode="External"/><Relationship Id="rId48" Type="http://schemas.openxmlformats.org/officeDocument/2006/relationships/hyperlink" Target="https://undocs.org/fr/CRPD/C/11/D/8/2012" TargetMode="External"/><Relationship Id="rId8" Type="http://schemas.openxmlformats.org/officeDocument/2006/relationships/hyperlink" Target="https://undocs.org/fr/CRPD/C/AUT/CO/1" TargetMode="External"/><Relationship Id="rId51" Type="http://schemas.openxmlformats.org/officeDocument/2006/relationships/hyperlink" Target="https://undocs.org/fr/CRPD/C/ECU/CO/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Rapport_AG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Rapport_AG.dotm</Template>
  <TotalTime>2</TotalTime>
  <Pages>7</Pages>
  <Words>3339</Words>
  <Characters>18368</Characters>
  <Application>Microsoft Office Word</Application>
  <DocSecurity>0</DocSecurity>
  <Lines>153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A/72/55</vt:lpstr>
      <vt:lpstr>A/72/55</vt:lpstr>
      <vt:lpstr>A/72/55</vt:lpstr>
      <vt:lpstr>/ </vt:lpstr>
      <vt:lpstr>Nations Unies • New York, 2017</vt:lpstr>
    </vt:vector>
  </TitlesOfParts>
  <Manager>Corinne</Manager>
  <Company>CSD</Company>
  <LinksUpToDate>false</LinksUpToDate>
  <CharactersWithSpaces>21664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A/72/55</dc:title>
  <dc:subject>FINAL</dc:subject>
  <dc:creator>Maud DARICHE</dc:creator>
  <cp:keywords/>
  <dc:description/>
  <cp:lastModifiedBy>David Pelerins</cp:lastModifiedBy>
  <cp:revision>4</cp:revision>
  <cp:lastPrinted>2017-06-01T07:13:00Z</cp:lastPrinted>
  <dcterms:created xsi:type="dcterms:W3CDTF">2017-06-01T07:13:00Z</dcterms:created>
  <dcterms:modified xsi:type="dcterms:W3CDTF">2019-06-12T12:29:00Z</dcterms:modified>
</cp:coreProperties>
</file>