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8CBF" w14:textId="77777777" w:rsidR="0028299E" w:rsidRPr="004737C5" w:rsidRDefault="0028299E" w:rsidP="005E0C7E">
      <w:pPr>
        <w:jc w:val="center"/>
        <w:rPr>
          <w:sz w:val="28"/>
          <w:szCs w:val="28"/>
        </w:rPr>
      </w:pPr>
      <w:bookmarkStart w:id="0" w:name="_Toc66786349"/>
      <w:bookmarkStart w:id="1" w:name="_Toc67071743"/>
      <w:bookmarkStart w:id="2" w:name="_Toc183930610"/>
      <w:r w:rsidRPr="004737C5">
        <w:rPr>
          <w:sz w:val="28"/>
          <w:szCs w:val="28"/>
        </w:rPr>
        <w:t>U</w:t>
      </w:r>
      <w:r w:rsidR="005E0C7E" w:rsidRPr="004737C5">
        <w:rPr>
          <w:sz w:val="28"/>
          <w:szCs w:val="28"/>
        </w:rPr>
        <w:t>nited Nations Conference on Trade and D</w:t>
      </w:r>
      <w:r w:rsidRPr="004737C5">
        <w:rPr>
          <w:sz w:val="28"/>
          <w:szCs w:val="28"/>
        </w:rPr>
        <w:t>evelopment</w:t>
      </w:r>
    </w:p>
    <w:p w14:paraId="79B92797" w14:textId="77777777" w:rsidR="0028299E" w:rsidRPr="004737C5" w:rsidRDefault="0028299E" w:rsidP="006D3BE8">
      <w:pPr>
        <w:jc w:val="center"/>
        <w:rPr>
          <w:rFonts w:cstheme="minorHAnsi"/>
          <w:b/>
          <w:bCs/>
          <w:sz w:val="28"/>
        </w:rPr>
      </w:pPr>
    </w:p>
    <w:p w14:paraId="4F30D280" w14:textId="77777777" w:rsidR="0028299E" w:rsidRPr="004737C5" w:rsidRDefault="0028299E" w:rsidP="006D3BE8">
      <w:pPr>
        <w:jc w:val="center"/>
        <w:rPr>
          <w:rFonts w:cstheme="minorHAnsi"/>
          <w:sz w:val="40"/>
        </w:rPr>
      </w:pPr>
      <w:r w:rsidRPr="004737C5">
        <w:rPr>
          <w:rFonts w:cstheme="minorHAnsi"/>
          <w:sz w:val="28"/>
        </w:rPr>
        <w:t>UNCTAD</w:t>
      </w:r>
    </w:p>
    <w:p w14:paraId="1F086214" w14:textId="77777777" w:rsidR="0028299E" w:rsidRPr="004737C5" w:rsidRDefault="0028299E" w:rsidP="006D3BE8">
      <w:pPr>
        <w:jc w:val="center"/>
        <w:rPr>
          <w:rFonts w:cstheme="minorHAnsi"/>
          <w:sz w:val="24"/>
        </w:rPr>
      </w:pPr>
    </w:p>
    <w:p w14:paraId="1FA74A1F" w14:textId="77777777" w:rsidR="0028299E" w:rsidRPr="004737C5" w:rsidRDefault="0028299E" w:rsidP="006D3BE8">
      <w:pPr>
        <w:rPr>
          <w:rFonts w:cstheme="minorHAnsi"/>
          <w:sz w:val="32"/>
        </w:rPr>
      </w:pPr>
    </w:p>
    <w:p w14:paraId="6FD34B38" w14:textId="77777777" w:rsidR="0086403B" w:rsidRPr="004737C5" w:rsidRDefault="0086403B" w:rsidP="006D3BE8">
      <w:pPr>
        <w:rPr>
          <w:rFonts w:cstheme="minorHAnsi"/>
          <w:sz w:val="32"/>
        </w:rPr>
      </w:pPr>
    </w:p>
    <w:p w14:paraId="17F999E2" w14:textId="77777777" w:rsidR="0086403B" w:rsidRPr="004737C5" w:rsidRDefault="0086403B" w:rsidP="006D3BE8">
      <w:pPr>
        <w:rPr>
          <w:rFonts w:cstheme="minorHAnsi"/>
          <w:sz w:val="32"/>
        </w:rPr>
      </w:pPr>
    </w:p>
    <w:p w14:paraId="5D91345D" w14:textId="77777777" w:rsidR="0028299E" w:rsidRPr="004737C5" w:rsidRDefault="0028299E" w:rsidP="006D3BE8">
      <w:pPr>
        <w:jc w:val="center"/>
        <w:rPr>
          <w:rFonts w:cstheme="minorHAnsi"/>
          <w:sz w:val="32"/>
        </w:rPr>
      </w:pPr>
    </w:p>
    <w:p w14:paraId="2692B5A5" w14:textId="77777777" w:rsidR="0028299E" w:rsidRPr="004737C5" w:rsidRDefault="0028299E" w:rsidP="006D3BE8">
      <w:pPr>
        <w:jc w:val="center"/>
        <w:rPr>
          <w:rFonts w:cstheme="minorHAnsi"/>
          <w:sz w:val="32"/>
        </w:rPr>
      </w:pPr>
    </w:p>
    <w:p w14:paraId="654F36F5" w14:textId="77777777" w:rsidR="0028299E" w:rsidRPr="004737C5" w:rsidRDefault="0028299E" w:rsidP="006D3BE8">
      <w:pPr>
        <w:jc w:val="center"/>
        <w:rPr>
          <w:rFonts w:cstheme="minorHAnsi"/>
          <w:sz w:val="32"/>
        </w:rPr>
      </w:pPr>
      <w:r w:rsidRPr="004737C5">
        <w:rPr>
          <w:rFonts w:cstheme="minorHAnsi"/>
          <w:bCs/>
          <w:sz w:val="52"/>
        </w:rPr>
        <w:t>M</w:t>
      </w:r>
      <w:r w:rsidR="005E0C7E" w:rsidRPr="004737C5">
        <w:rPr>
          <w:rFonts w:cstheme="minorHAnsi"/>
          <w:bCs/>
          <w:sz w:val="52"/>
        </w:rPr>
        <w:t xml:space="preserve">anual on </w:t>
      </w:r>
      <w:r w:rsidRPr="004737C5">
        <w:rPr>
          <w:rFonts w:cstheme="minorHAnsi"/>
          <w:bCs/>
          <w:sz w:val="52"/>
        </w:rPr>
        <w:t>C</w:t>
      </w:r>
      <w:r w:rsidR="005E0C7E" w:rsidRPr="004737C5">
        <w:rPr>
          <w:rFonts w:cstheme="minorHAnsi"/>
          <w:bCs/>
          <w:sz w:val="52"/>
        </w:rPr>
        <w:t xml:space="preserve">onsumer </w:t>
      </w:r>
      <w:r w:rsidRPr="004737C5">
        <w:rPr>
          <w:rFonts w:cstheme="minorHAnsi"/>
          <w:bCs/>
          <w:sz w:val="52"/>
        </w:rPr>
        <w:t>P</w:t>
      </w:r>
      <w:r w:rsidR="005E0C7E" w:rsidRPr="004737C5">
        <w:rPr>
          <w:rFonts w:cstheme="minorHAnsi"/>
          <w:bCs/>
          <w:sz w:val="52"/>
        </w:rPr>
        <w:t>rotection</w:t>
      </w:r>
    </w:p>
    <w:p w14:paraId="2AFC41CD" w14:textId="77777777" w:rsidR="0028299E" w:rsidRPr="004737C5" w:rsidRDefault="0028299E" w:rsidP="006D3BE8">
      <w:pPr>
        <w:jc w:val="center"/>
        <w:rPr>
          <w:rFonts w:cstheme="minorHAnsi"/>
          <w:b/>
          <w:sz w:val="32"/>
        </w:rPr>
      </w:pPr>
    </w:p>
    <w:p w14:paraId="2A75256C" w14:textId="77777777" w:rsidR="0028299E" w:rsidRPr="004737C5" w:rsidRDefault="0028299E" w:rsidP="006D3BE8">
      <w:pPr>
        <w:jc w:val="center"/>
        <w:rPr>
          <w:rFonts w:cstheme="minorHAnsi"/>
          <w:sz w:val="28"/>
        </w:rPr>
      </w:pPr>
    </w:p>
    <w:p w14:paraId="6B2972CE" w14:textId="77777777" w:rsidR="0028299E" w:rsidRPr="004737C5" w:rsidRDefault="0028299E" w:rsidP="006D3BE8">
      <w:pPr>
        <w:jc w:val="center"/>
        <w:rPr>
          <w:rFonts w:cstheme="minorHAnsi"/>
          <w:sz w:val="28"/>
        </w:rPr>
      </w:pPr>
    </w:p>
    <w:p w14:paraId="3026291F" w14:textId="77777777" w:rsidR="0028299E" w:rsidRPr="004737C5" w:rsidRDefault="0028299E" w:rsidP="006D3BE8">
      <w:pPr>
        <w:jc w:val="center"/>
        <w:rPr>
          <w:rFonts w:cstheme="minorHAnsi"/>
          <w:sz w:val="28"/>
        </w:rPr>
      </w:pPr>
      <w:r w:rsidRPr="004737C5">
        <w:rPr>
          <w:rFonts w:cstheme="minorHAnsi"/>
          <w:sz w:val="28"/>
        </w:rPr>
        <w:t>2017</w:t>
      </w:r>
      <w:r w:rsidR="00E60214" w:rsidRPr="004737C5">
        <w:rPr>
          <w:rFonts w:cstheme="minorHAnsi"/>
          <w:sz w:val="28"/>
        </w:rPr>
        <w:t xml:space="preserve"> edition</w:t>
      </w:r>
    </w:p>
    <w:p w14:paraId="43044D79" w14:textId="77777777" w:rsidR="0028299E" w:rsidRPr="004737C5" w:rsidRDefault="0028299E" w:rsidP="006D3BE8">
      <w:pPr>
        <w:jc w:val="center"/>
        <w:rPr>
          <w:rFonts w:cstheme="minorHAnsi"/>
          <w:sz w:val="28"/>
        </w:rPr>
      </w:pPr>
    </w:p>
    <w:p w14:paraId="171CF22D" w14:textId="77777777" w:rsidR="0028299E" w:rsidRPr="004737C5" w:rsidRDefault="0028299E" w:rsidP="006D3BE8">
      <w:pPr>
        <w:jc w:val="center"/>
        <w:rPr>
          <w:rFonts w:cstheme="minorHAnsi"/>
          <w:sz w:val="28"/>
        </w:rPr>
      </w:pPr>
    </w:p>
    <w:p w14:paraId="4C836C4F" w14:textId="77777777" w:rsidR="0028299E" w:rsidRPr="004737C5" w:rsidRDefault="0028299E" w:rsidP="006D3BE8">
      <w:pPr>
        <w:jc w:val="center"/>
        <w:rPr>
          <w:rFonts w:cstheme="minorHAnsi"/>
          <w:sz w:val="28"/>
        </w:rPr>
      </w:pPr>
    </w:p>
    <w:p w14:paraId="68DEE2DF" w14:textId="77777777" w:rsidR="0028299E" w:rsidRPr="004737C5" w:rsidRDefault="0028299E" w:rsidP="006D3BE8">
      <w:pPr>
        <w:jc w:val="center"/>
        <w:rPr>
          <w:rFonts w:cstheme="minorHAnsi"/>
          <w:sz w:val="28"/>
        </w:rPr>
      </w:pPr>
    </w:p>
    <w:p w14:paraId="49B26C7D" w14:textId="77777777" w:rsidR="0028299E" w:rsidRPr="004737C5" w:rsidRDefault="00E60214" w:rsidP="006D3BE8">
      <w:pPr>
        <w:jc w:val="center"/>
        <w:rPr>
          <w:rFonts w:cstheme="minorHAnsi"/>
          <w:sz w:val="28"/>
        </w:rPr>
      </w:pPr>
      <w:r w:rsidRPr="004737C5">
        <w:rPr>
          <w:rFonts w:cstheme="minorHAnsi"/>
          <w:noProof/>
          <w:sz w:val="28"/>
          <w:lang w:eastAsia="zh-CN"/>
        </w:rPr>
        <w:drawing>
          <wp:anchor distT="0" distB="0" distL="114300" distR="114300" simplePos="0" relativeHeight="251664384" behindDoc="0" locked="0" layoutInCell="1" allowOverlap="1" wp14:anchorId="1BA34DDE" wp14:editId="62EEF1B9">
            <wp:simplePos x="0" y="0"/>
            <wp:positionH relativeFrom="margin">
              <wp:align>center</wp:align>
            </wp:positionH>
            <wp:positionV relativeFrom="paragraph">
              <wp:posOffset>279761</wp:posOffset>
            </wp:positionV>
            <wp:extent cx="1004400" cy="91440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400" cy="914400"/>
                    </a:xfrm>
                    <a:prstGeom prst="rect">
                      <a:avLst/>
                    </a:prstGeom>
                    <a:noFill/>
                  </pic:spPr>
                </pic:pic>
              </a:graphicData>
            </a:graphic>
            <wp14:sizeRelH relativeFrom="margin">
              <wp14:pctWidth>0</wp14:pctWidth>
            </wp14:sizeRelH>
            <wp14:sizeRelV relativeFrom="margin">
              <wp14:pctHeight>0</wp14:pctHeight>
            </wp14:sizeRelV>
          </wp:anchor>
        </w:drawing>
      </w:r>
    </w:p>
    <w:p w14:paraId="5CF8CB54" w14:textId="77777777" w:rsidR="0028299E" w:rsidRPr="004737C5" w:rsidRDefault="0028299E" w:rsidP="006D3BE8">
      <w:pPr>
        <w:jc w:val="center"/>
        <w:rPr>
          <w:rFonts w:cstheme="minorHAnsi"/>
          <w:sz w:val="28"/>
        </w:rPr>
      </w:pPr>
    </w:p>
    <w:p w14:paraId="4F9D4023" w14:textId="77777777" w:rsidR="0086403B" w:rsidRPr="004737C5" w:rsidRDefault="0086403B" w:rsidP="006D3BE8">
      <w:pPr>
        <w:jc w:val="center"/>
        <w:rPr>
          <w:rFonts w:cstheme="minorHAnsi"/>
          <w:sz w:val="20"/>
        </w:rPr>
      </w:pPr>
    </w:p>
    <w:p w14:paraId="5EB26AC3" w14:textId="77777777" w:rsidR="0086403B" w:rsidRPr="004737C5" w:rsidRDefault="0086403B" w:rsidP="006D3BE8">
      <w:pPr>
        <w:jc w:val="center"/>
        <w:rPr>
          <w:rFonts w:cstheme="minorHAnsi"/>
          <w:sz w:val="20"/>
        </w:rPr>
      </w:pPr>
    </w:p>
    <w:p w14:paraId="7DB691D4" w14:textId="77777777" w:rsidR="0028299E" w:rsidRPr="004737C5" w:rsidRDefault="0028299E" w:rsidP="006D3BE8">
      <w:pPr>
        <w:jc w:val="center"/>
        <w:rPr>
          <w:rFonts w:cstheme="minorHAnsi"/>
          <w:sz w:val="20"/>
        </w:rPr>
      </w:pPr>
      <w:r w:rsidRPr="004737C5">
        <w:rPr>
          <w:rFonts w:cstheme="minorHAnsi"/>
          <w:sz w:val="20"/>
        </w:rPr>
        <w:t>U</w:t>
      </w:r>
      <w:r w:rsidR="005E0C7E" w:rsidRPr="004737C5">
        <w:rPr>
          <w:rFonts w:cstheme="minorHAnsi"/>
          <w:sz w:val="20"/>
        </w:rPr>
        <w:t xml:space="preserve">nited Nations </w:t>
      </w:r>
    </w:p>
    <w:p w14:paraId="60056DCC" w14:textId="77777777" w:rsidR="0028299E" w:rsidRPr="004737C5" w:rsidRDefault="0028299E" w:rsidP="006D3BE8">
      <w:pPr>
        <w:jc w:val="center"/>
        <w:rPr>
          <w:rFonts w:cstheme="minorHAnsi"/>
          <w:sz w:val="24"/>
        </w:rPr>
      </w:pPr>
      <w:r w:rsidRPr="004737C5">
        <w:rPr>
          <w:rFonts w:cstheme="minorHAnsi"/>
          <w:sz w:val="20"/>
        </w:rPr>
        <w:t>New York and Geneva, 2017</w:t>
      </w:r>
    </w:p>
    <w:p w14:paraId="4B5207A5" w14:textId="77777777" w:rsidR="0028299E" w:rsidRPr="004737C5" w:rsidRDefault="0028299E" w:rsidP="006D3BE8">
      <w:pPr>
        <w:pStyle w:val="Header"/>
        <w:tabs>
          <w:tab w:val="left" w:pos="708"/>
        </w:tabs>
        <w:rPr>
          <w:rFonts w:cstheme="minorHAnsi"/>
        </w:rPr>
      </w:pPr>
    </w:p>
    <w:p w14:paraId="24FC2B4C" w14:textId="77777777" w:rsidR="00843222" w:rsidRPr="004737C5" w:rsidRDefault="00843222" w:rsidP="006D3BE8">
      <w:pPr>
        <w:pStyle w:val="Header"/>
        <w:tabs>
          <w:tab w:val="left" w:pos="708"/>
        </w:tabs>
        <w:rPr>
          <w:rFonts w:cstheme="minorHAnsi"/>
        </w:rPr>
      </w:pPr>
    </w:p>
    <w:p w14:paraId="7915BABA" w14:textId="77777777" w:rsidR="00843222" w:rsidRPr="004737C5" w:rsidRDefault="00843222" w:rsidP="006D3BE8">
      <w:pPr>
        <w:rPr>
          <w:rFonts w:cstheme="minorHAnsi"/>
        </w:rPr>
      </w:pPr>
    </w:p>
    <w:p w14:paraId="51A973A5" w14:textId="77777777" w:rsidR="00F95347" w:rsidRPr="004737C5" w:rsidRDefault="00F95347" w:rsidP="006D3BE8">
      <w:pPr>
        <w:pStyle w:val="Header"/>
        <w:tabs>
          <w:tab w:val="left" w:pos="708"/>
        </w:tabs>
        <w:ind w:left="1134" w:right="1134"/>
        <w:jc w:val="center"/>
        <w:rPr>
          <w:rFonts w:cstheme="minorHAnsi"/>
        </w:rPr>
      </w:pPr>
      <w:r w:rsidRPr="004737C5">
        <w:rPr>
          <w:rFonts w:cstheme="minorHAnsi"/>
        </w:rPr>
        <w:t>© 2017, United Nations</w:t>
      </w:r>
    </w:p>
    <w:p w14:paraId="6CC6675E" w14:textId="77777777" w:rsidR="00F95347" w:rsidRPr="004737C5" w:rsidRDefault="00F95347" w:rsidP="006D3BE8">
      <w:pPr>
        <w:pStyle w:val="Header"/>
        <w:tabs>
          <w:tab w:val="left" w:pos="708"/>
        </w:tabs>
        <w:ind w:left="1134" w:right="1134"/>
        <w:rPr>
          <w:rFonts w:cstheme="minorHAnsi"/>
        </w:rPr>
      </w:pPr>
    </w:p>
    <w:p w14:paraId="1278669B" w14:textId="77777777" w:rsidR="00F95347" w:rsidRPr="004737C5" w:rsidRDefault="00F95347" w:rsidP="006D3BE8">
      <w:pPr>
        <w:pStyle w:val="Header"/>
        <w:tabs>
          <w:tab w:val="left" w:pos="708"/>
        </w:tabs>
        <w:spacing w:after="240"/>
        <w:rPr>
          <w:rFonts w:cstheme="minorHAnsi"/>
        </w:rPr>
      </w:pPr>
      <w:r w:rsidRPr="004737C5">
        <w:rPr>
          <w:rFonts w:cstheme="minorHAnsi"/>
        </w:rPr>
        <w:t xml:space="preserve">This work is available open access by complying with the Creative Commons licence created for intergovernmental organizations, available at </w:t>
      </w:r>
      <w:hyperlink r:id="rId9" w:history="1">
        <w:r w:rsidR="00E60214" w:rsidRPr="004737C5">
          <w:rPr>
            <w:rStyle w:val="Hyperlink"/>
            <w:rFonts w:cstheme="minorHAnsi"/>
          </w:rPr>
          <w:t>http://creativecommons.org/licenses/by/3.0/igo/</w:t>
        </w:r>
      </w:hyperlink>
      <w:r w:rsidR="00E60214" w:rsidRPr="004737C5">
        <w:rPr>
          <w:rFonts w:cstheme="minorHAnsi"/>
        </w:rPr>
        <w:t xml:space="preserve">. </w:t>
      </w:r>
      <w:r w:rsidRPr="004737C5">
        <w:rPr>
          <w:rFonts w:cstheme="minorHAnsi"/>
        </w:rPr>
        <w:t xml:space="preserve"> </w:t>
      </w:r>
      <w:r w:rsidR="00E60214" w:rsidRPr="004737C5">
        <w:rPr>
          <w:rFonts w:cstheme="minorHAnsi"/>
        </w:rPr>
        <w:t xml:space="preserve"> </w:t>
      </w:r>
    </w:p>
    <w:p w14:paraId="3004F9B0" w14:textId="77777777" w:rsidR="00F95347" w:rsidRPr="004737C5" w:rsidRDefault="00F95347" w:rsidP="006D3BE8">
      <w:pPr>
        <w:pStyle w:val="Header"/>
        <w:tabs>
          <w:tab w:val="left" w:pos="708"/>
        </w:tabs>
        <w:spacing w:after="240"/>
        <w:rPr>
          <w:rFonts w:cstheme="minorHAnsi"/>
        </w:rPr>
      </w:pPr>
      <w:r w:rsidRPr="004737C5">
        <w:rPr>
          <w:rFonts w:cstheme="minorHAnsi"/>
        </w:rPr>
        <w:t>The findings, interpretations and conclusions expressed herein are those of the author and do not necessarily reflect the views of the United Nations or its officials or Member States.</w:t>
      </w:r>
    </w:p>
    <w:p w14:paraId="49EBA350" w14:textId="1E054594" w:rsidR="00F95347" w:rsidRPr="004737C5" w:rsidRDefault="00F95347" w:rsidP="006D3BE8">
      <w:pPr>
        <w:pStyle w:val="Header"/>
        <w:tabs>
          <w:tab w:val="left" w:pos="708"/>
        </w:tabs>
        <w:spacing w:after="240"/>
        <w:rPr>
          <w:rFonts w:cstheme="minorHAnsi"/>
        </w:rPr>
      </w:pPr>
      <w:r w:rsidRPr="004737C5">
        <w:rPr>
          <w:rFonts w:cstheme="minorHAnsi"/>
        </w:rPr>
        <w:t>The designation employed and the presentation of material on any map in this work do not imply the expression of any opinion whatsoever on the part of the United Nations concerning the legal status of any country, territory, city or area</w:t>
      </w:r>
      <w:r w:rsidR="0088738B" w:rsidRPr="004737C5">
        <w:rPr>
          <w:rFonts w:cstheme="minorHAnsi"/>
        </w:rPr>
        <w:t>,</w:t>
      </w:r>
      <w:r w:rsidRPr="004737C5">
        <w:rPr>
          <w:rFonts w:cstheme="minorHAnsi"/>
        </w:rPr>
        <w:t xml:space="preserve"> or of its authorities, or concerning the delimitation </w:t>
      </w:r>
      <w:r w:rsidR="006458B6" w:rsidRPr="004737C5">
        <w:rPr>
          <w:rFonts w:cstheme="minorHAnsi"/>
        </w:rPr>
        <w:t>of its frontiers or boundaries.</w:t>
      </w:r>
    </w:p>
    <w:p w14:paraId="6FE50DC0" w14:textId="77777777" w:rsidR="00AD7D46" w:rsidRPr="004737C5" w:rsidRDefault="00AD7D46" w:rsidP="006D3BE8">
      <w:pPr>
        <w:pStyle w:val="Header"/>
        <w:tabs>
          <w:tab w:val="left" w:pos="708"/>
        </w:tabs>
        <w:spacing w:after="240"/>
        <w:rPr>
          <w:rFonts w:cstheme="minorHAnsi"/>
        </w:rPr>
      </w:pPr>
      <w:r w:rsidRPr="004737C5">
        <w:rPr>
          <w:rFonts w:cstheme="minorHAnsi"/>
        </w:rPr>
        <w:t>This publicat</w:t>
      </w:r>
      <w:r w:rsidR="006458B6" w:rsidRPr="004737C5">
        <w:rPr>
          <w:rFonts w:cstheme="minorHAnsi"/>
        </w:rPr>
        <w:t>ion has been edited externally.</w:t>
      </w:r>
    </w:p>
    <w:p w14:paraId="414D68D9" w14:textId="4C804F42" w:rsidR="00F95347" w:rsidRDefault="00F95347" w:rsidP="006D3BE8">
      <w:pPr>
        <w:pStyle w:val="Header"/>
        <w:tabs>
          <w:tab w:val="left" w:pos="708"/>
        </w:tabs>
        <w:spacing w:after="240"/>
        <w:rPr>
          <w:rFonts w:cstheme="minorHAnsi"/>
        </w:rPr>
      </w:pPr>
      <w:r w:rsidRPr="004737C5">
        <w:rPr>
          <w:rFonts w:cstheme="minorHAnsi"/>
        </w:rPr>
        <w:t>Photocopies and reproductions of excerpts are allowed with proper credits.</w:t>
      </w:r>
    </w:p>
    <w:p w14:paraId="716D75AF" w14:textId="77777777" w:rsidR="00FB5819" w:rsidRPr="004737C5" w:rsidRDefault="00FB5819" w:rsidP="006D3BE8">
      <w:pPr>
        <w:pStyle w:val="Header"/>
        <w:tabs>
          <w:tab w:val="left" w:pos="708"/>
        </w:tabs>
        <w:spacing w:after="240"/>
        <w:rPr>
          <w:rFonts w:cstheme="minorHAnsi"/>
        </w:rPr>
      </w:pPr>
    </w:p>
    <w:p w14:paraId="51BC2E76" w14:textId="0A2897CB" w:rsidR="00D25AC5" w:rsidRDefault="00F95347" w:rsidP="006D3BE8">
      <w:pPr>
        <w:pStyle w:val="Header"/>
        <w:tabs>
          <w:tab w:val="left" w:pos="708"/>
        </w:tabs>
        <w:spacing w:after="240"/>
        <w:rPr>
          <w:rFonts w:cstheme="minorHAnsi"/>
        </w:rPr>
      </w:pPr>
      <w:r w:rsidRPr="004737C5">
        <w:rPr>
          <w:rFonts w:cstheme="minorHAnsi"/>
        </w:rPr>
        <w:t xml:space="preserve">United Nations publication issued by the United Nations Conference on Trade and Development. </w:t>
      </w:r>
    </w:p>
    <w:p w14:paraId="525408C2" w14:textId="185F95AB" w:rsidR="00FB5819" w:rsidRDefault="00FB5819" w:rsidP="006D3BE8">
      <w:pPr>
        <w:pStyle w:val="Header"/>
        <w:tabs>
          <w:tab w:val="left" w:pos="708"/>
        </w:tabs>
        <w:spacing w:after="240"/>
        <w:rPr>
          <w:rFonts w:cstheme="minorHAnsi"/>
        </w:rPr>
      </w:pPr>
    </w:p>
    <w:p w14:paraId="25FD75B9" w14:textId="13DB8589" w:rsidR="00FB5819" w:rsidRDefault="00FB5819" w:rsidP="006D3BE8">
      <w:pPr>
        <w:pStyle w:val="Header"/>
        <w:tabs>
          <w:tab w:val="left" w:pos="708"/>
        </w:tabs>
        <w:spacing w:after="240"/>
        <w:rPr>
          <w:rFonts w:cstheme="minorHAnsi"/>
        </w:rPr>
      </w:pPr>
    </w:p>
    <w:p w14:paraId="679E9A2E" w14:textId="12929CFF" w:rsidR="00FB5819" w:rsidRDefault="00FB5819" w:rsidP="006D3BE8">
      <w:pPr>
        <w:pStyle w:val="Header"/>
        <w:tabs>
          <w:tab w:val="left" w:pos="708"/>
        </w:tabs>
        <w:spacing w:after="240"/>
        <w:rPr>
          <w:rFonts w:cstheme="minorHAnsi"/>
        </w:rPr>
      </w:pPr>
    </w:p>
    <w:tbl>
      <w:tblPr>
        <w:tblStyle w:val="TableGrid"/>
        <w:tblW w:w="0" w:type="auto"/>
        <w:tblInd w:w="3227" w:type="dxa"/>
        <w:tblLook w:val="04A0" w:firstRow="1" w:lastRow="0" w:firstColumn="1" w:lastColumn="0" w:noHBand="0" w:noVBand="1"/>
      </w:tblPr>
      <w:tblGrid>
        <w:gridCol w:w="3118"/>
      </w:tblGrid>
      <w:tr w:rsidR="00FB5819" w14:paraId="3BAB7FFF" w14:textId="77777777" w:rsidTr="00FB5819">
        <w:tc>
          <w:tcPr>
            <w:tcW w:w="3118" w:type="dxa"/>
          </w:tcPr>
          <w:p w14:paraId="4900B84F" w14:textId="1116BC93" w:rsidR="00FB5819" w:rsidRDefault="00FB5819" w:rsidP="00FB5819">
            <w:pPr>
              <w:pStyle w:val="Header"/>
              <w:tabs>
                <w:tab w:val="left" w:pos="708"/>
              </w:tabs>
              <w:spacing w:after="240"/>
              <w:jc w:val="center"/>
              <w:rPr>
                <w:rFonts w:cstheme="minorHAnsi"/>
              </w:rPr>
            </w:pPr>
            <w:r>
              <w:rPr>
                <w:rFonts w:cstheme="minorHAnsi"/>
              </w:rPr>
              <w:t>UNCTAD/DITC/CPLP/2017/1</w:t>
            </w:r>
          </w:p>
        </w:tc>
      </w:tr>
    </w:tbl>
    <w:p w14:paraId="1D9D98E3" w14:textId="77777777" w:rsidR="00FB5819" w:rsidRDefault="00FB5819" w:rsidP="006D3BE8">
      <w:pPr>
        <w:pStyle w:val="Header"/>
        <w:tabs>
          <w:tab w:val="left" w:pos="708"/>
        </w:tabs>
        <w:spacing w:after="240"/>
        <w:rPr>
          <w:rFonts w:cstheme="minorHAnsi"/>
        </w:rPr>
      </w:pPr>
    </w:p>
    <w:p w14:paraId="1801E119" w14:textId="77777777" w:rsidR="00843222" w:rsidRPr="004737C5" w:rsidRDefault="00843222" w:rsidP="006D3BE8">
      <w:pPr>
        <w:jc w:val="left"/>
        <w:rPr>
          <w:rFonts w:cstheme="minorHAnsi"/>
          <w:sz w:val="28"/>
        </w:rPr>
      </w:pPr>
      <w:r w:rsidRPr="004737C5">
        <w:rPr>
          <w:rFonts w:cstheme="minorHAnsi"/>
          <w:sz w:val="28"/>
        </w:rPr>
        <w:br w:type="page"/>
      </w:r>
    </w:p>
    <w:p w14:paraId="1B254BCF" w14:textId="77777777" w:rsidR="00BC78F5" w:rsidRPr="004737C5" w:rsidRDefault="00BC78F5" w:rsidP="006D3BE8">
      <w:pPr>
        <w:jc w:val="center"/>
        <w:rPr>
          <w:b/>
          <w:sz w:val="24"/>
          <w:szCs w:val="24"/>
        </w:rPr>
      </w:pPr>
      <w:bookmarkStart w:id="3" w:name="_Toc492649957"/>
      <w:r w:rsidRPr="004737C5">
        <w:rPr>
          <w:b/>
          <w:sz w:val="24"/>
          <w:szCs w:val="24"/>
        </w:rPr>
        <w:lastRenderedPageBreak/>
        <w:t>P</w:t>
      </w:r>
      <w:r w:rsidR="00E60214" w:rsidRPr="004737C5">
        <w:rPr>
          <w:b/>
          <w:sz w:val="24"/>
          <w:szCs w:val="24"/>
        </w:rPr>
        <w:t xml:space="preserve">reface </w:t>
      </w:r>
      <w:bookmarkEnd w:id="3"/>
    </w:p>
    <w:p w14:paraId="00DA01DF" w14:textId="77777777" w:rsidR="00863F72" w:rsidRPr="004737C5" w:rsidRDefault="00863F72" w:rsidP="006D3BE8">
      <w:pPr>
        <w:rPr>
          <w:rFonts w:cstheme="minorHAnsi"/>
          <w:bCs/>
        </w:rPr>
      </w:pPr>
      <w:bookmarkStart w:id="4" w:name="_Toc492649958"/>
      <w:r w:rsidRPr="004737C5">
        <w:rPr>
          <w:rFonts w:cstheme="minorHAnsi"/>
          <w:bCs/>
        </w:rPr>
        <w:t>The UNCTAD Manual on Consumer Protection 2017 edition is the first comprehensive international reference in this field, aiming to support developing countries and economies in transition in their choice of policies and providing p</w:t>
      </w:r>
      <w:r w:rsidR="006458B6" w:rsidRPr="004737C5">
        <w:rPr>
          <w:rFonts w:cstheme="minorHAnsi"/>
          <w:bCs/>
        </w:rPr>
        <w:t>ractical tools to assist policy</w:t>
      </w:r>
      <w:r w:rsidRPr="004737C5">
        <w:rPr>
          <w:rFonts w:cstheme="minorHAnsi"/>
          <w:bCs/>
        </w:rPr>
        <w:t>makers in enhancing capacities while implementing the recently revised United Nations Guidelines for Consumer Protection.</w:t>
      </w:r>
    </w:p>
    <w:p w14:paraId="468667EE" w14:textId="483FA2F5" w:rsidR="00863F72" w:rsidRPr="004737C5" w:rsidRDefault="00863F72" w:rsidP="006D3BE8">
      <w:pPr>
        <w:rPr>
          <w:rFonts w:cstheme="minorHAnsi"/>
          <w:bCs/>
        </w:rPr>
      </w:pPr>
      <w:r w:rsidRPr="004737C5">
        <w:rPr>
          <w:rFonts w:cstheme="minorHAnsi"/>
          <w:bCs/>
        </w:rPr>
        <w:t>UNCTAD, as the focal point for consumer protection issues within the United Nations system, is fully committed to promoting the guideli</w:t>
      </w:r>
      <w:r w:rsidR="006458B6" w:rsidRPr="004737C5">
        <w:rPr>
          <w:rFonts w:cstheme="minorHAnsi"/>
          <w:bCs/>
        </w:rPr>
        <w:t>nes a</w:t>
      </w:r>
      <w:r w:rsidR="00C1423B" w:rsidRPr="004737C5">
        <w:rPr>
          <w:rFonts w:cstheme="minorHAnsi"/>
          <w:bCs/>
        </w:rPr>
        <w:t>nd encouraging interested Member S</w:t>
      </w:r>
      <w:r w:rsidRPr="004737C5">
        <w:rPr>
          <w:rFonts w:cstheme="minorHAnsi"/>
          <w:bCs/>
        </w:rPr>
        <w:t>tates to create awareness of the various ways in which they can promote consumer protection in the provision of public and private goods and services in collaboration with businesses and civil society. This is all the more important since consumer protection is not homogenous around the world. Indeed,</w:t>
      </w:r>
      <w:r w:rsidR="003C1381" w:rsidRPr="004737C5">
        <w:rPr>
          <w:rFonts w:cstheme="minorHAnsi"/>
          <w:bCs/>
        </w:rPr>
        <w:t xml:space="preserve"> as the General Assembly noted</w:t>
      </w:r>
      <w:r w:rsidR="00847EC8" w:rsidRPr="004737C5">
        <w:rPr>
          <w:rFonts w:cstheme="minorHAnsi"/>
          <w:bCs/>
        </w:rPr>
        <w:t>,</w:t>
      </w:r>
      <w:r w:rsidR="003C1381" w:rsidRPr="004737C5">
        <w:rPr>
          <w:rFonts w:cstheme="minorHAnsi"/>
          <w:bCs/>
        </w:rPr>
        <w:t xml:space="preserve"> “</w:t>
      </w:r>
      <w:r w:rsidRPr="004737C5">
        <w:rPr>
          <w:rFonts w:cstheme="minorHAnsi"/>
          <w:bCs/>
        </w:rPr>
        <w:t>although significant progress has been achieved with respect to the protection of consumers at the normative level since the adoption of the guidelines in 1985, such progress has not been consistently translated into more effective and better-coordinated protection efforts in all countries a</w:t>
      </w:r>
      <w:r w:rsidR="006458B6" w:rsidRPr="004737C5">
        <w:rPr>
          <w:rFonts w:cstheme="minorHAnsi"/>
          <w:bCs/>
        </w:rPr>
        <w:t>nd across all areas of commerce”.</w:t>
      </w:r>
      <w:r w:rsidR="003C1381" w:rsidRPr="004737C5">
        <w:rPr>
          <w:rFonts w:cstheme="minorHAnsi"/>
          <w:bCs/>
        </w:rPr>
        <w:t xml:space="preserve"> With this m</w:t>
      </w:r>
      <w:r w:rsidRPr="004737C5">
        <w:rPr>
          <w:rFonts w:cstheme="minorHAnsi"/>
          <w:bCs/>
        </w:rPr>
        <w:t>anual, UNCTAD is contributing to spread</w:t>
      </w:r>
      <w:r w:rsidR="003C1381" w:rsidRPr="004737C5">
        <w:rPr>
          <w:rFonts w:cstheme="minorHAnsi"/>
          <w:bCs/>
        </w:rPr>
        <w:t>ing</w:t>
      </w:r>
      <w:r w:rsidRPr="004737C5">
        <w:rPr>
          <w:rFonts w:cstheme="minorHAnsi"/>
          <w:bCs/>
        </w:rPr>
        <w:t xml:space="preserve"> good practices and enha</w:t>
      </w:r>
      <w:r w:rsidR="003C1381" w:rsidRPr="004737C5">
        <w:rPr>
          <w:rFonts w:cstheme="minorHAnsi"/>
          <w:bCs/>
        </w:rPr>
        <w:t>ncing</w:t>
      </w:r>
      <w:r w:rsidRPr="004737C5">
        <w:rPr>
          <w:rFonts w:cstheme="minorHAnsi"/>
          <w:bCs/>
        </w:rPr>
        <w:t xml:space="preserve"> the capacities of developing countries and economies in transition to step up the protection of their consumers.</w:t>
      </w:r>
    </w:p>
    <w:p w14:paraId="2D4DFDD7" w14:textId="6AD753AC" w:rsidR="00863F72" w:rsidRPr="004737C5" w:rsidRDefault="003C1381" w:rsidP="006D3BE8">
      <w:pPr>
        <w:rPr>
          <w:rFonts w:cstheme="minorHAnsi"/>
          <w:bCs/>
        </w:rPr>
      </w:pPr>
      <w:r w:rsidRPr="004737C5">
        <w:rPr>
          <w:rFonts w:cstheme="minorHAnsi"/>
          <w:bCs/>
        </w:rPr>
        <w:t xml:space="preserve">The </w:t>
      </w:r>
      <w:r w:rsidR="006A5496" w:rsidRPr="004737C5">
        <w:rPr>
          <w:rFonts w:cstheme="minorHAnsi"/>
          <w:bCs/>
        </w:rPr>
        <w:t xml:space="preserve">twenty-first </w:t>
      </w:r>
      <w:r w:rsidRPr="004737C5">
        <w:rPr>
          <w:rFonts w:cstheme="minorHAnsi"/>
          <w:bCs/>
        </w:rPr>
        <w:t>c</w:t>
      </w:r>
      <w:r w:rsidR="00863F72" w:rsidRPr="004737C5">
        <w:rPr>
          <w:rFonts w:cstheme="minorHAnsi"/>
          <w:bCs/>
        </w:rPr>
        <w:t>entury consu</w:t>
      </w:r>
      <w:r w:rsidRPr="004737C5">
        <w:rPr>
          <w:rFonts w:cstheme="minorHAnsi"/>
          <w:bCs/>
        </w:rPr>
        <w:t>mer is a global consumer. Today’</w:t>
      </w:r>
      <w:r w:rsidR="00863F72" w:rsidRPr="004737C5">
        <w:rPr>
          <w:rFonts w:cstheme="minorHAnsi"/>
          <w:bCs/>
        </w:rPr>
        <w:t>s consumers have the largest choice of goods and services, while the digital revolution has propelled them to the forefront of international trade. This also comes with greater risks, such as unsafe products, unfair business practices, inadequate dispute resolution and redress, breaches to consumer data privacy and lack of coordinated acti</w:t>
      </w:r>
      <w:r w:rsidR="00C1423B" w:rsidRPr="004737C5">
        <w:rPr>
          <w:rFonts w:cstheme="minorHAnsi"/>
          <w:bCs/>
        </w:rPr>
        <w:t>on among Member S</w:t>
      </w:r>
      <w:r w:rsidR="00863F72" w:rsidRPr="004737C5">
        <w:rPr>
          <w:rFonts w:cstheme="minorHAnsi"/>
          <w:bCs/>
        </w:rPr>
        <w:t>tates. More than ever, the welfare of any consumer is affected by the welfare of</w:t>
      </w:r>
      <w:r w:rsidR="00847EC8" w:rsidRPr="004737C5">
        <w:rPr>
          <w:rFonts w:cstheme="minorHAnsi"/>
          <w:bCs/>
        </w:rPr>
        <w:t xml:space="preserve"> all consumers around the world</w:t>
      </w:r>
      <w:r w:rsidR="00863F72" w:rsidRPr="004737C5">
        <w:rPr>
          <w:rFonts w:cstheme="minorHAnsi"/>
          <w:bCs/>
        </w:rPr>
        <w:t xml:space="preserve"> and we are witnessing the eve of global consumer protection.</w:t>
      </w:r>
    </w:p>
    <w:p w14:paraId="240FE105" w14:textId="77777777" w:rsidR="00863F72" w:rsidRPr="004737C5" w:rsidRDefault="00863F72" w:rsidP="006D3BE8">
      <w:pPr>
        <w:rPr>
          <w:rFonts w:cstheme="minorHAnsi"/>
          <w:bCs/>
        </w:rPr>
      </w:pPr>
      <w:r w:rsidRPr="004737C5">
        <w:rPr>
          <w:rFonts w:cstheme="minorHAnsi"/>
          <w:bCs/>
        </w:rPr>
        <w:t>Consumers need to be empowered for them to play their role as agents for change in achieving the Sustainable Development Goals. This can only happen when appropriate laws, policies and institutions are in place and all stakeholders, particularly businesses and consumer groups, participate in upholding consumer protection in the marketplace.</w:t>
      </w:r>
    </w:p>
    <w:p w14:paraId="10385456" w14:textId="77777777" w:rsidR="00863F72" w:rsidRPr="004737C5" w:rsidRDefault="003C1381" w:rsidP="006D3BE8">
      <w:pPr>
        <w:rPr>
          <w:rFonts w:cstheme="minorHAnsi"/>
          <w:bCs/>
        </w:rPr>
      </w:pPr>
      <w:r w:rsidRPr="004737C5">
        <w:rPr>
          <w:rFonts w:cstheme="minorHAnsi"/>
          <w:bCs/>
        </w:rPr>
        <w:t>I commend this m</w:t>
      </w:r>
      <w:r w:rsidR="00863F72" w:rsidRPr="004737C5">
        <w:rPr>
          <w:rFonts w:cstheme="minorHAnsi"/>
          <w:bCs/>
        </w:rPr>
        <w:t>anual as an important tool for all those seeking to increase the welfare of consumers.</w:t>
      </w:r>
    </w:p>
    <w:p w14:paraId="5C0820B6" w14:textId="77777777" w:rsidR="00863F72" w:rsidRPr="004737C5" w:rsidRDefault="00863F72" w:rsidP="006D3BE8">
      <w:pPr>
        <w:jc w:val="left"/>
        <w:rPr>
          <w:rFonts w:cstheme="minorHAnsi"/>
          <w:bCs/>
        </w:rPr>
      </w:pPr>
    </w:p>
    <w:p w14:paraId="3EDBCC2B" w14:textId="77777777" w:rsidR="00863F72" w:rsidRPr="004737C5" w:rsidRDefault="00863F72" w:rsidP="006D3BE8">
      <w:pPr>
        <w:jc w:val="center"/>
        <w:rPr>
          <w:rFonts w:cstheme="minorHAnsi"/>
          <w:bCs/>
        </w:rPr>
      </w:pPr>
      <w:r w:rsidRPr="004737C5">
        <w:rPr>
          <w:rFonts w:cstheme="minorHAnsi"/>
          <w:bCs/>
        </w:rPr>
        <w:t>Mukhisa Kituyi</w:t>
      </w:r>
    </w:p>
    <w:p w14:paraId="11347699" w14:textId="77777777" w:rsidR="00863F72" w:rsidRPr="004737C5" w:rsidRDefault="00863F72" w:rsidP="006D3BE8">
      <w:pPr>
        <w:jc w:val="center"/>
        <w:rPr>
          <w:rFonts w:eastAsia="Times New Roman" w:cstheme="minorHAnsi"/>
          <w:b/>
          <w:bCs/>
          <w:caps/>
          <w:sz w:val="24"/>
          <w:szCs w:val="20"/>
        </w:rPr>
      </w:pPr>
      <w:r w:rsidRPr="004737C5">
        <w:rPr>
          <w:rFonts w:cstheme="minorHAnsi"/>
          <w:bCs/>
        </w:rPr>
        <w:t>Secretary-General of UNCTAD</w:t>
      </w:r>
    </w:p>
    <w:p w14:paraId="24B6916B" w14:textId="77777777" w:rsidR="00863F72" w:rsidRPr="004737C5" w:rsidRDefault="00863F72" w:rsidP="006D3BE8">
      <w:pPr>
        <w:jc w:val="left"/>
        <w:rPr>
          <w:rFonts w:eastAsia="Times New Roman" w:cstheme="minorHAnsi"/>
          <w:b/>
          <w:bCs/>
          <w:caps/>
          <w:sz w:val="24"/>
          <w:szCs w:val="20"/>
        </w:rPr>
      </w:pPr>
      <w:r w:rsidRPr="004737C5">
        <w:rPr>
          <w:rFonts w:cstheme="minorHAnsi"/>
        </w:rPr>
        <w:br w:type="page"/>
      </w:r>
    </w:p>
    <w:p w14:paraId="0AF57471" w14:textId="77777777" w:rsidR="00843222" w:rsidRPr="004737C5" w:rsidRDefault="00843222" w:rsidP="006D3BE8">
      <w:pPr>
        <w:jc w:val="center"/>
        <w:rPr>
          <w:b/>
          <w:sz w:val="24"/>
          <w:szCs w:val="24"/>
        </w:rPr>
      </w:pPr>
      <w:r w:rsidRPr="004737C5">
        <w:rPr>
          <w:b/>
          <w:sz w:val="24"/>
          <w:szCs w:val="24"/>
        </w:rPr>
        <w:lastRenderedPageBreak/>
        <w:t>A</w:t>
      </w:r>
      <w:r w:rsidR="003C1381" w:rsidRPr="004737C5">
        <w:rPr>
          <w:b/>
          <w:sz w:val="24"/>
          <w:szCs w:val="24"/>
        </w:rPr>
        <w:t xml:space="preserve">cknowledgements </w:t>
      </w:r>
      <w:bookmarkEnd w:id="4"/>
    </w:p>
    <w:p w14:paraId="0580B9DE" w14:textId="77777777" w:rsidR="00843222" w:rsidRPr="004737C5" w:rsidRDefault="00843222" w:rsidP="006D3BE8">
      <w:pPr>
        <w:rPr>
          <w:rFonts w:cstheme="minorHAnsi"/>
          <w:bCs/>
        </w:rPr>
      </w:pPr>
      <w:r w:rsidRPr="004737C5">
        <w:rPr>
          <w:rFonts w:cstheme="minorHAnsi"/>
          <w:bCs/>
        </w:rPr>
        <w:t>The Manual on Consumer Protection was revised in 201</w:t>
      </w:r>
      <w:r w:rsidR="003F0F22" w:rsidRPr="004737C5">
        <w:rPr>
          <w:rFonts w:cstheme="minorHAnsi"/>
          <w:bCs/>
        </w:rPr>
        <w:t>7</w:t>
      </w:r>
      <w:r w:rsidRPr="004737C5">
        <w:rPr>
          <w:rFonts w:cstheme="minorHAnsi"/>
          <w:bCs/>
        </w:rPr>
        <w:t xml:space="preserve"> </w:t>
      </w:r>
      <w:r w:rsidR="00583FC6" w:rsidRPr="004737C5">
        <w:rPr>
          <w:rFonts w:cstheme="minorHAnsi"/>
          <w:bCs/>
        </w:rPr>
        <w:t xml:space="preserve">by </w:t>
      </w:r>
      <w:r w:rsidR="005A6C15" w:rsidRPr="004737C5">
        <w:rPr>
          <w:rFonts w:cstheme="minorHAnsi"/>
          <w:bCs/>
        </w:rPr>
        <w:t xml:space="preserve">Robin Simpson, lead consultant, and </w:t>
      </w:r>
      <w:r w:rsidR="00583FC6" w:rsidRPr="004737C5">
        <w:rPr>
          <w:rFonts w:cstheme="minorHAnsi"/>
          <w:bCs/>
        </w:rPr>
        <w:t>a</w:t>
      </w:r>
      <w:r w:rsidRPr="004737C5">
        <w:rPr>
          <w:rFonts w:cstheme="minorHAnsi"/>
          <w:bCs/>
        </w:rPr>
        <w:t xml:space="preserve"> team comprising </w:t>
      </w:r>
      <w:r w:rsidR="003651D4" w:rsidRPr="004737C5">
        <w:rPr>
          <w:rFonts w:cstheme="minorHAnsi"/>
          <w:bCs/>
        </w:rPr>
        <w:t>Teresa Moreira, Head of Competition and Consumer Policies Branch</w:t>
      </w:r>
      <w:r w:rsidR="003C1381" w:rsidRPr="004737C5">
        <w:rPr>
          <w:rFonts w:cstheme="minorHAnsi"/>
          <w:bCs/>
        </w:rPr>
        <w:t>,</w:t>
      </w:r>
      <w:r w:rsidR="003651D4" w:rsidRPr="004737C5">
        <w:rPr>
          <w:rFonts w:cstheme="minorHAnsi"/>
          <w:bCs/>
        </w:rPr>
        <w:t xml:space="preserve"> Arnau Izaguerri, </w:t>
      </w:r>
      <w:r w:rsidRPr="004737C5">
        <w:rPr>
          <w:rFonts w:cstheme="minorHAnsi"/>
          <w:bCs/>
        </w:rPr>
        <w:t xml:space="preserve">Marisa Henderson, </w:t>
      </w:r>
      <w:r w:rsidR="003651D4" w:rsidRPr="004737C5">
        <w:rPr>
          <w:rFonts w:cstheme="minorHAnsi"/>
          <w:bCs/>
        </w:rPr>
        <w:t>Graham Mott</w:t>
      </w:r>
      <w:r w:rsidR="00EB2022" w:rsidRPr="004737C5">
        <w:rPr>
          <w:rFonts w:cstheme="minorHAnsi"/>
          <w:bCs/>
        </w:rPr>
        <w:t xml:space="preserve"> </w:t>
      </w:r>
      <w:r w:rsidR="003651D4" w:rsidRPr="004737C5">
        <w:rPr>
          <w:rFonts w:cstheme="minorHAnsi"/>
          <w:bCs/>
        </w:rPr>
        <w:t xml:space="preserve">and </w:t>
      </w:r>
      <w:r w:rsidR="005A6C15" w:rsidRPr="004737C5">
        <w:rPr>
          <w:rFonts w:cstheme="minorHAnsi"/>
          <w:bCs/>
        </w:rPr>
        <w:t>Maria Bovey</w:t>
      </w:r>
      <w:r w:rsidR="00583FC6" w:rsidRPr="004737C5">
        <w:rPr>
          <w:rFonts w:cstheme="minorHAnsi"/>
          <w:bCs/>
        </w:rPr>
        <w:t xml:space="preserve">. </w:t>
      </w:r>
      <w:r w:rsidRPr="004737C5">
        <w:rPr>
          <w:rFonts w:cstheme="minorHAnsi"/>
          <w:bCs/>
        </w:rPr>
        <w:t>The work was completed under the overall supervision of Guillermo Valles, Director of the Division on International Trade in Goods and Services, and Commodities.</w:t>
      </w:r>
    </w:p>
    <w:p w14:paraId="36673092" w14:textId="73A379CE" w:rsidR="00843222" w:rsidRPr="004737C5" w:rsidRDefault="00843222" w:rsidP="006D3BE8">
      <w:pPr>
        <w:rPr>
          <w:rFonts w:cstheme="minorHAnsi"/>
          <w:bCs/>
        </w:rPr>
      </w:pPr>
      <w:r w:rsidRPr="004737C5">
        <w:rPr>
          <w:rFonts w:cstheme="minorHAnsi"/>
          <w:bCs/>
        </w:rPr>
        <w:t>The manual benefited</w:t>
      </w:r>
      <w:r w:rsidR="003C1381" w:rsidRPr="004737C5">
        <w:rPr>
          <w:rFonts w:cstheme="minorHAnsi"/>
          <w:bCs/>
        </w:rPr>
        <w:t xml:space="preserve"> from major substantive input from</w:t>
      </w:r>
      <w:r w:rsidR="006E097C" w:rsidRPr="004737C5">
        <w:rPr>
          <w:rFonts w:cstheme="minorHAnsi"/>
          <w:bCs/>
        </w:rPr>
        <w:t>: Celine Awuor,</w:t>
      </w:r>
      <w:r w:rsidRPr="004737C5">
        <w:rPr>
          <w:rFonts w:cstheme="minorHAnsi"/>
          <w:bCs/>
        </w:rPr>
        <w:t xml:space="preserve"> consultant specialist in consumer protection in financial services; Thierry Bourgoignie, Gro</w:t>
      </w:r>
      <w:r w:rsidR="00546EB3" w:rsidRPr="004737C5">
        <w:rPr>
          <w:rFonts w:cstheme="minorHAnsi"/>
          <w:bCs/>
        </w:rPr>
        <w:t>upe de recherche en droit international et comparé de la c</w:t>
      </w:r>
      <w:r w:rsidRPr="004737C5">
        <w:rPr>
          <w:rFonts w:cstheme="minorHAnsi"/>
          <w:bCs/>
        </w:rPr>
        <w:t>onsommation, Université du Québec à Montréal; Liz Coll, specialist consultant in digital consumer policy; Ha Dinh; Julian Edwards, consumer policy consultan</w:t>
      </w:r>
      <w:r w:rsidR="00847EC8" w:rsidRPr="004737C5">
        <w:rPr>
          <w:rFonts w:cstheme="minorHAnsi"/>
          <w:bCs/>
        </w:rPr>
        <w:t>t; Alan Etherington, consultant on</w:t>
      </w:r>
      <w:r w:rsidRPr="004737C5">
        <w:rPr>
          <w:rFonts w:cstheme="minorHAnsi"/>
          <w:bCs/>
        </w:rPr>
        <w:t xml:space="preserve"> water and sanitation; Christopher Hodges, University of </w:t>
      </w:r>
      <w:r w:rsidR="00847EC8" w:rsidRPr="004737C5">
        <w:rPr>
          <w:rFonts w:cstheme="minorHAnsi"/>
          <w:bCs/>
        </w:rPr>
        <w:t>Oxford; Sadie Homer, specialist in</w:t>
      </w:r>
      <w:r w:rsidRPr="004737C5">
        <w:rPr>
          <w:rFonts w:cstheme="minorHAnsi"/>
          <w:bCs/>
        </w:rPr>
        <w:t xml:space="preserve"> consumers and international standards; Claudia Lima Marques, Federal University of Rio Grande do Sul; Jeremy Malcolm, Electronic Frontier Foundation; Rober</w:t>
      </w:r>
      <w:r w:rsidR="00847EC8" w:rsidRPr="004737C5">
        <w:rPr>
          <w:rFonts w:cstheme="minorHAnsi"/>
          <w:bCs/>
        </w:rPr>
        <w:t>t N. Mayer, University of Utah;</w:t>
      </w:r>
      <w:r w:rsidRPr="004737C5">
        <w:rPr>
          <w:rFonts w:cstheme="minorHAnsi"/>
          <w:bCs/>
        </w:rPr>
        <w:t xml:space="preserve"> Ogochukwu Monye, University of Benin, Nigeria; Judit Pump, specialist in environmental law; Iain Ramsay, University of Kent; Christine Riefa, University of Brunel; Elena Salazar de Llaguno, food consultant and specialist in food policy; Antoni</w:t>
      </w:r>
      <w:r w:rsidR="00847EC8" w:rsidRPr="004737C5">
        <w:rPr>
          <w:rFonts w:cstheme="minorHAnsi"/>
          <w:bCs/>
        </w:rPr>
        <w:t>no Serra Cambeceres, specialist in</w:t>
      </w:r>
      <w:r w:rsidRPr="004737C5">
        <w:rPr>
          <w:rFonts w:cstheme="minorHAnsi"/>
          <w:bCs/>
        </w:rPr>
        <w:t xml:space="preserve"> consumer protection; Jami Solli; Stephen Thomas, </w:t>
      </w:r>
      <w:r w:rsidR="00847EC8" w:rsidRPr="004737C5">
        <w:rPr>
          <w:rFonts w:cstheme="minorHAnsi"/>
          <w:bCs/>
        </w:rPr>
        <w:t>University of Greenwich;</w:t>
      </w:r>
      <w:r w:rsidRPr="004737C5">
        <w:rPr>
          <w:rFonts w:cstheme="minorHAnsi"/>
          <w:bCs/>
        </w:rPr>
        <w:t xml:space="preserve"> Frank Trentmann</w:t>
      </w:r>
      <w:r w:rsidR="007D1CDD" w:rsidRPr="004737C5">
        <w:rPr>
          <w:rFonts w:cstheme="minorHAnsi"/>
          <w:bCs/>
        </w:rPr>
        <w:t>, University of London</w:t>
      </w:r>
      <w:r w:rsidRPr="004737C5">
        <w:rPr>
          <w:rFonts w:cstheme="minorHAnsi"/>
          <w:bCs/>
        </w:rPr>
        <w:t>; Toni Williams, University of Kent; Elena Wolf, consultant on consumer protection</w:t>
      </w:r>
      <w:r w:rsidR="00847EC8" w:rsidRPr="004737C5">
        <w:rPr>
          <w:rFonts w:cstheme="minorHAnsi"/>
          <w:bCs/>
        </w:rPr>
        <w:t>; Ying Yu, University of Oxford</w:t>
      </w:r>
      <w:r w:rsidRPr="004737C5">
        <w:rPr>
          <w:rFonts w:cstheme="minorHAnsi"/>
          <w:bCs/>
        </w:rPr>
        <w:t xml:space="preserve"> and Au</w:t>
      </w:r>
      <w:r w:rsidR="003C1381" w:rsidRPr="004737C5">
        <w:rPr>
          <w:rFonts w:cstheme="minorHAnsi"/>
          <w:bCs/>
        </w:rPr>
        <w:t xml:space="preserve">rélie Zoude-Le Berre, advisor to </w:t>
      </w:r>
      <w:r w:rsidR="00847EC8" w:rsidRPr="004737C5">
        <w:rPr>
          <w:rFonts w:cstheme="minorHAnsi"/>
          <w:bCs/>
        </w:rPr>
        <w:t>the French National Assembly and</w:t>
      </w:r>
      <w:r w:rsidRPr="004737C5">
        <w:rPr>
          <w:rFonts w:cstheme="minorHAnsi"/>
          <w:bCs/>
        </w:rPr>
        <w:t xml:space="preserve"> specialist in competition policy and practice.</w:t>
      </w:r>
    </w:p>
    <w:p w14:paraId="2FBF3059" w14:textId="29048E0D" w:rsidR="00843222" w:rsidRPr="004737C5" w:rsidRDefault="00843222" w:rsidP="006D3BE8">
      <w:pPr>
        <w:rPr>
          <w:rFonts w:cstheme="minorHAnsi"/>
          <w:bCs/>
        </w:rPr>
      </w:pPr>
      <w:r w:rsidRPr="004737C5">
        <w:rPr>
          <w:rFonts w:cstheme="minorHAnsi"/>
          <w:bCs/>
        </w:rPr>
        <w:t>Comments on a draft version of the manual were provided by Nic</w:t>
      </w:r>
      <w:r w:rsidR="003C1381" w:rsidRPr="004737C5">
        <w:rPr>
          <w:rFonts w:cstheme="minorHAnsi"/>
          <w:bCs/>
        </w:rPr>
        <w:t>ole Nespoulous, Deon Woods-Bell</w:t>
      </w:r>
      <w:r w:rsidRPr="004737C5">
        <w:rPr>
          <w:rFonts w:cstheme="minorHAnsi"/>
          <w:bCs/>
        </w:rPr>
        <w:t xml:space="preserve"> </w:t>
      </w:r>
      <w:r w:rsidR="001C602D" w:rsidRPr="004737C5">
        <w:rPr>
          <w:rFonts w:cstheme="minorHAnsi"/>
          <w:bCs/>
        </w:rPr>
        <w:t xml:space="preserve">and </w:t>
      </w:r>
      <w:r w:rsidRPr="004737C5">
        <w:rPr>
          <w:rFonts w:cstheme="minorHAnsi"/>
          <w:bCs/>
        </w:rPr>
        <w:t>Cécile Barayre.</w:t>
      </w:r>
      <w:r w:rsidR="001A29C6" w:rsidRPr="004737C5">
        <w:rPr>
          <w:rFonts w:cstheme="minorHAnsi"/>
          <w:bCs/>
        </w:rPr>
        <w:t xml:space="preserve"> Further comments were made following a presentation of an advance copy of this manual at the first meeting of the Intergovernmental Group of Experts </w:t>
      </w:r>
      <w:r w:rsidR="00C417A2" w:rsidRPr="004737C5">
        <w:rPr>
          <w:rFonts w:cstheme="minorHAnsi"/>
          <w:bCs/>
        </w:rPr>
        <w:t>on Consumer Prot</w:t>
      </w:r>
      <w:r w:rsidR="001A29C6" w:rsidRPr="004737C5">
        <w:rPr>
          <w:rFonts w:cstheme="minorHAnsi"/>
          <w:bCs/>
        </w:rPr>
        <w:t xml:space="preserve">ection Law </w:t>
      </w:r>
      <w:r w:rsidR="003F0F22" w:rsidRPr="004737C5">
        <w:rPr>
          <w:rFonts w:cstheme="minorHAnsi"/>
          <w:bCs/>
        </w:rPr>
        <w:t>and</w:t>
      </w:r>
      <w:r w:rsidR="001A29C6" w:rsidRPr="004737C5">
        <w:rPr>
          <w:rFonts w:cstheme="minorHAnsi"/>
          <w:bCs/>
        </w:rPr>
        <w:t xml:space="preserve"> Policy in Geneva</w:t>
      </w:r>
      <w:r w:rsidR="003C1381" w:rsidRPr="004737C5">
        <w:rPr>
          <w:rFonts w:cstheme="minorHAnsi"/>
          <w:bCs/>
        </w:rPr>
        <w:t xml:space="preserve"> on</w:t>
      </w:r>
      <w:r w:rsidR="003651D4" w:rsidRPr="004737C5">
        <w:rPr>
          <w:rFonts w:cstheme="minorHAnsi"/>
          <w:bCs/>
        </w:rPr>
        <w:t xml:space="preserve"> 18 and 19 </w:t>
      </w:r>
      <w:r w:rsidR="001A29C6" w:rsidRPr="004737C5">
        <w:rPr>
          <w:rFonts w:cstheme="minorHAnsi"/>
          <w:bCs/>
        </w:rPr>
        <w:t xml:space="preserve">October 2016. </w:t>
      </w:r>
      <w:r w:rsidR="00C417A2" w:rsidRPr="004737C5">
        <w:rPr>
          <w:rFonts w:cstheme="minorHAnsi"/>
          <w:bCs/>
        </w:rPr>
        <w:t>Subsequent comments included tho</w:t>
      </w:r>
      <w:r w:rsidR="00D8791F" w:rsidRPr="004737C5">
        <w:rPr>
          <w:rFonts w:cstheme="minorHAnsi"/>
          <w:bCs/>
        </w:rPr>
        <w:t>se from Paul Miloseski-Re</w:t>
      </w:r>
      <w:r w:rsidR="003C1381" w:rsidRPr="004737C5">
        <w:rPr>
          <w:rFonts w:cstheme="minorHAnsi"/>
          <w:bCs/>
        </w:rPr>
        <w:t>id and</w:t>
      </w:r>
      <w:r w:rsidR="00C417A2" w:rsidRPr="004737C5">
        <w:rPr>
          <w:rFonts w:cstheme="minorHAnsi"/>
          <w:bCs/>
        </w:rPr>
        <w:t xml:space="preserve"> </w:t>
      </w:r>
      <w:r w:rsidR="00D8791F" w:rsidRPr="004737C5">
        <w:rPr>
          <w:rFonts w:cstheme="minorHAnsi"/>
          <w:bCs/>
        </w:rPr>
        <w:t>Suriya Prabha</w:t>
      </w:r>
      <w:r w:rsidR="00847EC8" w:rsidRPr="004737C5">
        <w:rPr>
          <w:rFonts w:cstheme="minorHAnsi"/>
          <w:bCs/>
        </w:rPr>
        <w:t>,</w:t>
      </w:r>
      <w:r w:rsidR="00D8791F" w:rsidRPr="004737C5">
        <w:rPr>
          <w:rFonts w:cstheme="minorHAnsi"/>
          <w:bCs/>
        </w:rPr>
        <w:t xml:space="preserve"> who was </w:t>
      </w:r>
      <w:r w:rsidR="00C417A2" w:rsidRPr="004737C5">
        <w:rPr>
          <w:rFonts w:cstheme="minorHAnsi"/>
          <w:bCs/>
        </w:rPr>
        <w:t>acting on behalf of the International Chamber of Commerce</w:t>
      </w:r>
      <w:r w:rsidR="003C1381" w:rsidRPr="004737C5">
        <w:rPr>
          <w:rFonts w:cstheme="minorHAnsi"/>
          <w:bCs/>
        </w:rPr>
        <w:t xml:space="preserve"> </w:t>
      </w:r>
      <w:r w:rsidR="00C417A2" w:rsidRPr="004737C5">
        <w:rPr>
          <w:rFonts w:cstheme="minorHAnsi"/>
          <w:bCs/>
        </w:rPr>
        <w:t xml:space="preserve">(Business Action to Stop Counterfeiting </w:t>
      </w:r>
      <w:r w:rsidR="003F0F22" w:rsidRPr="004737C5">
        <w:rPr>
          <w:rFonts w:cstheme="minorHAnsi"/>
          <w:bCs/>
        </w:rPr>
        <w:t>and</w:t>
      </w:r>
      <w:r w:rsidR="00C417A2" w:rsidRPr="004737C5">
        <w:rPr>
          <w:rFonts w:cstheme="minorHAnsi"/>
          <w:bCs/>
        </w:rPr>
        <w:t xml:space="preserve"> Piracy)</w:t>
      </w:r>
      <w:r w:rsidR="007672E8" w:rsidRPr="004737C5">
        <w:rPr>
          <w:rFonts w:cstheme="minorHAnsi"/>
          <w:bCs/>
        </w:rPr>
        <w:t>.</w:t>
      </w:r>
      <w:r w:rsidR="00C417A2" w:rsidRPr="004737C5">
        <w:rPr>
          <w:rFonts w:cstheme="minorHAnsi"/>
          <w:bCs/>
        </w:rPr>
        <w:t xml:space="preserve">  </w:t>
      </w:r>
    </w:p>
    <w:p w14:paraId="54AEA1F8" w14:textId="77777777" w:rsidR="001C602D" w:rsidRPr="004737C5" w:rsidRDefault="001C602D" w:rsidP="006D3BE8">
      <w:pPr>
        <w:rPr>
          <w:rFonts w:cstheme="minorHAnsi"/>
          <w:bCs/>
        </w:rPr>
      </w:pPr>
      <w:r w:rsidRPr="004737C5">
        <w:rPr>
          <w:rFonts w:cstheme="minorHAnsi"/>
          <w:bCs/>
        </w:rPr>
        <w:t xml:space="preserve">The cover was prepared by </w:t>
      </w:r>
      <w:r w:rsidR="00B17FF3" w:rsidRPr="004737C5">
        <w:rPr>
          <w:rFonts w:cstheme="minorHAnsi"/>
          <w:bCs/>
        </w:rPr>
        <w:t xml:space="preserve">Nadège Hadjemian and </w:t>
      </w:r>
      <w:r w:rsidRPr="004737C5">
        <w:rPr>
          <w:rFonts w:cstheme="minorHAnsi"/>
          <w:bCs/>
        </w:rPr>
        <w:t xml:space="preserve">Neema Toyb. </w:t>
      </w:r>
    </w:p>
    <w:p w14:paraId="4A88868D" w14:textId="77777777" w:rsidR="00D25AC5" w:rsidRPr="004737C5" w:rsidRDefault="00D25AC5" w:rsidP="006D3BE8">
      <w:pPr>
        <w:jc w:val="left"/>
        <w:rPr>
          <w:rFonts w:cstheme="minorHAnsi"/>
          <w:sz w:val="28"/>
        </w:rPr>
      </w:pPr>
      <w:r w:rsidRPr="004737C5">
        <w:rPr>
          <w:rFonts w:cstheme="minorHAnsi"/>
          <w:sz w:val="28"/>
        </w:rPr>
        <w:br w:type="page"/>
      </w:r>
    </w:p>
    <w:sdt>
      <w:sdtPr>
        <w:rPr>
          <w:rFonts w:asciiTheme="minorHAnsi" w:eastAsiaTheme="minorHAnsi" w:hAnsiTheme="minorHAnsi" w:cstheme="minorHAnsi"/>
          <w:b w:val="0"/>
          <w:bCs w:val="0"/>
          <w:color w:val="auto"/>
          <w:sz w:val="22"/>
          <w:szCs w:val="22"/>
          <w:lang w:eastAsia="en-US"/>
        </w:rPr>
        <w:id w:val="1638524173"/>
        <w:docPartObj>
          <w:docPartGallery w:val="Table of Contents"/>
          <w:docPartUnique/>
        </w:docPartObj>
      </w:sdtPr>
      <w:sdtEndPr>
        <w:rPr>
          <w:noProof/>
        </w:rPr>
      </w:sdtEndPr>
      <w:sdtContent>
        <w:p w14:paraId="729EB8CB" w14:textId="77777777" w:rsidR="00843222" w:rsidRPr="004737C5" w:rsidRDefault="00843222" w:rsidP="008848B8">
          <w:pPr>
            <w:pStyle w:val="TOCHeading"/>
            <w:spacing w:after="160" w:line="240" w:lineRule="auto"/>
            <w:jc w:val="center"/>
            <w:rPr>
              <w:rFonts w:asciiTheme="minorHAnsi" w:hAnsiTheme="minorHAnsi" w:cstheme="minorHAnsi"/>
              <w:color w:val="auto"/>
            </w:rPr>
          </w:pPr>
          <w:r w:rsidRPr="004737C5">
            <w:rPr>
              <w:rFonts w:asciiTheme="minorHAnsi" w:hAnsiTheme="minorHAnsi" w:cstheme="minorHAnsi"/>
              <w:color w:val="auto"/>
            </w:rPr>
            <w:t>Contents</w:t>
          </w:r>
        </w:p>
        <w:p w14:paraId="4E244153" w14:textId="77777777" w:rsidR="00BC78F5" w:rsidRPr="004737C5" w:rsidRDefault="004D505A" w:rsidP="006D3BE8">
          <w:pPr>
            <w:pStyle w:val="TOC1"/>
            <w:rPr>
              <w:rFonts w:eastAsiaTheme="minorEastAsia" w:cstheme="minorHAnsi"/>
              <w:noProof/>
              <w:lang w:eastAsia="zh-CN"/>
            </w:rPr>
          </w:pPr>
          <w:r w:rsidRPr="004737C5">
            <w:rPr>
              <w:rFonts w:cstheme="minorHAnsi"/>
            </w:rPr>
            <w:fldChar w:fldCharType="begin"/>
          </w:r>
          <w:r w:rsidR="00843222" w:rsidRPr="004737C5">
            <w:rPr>
              <w:rFonts w:cstheme="minorHAnsi"/>
            </w:rPr>
            <w:instrText xml:space="preserve"> TOC \o "1-3" \h \z \u </w:instrText>
          </w:r>
          <w:r w:rsidRPr="004737C5">
            <w:rPr>
              <w:rFonts w:cstheme="minorHAnsi"/>
            </w:rPr>
            <w:fldChar w:fldCharType="separate"/>
          </w:r>
          <w:hyperlink w:anchor="_Toc492649957" w:history="1">
            <w:r w:rsidR="008848B8" w:rsidRPr="004737C5">
              <w:rPr>
                <w:rStyle w:val="Hyperlink"/>
                <w:rFonts w:cstheme="minorHAnsi"/>
                <w:noProof/>
              </w:rPr>
              <w:t>Preface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_Toc492649957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iii</w:t>
            </w:r>
            <w:r w:rsidR="00BC78F5" w:rsidRPr="004737C5">
              <w:rPr>
                <w:rFonts w:cstheme="minorHAnsi"/>
                <w:noProof/>
                <w:webHidden/>
              </w:rPr>
              <w:fldChar w:fldCharType="end"/>
            </w:r>
          </w:hyperlink>
        </w:p>
        <w:p w14:paraId="5FEAF779" w14:textId="77777777" w:rsidR="00BC78F5" w:rsidRPr="004737C5" w:rsidRDefault="00FB5819" w:rsidP="006D3BE8">
          <w:pPr>
            <w:pStyle w:val="TOC1"/>
            <w:rPr>
              <w:rFonts w:eastAsiaTheme="minorEastAsia" w:cstheme="minorHAnsi"/>
              <w:noProof/>
              <w:lang w:eastAsia="zh-CN"/>
            </w:rPr>
          </w:pPr>
          <w:hyperlink w:anchor="_Toc492649958" w:history="1">
            <w:r w:rsidR="008848B8" w:rsidRPr="004737C5">
              <w:rPr>
                <w:rStyle w:val="Hyperlink"/>
                <w:rFonts w:cstheme="minorHAnsi"/>
                <w:noProof/>
              </w:rPr>
              <w:t>Acknowledgements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_Toc492649958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iii</w:t>
            </w:r>
            <w:r w:rsidR="00BC78F5" w:rsidRPr="004737C5">
              <w:rPr>
                <w:rFonts w:cstheme="minorHAnsi"/>
                <w:noProof/>
                <w:webHidden/>
              </w:rPr>
              <w:fldChar w:fldCharType="end"/>
            </w:r>
          </w:hyperlink>
        </w:p>
        <w:p w14:paraId="5424D37E" w14:textId="77777777" w:rsidR="00BC78F5" w:rsidRPr="004737C5" w:rsidRDefault="00FB5819" w:rsidP="006D3BE8">
          <w:pPr>
            <w:pStyle w:val="TOC1"/>
            <w:rPr>
              <w:rFonts w:eastAsiaTheme="minorEastAsia" w:cstheme="minorHAnsi"/>
              <w:noProof/>
              <w:lang w:eastAsia="zh-CN"/>
            </w:rPr>
          </w:pPr>
          <w:hyperlink w:anchor="_Toc492649959" w:history="1">
            <w:r w:rsidR="008848B8" w:rsidRPr="004737C5">
              <w:rPr>
                <w:rStyle w:val="Hyperlink"/>
                <w:rFonts w:cstheme="minorHAnsi"/>
                <w:noProof/>
              </w:rPr>
              <w:t>List of abbreviations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_Toc492649959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ix</w:t>
            </w:r>
            <w:r w:rsidR="00BC78F5" w:rsidRPr="004737C5">
              <w:rPr>
                <w:rFonts w:cstheme="minorHAnsi"/>
                <w:noProof/>
                <w:webHidden/>
              </w:rPr>
              <w:fldChar w:fldCharType="end"/>
            </w:r>
          </w:hyperlink>
        </w:p>
        <w:p w14:paraId="23D27040" w14:textId="33801C88" w:rsidR="00BC78F5" w:rsidRPr="004737C5" w:rsidRDefault="00FB5819" w:rsidP="006D3BE8">
          <w:pPr>
            <w:pStyle w:val="TOC1"/>
            <w:rPr>
              <w:rFonts w:eastAsiaTheme="minorEastAsia" w:cstheme="minorHAnsi"/>
              <w:noProof/>
              <w:lang w:eastAsia="zh-CN"/>
            </w:rPr>
          </w:pPr>
          <w:hyperlink w:anchor="_Toc492649960" w:history="1">
            <w:r w:rsidR="00BC78F5" w:rsidRPr="004737C5">
              <w:rPr>
                <w:rStyle w:val="Hyperlink"/>
                <w:rFonts w:cstheme="minorHAnsi"/>
                <w:noProof/>
              </w:rPr>
              <w:t>P</w:t>
            </w:r>
            <w:r w:rsidR="00B1100F" w:rsidRPr="004737C5">
              <w:rPr>
                <w:rStyle w:val="Hyperlink"/>
                <w:rFonts w:cstheme="minorHAnsi"/>
                <w:noProof/>
              </w:rPr>
              <w:t>art one.</w:t>
            </w:r>
            <w:r w:rsidR="00BC78F5" w:rsidRPr="004737C5">
              <w:rPr>
                <w:rStyle w:val="Hyperlink"/>
                <w:rFonts w:cstheme="minorHAnsi"/>
                <w:noProof/>
              </w:rPr>
              <w:t xml:space="preserve"> A </w:t>
            </w:r>
            <w:r w:rsidR="008848B8" w:rsidRPr="004737C5">
              <w:rPr>
                <w:rStyle w:val="Hyperlink"/>
                <w:rFonts w:cstheme="minorHAnsi"/>
                <w:noProof/>
              </w:rPr>
              <w:t>consumer protection system</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_Toc492649960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w:t>
            </w:r>
            <w:r w:rsidR="00BC78F5" w:rsidRPr="004737C5">
              <w:rPr>
                <w:rFonts w:cstheme="minorHAnsi"/>
                <w:noProof/>
                <w:webHidden/>
              </w:rPr>
              <w:fldChar w:fldCharType="end"/>
            </w:r>
          </w:hyperlink>
        </w:p>
        <w:p w14:paraId="5B291B2B" w14:textId="77777777" w:rsidR="00BC78F5" w:rsidRPr="004737C5" w:rsidRDefault="00FB5819" w:rsidP="006D3BE8">
          <w:pPr>
            <w:pStyle w:val="TOC1"/>
            <w:rPr>
              <w:rFonts w:eastAsiaTheme="minorEastAsia" w:cstheme="minorHAnsi"/>
              <w:noProof/>
              <w:lang w:eastAsia="zh-CN"/>
            </w:rPr>
          </w:pPr>
          <w:hyperlink w:anchor="_Toc492649961" w:history="1">
            <w:r w:rsidR="008848B8" w:rsidRPr="004737C5">
              <w:rPr>
                <w:rStyle w:val="Hyperlink"/>
                <w:rFonts w:cstheme="minorHAnsi"/>
                <w:noProof/>
              </w:rPr>
              <w:t>I. Consumer p</w:t>
            </w:r>
            <w:r w:rsidR="00BC78F5" w:rsidRPr="004737C5">
              <w:rPr>
                <w:rStyle w:val="Hyperlink"/>
                <w:rFonts w:cstheme="minorHAnsi"/>
                <w:noProof/>
              </w:rPr>
              <w:t>rotection</w:t>
            </w:r>
            <w:r w:rsidR="008848B8" w:rsidRPr="004737C5">
              <w:rPr>
                <w:rStyle w:val="Hyperlink"/>
                <w:rFonts w:cstheme="minorHAnsi"/>
                <w:noProof/>
              </w:rPr>
              <w:t>: An o</w:t>
            </w:r>
            <w:r w:rsidR="00BC78F5" w:rsidRPr="004737C5">
              <w:rPr>
                <w:rStyle w:val="Hyperlink"/>
                <w:rFonts w:cstheme="minorHAnsi"/>
                <w:noProof/>
              </w:rPr>
              <w:t>verview</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_Toc492649961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w:t>
            </w:r>
            <w:r w:rsidR="00BC78F5" w:rsidRPr="004737C5">
              <w:rPr>
                <w:rFonts w:cstheme="minorHAnsi"/>
                <w:noProof/>
                <w:webHidden/>
              </w:rPr>
              <w:fldChar w:fldCharType="end"/>
            </w:r>
          </w:hyperlink>
        </w:p>
        <w:p w14:paraId="53042B3E" w14:textId="77777777" w:rsidR="00BC78F5" w:rsidRPr="004737C5" w:rsidRDefault="00FB5819" w:rsidP="006D3BE8">
          <w:pPr>
            <w:pStyle w:val="TOC2"/>
            <w:tabs>
              <w:tab w:val="left" w:pos="880"/>
              <w:tab w:val="right" w:leader="dot" w:pos="9627"/>
            </w:tabs>
            <w:rPr>
              <w:rFonts w:eastAsiaTheme="minorEastAsia" w:cstheme="minorHAnsi"/>
              <w:noProof/>
              <w:lang w:eastAsia="zh-CN"/>
            </w:rPr>
          </w:pPr>
          <w:hyperlink w:anchor="_Toc492649962" w:history="1">
            <w:r w:rsidR="008848B8" w:rsidRPr="004737C5">
              <w:rPr>
                <w:rStyle w:val="Hyperlink"/>
                <w:rFonts w:cstheme="minorHAnsi"/>
                <w:noProof/>
              </w:rPr>
              <w:t xml:space="preserve">A. </w:t>
            </w:r>
            <w:r w:rsidR="00BC78F5" w:rsidRPr="004737C5">
              <w:rPr>
                <w:rStyle w:val="Hyperlink"/>
                <w:rFonts w:cstheme="minorHAnsi"/>
                <w:noProof/>
              </w:rPr>
              <w:t>The rationale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_Toc492649962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w:t>
            </w:r>
            <w:r w:rsidR="00BC78F5" w:rsidRPr="004737C5">
              <w:rPr>
                <w:rFonts w:cstheme="minorHAnsi"/>
                <w:noProof/>
                <w:webHidden/>
              </w:rPr>
              <w:fldChar w:fldCharType="end"/>
            </w:r>
          </w:hyperlink>
        </w:p>
        <w:p w14:paraId="61FBD591" w14:textId="77777777" w:rsidR="00BC78F5" w:rsidRPr="004737C5" w:rsidRDefault="00FB5819" w:rsidP="006D3BE8">
          <w:pPr>
            <w:pStyle w:val="TOC2"/>
            <w:tabs>
              <w:tab w:val="right" w:leader="dot" w:pos="9627"/>
            </w:tabs>
            <w:rPr>
              <w:rFonts w:eastAsiaTheme="minorEastAsia" w:cstheme="minorHAnsi"/>
              <w:noProof/>
              <w:lang w:eastAsia="zh-CN"/>
            </w:rPr>
          </w:pPr>
          <w:hyperlink w:anchor="_Toc492649963" w:history="1">
            <w:r w:rsidR="008848B8" w:rsidRPr="004737C5">
              <w:rPr>
                <w:rStyle w:val="Hyperlink"/>
                <w:rFonts w:cstheme="minorHAnsi"/>
                <w:noProof/>
              </w:rPr>
              <w:t>B.</w:t>
            </w:r>
            <w:r w:rsidR="00BC78F5" w:rsidRPr="004737C5">
              <w:rPr>
                <w:rStyle w:val="Hyperlink"/>
                <w:rFonts w:cstheme="minorHAnsi"/>
                <w:noProof/>
              </w:rPr>
              <w:t xml:space="preserve"> The concept of consumer rights and consumer protection law</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_Toc492649963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6</w:t>
            </w:r>
            <w:r w:rsidR="00BC78F5" w:rsidRPr="004737C5">
              <w:rPr>
                <w:rFonts w:cstheme="minorHAnsi"/>
                <w:noProof/>
                <w:webHidden/>
              </w:rPr>
              <w:fldChar w:fldCharType="end"/>
            </w:r>
          </w:hyperlink>
        </w:p>
        <w:p w14:paraId="153D1909" w14:textId="4EA716A2" w:rsidR="00BC78F5" w:rsidRPr="004737C5" w:rsidRDefault="00FB5819" w:rsidP="006D3BE8">
          <w:pPr>
            <w:pStyle w:val="TOC2"/>
            <w:tabs>
              <w:tab w:val="right" w:leader="dot" w:pos="9627"/>
            </w:tabs>
            <w:rPr>
              <w:rFonts w:eastAsiaTheme="minorEastAsia" w:cstheme="minorHAnsi"/>
              <w:noProof/>
              <w:lang w:eastAsia="zh-CN"/>
            </w:rPr>
          </w:pPr>
          <w:hyperlink w:anchor="_Toc492649964" w:history="1">
            <w:r w:rsidR="008848B8" w:rsidRPr="004737C5">
              <w:rPr>
                <w:rStyle w:val="Hyperlink"/>
                <w:rFonts w:cstheme="minorHAnsi"/>
                <w:noProof/>
              </w:rPr>
              <w:t>C.</w:t>
            </w:r>
            <w:r w:rsidR="00BC78F5" w:rsidRPr="004737C5">
              <w:rPr>
                <w:rStyle w:val="Hyperlink"/>
                <w:rFonts w:cstheme="minorHAnsi"/>
                <w:noProof/>
              </w:rPr>
              <w:t xml:space="preserve"> Who is the consumer and what is the consumer interest?</w:t>
            </w:r>
            <w:r w:rsidR="00BC78F5" w:rsidRPr="004737C5">
              <w:rPr>
                <w:rFonts w:cstheme="minorHAnsi"/>
                <w:noProof/>
                <w:webHidden/>
              </w:rPr>
              <w:tab/>
            </w:r>
            <w:r w:rsidR="00880BCD" w:rsidRPr="004737C5">
              <w:rPr>
                <w:rFonts w:cstheme="minorHAnsi"/>
                <w:noProof/>
                <w:webHidden/>
              </w:rPr>
              <w:t>7</w:t>
            </w:r>
          </w:hyperlink>
        </w:p>
        <w:p w14:paraId="63F61D53" w14:textId="4391E121" w:rsidR="00BC78F5" w:rsidRPr="004737C5" w:rsidRDefault="00FB5819" w:rsidP="006D3BE8">
          <w:pPr>
            <w:pStyle w:val="TOC2"/>
            <w:tabs>
              <w:tab w:val="right" w:leader="dot" w:pos="9627"/>
            </w:tabs>
            <w:rPr>
              <w:rFonts w:eastAsiaTheme="minorEastAsia" w:cstheme="minorHAnsi"/>
              <w:noProof/>
              <w:lang w:eastAsia="zh-CN"/>
            </w:rPr>
          </w:pPr>
          <w:hyperlink w:anchor="_Toc492649965" w:history="1">
            <w:r w:rsidR="008848B8" w:rsidRPr="004737C5">
              <w:rPr>
                <w:rStyle w:val="Hyperlink"/>
                <w:rFonts w:cstheme="minorHAnsi"/>
                <w:noProof/>
              </w:rPr>
              <w:t>D.</w:t>
            </w:r>
            <w:r w:rsidR="00BC78F5" w:rsidRPr="004737C5">
              <w:rPr>
                <w:rStyle w:val="Hyperlink"/>
                <w:rFonts w:cstheme="minorHAnsi"/>
                <w:noProof/>
              </w:rPr>
              <w:t xml:space="preserve"> Who is responsible for consumer protection?</w:t>
            </w:r>
            <w:r w:rsidR="00BC78F5" w:rsidRPr="004737C5">
              <w:rPr>
                <w:rFonts w:cstheme="minorHAnsi"/>
                <w:noProof/>
                <w:webHidden/>
              </w:rPr>
              <w:tab/>
            </w:r>
            <w:r w:rsidR="00880BCD" w:rsidRPr="004737C5">
              <w:rPr>
                <w:rFonts w:cstheme="minorHAnsi"/>
                <w:noProof/>
                <w:webHidden/>
              </w:rPr>
              <w:t>8</w:t>
            </w:r>
          </w:hyperlink>
        </w:p>
        <w:p w14:paraId="73CFD5B0" w14:textId="77777777" w:rsidR="00BC78F5" w:rsidRPr="004737C5" w:rsidRDefault="00FB5819" w:rsidP="006D3BE8">
          <w:pPr>
            <w:pStyle w:val="TOC2"/>
            <w:tabs>
              <w:tab w:val="right" w:leader="dot" w:pos="9627"/>
            </w:tabs>
            <w:rPr>
              <w:rFonts w:eastAsiaTheme="minorEastAsia" w:cstheme="minorHAnsi"/>
              <w:noProof/>
              <w:lang w:eastAsia="zh-CN"/>
            </w:rPr>
          </w:pPr>
          <w:hyperlink w:anchor="_Toc492649966" w:history="1">
            <w:r w:rsidR="008848B8" w:rsidRPr="004737C5">
              <w:rPr>
                <w:rStyle w:val="Hyperlink"/>
                <w:rFonts w:cstheme="minorHAnsi"/>
                <w:noProof/>
              </w:rPr>
              <w:t>E.</w:t>
            </w:r>
            <w:r w:rsidR="00BC78F5" w:rsidRPr="004737C5">
              <w:rPr>
                <w:rStyle w:val="Hyperlink"/>
                <w:rFonts w:cstheme="minorHAnsi"/>
                <w:noProof/>
              </w:rPr>
              <w:t xml:space="preserve"> A framework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_Toc492649966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9</w:t>
            </w:r>
            <w:r w:rsidR="00BC78F5" w:rsidRPr="004737C5">
              <w:rPr>
                <w:rFonts w:cstheme="minorHAnsi"/>
                <w:noProof/>
                <w:webHidden/>
              </w:rPr>
              <w:fldChar w:fldCharType="end"/>
            </w:r>
          </w:hyperlink>
        </w:p>
        <w:p w14:paraId="0745A74B" w14:textId="2A06C357" w:rsidR="00BC78F5" w:rsidRPr="004737C5" w:rsidRDefault="00FB5819" w:rsidP="006D3BE8">
          <w:pPr>
            <w:pStyle w:val="TOC2"/>
            <w:tabs>
              <w:tab w:val="right" w:leader="dot" w:pos="9627"/>
            </w:tabs>
            <w:rPr>
              <w:rFonts w:eastAsiaTheme="minorEastAsia" w:cstheme="minorHAnsi"/>
              <w:noProof/>
              <w:lang w:eastAsia="zh-CN"/>
            </w:rPr>
          </w:pPr>
          <w:hyperlink w:anchor="_Toc492649967" w:history="1">
            <w:r w:rsidR="008848B8" w:rsidRPr="004737C5">
              <w:rPr>
                <w:rStyle w:val="Hyperlink"/>
                <w:rFonts w:cstheme="minorHAnsi"/>
                <w:noProof/>
              </w:rPr>
              <w:t>F.</w:t>
            </w:r>
            <w:r w:rsidR="00BC78F5" w:rsidRPr="004737C5">
              <w:rPr>
                <w:rStyle w:val="Hyperlink"/>
                <w:rFonts w:cstheme="minorHAnsi"/>
                <w:noProof/>
              </w:rPr>
              <w:t xml:space="preserve"> Conclusion</w:t>
            </w:r>
            <w:r w:rsidR="00BC78F5" w:rsidRPr="004737C5">
              <w:rPr>
                <w:rFonts w:cstheme="minorHAnsi"/>
                <w:noProof/>
                <w:webHidden/>
              </w:rPr>
              <w:tab/>
            </w:r>
            <w:r w:rsidR="00880BCD" w:rsidRPr="004737C5">
              <w:rPr>
                <w:rFonts w:cstheme="minorHAnsi"/>
                <w:noProof/>
                <w:webHidden/>
              </w:rPr>
              <w:t>11</w:t>
            </w:r>
          </w:hyperlink>
        </w:p>
        <w:p w14:paraId="162FA085" w14:textId="77777777" w:rsidR="00BC78F5" w:rsidRPr="004737C5" w:rsidRDefault="00FB5819" w:rsidP="006D3BE8">
          <w:pPr>
            <w:pStyle w:val="TOC1"/>
            <w:rPr>
              <w:rFonts w:eastAsiaTheme="minorEastAsia" w:cstheme="minorHAnsi"/>
              <w:noProof/>
              <w:lang w:eastAsia="zh-CN"/>
            </w:rPr>
          </w:pPr>
          <w:hyperlink w:anchor="_Toc492649968" w:history="1">
            <w:r w:rsidR="008848B8" w:rsidRPr="004737C5">
              <w:rPr>
                <w:rStyle w:val="Hyperlink"/>
                <w:rFonts w:cstheme="minorHAnsi"/>
                <w:noProof/>
              </w:rPr>
              <w:t>II.</w:t>
            </w:r>
            <w:r w:rsidR="00BC78F5" w:rsidRPr="004737C5">
              <w:rPr>
                <w:rStyle w:val="Hyperlink"/>
                <w:rFonts w:cstheme="minorHAnsi"/>
                <w:noProof/>
              </w:rPr>
              <w:t xml:space="preserve">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_Toc492649968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w:t>
            </w:r>
            <w:r w:rsidR="00BC78F5" w:rsidRPr="004737C5">
              <w:rPr>
                <w:rFonts w:cstheme="minorHAnsi"/>
                <w:noProof/>
                <w:webHidden/>
              </w:rPr>
              <w:fldChar w:fldCharType="end"/>
            </w:r>
          </w:hyperlink>
        </w:p>
        <w:p w14:paraId="3C2DD19A" w14:textId="77777777" w:rsidR="00BC78F5" w:rsidRPr="004737C5" w:rsidRDefault="00FB5819" w:rsidP="006D3BE8">
          <w:pPr>
            <w:pStyle w:val="TOC2"/>
            <w:tabs>
              <w:tab w:val="right" w:leader="dot" w:pos="9627"/>
            </w:tabs>
            <w:rPr>
              <w:rFonts w:eastAsiaTheme="minorEastAsia" w:cstheme="minorHAnsi"/>
              <w:noProof/>
              <w:lang w:eastAsia="zh-CN"/>
            </w:rPr>
          </w:pPr>
          <w:hyperlink w:anchor="_Toc492649969" w:history="1">
            <w:r w:rsidR="008848B8" w:rsidRPr="004737C5">
              <w:rPr>
                <w:rStyle w:val="Hyperlink"/>
                <w:rFonts w:cstheme="minorHAnsi"/>
                <w:noProof/>
              </w:rPr>
              <w:t>A.</w:t>
            </w:r>
            <w:r w:rsidR="00BC78F5" w:rsidRPr="004737C5">
              <w:rPr>
                <w:rStyle w:val="Hyperlink"/>
                <w:rFonts w:cstheme="minorHAnsi"/>
                <w:noProof/>
              </w:rPr>
              <w:t xml:space="preserve"> International instruments and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_Toc492649969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w:t>
            </w:r>
            <w:r w:rsidR="00BC78F5" w:rsidRPr="004737C5">
              <w:rPr>
                <w:rFonts w:cstheme="minorHAnsi"/>
                <w:noProof/>
                <w:webHidden/>
              </w:rPr>
              <w:fldChar w:fldCharType="end"/>
            </w:r>
          </w:hyperlink>
        </w:p>
        <w:p w14:paraId="1E5145AA" w14:textId="6C521641" w:rsidR="00BC78F5" w:rsidRPr="004737C5" w:rsidRDefault="00FB5819" w:rsidP="0071486B">
          <w:pPr>
            <w:pStyle w:val="TOC2"/>
            <w:tabs>
              <w:tab w:val="right" w:leader="dot" w:pos="9627"/>
            </w:tabs>
            <w:rPr>
              <w:rFonts w:eastAsiaTheme="minorEastAsia" w:cstheme="minorHAnsi"/>
              <w:noProof/>
              <w:lang w:eastAsia="zh-CN"/>
            </w:rPr>
          </w:pPr>
          <w:hyperlink w:anchor="_Toc492649970" w:history="1">
            <w:r w:rsidR="008848B8" w:rsidRPr="004737C5">
              <w:rPr>
                <w:rStyle w:val="Hyperlink"/>
                <w:rFonts w:cstheme="minorHAnsi"/>
                <w:noProof/>
              </w:rPr>
              <w:t>B.</w:t>
            </w:r>
            <w:r w:rsidR="00BC78F5" w:rsidRPr="004737C5">
              <w:rPr>
                <w:rStyle w:val="Hyperlink"/>
                <w:rFonts w:cstheme="minorHAnsi"/>
                <w:noProof/>
              </w:rPr>
              <w:t xml:space="preserve">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_Toc492649970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w:t>
            </w:r>
            <w:r w:rsidR="00BC78F5" w:rsidRPr="004737C5">
              <w:rPr>
                <w:rFonts w:cstheme="minorHAnsi"/>
                <w:noProof/>
                <w:webHidden/>
              </w:rPr>
              <w:fldChar w:fldCharType="end"/>
            </w:r>
          </w:hyperlink>
        </w:p>
        <w:p w14:paraId="2EEA3ED6" w14:textId="77777777" w:rsidR="00BC78F5" w:rsidRPr="004737C5" w:rsidRDefault="00FB5819" w:rsidP="006D3BE8">
          <w:pPr>
            <w:pStyle w:val="TOC2"/>
            <w:tabs>
              <w:tab w:val="right" w:leader="dot" w:pos="9627"/>
            </w:tabs>
            <w:rPr>
              <w:rFonts w:eastAsiaTheme="minorEastAsia" w:cstheme="minorHAnsi"/>
              <w:noProof/>
              <w:lang w:eastAsia="zh-CN"/>
            </w:rPr>
          </w:pPr>
          <w:hyperlink w:anchor="_Toc492649976" w:history="1">
            <w:r w:rsidR="008848B8" w:rsidRPr="004737C5">
              <w:rPr>
                <w:rStyle w:val="Hyperlink"/>
                <w:rFonts w:cstheme="minorHAnsi"/>
                <w:noProof/>
              </w:rPr>
              <w:t>C.</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_Toc492649976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20</w:t>
            </w:r>
            <w:r w:rsidR="00BC78F5" w:rsidRPr="004737C5">
              <w:rPr>
                <w:rFonts w:cstheme="minorHAnsi"/>
                <w:noProof/>
                <w:webHidden/>
              </w:rPr>
              <w:fldChar w:fldCharType="end"/>
            </w:r>
          </w:hyperlink>
        </w:p>
        <w:p w14:paraId="6B79546F" w14:textId="2690EAA5" w:rsidR="00BC78F5" w:rsidRPr="004737C5" w:rsidRDefault="00FB5819" w:rsidP="006D3BE8">
          <w:pPr>
            <w:pStyle w:val="TOC1"/>
            <w:rPr>
              <w:rFonts w:eastAsiaTheme="minorEastAsia" w:cstheme="minorHAnsi"/>
              <w:noProof/>
              <w:lang w:eastAsia="zh-CN"/>
            </w:rPr>
          </w:pPr>
          <w:hyperlink w:anchor="_Toc492649977" w:history="1">
            <w:r w:rsidR="008848B8" w:rsidRPr="004737C5">
              <w:rPr>
                <w:rStyle w:val="Hyperlink"/>
                <w:rFonts w:cstheme="minorHAnsi"/>
                <w:noProof/>
              </w:rPr>
              <w:t>III.</w:t>
            </w:r>
            <w:r w:rsidR="00BC78F5" w:rsidRPr="004737C5">
              <w:rPr>
                <w:rStyle w:val="Hyperlink"/>
                <w:rFonts w:cstheme="minorHAnsi"/>
                <w:noProof/>
              </w:rPr>
              <w:t xml:space="preserve"> C</w:t>
            </w:r>
            <w:r w:rsidR="008848B8" w:rsidRPr="004737C5">
              <w:rPr>
                <w:rStyle w:val="Hyperlink"/>
                <w:rFonts w:cstheme="minorHAnsi"/>
                <w:noProof/>
              </w:rPr>
              <w:t>onsumer l</w:t>
            </w:r>
            <w:r w:rsidR="00BC78F5" w:rsidRPr="004737C5">
              <w:rPr>
                <w:rStyle w:val="Hyperlink"/>
                <w:rFonts w:cstheme="minorHAnsi"/>
                <w:noProof/>
              </w:rPr>
              <w:t>aw</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_Toc492649977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22</w:t>
            </w:r>
            <w:r w:rsidR="00BC78F5" w:rsidRPr="004737C5">
              <w:rPr>
                <w:rFonts w:cstheme="minorHAnsi"/>
                <w:noProof/>
                <w:webHidden/>
              </w:rPr>
              <w:fldChar w:fldCharType="end"/>
            </w:r>
          </w:hyperlink>
        </w:p>
        <w:p w14:paraId="28A9051C" w14:textId="16DFA8AC" w:rsidR="00BC78F5" w:rsidRPr="004737C5" w:rsidRDefault="00FB5819" w:rsidP="006D3BE8">
          <w:pPr>
            <w:pStyle w:val="TOC2"/>
            <w:tabs>
              <w:tab w:val="right" w:leader="dot" w:pos="9627"/>
            </w:tabs>
            <w:rPr>
              <w:rFonts w:eastAsiaTheme="minorEastAsia" w:cstheme="minorHAnsi"/>
              <w:noProof/>
              <w:lang w:eastAsia="zh-CN"/>
            </w:rPr>
          </w:pPr>
          <w:hyperlink w:anchor="_Toc492649978" w:history="1">
            <w:r w:rsidR="008848B8" w:rsidRPr="004737C5">
              <w:rPr>
                <w:rStyle w:val="Hyperlink"/>
                <w:rFonts w:cstheme="minorHAnsi"/>
                <w:noProof/>
              </w:rPr>
              <w:t>A.</w:t>
            </w:r>
            <w:r w:rsidR="00BC78F5" w:rsidRPr="004737C5">
              <w:rPr>
                <w:rStyle w:val="Hyperlink"/>
                <w:rFonts w:cstheme="minorHAnsi"/>
                <w:noProof/>
              </w:rPr>
              <w:t xml:space="preserve"> Consumer law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_Toc492649978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22</w:t>
            </w:r>
            <w:r w:rsidR="00BC78F5" w:rsidRPr="004737C5">
              <w:rPr>
                <w:rFonts w:cstheme="minorHAnsi"/>
                <w:noProof/>
                <w:webHidden/>
              </w:rPr>
              <w:fldChar w:fldCharType="end"/>
            </w:r>
          </w:hyperlink>
        </w:p>
        <w:p w14:paraId="7735D477" w14:textId="7BD78599" w:rsidR="00BC78F5" w:rsidRPr="004737C5" w:rsidRDefault="00FB5819" w:rsidP="006D3BE8">
          <w:pPr>
            <w:pStyle w:val="TOC2"/>
            <w:tabs>
              <w:tab w:val="right" w:leader="dot" w:pos="9627"/>
            </w:tabs>
            <w:rPr>
              <w:rFonts w:eastAsiaTheme="minorEastAsia" w:cstheme="minorHAnsi"/>
              <w:noProof/>
              <w:lang w:eastAsia="zh-CN"/>
            </w:rPr>
          </w:pPr>
          <w:hyperlink w:anchor="_Toc492649979" w:history="1">
            <w:r w:rsidR="008848B8" w:rsidRPr="004737C5">
              <w:rPr>
                <w:rStyle w:val="Hyperlink"/>
                <w:rFonts w:cstheme="minorHAnsi"/>
                <w:noProof/>
              </w:rPr>
              <w:t>B.</w:t>
            </w:r>
            <w:r w:rsidR="00BC78F5" w:rsidRPr="004737C5">
              <w:rPr>
                <w:rStyle w:val="Hyperlink"/>
                <w:rFonts w:cstheme="minorHAnsi"/>
                <w:noProof/>
              </w:rPr>
              <w:t xml:space="preserve"> Constitutional provisions on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_Toc492649979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22</w:t>
            </w:r>
            <w:r w:rsidR="00BC78F5" w:rsidRPr="004737C5">
              <w:rPr>
                <w:rFonts w:cstheme="minorHAnsi"/>
                <w:noProof/>
                <w:webHidden/>
              </w:rPr>
              <w:fldChar w:fldCharType="end"/>
            </w:r>
          </w:hyperlink>
        </w:p>
        <w:p w14:paraId="6724DC81" w14:textId="77777777" w:rsidR="00BC78F5" w:rsidRPr="004737C5" w:rsidRDefault="00FB5819" w:rsidP="006D3BE8">
          <w:pPr>
            <w:pStyle w:val="TOC2"/>
            <w:tabs>
              <w:tab w:val="right" w:leader="dot" w:pos="9627"/>
            </w:tabs>
            <w:rPr>
              <w:rFonts w:eastAsiaTheme="minorEastAsia" w:cstheme="minorHAnsi"/>
              <w:noProof/>
              <w:lang w:eastAsia="zh-CN"/>
            </w:rPr>
          </w:pPr>
          <w:hyperlink w:anchor="_Toc492649980" w:history="1">
            <w:r w:rsidR="008848B8" w:rsidRPr="004737C5">
              <w:rPr>
                <w:rStyle w:val="Hyperlink"/>
                <w:rFonts w:cstheme="minorHAnsi"/>
                <w:noProof/>
              </w:rPr>
              <w:t>C.</w:t>
            </w:r>
            <w:r w:rsidR="00BC78F5" w:rsidRPr="004737C5">
              <w:rPr>
                <w:rStyle w:val="Hyperlink"/>
                <w:rFonts w:cstheme="minorHAnsi"/>
                <w:noProof/>
              </w:rPr>
              <w:t xml:space="preserve"> Framework consumer protection laws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_Toc492649980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24</w:t>
            </w:r>
            <w:r w:rsidR="00BC78F5" w:rsidRPr="004737C5">
              <w:rPr>
                <w:rFonts w:cstheme="minorHAnsi"/>
                <w:noProof/>
                <w:webHidden/>
              </w:rPr>
              <w:fldChar w:fldCharType="end"/>
            </w:r>
          </w:hyperlink>
        </w:p>
        <w:p w14:paraId="0C2C23B2" w14:textId="31462EBF" w:rsidR="00BC78F5" w:rsidRPr="004737C5" w:rsidRDefault="00FB5819" w:rsidP="006D3BE8">
          <w:pPr>
            <w:pStyle w:val="TOC2"/>
            <w:tabs>
              <w:tab w:val="right" w:leader="dot" w:pos="9627"/>
            </w:tabs>
            <w:rPr>
              <w:rFonts w:eastAsiaTheme="minorEastAsia" w:cstheme="minorHAnsi"/>
              <w:noProof/>
              <w:lang w:eastAsia="zh-CN"/>
            </w:rPr>
          </w:pPr>
          <w:hyperlink w:anchor="_Toc492649981" w:history="1">
            <w:r w:rsidR="008848B8" w:rsidRPr="004737C5">
              <w:rPr>
                <w:rStyle w:val="Hyperlink"/>
                <w:rFonts w:cstheme="minorHAnsi"/>
                <w:noProof/>
              </w:rPr>
              <w:t>D.</w:t>
            </w:r>
            <w:r w:rsidR="00BC78F5" w:rsidRPr="004737C5">
              <w:rPr>
                <w:rStyle w:val="Hyperlink"/>
                <w:rFonts w:cstheme="minorHAnsi"/>
                <w:noProof/>
              </w:rPr>
              <w:t xml:space="preserve"> Interface between consumer laws and other laws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_Toc492649981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26</w:t>
            </w:r>
            <w:r w:rsidR="00BC78F5" w:rsidRPr="004737C5">
              <w:rPr>
                <w:rFonts w:cstheme="minorHAnsi"/>
                <w:noProof/>
                <w:webHidden/>
              </w:rPr>
              <w:fldChar w:fldCharType="end"/>
            </w:r>
          </w:hyperlink>
        </w:p>
        <w:p w14:paraId="50143A6B" w14:textId="6F3A92FA" w:rsidR="00BC78F5" w:rsidRPr="004737C5" w:rsidRDefault="00FB5819" w:rsidP="006D3BE8">
          <w:pPr>
            <w:pStyle w:val="TOC2"/>
            <w:tabs>
              <w:tab w:val="right" w:leader="dot" w:pos="9627"/>
            </w:tabs>
            <w:rPr>
              <w:rFonts w:eastAsiaTheme="minorEastAsia" w:cstheme="minorHAnsi"/>
              <w:noProof/>
              <w:lang w:eastAsia="zh-CN"/>
            </w:rPr>
          </w:pPr>
          <w:hyperlink w:anchor="_Toc492649986" w:history="1">
            <w:r w:rsidR="008848B8" w:rsidRPr="004737C5">
              <w:rPr>
                <w:rStyle w:val="Hyperlink"/>
                <w:rFonts w:cstheme="minorHAnsi"/>
                <w:noProof/>
              </w:rPr>
              <w:t>E.</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_Toc492649986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29</w:t>
            </w:r>
            <w:r w:rsidR="00BC78F5" w:rsidRPr="004737C5">
              <w:rPr>
                <w:rFonts w:cstheme="minorHAnsi"/>
                <w:noProof/>
                <w:webHidden/>
              </w:rPr>
              <w:fldChar w:fldCharType="end"/>
            </w:r>
          </w:hyperlink>
        </w:p>
        <w:p w14:paraId="3311F682" w14:textId="0E4CECA0" w:rsidR="00BC78F5" w:rsidRPr="004737C5" w:rsidRDefault="00FB5819" w:rsidP="006D3BE8">
          <w:pPr>
            <w:pStyle w:val="TOC1"/>
            <w:rPr>
              <w:rFonts w:eastAsiaTheme="minorEastAsia" w:cstheme="minorHAnsi"/>
              <w:noProof/>
              <w:lang w:eastAsia="zh-CN"/>
            </w:rPr>
          </w:pPr>
          <w:hyperlink w:anchor="_Toc492649987" w:history="1">
            <w:r w:rsidR="008848B8" w:rsidRPr="004737C5">
              <w:rPr>
                <w:rStyle w:val="Hyperlink"/>
                <w:rFonts w:cstheme="minorHAnsi"/>
                <w:noProof/>
              </w:rPr>
              <w:t>IV. Consumer protection a</w:t>
            </w:r>
            <w:r w:rsidR="00BC78F5" w:rsidRPr="004737C5">
              <w:rPr>
                <w:rStyle w:val="Hyperlink"/>
                <w:rFonts w:cstheme="minorHAnsi"/>
                <w:noProof/>
              </w:rPr>
              <w:t>gencies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_Toc492649987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31</w:t>
            </w:r>
            <w:r w:rsidR="00BC78F5" w:rsidRPr="004737C5">
              <w:rPr>
                <w:rFonts w:cstheme="minorHAnsi"/>
                <w:noProof/>
                <w:webHidden/>
              </w:rPr>
              <w:fldChar w:fldCharType="end"/>
            </w:r>
          </w:hyperlink>
        </w:p>
        <w:p w14:paraId="532AB8AF" w14:textId="0F6732EB" w:rsidR="00BC78F5" w:rsidRPr="004737C5" w:rsidRDefault="00FB5819" w:rsidP="006D3BE8">
          <w:pPr>
            <w:pStyle w:val="TOC2"/>
            <w:tabs>
              <w:tab w:val="right" w:leader="dot" w:pos="9627"/>
            </w:tabs>
            <w:rPr>
              <w:rFonts w:eastAsiaTheme="minorEastAsia" w:cstheme="minorHAnsi"/>
              <w:noProof/>
              <w:lang w:eastAsia="zh-CN"/>
            </w:rPr>
          </w:pPr>
          <w:hyperlink w:anchor="_Toc492649988" w:history="1">
            <w:r w:rsidR="008848B8" w:rsidRPr="004737C5">
              <w:rPr>
                <w:rStyle w:val="Hyperlink"/>
                <w:rFonts w:cstheme="minorHAnsi"/>
                <w:noProof/>
              </w:rPr>
              <w:t>A.</w:t>
            </w:r>
            <w:r w:rsidR="00BC78F5" w:rsidRPr="004737C5">
              <w:rPr>
                <w:rStyle w:val="Hyperlink"/>
                <w:rFonts w:cstheme="minorHAnsi"/>
                <w:noProof/>
              </w:rPr>
              <w:t xml:space="preserve"> Consumer protection agencies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_Toc492649988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31</w:t>
            </w:r>
            <w:r w:rsidR="00BC78F5" w:rsidRPr="004737C5">
              <w:rPr>
                <w:rFonts w:cstheme="minorHAnsi"/>
                <w:noProof/>
                <w:webHidden/>
              </w:rPr>
              <w:fldChar w:fldCharType="end"/>
            </w:r>
          </w:hyperlink>
        </w:p>
        <w:p w14:paraId="28FBFB26" w14:textId="257E1851" w:rsidR="00BC78F5" w:rsidRPr="004737C5" w:rsidRDefault="00FB5819" w:rsidP="006D3BE8">
          <w:pPr>
            <w:pStyle w:val="TOC2"/>
            <w:tabs>
              <w:tab w:val="right" w:leader="dot" w:pos="9627"/>
            </w:tabs>
            <w:rPr>
              <w:rFonts w:eastAsiaTheme="minorEastAsia" w:cstheme="minorHAnsi"/>
              <w:noProof/>
              <w:lang w:eastAsia="zh-CN"/>
            </w:rPr>
          </w:pPr>
          <w:hyperlink w:anchor="_Toc492649989" w:history="1">
            <w:r w:rsidR="008848B8" w:rsidRPr="004737C5">
              <w:rPr>
                <w:rStyle w:val="Hyperlink"/>
                <w:rFonts w:cstheme="minorHAnsi"/>
                <w:noProof/>
              </w:rPr>
              <w:t>B.</w:t>
            </w:r>
            <w:r w:rsidR="00BC78F5" w:rsidRPr="004737C5">
              <w:rPr>
                <w:rStyle w:val="Hyperlink"/>
                <w:rFonts w:cstheme="minorHAnsi"/>
                <w:noProof/>
              </w:rPr>
              <w:t xml:space="preserve"> Functions of consumer protection agencies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_Toc492649989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31</w:t>
            </w:r>
            <w:r w:rsidR="00BC78F5" w:rsidRPr="004737C5">
              <w:rPr>
                <w:rFonts w:cstheme="minorHAnsi"/>
                <w:noProof/>
                <w:webHidden/>
              </w:rPr>
              <w:fldChar w:fldCharType="end"/>
            </w:r>
          </w:hyperlink>
        </w:p>
        <w:p w14:paraId="65DEB805" w14:textId="58D69BE6" w:rsidR="00BC78F5" w:rsidRPr="004737C5" w:rsidRDefault="00FB5819" w:rsidP="00B40BB0">
          <w:pPr>
            <w:pStyle w:val="TOC2"/>
            <w:tabs>
              <w:tab w:val="right" w:leader="dot" w:pos="9627"/>
            </w:tabs>
            <w:rPr>
              <w:rFonts w:eastAsiaTheme="minorEastAsia" w:cstheme="minorHAnsi"/>
              <w:noProof/>
              <w:lang w:eastAsia="zh-CN"/>
            </w:rPr>
          </w:pPr>
          <w:hyperlink w:anchor="_Toc492649990" w:history="1">
            <w:r w:rsidR="008848B8" w:rsidRPr="004737C5">
              <w:rPr>
                <w:rStyle w:val="Hyperlink"/>
                <w:rFonts w:cstheme="minorHAnsi"/>
                <w:noProof/>
              </w:rPr>
              <w:t>C.</w:t>
            </w:r>
            <w:r w:rsidR="00BC78F5" w:rsidRPr="004737C5">
              <w:rPr>
                <w:rStyle w:val="Hyperlink"/>
                <w:rFonts w:cstheme="minorHAnsi"/>
                <w:noProof/>
              </w:rPr>
              <w:t xml:space="preserve"> Organizational models for consumer protection agencies</w:t>
            </w:r>
            <w:r w:rsidR="00BC78F5" w:rsidRPr="004737C5">
              <w:rPr>
                <w:rFonts w:cstheme="minorHAnsi"/>
                <w:noProof/>
                <w:webHidden/>
              </w:rPr>
              <w:tab/>
            </w:r>
            <w:r w:rsidR="00880BCD" w:rsidRPr="004737C5">
              <w:rPr>
                <w:rFonts w:cstheme="minorHAnsi"/>
                <w:noProof/>
                <w:webHidden/>
              </w:rPr>
              <w:t>3</w:t>
            </w:r>
            <w:r w:rsidR="00B40BB0">
              <w:rPr>
                <w:rFonts w:cstheme="minorHAnsi"/>
                <w:noProof/>
                <w:webHidden/>
              </w:rPr>
              <w:t>2</w:t>
            </w:r>
          </w:hyperlink>
        </w:p>
        <w:p w14:paraId="361C0CF4" w14:textId="55C3F96A" w:rsidR="00BC78F5" w:rsidRPr="004737C5" w:rsidRDefault="00FB5819" w:rsidP="006D3BE8">
          <w:pPr>
            <w:pStyle w:val="TOC2"/>
            <w:tabs>
              <w:tab w:val="right" w:leader="dot" w:pos="9627"/>
            </w:tabs>
            <w:rPr>
              <w:rFonts w:eastAsiaTheme="minorEastAsia" w:cstheme="minorHAnsi"/>
              <w:noProof/>
              <w:lang w:eastAsia="zh-CN"/>
            </w:rPr>
          </w:pPr>
          <w:hyperlink w:anchor="_Toc492649996" w:history="1">
            <w:r w:rsidR="008848B8" w:rsidRPr="004737C5">
              <w:rPr>
                <w:rStyle w:val="Hyperlink"/>
                <w:rFonts w:cstheme="minorHAnsi"/>
                <w:noProof/>
              </w:rPr>
              <w:t>D.</w:t>
            </w:r>
            <w:r w:rsidR="00BC78F5" w:rsidRPr="004737C5">
              <w:rPr>
                <w:rStyle w:val="Hyperlink"/>
                <w:rFonts w:cstheme="minorHAnsi"/>
                <w:noProof/>
              </w:rPr>
              <w:t xml:space="preserve"> The changing scope of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_Toc492649996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37</w:t>
            </w:r>
            <w:r w:rsidR="00BC78F5" w:rsidRPr="004737C5">
              <w:rPr>
                <w:rFonts w:cstheme="minorHAnsi"/>
                <w:noProof/>
                <w:webHidden/>
              </w:rPr>
              <w:fldChar w:fldCharType="end"/>
            </w:r>
          </w:hyperlink>
        </w:p>
        <w:p w14:paraId="6D29C3A1" w14:textId="74554E12" w:rsidR="00BC78F5" w:rsidRPr="004737C5" w:rsidRDefault="00FB5819" w:rsidP="006D3BE8">
          <w:pPr>
            <w:pStyle w:val="TOC2"/>
            <w:tabs>
              <w:tab w:val="right" w:leader="dot" w:pos="9627"/>
            </w:tabs>
            <w:rPr>
              <w:rFonts w:eastAsiaTheme="minorEastAsia" w:cstheme="minorHAnsi"/>
              <w:noProof/>
              <w:lang w:eastAsia="zh-CN"/>
            </w:rPr>
          </w:pPr>
          <w:hyperlink w:anchor="_Toc492649997" w:history="1">
            <w:r w:rsidR="008848B8" w:rsidRPr="004737C5">
              <w:rPr>
                <w:rStyle w:val="Hyperlink"/>
                <w:rFonts w:cstheme="minorHAnsi"/>
                <w:noProof/>
              </w:rPr>
              <w:t>E.</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_Toc492649997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38</w:t>
            </w:r>
            <w:r w:rsidR="00BC78F5" w:rsidRPr="004737C5">
              <w:rPr>
                <w:rFonts w:cstheme="minorHAnsi"/>
                <w:noProof/>
                <w:webHidden/>
              </w:rPr>
              <w:fldChar w:fldCharType="end"/>
            </w:r>
          </w:hyperlink>
        </w:p>
        <w:p w14:paraId="7642F344" w14:textId="4074084C" w:rsidR="00BC78F5" w:rsidRPr="004737C5" w:rsidRDefault="00FB5819" w:rsidP="006D3BE8">
          <w:pPr>
            <w:pStyle w:val="TOC1"/>
            <w:rPr>
              <w:rFonts w:eastAsiaTheme="minorEastAsia" w:cstheme="minorHAnsi"/>
              <w:noProof/>
              <w:lang w:eastAsia="zh-CN"/>
            </w:rPr>
          </w:pPr>
          <w:hyperlink w:anchor="_Toc492649998" w:history="1">
            <w:r w:rsidR="008848B8" w:rsidRPr="004737C5">
              <w:rPr>
                <w:rStyle w:val="Hyperlink"/>
                <w:rFonts w:cstheme="minorHAnsi"/>
                <w:noProof/>
              </w:rPr>
              <w:t>V. Consumer a</w:t>
            </w:r>
            <w:r w:rsidR="00BC78F5" w:rsidRPr="004737C5">
              <w:rPr>
                <w:rStyle w:val="Hyperlink"/>
                <w:rFonts w:cstheme="minorHAnsi"/>
                <w:noProof/>
              </w:rPr>
              <w:t>ssociations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_Toc492649998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39</w:t>
            </w:r>
            <w:r w:rsidR="00BC78F5" w:rsidRPr="004737C5">
              <w:rPr>
                <w:rFonts w:cstheme="minorHAnsi"/>
                <w:noProof/>
                <w:webHidden/>
              </w:rPr>
              <w:fldChar w:fldCharType="end"/>
            </w:r>
          </w:hyperlink>
        </w:p>
        <w:p w14:paraId="017B7A9B" w14:textId="752CEAEC" w:rsidR="00BC78F5" w:rsidRPr="004737C5" w:rsidRDefault="00FB5819" w:rsidP="006D3BE8">
          <w:pPr>
            <w:pStyle w:val="TOC2"/>
            <w:tabs>
              <w:tab w:val="right" w:leader="dot" w:pos="9627"/>
            </w:tabs>
            <w:rPr>
              <w:rFonts w:eastAsiaTheme="minorEastAsia" w:cstheme="minorHAnsi"/>
              <w:noProof/>
              <w:lang w:eastAsia="zh-CN"/>
            </w:rPr>
          </w:pPr>
          <w:hyperlink w:anchor="_Toc492649999" w:history="1">
            <w:r w:rsidR="008848B8" w:rsidRPr="004737C5">
              <w:rPr>
                <w:rStyle w:val="Hyperlink"/>
                <w:rFonts w:cstheme="minorHAnsi"/>
                <w:noProof/>
              </w:rPr>
              <w:t>A.</w:t>
            </w:r>
            <w:r w:rsidR="00BC78F5" w:rsidRPr="004737C5">
              <w:rPr>
                <w:rStyle w:val="Hyperlink"/>
                <w:rFonts w:cstheme="minorHAnsi"/>
                <w:noProof/>
              </w:rPr>
              <w:t xml:space="preserve"> Consumer associations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_Toc492649999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39</w:t>
            </w:r>
            <w:r w:rsidR="00BC78F5" w:rsidRPr="004737C5">
              <w:rPr>
                <w:rFonts w:cstheme="minorHAnsi"/>
                <w:noProof/>
                <w:webHidden/>
              </w:rPr>
              <w:fldChar w:fldCharType="end"/>
            </w:r>
          </w:hyperlink>
        </w:p>
        <w:p w14:paraId="791B4C5E" w14:textId="4DF617C0" w:rsidR="00BC78F5" w:rsidRPr="004737C5" w:rsidRDefault="00FB5819" w:rsidP="006D3BE8">
          <w:pPr>
            <w:pStyle w:val="TOC2"/>
            <w:tabs>
              <w:tab w:val="right" w:leader="dot" w:pos="9627"/>
            </w:tabs>
            <w:rPr>
              <w:rFonts w:eastAsiaTheme="minorEastAsia" w:cstheme="minorHAnsi"/>
              <w:noProof/>
              <w:lang w:eastAsia="zh-CN"/>
            </w:rPr>
          </w:pPr>
          <w:hyperlink w:anchor="_Toc492650000" w:history="1">
            <w:r w:rsidR="008848B8" w:rsidRPr="004737C5">
              <w:rPr>
                <w:rStyle w:val="Hyperlink"/>
                <w:rFonts w:cstheme="minorHAnsi"/>
                <w:noProof/>
              </w:rPr>
              <w:t>B.</w:t>
            </w:r>
            <w:r w:rsidR="00BC78F5" w:rsidRPr="004737C5">
              <w:rPr>
                <w:rStyle w:val="Hyperlink"/>
                <w:rFonts w:cstheme="minorHAnsi"/>
                <w:noProof/>
              </w:rPr>
              <w:t xml:space="preserve"> Consumer associations in the modern economy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_Toc492650000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39</w:t>
            </w:r>
            <w:r w:rsidR="00BC78F5" w:rsidRPr="004737C5">
              <w:rPr>
                <w:rFonts w:cstheme="minorHAnsi"/>
                <w:noProof/>
                <w:webHidden/>
              </w:rPr>
              <w:fldChar w:fldCharType="end"/>
            </w:r>
          </w:hyperlink>
        </w:p>
        <w:p w14:paraId="274DBDF8" w14:textId="1B292A13" w:rsidR="00BC78F5" w:rsidRPr="004737C5" w:rsidRDefault="00FB5819" w:rsidP="006D3BE8">
          <w:pPr>
            <w:pStyle w:val="TOC2"/>
            <w:tabs>
              <w:tab w:val="right" w:leader="dot" w:pos="9627"/>
            </w:tabs>
            <w:rPr>
              <w:rFonts w:eastAsiaTheme="minorEastAsia" w:cstheme="minorHAnsi"/>
              <w:noProof/>
              <w:lang w:eastAsia="zh-CN"/>
            </w:rPr>
          </w:pPr>
          <w:hyperlink w:anchor="_Toc492650001" w:history="1">
            <w:r w:rsidR="008848B8" w:rsidRPr="004737C5">
              <w:rPr>
                <w:rStyle w:val="Hyperlink"/>
                <w:rFonts w:cstheme="minorHAnsi"/>
                <w:noProof/>
              </w:rPr>
              <w:t>C.</w:t>
            </w:r>
            <w:r w:rsidR="00BC78F5" w:rsidRPr="004737C5">
              <w:rPr>
                <w:rStyle w:val="Hyperlink"/>
                <w:rFonts w:cstheme="minorHAnsi"/>
                <w:noProof/>
              </w:rPr>
              <w:t xml:space="preserve"> The functions of consumer associations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_Toc492650001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41</w:t>
            </w:r>
            <w:r w:rsidR="00BC78F5" w:rsidRPr="004737C5">
              <w:rPr>
                <w:rFonts w:cstheme="minorHAnsi"/>
                <w:noProof/>
                <w:webHidden/>
              </w:rPr>
              <w:fldChar w:fldCharType="end"/>
            </w:r>
          </w:hyperlink>
        </w:p>
        <w:p w14:paraId="6C7D8FDC" w14:textId="7F278C25" w:rsidR="00BC78F5" w:rsidRPr="004737C5" w:rsidRDefault="00FB5819" w:rsidP="00D82918">
          <w:pPr>
            <w:pStyle w:val="TOC2"/>
            <w:tabs>
              <w:tab w:val="right" w:leader="dot" w:pos="9627"/>
            </w:tabs>
            <w:rPr>
              <w:rFonts w:eastAsiaTheme="minorEastAsia" w:cstheme="minorHAnsi"/>
              <w:noProof/>
              <w:lang w:eastAsia="zh-CN"/>
            </w:rPr>
          </w:pPr>
          <w:hyperlink w:anchor="_Toc492650002" w:history="1">
            <w:r w:rsidR="00B010A6" w:rsidRPr="004737C5">
              <w:rPr>
                <w:rStyle w:val="Hyperlink"/>
                <w:rFonts w:cstheme="minorHAnsi"/>
                <w:noProof/>
              </w:rPr>
              <w:t>D. The independence of consumer associations</w:t>
            </w:r>
            <w:r w:rsidR="00BC78F5" w:rsidRPr="004737C5">
              <w:rPr>
                <w:rFonts w:cstheme="minorHAnsi"/>
                <w:noProof/>
                <w:webHidden/>
              </w:rPr>
              <w:tab/>
            </w:r>
            <w:r w:rsidR="00B010A6" w:rsidRPr="004737C5">
              <w:rPr>
                <w:rFonts w:cstheme="minorHAnsi"/>
                <w:noProof/>
                <w:webHidden/>
              </w:rPr>
              <w:t>4</w:t>
            </w:r>
            <w:r w:rsidR="00D82918" w:rsidRPr="004737C5">
              <w:rPr>
                <w:rFonts w:cstheme="minorHAnsi"/>
                <w:noProof/>
                <w:webHidden/>
              </w:rPr>
              <w:t>2</w:t>
            </w:r>
          </w:hyperlink>
        </w:p>
        <w:p w14:paraId="2804D0AD" w14:textId="2A0B3E38" w:rsidR="00BC78F5" w:rsidRPr="004737C5" w:rsidRDefault="00FB5819" w:rsidP="00D82918">
          <w:pPr>
            <w:pStyle w:val="TOC2"/>
            <w:tabs>
              <w:tab w:val="right" w:leader="dot" w:pos="9627"/>
            </w:tabs>
            <w:rPr>
              <w:rFonts w:eastAsiaTheme="minorEastAsia" w:cstheme="minorHAnsi"/>
              <w:noProof/>
              <w:lang w:eastAsia="zh-CN"/>
            </w:rPr>
          </w:pPr>
          <w:hyperlink w:anchor="_Toc492650003" w:history="1">
            <w:r w:rsidR="00B010A6" w:rsidRPr="004737C5">
              <w:rPr>
                <w:rStyle w:val="Hyperlink"/>
                <w:rFonts w:cstheme="minorHAnsi"/>
                <w:noProof/>
              </w:rPr>
              <w:t>E. The representativeness of consumer associations</w:t>
            </w:r>
            <w:r w:rsidR="00BC78F5" w:rsidRPr="004737C5">
              <w:rPr>
                <w:rFonts w:cstheme="minorHAnsi"/>
                <w:noProof/>
                <w:webHidden/>
              </w:rPr>
              <w:tab/>
            </w:r>
            <w:r w:rsidR="00B010A6" w:rsidRPr="004737C5">
              <w:rPr>
                <w:rFonts w:cstheme="minorHAnsi"/>
                <w:noProof/>
                <w:webHidden/>
              </w:rPr>
              <w:t>4</w:t>
            </w:r>
            <w:r w:rsidR="00D82918" w:rsidRPr="004737C5">
              <w:rPr>
                <w:rFonts w:cstheme="minorHAnsi"/>
                <w:noProof/>
                <w:webHidden/>
              </w:rPr>
              <w:t>3</w:t>
            </w:r>
          </w:hyperlink>
        </w:p>
        <w:p w14:paraId="5BC64A19" w14:textId="68B9A8C8" w:rsidR="00BC78F5" w:rsidRPr="004737C5" w:rsidRDefault="00FB5819" w:rsidP="006D3BE8">
          <w:pPr>
            <w:pStyle w:val="TOC2"/>
            <w:tabs>
              <w:tab w:val="right" w:leader="dot" w:pos="9627"/>
            </w:tabs>
            <w:rPr>
              <w:rFonts w:eastAsiaTheme="minorEastAsia" w:cstheme="minorHAnsi"/>
              <w:noProof/>
              <w:lang w:eastAsia="zh-CN"/>
            </w:rPr>
          </w:pPr>
          <w:hyperlink w:anchor="_Toc492650004" w:history="1">
            <w:r w:rsidR="008848B8" w:rsidRPr="004737C5">
              <w:rPr>
                <w:rStyle w:val="Hyperlink"/>
                <w:rFonts w:cstheme="minorHAnsi"/>
                <w:noProof/>
              </w:rPr>
              <w:t>F.</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_Toc492650004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45</w:t>
            </w:r>
            <w:r w:rsidR="00BC78F5" w:rsidRPr="004737C5">
              <w:rPr>
                <w:rFonts w:cstheme="minorHAnsi"/>
                <w:noProof/>
                <w:webHidden/>
              </w:rPr>
              <w:fldChar w:fldCharType="end"/>
            </w:r>
          </w:hyperlink>
        </w:p>
        <w:p w14:paraId="61158556" w14:textId="7FDDC80A" w:rsidR="00BC78F5" w:rsidRPr="004737C5" w:rsidRDefault="00FB5819" w:rsidP="006D3BE8">
          <w:pPr>
            <w:pStyle w:val="TOC1"/>
            <w:rPr>
              <w:rFonts w:eastAsiaTheme="minorEastAsia" w:cstheme="minorHAnsi"/>
              <w:noProof/>
              <w:lang w:eastAsia="zh-CN"/>
            </w:rPr>
          </w:pPr>
          <w:hyperlink w:anchor="_Toc492650005" w:history="1">
            <w:r w:rsidR="008848B8" w:rsidRPr="004737C5">
              <w:rPr>
                <w:rStyle w:val="Hyperlink"/>
                <w:rFonts w:cstheme="minorHAnsi"/>
                <w:noProof/>
              </w:rPr>
              <w:t>VI.</w:t>
            </w:r>
            <w:r w:rsidR="00BC78F5" w:rsidRPr="004737C5">
              <w:rPr>
                <w:rStyle w:val="Hyperlink"/>
                <w:rFonts w:cstheme="minorHAnsi"/>
                <w:noProof/>
              </w:rPr>
              <w:t xml:space="preserve"> Business conduct</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_Toc492650005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46</w:t>
            </w:r>
            <w:r w:rsidR="00BC78F5" w:rsidRPr="004737C5">
              <w:rPr>
                <w:rFonts w:cstheme="minorHAnsi"/>
                <w:noProof/>
                <w:webHidden/>
              </w:rPr>
              <w:fldChar w:fldCharType="end"/>
            </w:r>
          </w:hyperlink>
        </w:p>
        <w:p w14:paraId="11A90F6F" w14:textId="7D7EC5FB" w:rsidR="00BC78F5" w:rsidRPr="004737C5" w:rsidRDefault="00FB5819" w:rsidP="006D3BE8">
          <w:pPr>
            <w:pStyle w:val="TOC2"/>
            <w:tabs>
              <w:tab w:val="right" w:leader="dot" w:pos="9627"/>
            </w:tabs>
            <w:rPr>
              <w:rFonts w:eastAsiaTheme="minorEastAsia" w:cstheme="minorHAnsi"/>
              <w:noProof/>
              <w:lang w:eastAsia="zh-CN"/>
            </w:rPr>
          </w:pPr>
          <w:hyperlink w:anchor="_Toc492650006" w:history="1">
            <w:r w:rsidR="008848B8" w:rsidRPr="004737C5">
              <w:rPr>
                <w:rStyle w:val="Hyperlink"/>
                <w:rFonts w:cstheme="minorHAnsi"/>
                <w:noProof/>
              </w:rPr>
              <w:t>A.</w:t>
            </w:r>
            <w:r w:rsidR="00BC78F5" w:rsidRPr="004737C5">
              <w:rPr>
                <w:rStyle w:val="Hyperlink"/>
                <w:rFonts w:cstheme="minorHAnsi"/>
                <w:noProof/>
              </w:rPr>
              <w:t xml:space="preserve"> Business conduct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_Toc492650006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46</w:t>
            </w:r>
            <w:r w:rsidR="00BC78F5" w:rsidRPr="004737C5">
              <w:rPr>
                <w:rFonts w:cstheme="minorHAnsi"/>
                <w:noProof/>
                <w:webHidden/>
              </w:rPr>
              <w:fldChar w:fldCharType="end"/>
            </w:r>
          </w:hyperlink>
        </w:p>
        <w:p w14:paraId="1DC1CAFA" w14:textId="5B923782" w:rsidR="00BC78F5" w:rsidRPr="004737C5" w:rsidRDefault="00FB5819" w:rsidP="006D3BE8">
          <w:pPr>
            <w:pStyle w:val="TOC2"/>
            <w:tabs>
              <w:tab w:val="right" w:leader="dot" w:pos="9627"/>
            </w:tabs>
            <w:rPr>
              <w:rFonts w:eastAsiaTheme="minorEastAsia" w:cstheme="minorHAnsi"/>
              <w:noProof/>
              <w:lang w:eastAsia="zh-CN"/>
            </w:rPr>
          </w:pPr>
          <w:hyperlink w:anchor="_Toc492650007" w:history="1">
            <w:r w:rsidR="008848B8" w:rsidRPr="004737C5">
              <w:rPr>
                <w:rStyle w:val="Hyperlink"/>
                <w:rFonts w:cstheme="minorHAnsi"/>
                <w:noProof/>
              </w:rPr>
              <w:t>B.</w:t>
            </w:r>
            <w:r w:rsidR="00BC78F5" w:rsidRPr="004737C5">
              <w:rPr>
                <w:rStyle w:val="Hyperlink"/>
                <w:rFonts w:cstheme="minorHAnsi"/>
                <w:noProof/>
              </w:rPr>
              <w:t xml:space="preserve"> Corporate social responsibility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_Toc492650007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48</w:t>
            </w:r>
            <w:r w:rsidR="00BC78F5" w:rsidRPr="004737C5">
              <w:rPr>
                <w:rFonts w:cstheme="minorHAnsi"/>
                <w:noProof/>
                <w:webHidden/>
              </w:rPr>
              <w:fldChar w:fldCharType="end"/>
            </w:r>
          </w:hyperlink>
        </w:p>
        <w:p w14:paraId="26C0F8BF" w14:textId="2BB848E7" w:rsidR="00BC78F5" w:rsidRPr="004737C5" w:rsidRDefault="00FB5819" w:rsidP="00D82918">
          <w:pPr>
            <w:pStyle w:val="TOC2"/>
            <w:tabs>
              <w:tab w:val="right" w:leader="dot" w:pos="9627"/>
            </w:tabs>
            <w:rPr>
              <w:rFonts w:eastAsiaTheme="minorEastAsia" w:cstheme="minorHAnsi"/>
              <w:noProof/>
              <w:lang w:eastAsia="zh-CN"/>
            </w:rPr>
          </w:pPr>
          <w:hyperlink w:anchor="_Toc492650013" w:history="1">
            <w:r w:rsidR="008848B8" w:rsidRPr="004737C5">
              <w:rPr>
                <w:rStyle w:val="Hyperlink"/>
                <w:rFonts w:cstheme="minorHAnsi"/>
                <w:noProof/>
              </w:rPr>
              <w:t>C.</w:t>
            </w:r>
            <w:r w:rsidR="00BC78F5" w:rsidRPr="004737C5">
              <w:rPr>
                <w:rStyle w:val="Hyperlink"/>
                <w:rFonts w:cstheme="minorHAnsi"/>
                <w:noProof/>
              </w:rPr>
              <w:t xml:space="preserve"> Self- and co-regulation</w:t>
            </w:r>
            <w:r w:rsidR="00BC78F5" w:rsidRPr="004737C5">
              <w:rPr>
                <w:rFonts w:cstheme="minorHAnsi"/>
                <w:noProof/>
                <w:webHidden/>
              </w:rPr>
              <w:tab/>
            </w:r>
            <w:r w:rsidR="00D82918" w:rsidRPr="004737C5">
              <w:rPr>
                <w:rFonts w:cstheme="minorHAnsi"/>
                <w:noProof/>
                <w:webHidden/>
              </w:rPr>
              <w:t>52</w:t>
            </w:r>
          </w:hyperlink>
        </w:p>
        <w:p w14:paraId="10F91658" w14:textId="3C228CF6" w:rsidR="00BC78F5" w:rsidRPr="004737C5" w:rsidRDefault="00FB5819" w:rsidP="006D3BE8">
          <w:pPr>
            <w:pStyle w:val="TOC2"/>
            <w:tabs>
              <w:tab w:val="right" w:leader="dot" w:pos="9627"/>
            </w:tabs>
            <w:rPr>
              <w:rFonts w:eastAsiaTheme="minorEastAsia" w:cstheme="minorHAnsi"/>
              <w:noProof/>
              <w:lang w:eastAsia="zh-CN"/>
            </w:rPr>
          </w:pPr>
          <w:hyperlink w:anchor="_Toc492650016" w:history="1">
            <w:r w:rsidR="008848B8" w:rsidRPr="004737C5">
              <w:rPr>
                <w:rStyle w:val="Hyperlink"/>
                <w:rFonts w:cstheme="minorHAnsi"/>
                <w:noProof/>
              </w:rPr>
              <w:t>D.</w:t>
            </w:r>
            <w:r w:rsidR="00BC78F5" w:rsidRPr="004737C5">
              <w:rPr>
                <w:rStyle w:val="Hyperlink"/>
                <w:rFonts w:cstheme="minorHAnsi"/>
                <w:noProof/>
              </w:rPr>
              <w:t xml:space="preserve"> Does collaboration work?</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_Toc492650016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56</w:t>
            </w:r>
            <w:r w:rsidR="00BC78F5" w:rsidRPr="004737C5">
              <w:rPr>
                <w:rFonts w:cstheme="minorHAnsi"/>
                <w:noProof/>
                <w:webHidden/>
              </w:rPr>
              <w:fldChar w:fldCharType="end"/>
            </w:r>
          </w:hyperlink>
        </w:p>
        <w:p w14:paraId="3EDAF381" w14:textId="3EE97CD4" w:rsidR="00BC78F5" w:rsidRPr="004737C5" w:rsidRDefault="00FB5819" w:rsidP="006D3BE8">
          <w:pPr>
            <w:pStyle w:val="TOC2"/>
            <w:tabs>
              <w:tab w:val="right" w:leader="dot" w:pos="9627"/>
            </w:tabs>
            <w:rPr>
              <w:rFonts w:eastAsiaTheme="minorEastAsia" w:cstheme="minorHAnsi"/>
              <w:noProof/>
              <w:lang w:eastAsia="zh-CN"/>
            </w:rPr>
          </w:pPr>
          <w:hyperlink w:anchor="_Toc492650017" w:history="1">
            <w:r w:rsidR="008848B8" w:rsidRPr="004737C5">
              <w:rPr>
                <w:rStyle w:val="Hyperlink"/>
                <w:rFonts w:cstheme="minorHAnsi"/>
                <w:noProof/>
              </w:rPr>
              <w:t>E.</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_Toc492650017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57</w:t>
            </w:r>
            <w:r w:rsidR="00BC78F5" w:rsidRPr="004737C5">
              <w:rPr>
                <w:rFonts w:cstheme="minorHAnsi"/>
                <w:noProof/>
                <w:webHidden/>
              </w:rPr>
              <w:fldChar w:fldCharType="end"/>
            </w:r>
          </w:hyperlink>
        </w:p>
        <w:p w14:paraId="70BC64EA" w14:textId="41740B0A" w:rsidR="00BC78F5" w:rsidRPr="004737C5" w:rsidRDefault="00FB5819" w:rsidP="006D3BE8">
          <w:pPr>
            <w:pStyle w:val="TOC1"/>
            <w:rPr>
              <w:rFonts w:eastAsiaTheme="minorEastAsia" w:cstheme="minorHAnsi"/>
              <w:noProof/>
              <w:lang w:eastAsia="zh-CN"/>
            </w:rPr>
          </w:pPr>
          <w:hyperlink w:anchor="_Toc492650018" w:history="1">
            <w:r w:rsidR="008848B8" w:rsidRPr="004737C5">
              <w:rPr>
                <w:rStyle w:val="Hyperlink"/>
                <w:rFonts w:cstheme="minorHAnsi"/>
                <w:noProof/>
              </w:rPr>
              <w:t>VII. Competition law and the c</w:t>
            </w:r>
            <w:r w:rsidR="00BC78F5" w:rsidRPr="004737C5">
              <w:rPr>
                <w:rStyle w:val="Hyperlink"/>
                <w:rFonts w:cstheme="minorHAnsi"/>
                <w:noProof/>
              </w:rPr>
              <w:t>onsumer interest</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_Toc492650018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58</w:t>
            </w:r>
            <w:r w:rsidR="00BC78F5" w:rsidRPr="004737C5">
              <w:rPr>
                <w:rFonts w:cstheme="minorHAnsi"/>
                <w:noProof/>
                <w:webHidden/>
              </w:rPr>
              <w:fldChar w:fldCharType="end"/>
            </w:r>
          </w:hyperlink>
        </w:p>
        <w:p w14:paraId="06786909" w14:textId="406AEFF3" w:rsidR="00BC78F5" w:rsidRPr="004737C5" w:rsidRDefault="00FB5819" w:rsidP="006D3BE8">
          <w:pPr>
            <w:pStyle w:val="TOC2"/>
            <w:tabs>
              <w:tab w:val="right" w:leader="dot" w:pos="9627"/>
            </w:tabs>
            <w:rPr>
              <w:rFonts w:eastAsiaTheme="minorEastAsia" w:cstheme="minorHAnsi"/>
              <w:noProof/>
              <w:lang w:eastAsia="zh-CN"/>
            </w:rPr>
          </w:pPr>
          <w:hyperlink w:anchor="_Toc492650019" w:history="1">
            <w:r w:rsidR="008848B8" w:rsidRPr="004737C5">
              <w:rPr>
                <w:rStyle w:val="Hyperlink"/>
                <w:rFonts w:cstheme="minorHAnsi"/>
                <w:noProof/>
              </w:rPr>
              <w:t>A.</w:t>
            </w:r>
            <w:r w:rsidR="00BC78F5" w:rsidRPr="004737C5">
              <w:rPr>
                <w:rStyle w:val="Hyperlink"/>
                <w:rFonts w:cstheme="minorHAnsi"/>
                <w:noProof/>
              </w:rPr>
              <w:t xml:space="preserve"> Competition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_Toc492650019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58</w:t>
            </w:r>
            <w:r w:rsidR="00BC78F5" w:rsidRPr="004737C5">
              <w:rPr>
                <w:rFonts w:cstheme="minorHAnsi"/>
                <w:noProof/>
                <w:webHidden/>
              </w:rPr>
              <w:fldChar w:fldCharType="end"/>
            </w:r>
          </w:hyperlink>
        </w:p>
        <w:p w14:paraId="546233D8" w14:textId="30314555" w:rsidR="00BC78F5" w:rsidRPr="004737C5" w:rsidRDefault="00FB5819" w:rsidP="006D3BE8">
          <w:pPr>
            <w:pStyle w:val="TOC2"/>
            <w:tabs>
              <w:tab w:val="right" w:leader="dot" w:pos="9627"/>
            </w:tabs>
            <w:rPr>
              <w:rFonts w:eastAsiaTheme="minorEastAsia" w:cstheme="minorHAnsi"/>
              <w:noProof/>
              <w:lang w:eastAsia="zh-CN"/>
            </w:rPr>
          </w:pPr>
          <w:hyperlink w:anchor="_Toc492650020" w:history="1">
            <w:r w:rsidR="008848B8" w:rsidRPr="004737C5">
              <w:rPr>
                <w:rStyle w:val="Hyperlink"/>
                <w:rFonts w:cstheme="minorHAnsi"/>
                <w:noProof/>
              </w:rPr>
              <w:t>B.</w:t>
            </w:r>
            <w:r w:rsidR="00BC78F5" w:rsidRPr="004737C5">
              <w:rPr>
                <w:rStyle w:val="Hyperlink"/>
                <w:rFonts w:cstheme="minorHAnsi"/>
                <w:noProof/>
              </w:rPr>
              <w:t xml:space="preserve"> Nature and characteristics of competition law and policy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_Toc492650020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58</w:t>
            </w:r>
            <w:r w:rsidR="00BC78F5" w:rsidRPr="004737C5">
              <w:rPr>
                <w:rFonts w:cstheme="minorHAnsi"/>
                <w:noProof/>
                <w:webHidden/>
              </w:rPr>
              <w:fldChar w:fldCharType="end"/>
            </w:r>
          </w:hyperlink>
        </w:p>
        <w:p w14:paraId="566BBA70" w14:textId="5A139A89" w:rsidR="00BC78F5" w:rsidRPr="004737C5" w:rsidRDefault="00FB5819" w:rsidP="006D3BE8">
          <w:pPr>
            <w:pStyle w:val="TOC2"/>
            <w:tabs>
              <w:tab w:val="right" w:leader="dot" w:pos="9627"/>
            </w:tabs>
            <w:rPr>
              <w:rFonts w:eastAsiaTheme="minorEastAsia" w:cstheme="minorHAnsi"/>
              <w:noProof/>
              <w:lang w:eastAsia="zh-CN"/>
            </w:rPr>
          </w:pPr>
          <w:hyperlink w:anchor="_Toc492650021" w:history="1">
            <w:r w:rsidR="008848B8" w:rsidRPr="004737C5">
              <w:rPr>
                <w:rStyle w:val="Hyperlink"/>
                <w:rFonts w:cstheme="minorHAnsi"/>
                <w:noProof/>
              </w:rPr>
              <w:t>C.</w:t>
            </w:r>
            <w:r w:rsidR="0071486B" w:rsidRPr="004737C5">
              <w:rPr>
                <w:rStyle w:val="Hyperlink"/>
                <w:rFonts w:cstheme="minorHAnsi"/>
                <w:noProof/>
              </w:rPr>
              <w:t xml:space="preserve"> Competition law concepts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_Toc492650021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59</w:t>
            </w:r>
            <w:r w:rsidR="00BC78F5" w:rsidRPr="004737C5">
              <w:rPr>
                <w:rFonts w:cstheme="minorHAnsi"/>
                <w:noProof/>
                <w:webHidden/>
              </w:rPr>
              <w:fldChar w:fldCharType="end"/>
            </w:r>
          </w:hyperlink>
        </w:p>
        <w:p w14:paraId="52CD9835" w14:textId="6AD32ACE" w:rsidR="00BC78F5" w:rsidRPr="004737C5" w:rsidRDefault="00FB5819" w:rsidP="00D82918">
          <w:pPr>
            <w:pStyle w:val="TOC2"/>
            <w:tabs>
              <w:tab w:val="right" w:leader="dot" w:pos="9627"/>
            </w:tabs>
            <w:rPr>
              <w:rFonts w:eastAsiaTheme="minorEastAsia" w:cstheme="minorHAnsi"/>
              <w:noProof/>
              <w:lang w:eastAsia="zh-CN"/>
            </w:rPr>
          </w:pPr>
          <w:hyperlink w:anchor="_Toc492650025" w:history="1">
            <w:r w:rsidR="008848B8" w:rsidRPr="004737C5">
              <w:rPr>
                <w:rStyle w:val="Hyperlink"/>
                <w:rFonts w:cstheme="minorHAnsi"/>
                <w:noProof/>
              </w:rPr>
              <w:t>D.</w:t>
            </w:r>
            <w:r w:rsidR="00BC78F5" w:rsidRPr="004737C5">
              <w:rPr>
                <w:rStyle w:val="Hyperlink"/>
                <w:rFonts w:cstheme="minorHAnsi"/>
                <w:noProof/>
              </w:rPr>
              <w:t xml:space="preserve"> Institutional architecture for competition</w:t>
            </w:r>
            <w:r w:rsidR="00BC78F5" w:rsidRPr="004737C5">
              <w:rPr>
                <w:rFonts w:cstheme="minorHAnsi"/>
                <w:noProof/>
                <w:webHidden/>
              </w:rPr>
              <w:tab/>
            </w:r>
            <w:r w:rsidR="0071486B" w:rsidRPr="004737C5">
              <w:rPr>
                <w:rFonts w:cstheme="minorHAnsi"/>
                <w:noProof/>
                <w:webHidden/>
              </w:rPr>
              <w:t>6</w:t>
            </w:r>
            <w:r w:rsidR="00D82918" w:rsidRPr="004737C5">
              <w:rPr>
                <w:rFonts w:cstheme="minorHAnsi"/>
                <w:noProof/>
                <w:webHidden/>
              </w:rPr>
              <w:t>4</w:t>
            </w:r>
          </w:hyperlink>
        </w:p>
        <w:p w14:paraId="34551839" w14:textId="5AA424DB" w:rsidR="00BC78F5" w:rsidRPr="004737C5" w:rsidRDefault="00FB5819" w:rsidP="006D3BE8">
          <w:pPr>
            <w:pStyle w:val="TOC2"/>
            <w:tabs>
              <w:tab w:val="right" w:leader="dot" w:pos="9627"/>
            </w:tabs>
            <w:rPr>
              <w:rFonts w:eastAsiaTheme="minorEastAsia" w:cstheme="minorHAnsi"/>
              <w:noProof/>
              <w:lang w:eastAsia="zh-CN"/>
            </w:rPr>
          </w:pPr>
          <w:hyperlink w:anchor="_Toc492650026" w:history="1">
            <w:r w:rsidR="008848B8" w:rsidRPr="004737C5">
              <w:rPr>
                <w:rStyle w:val="Hyperlink"/>
                <w:rFonts w:cstheme="minorHAnsi"/>
                <w:noProof/>
              </w:rPr>
              <w:t>E.</w:t>
            </w:r>
            <w:r w:rsidR="00BC78F5" w:rsidRPr="004737C5">
              <w:rPr>
                <w:rStyle w:val="Hyperlink"/>
                <w:rFonts w:cstheme="minorHAnsi"/>
                <w:noProof/>
              </w:rPr>
              <w:t xml:space="preserve"> A challenge for competition policy coherence: consumer resistance to switching</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_Toc492650026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66</w:t>
            </w:r>
            <w:r w:rsidR="00BC78F5" w:rsidRPr="004737C5">
              <w:rPr>
                <w:rFonts w:cstheme="minorHAnsi"/>
                <w:noProof/>
                <w:webHidden/>
              </w:rPr>
              <w:fldChar w:fldCharType="end"/>
            </w:r>
          </w:hyperlink>
        </w:p>
        <w:p w14:paraId="3F8F1CEC" w14:textId="5B530823" w:rsidR="00BC78F5" w:rsidRPr="004737C5" w:rsidRDefault="00FB5819" w:rsidP="006D3BE8">
          <w:pPr>
            <w:pStyle w:val="TOC2"/>
            <w:tabs>
              <w:tab w:val="right" w:leader="dot" w:pos="9627"/>
            </w:tabs>
            <w:rPr>
              <w:rFonts w:eastAsiaTheme="minorEastAsia" w:cstheme="minorHAnsi"/>
              <w:noProof/>
              <w:lang w:eastAsia="zh-CN"/>
            </w:rPr>
          </w:pPr>
          <w:hyperlink w:anchor="_Toc492650027" w:history="1">
            <w:r w:rsidR="008848B8" w:rsidRPr="004737C5">
              <w:rPr>
                <w:rStyle w:val="Hyperlink"/>
                <w:rFonts w:cstheme="minorHAnsi"/>
                <w:noProof/>
              </w:rPr>
              <w:t>F.</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_Toc492650027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66</w:t>
            </w:r>
            <w:r w:rsidR="00BC78F5" w:rsidRPr="004737C5">
              <w:rPr>
                <w:rFonts w:cstheme="minorHAnsi"/>
                <w:noProof/>
                <w:webHidden/>
              </w:rPr>
              <w:fldChar w:fldCharType="end"/>
            </w:r>
          </w:hyperlink>
        </w:p>
        <w:p w14:paraId="705557E2" w14:textId="0ACFFE75" w:rsidR="00BC78F5" w:rsidRPr="004737C5" w:rsidRDefault="00FB5819" w:rsidP="006D3BE8">
          <w:pPr>
            <w:pStyle w:val="TOC1"/>
            <w:rPr>
              <w:rFonts w:eastAsiaTheme="minorEastAsia" w:cstheme="minorHAnsi"/>
              <w:noProof/>
              <w:lang w:eastAsia="zh-CN"/>
            </w:rPr>
          </w:pPr>
          <w:hyperlink w:anchor="_Toc492650028" w:history="1">
            <w:r w:rsidR="008848B8" w:rsidRPr="004737C5">
              <w:rPr>
                <w:rStyle w:val="Hyperlink"/>
                <w:rFonts w:cstheme="minorHAnsi"/>
                <w:noProof/>
              </w:rPr>
              <w:t>VIII. International c</w:t>
            </w:r>
            <w:r w:rsidR="00BC78F5" w:rsidRPr="004737C5">
              <w:rPr>
                <w:rStyle w:val="Hyperlink"/>
                <w:rFonts w:cstheme="minorHAnsi"/>
                <w:noProof/>
              </w:rPr>
              <w:t>ooperation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_Toc492650028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67</w:t>
            </w:r>
            <w:r w:rsidR="00BC78F5" w:rsidRPr="004737C5">
              <w:rPr>
                <w:rFonts w:cstheme="minorHAnsi"/>
                <w:noProof/>
                <w:webHidden/>
              </w:rPr>
              <w:fldChar w:fldCharType="end"/>
            </w:r>
          </w:hyperlink>
        </w:p>
        <w:p w14:paraId="15196441" w14:textId="075EC8ED" w:rsidR="00BC78F5" w:rsidRPr="004737C5" w:rsidRDefault="00FB5819" w:rsidP="006D3BE8">
          <w:pPr>
            <w:pStyle w:val="TOC2"/>
            <w:tabs>
              <w:tab w:val="right" w:leader="dot" w:pos="9627"/>
            </w:tabs>
            <w:rPr>
              <w:rFonts w:eastAsiaTheme="minorEastAsia" w:cstheme="minorHAnsi"/>
              <w:noProof/>
              <w:lang w:eastAsia="zh-CN"/>
            </w:rPr>
          </w:pPr>
          <w:hyperlink w:anchor="_Toc492650029" w:history="1">
            <w:r w:rsidR="008848B8" w:rsidRPr="004737C5">
              <w:rPr>
                <w:rStyle w:val="Hyperlink"/>
                <w:rFonts w:cstheme="minorHAnsi"/>
                <w:noProof/>
              </w:rPr>
              <w:t>A.</w:t>
            </w:r>
            <w:r w:rsidR="00BC78F5" w:rsidRPr="004737C5">
              <w:rPr>
                <w:rStyle w:val="Hyperlink"/>
                <w:rFonts w:cstheme="minorHAnsi"/>
                <w:noProof/>
              </w:rPr>
              <w:t xml:space="preserve"> International cooperation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_Toc492650029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67</w:t>
            </w:r>
            <w:r w:rsidR="00BC78F5" w:rsidRPr="004737C5">
              <w:rPr>
                <w:rFonts w:cstheme="minorHAnsi"/>
                <w:noProof/>
                <w:webHidden/>
              </w:rPr>
              <w:fldChar w:fldCharType="end"/>
            </w:r>
          </w:hyperlink>
        </w:p>
        <w:p w14:paraId="0A27BB80" w14:textId="35F5A0A5" w:rsidR="00BC78F5" w:rsidRPr="004737C5" w:rsidRDefault="00FB5819" w:rsidP="006D3BE8">
          <w:pPr>
            <w:pStyle w:val="TOC2"/>
            <w:tabs>
              <w:tab w:val="right" w:leader="dot" w:pos="9627"/>
            </w:tabs>
            <w:rPr>
              <w:rFonts w:eastAsiaTheme="minorEastAsia" w:cstheme="minorHAnsi"/>
              <w:noProof/>
              <w:lang w:eastAsia="zh-CN"/>
            </w:rPr>
          </w:pPr>
          <w:hyperlink w:anchor="_Toc492650030" w:history="1">
            <w:r w:rsidR="008848B8" w:rsidRPr="004737C5">
              <w:rPr>
                <w:rStyle w:val="Hyperlink"/>
                <w:rFonts w:cstheme="minorHAnsi"/>
                <w:noProof/>
              </w:rPr>
              <w:t>B.</w:t>
            </w:r>
            <w:r w:rsidR="00BC78F5" w:rsidRPr="004737C5">
              <w:rPr>
                <w:rStyle w:val="Hyperlink"/>
                <w:rFonts w:cstheme="minorHAnsi"/>
                <w:noProof/>
              </w:rPr>
              <w:t xml:space="preserve"> Applicable law and jurisdiction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_Toc492650030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68</w:t>
            </w:r>
            <w:r w:rsidR="00BC78F5" w:rsidRPr="004737C5">
              <w:rPr>
                <w:rFonts w:cstheme="minorHAnsi"/>
                <w:noProof/>
                <w:webHidden/>
              </w:rPr>
              <w:fldChar w:fldCharType="end"/>
            </w:r>
          </w:hyperlink>
        </w:p>
        <w:p w14:paraId="3150E595" w14:textId="4CB19EE1" w:rsidR="00BC78F5" w:rsidRPr="004737C5" w:rsidRDefault="00FB5819" w:rsidP="006D3BE8">
          <w:pPr>
            <w:pStyle w:val="TOC2"/>
            <w:tabs>
              <w:tab w:val="right" w:leader="dot" w:pos="9627"/>
            </w:tabs>
            <w:rPr>
              <w:rFonts w:eastAsiaTheme="minorEastAsia" w:cstheme="minorHAnsi"/>
              <w:noProof/>
              <w:lang w:eastAsia="zh-CN"/>
            </w:rPr>
          </w:pPr>
          <w:hyperlink w:anchor="_Toc492650031" w:history="1">
            <w:r w:rsidR="008848B8" w:rsidRPr="004737C5">
              <w:rPr>
                <w:rStyle w:val="Hyperlink"/>
                <w:rFonts w:cstheme="minorHAnsi"/>
                <w:noProof/>
              </w:rPr>
              <w:t>C.</w:t>
            </w:r>
            <w:r w:rsidR="00BC78F5" w:rsidRPr="004737C5">
              <w:rPr>
                <w:rStyle w:val="Hyperlink"/>
                <w:rFonts w:cstheme="minorHAnsi"/>
                <w:noProof/>
              </w:rPr>
              <w:t xml:space="preserve"> Practical international cooperation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_Toc492650031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70</w:t>
            </w:r>
            <w:r w:rsidR="00BC78F5" w:rsidRPr="004737C5">
              <w:rPr>
                <w:rFonts w:cstheme="minorHAnsi"/>
                <w:noProof/>
                <w:webHidden/>
              </w:rPr>
              <w:fldChar w:fldCharType="end"/>
            </w:r>
          </w:hyperlink>
        </w:p>
        <w:p w14:paraId="078454EE" w14:textId="1DB64D17" w:rsidR="00BC78F5" w:rsidRPr="004737C5" w:rsidRDefault="00FB5819" w:rsidP="006D3BE8">
          <w:pPr>
            <w:pStyle w:val="TOC2"/>
            <w:tabs>
              <w:tab w:val="right" w:leader="dot" w:pos="9627"/>
            </w:tabs>
            <w:rPr>
              <w:rFonts w:eastAsiaTheme="minorEastAsia" w:cstheme="minorHAnsi"/>
              <w:noProof/>
              <w:lang w:eastAsia="zh-CN"/>
            </w:rPr>
          </w:pPr>
          <w:hyperlink w:anchor="_Toc492650032" w:history="1">
            <w:r w:rsidR="008848B8" w:rsidRPr="004737C5">
              <w:rPr>
                <w:rStyle w:val="Hyperlink"/>
                <w:rFonts w:cstheme="minorHAnsi"/>
                <w:noProof/>
              </w:rPr>
              <w:t>D.</w:t>
            </w:r>
            <w:r w:rsidR="00BC78F5" w:rsidRPr="004737C5">
              <w:rPr>
                <w:rStyle w:val="Hyperlink"/>
                <w:rFonts w:cstheme="minorHAnsi"/>
                <w:noProof/>
              </w:rPr>
              <w:t xml:space="preserve"> International institutional machinery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_Toc492650032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71</w:t>
            </w:r>
            <w:r w:rsidR="00BC78F5" w:rsidRPr="004737C5">
              <w:rPr>
                <w:rFonts w:cstheme="minorHAnsi"/>
                <w:noProof/>
                <w:webHidden/>
              </w:rPr>
              <w:fldChar w:fldCharType="end"/>
            </w:r>
          </w:hyperlink>
        </w:p>
        <w:p w14:paraId="7ABAF318" w14:textId="5DF0BCFD" w:rsidR="00BC78F5" w:rsidRPr="004737C5" w:rsidRDefault="00FB5819" w:rsidP="00D82918">
          <w:pPr>
            <w:pStyle w:val="TOC2"/>
            <w:tabs>
              <w:tab w:val="right" w:leader="dot" w:pos="9627"/>
            </w:tabs>
            <w:rPr>
              <w:rFonts w:eastAsiaTheme="minorEastAsia" w:cstheme="minorHAnsi"/>
              <w:noProof/>
              <w:lang w:eastAsia="zh-CN"/>
            </w:rPr>
          </w:pPr>
          <w:hyperlink w:anchor="_Toc492650033" w:history="1">
            <w:r w:rsidR="008848B8" w:rsidRPr="004737C5">
              <w:rPr>
                <w:rStyle w:val="Hyperlink"/>
                <w:rFonts w:cstheme="minorHAnsi"/>
                <w:noProof/>
              </w:rPr>
              <w:t>E.</w:t>
            </w:r>
            <w:r w:rsidR="00BC78F5" w:rsidRPr="004737C5">
              <w:rPr>
                <w:rStyle w:val="Hyperlink"/>
                <w:rFonts w:cstheme="minorHAnsi"/>
                <w:noProof/>
              </w:rPr>
              <w:t xml:space="preserve"> Conclusion</w:t>
            </w:r>
            <w:r w:rsidR="00BC78F5" w:rsidRPr="004737C5">
              <w:rPr>
                <w:rFonts w:cstheme="minorHAnsi"/>
                <w:noProof/>
                <w:webHidden/>
              </w:rPr>
              <w:tab/>
            </w:r>
            <w:r w:rsidR="0071486B" w:rsidRPr="004737C5">
              <w:rPr>
                <w:rFonts w:cstheme="minorHAnsi"/>
                <w:noProof/>
                <w:webHidden/>
              </w:rPr>
              <w:t>7</w:t>
            </w:r>
            <w:r w:rsidR="00D82918" w:rsidRPr="004737C5">
              <w:rPr>
                <w:rFonts w:cstheme="minorHAnsi"/>
                <w:noProof/>
                <w:webHidden/>
              </w:rPr>
              <w:t>2</w:t>
            </w:r>
          </w:hyperlink>
        </w:p>
        <w:p w14:paraId="710CC83E" w14:textId="256B7013" w:rsidR="00BC78F5" w:rsidRPr="004737C5" w:rsidRDefault="00FB5819" w:rsidP="00D82918">
          <w:pPr>
            <w:pStyle w:val="TOC1"/>
            <w:rPr>
              <w:rFonts w:eastAsiaTheme="minorEastAsia" w:cstheme="minorHAnsi"/>
              <w:noProof/>
              <w:lang w:eastAsia="zh-CN"/>
            </w:rPr>
          </w:pPr>
          <w:hyperlink w:anchor="_Toc492650034" w:history="1">
            <w:r w:rsidR="00BC78F5" w:rsidRPr="004737C5">
              <w:rPr>
                <w:rStyle w:val="Hyperlink"/>
                <w:rFonts w:cstheme="minorHAnsi"/>
                <w:noProof/>
              </w:rPr>
              <w:t>P</w:t>
            </w:r>
            <w:r w:rsidR="00B1100F" w:rsidRPr="004737C5">
              <w:rPr>
                <w:rStyle w:val="Hyperlink"/>
                <w:rFonts w:cstheme="minorHAnsi"/>
                <w:noProof/>
              </w:rPr>
              <w:t>art two.</w:t>
            </w:r>
            <w:r w:rsidR="008848B8" w:rsidRPr="004737C5">
              <w:rPr>
                <w:rStyle w:val="Hyperlink"/>
                <w:rFonts w:cstheme="minorHAnsi"/>
                <w:noProof/>
              </w:rPr>
              <w:t xml:space="preserve"> Consumer protection in the marketplace</w:t>
            </w:r>
            <w:r w:rsidR="00BC78F5" w:rsidRPr="004737C5">
              <w:rPr>
                <w:rFonts w:cstheme="minorHAnsi"/>
                <w:noProof/>
                <w:webHidden/>
              </w:rPr>
              <w:tab/>
            </w:r>
            <w:r w:rsidR="0071486B" w:rsidRPr="004737C5">
              <w:rPr>
                <w:rFonts w:cstheme="minorHAnsi"/>
                <w:noProof/>
                <w:webHidden/>
              </w:rPr>
              <w:t>7</w:t>
            </w:r>
            <w:r w:rsidR="00D82918" w:rsidRPr="004737C5">
              <w:rPr>
                <w:rFonts w:cstheme="minorHAnsi"/>
                <w:noProof/>
                <w:webHidden/>
              </w:rPr>
              <w:t>4</w:t>
            </w:r>
          </w:hyperlink>
        </w:p>
        <w:p w14:paraId="126ADB5A" w14:textId="7FA7D500" w:rsidR="00BC78F5" w:rsidRPr="004737C5" w:rsidRDefault="00FB5819" w:rsidP="006D3BE8">
          <w:pPr>
            <w:pStyle w:val="TOC1"/>
            <w:rPr>
              <w:rFonts w:eastAsiaTheme="minorEastAsia" w:cstheme="minorHAnsi"/>
              <w:noProof/>
              <w:lang w:eastAsia="zh-CN"/>
            </w:rPr>
          </w:pPr>
          <w:hyperlink w:anchor="_Toc492650035" w:history="1">
            <w:r w:rsidR="008848B8" w:rsidRPr="004737C5">
              <w:rPr>
                <w:rStyle w:val="Hyperlink"/>
                <w:rFonts w:cstheme="minorHAnsi"/>
                <w:noProof/>
              </w:rPr>
              <w:t>IX. Product safety and l</w:t>
            </w:r>
            <w:r w:rsidR="00BC78F5" w:rsidRPr="004737C5">
              <w:rPr>
                <w:rStyle w:val="Hyperlink"/>
                <w:rFonts w:cstheme="minorHAnsi"/>
                <w:noProof/>
              </w:rPr>
              <w:t>iability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_Toc492650035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75</w:t>
            </w:r>
            <w:r w:rsidR="00BC78F5" w:rsidRPr="004737C5">
              <w:rPr>
                <w:rFonts w:cstheme="minorHAnsi"/>
                <w:noProof/>
                <w:webHidden/>
              </w:rPr>
              <w:fldChar w:fldCharType="end"/>
            </w:r>
          </w:hyperlink>
        </w:p>
        <w:p w14:paraId="286DC3AB" w14:textId="359DE1F1" w:rsidR="00BC78F5" w:rsidRPr="004737C5" w:rsidRDefault="00FB5819" w:rsidP="006D3BE8">
          <w:pPr>
            <w:pStyle w:val="TOC2"/>
            <w:tabs>
              <w:tab w:val="right" w:leader="dot" w:pos="9627"/>
            </w:tabs>
            <w:rPr>
              <w:rFonts w:eastAsiaTheme="minorEastAsia" w:cstheme="minorHAnsi"/>
              <w:noProof/>
              <w:lang w:eastAsia="zh-CN"/>
            </w:rPr>
          </w:pPr>
          <w:hyperlink w:anchor="_Toc492650036" w:history="1">
            <w:r w:rsidR="008848B8" w:rsidRPr="004737C5">
              <w:rPr>
                <w:rStyle w:val="Hyperlink"/>
                <w:rFonts w:cstheme="minorHAnsi"/>
                <w:noProof/>
              </w:rPr>
              <w:t>A.</w:t>
            </w:r>
            <w:r w:rsidR="00BC78F5" w:rsidRPr="004737C5">
              <w:rPr>
                <w:rStyle w:val="Hyperlink"/>
                <w:rFonts w:cstheme="minorHAnsi"/>
                <w:noProof/>
              </w:rPr>
              <w:t xml:space="preserve"> Product safety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_Toc492650036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75</w:t>
            </w:r>
            <w:r w:rsidR="00BC78F5" w:rsidRPr="004737C5">
              <w:rPr>
                <w:rFonts w:cstheme="minorHAnsi"/>
                <w:noProof/>
                <w:webHidden/>
              </w:rPr>
              <w:fldChar w:fldCharType="end"/>
            </w:r>
          </w:hyperlink>
        </w:p>
        <w:p w14:paraId="15F844E6" w14:textId="79123080" w:rsidR="00BC78F5" w:rsidRPr="004737C5" w:rsidRDefault="00FB5819" w:rsidP="006D3BE8">
          <w:pPr>
            <w:pStyle w:val="TOC2"/>
            <w:tabs>
              <w:tab w:val="right" w:leader="dot" w:pos="9627"/>
            </w:tabs>
            <w:rPr>
              <w:rFonts w:eastAsiaTheme="minorEastAsia" w:cstheme="minorHAnsi"/>
              <w:noProof/>
              <w:lang w:eastAsia="zh-CN"/>
            </w:rPr>
          </w:pPr>
          <w:hyperlink w:anchor="_Toc492650037" w:history="1">
            <w:r w:rsidR="008848B8" w:rsidRPr="004737C5">
              <w:rPr>
                <w:rStyle w:val="Hyperlink"/>
                <w:rFonts w:cstheme="minorHAnsi"/>
                <w:noProof/>
              </w:rPr>
              <w:t>B. Product safety l</w:t>
            </w:r>
            <w:r w:rsidR="00BC78F5" w:rsidRPr="004737C5">
              <w:rPr>
                <w:rStyle w:val="Hyperlink"/>
                <w:rFonts w:cstheme="minorHAnsi"/>
                <w:noProof/>
              </w:rPr>
              <w:t>aws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_Toc492650037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76</w:t>
            </w:r>
            <w:r w:rsidR="00BC78F5" w:rsidRPr="004737C5">
              <w:rPr>
                <w:rFonts w:cstheme="minorHAnsi"/>
                <w:noProof/>
                <w:webHidden/>
              </w:rPr>
              <w:fldChar w:fldCharType="end"/>
            </w:r>
          </w:hyperlink>
        </w:p>
        <w:p w14:paraId="730A8FC2" w14:textId="74D0DC03" w:rsidR="00BC78F5" w:rsidRPr="004737C5" w:rsidRDefault="00FB5819" w:rsidP="006D3BE8">
          <w:pPr>
            <w:pStyle w:val="TOC2"/>
            <w:tabs>
              <w:tab w:val="right" w:leader="dot" w:pos="9627"/>
            </w:tabs>
            <w:rPr>
              <w:rFonts w:eastAsiaTheme="minorEastAsia" w:cstheme="minorHAnsi"/>
              <w:noProof/>
              <w:lang w:eastAsia="zh-CN"/>
            </w:rPr>
          </w:pPr>
          <w:hyperlink w:anchor="_Toc492650040" w:history="1">
            <w:r w:rsidR="008848B8" w:rsidRPr="004737C5">
              <w:rPr>
                <w:rStyle w:val="Hyperlink"/>
                <w:rFonts w:cstheme="minorHAnsi"/>
                <w:noProof/>
              </w:rPr>
              <w:t>C. Product l</w:t>
            </w:r>
            <w:r w:rsidR="00BC78F5" w:rsidRPr="004737C5">
              <w:rPr>
                <w:rStyle w:val="Hyperlink"/>
                <w:rFonts w:cstheme="minorHAnsi"/>
                <w:noProof/>
              </w:rPr>
              <w:t>iability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_Toc492650040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80</w:t>
            </w:r>
            <w:r w:rsidR="00BC78F5" w:rsidRPr="004737C5">
              <w:rPr>
                <w:rFonts w:cstheme="minorHAnsi"/>
                <w:noProof/>
                <w:webHidden/>
              </w:rPr>
              <w:fldChar w:fldCharType="end"/>
            </w:r>
          </w:hyperlink>
        </w:p>
        <w:p w14:paraId="3B94C80B" w14:textId="05196656" w:rsidR="00BC78F5" w:rsidRPr="004737C5" w:rsidRDefault="00FB5819" w:rsidP="006D3BE8">
          <w:pPr>
            <w:pStyle w:val="TOC2"/>
            <w:tabs>
              <w:tab w:val="right" w:leader="dot" w:pos="9627"/>
            </w:tabs>
            <w:rPr>
              <w:rFonts w:eastAsiaTheme="minorEastAsia" w:cstheme="minorHAnsi"/>
              <w:noProof/>
              <w:lang w:eastAsia="zh-CN"/>
            </w:rPr>
          </w:pPr>
          <w:hyperlink w:anchor="_Toc492650048" w:history="1">
            <w:r w:rsidR="008848B8" w:rsidRPr="004737C5">
              <w:rPr>
                <w:rStyle w:val="Hyperlink"/>
                <w:rFonts w:cstheme="minorHAnsi"/>
                <w:noProof/>
              </w:rPr>
              <w:t>D.</w:t>
            </w:r>
            <w:r w:rsidR="00BC78F5" w:rsidRPr="004737C5">
              <w:rPr>
                <w:rStyle w:val="Hyperlink"/>
                <w:rFonts w:cstheme="minorHAnsi"/>
                <w:noProof/>
              </w:rPr>
              <w:t xml:space="preserve"> Services as dangerous products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_Toc492650048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87</w:t>
            </w:r>
            <w:r w:rsidR="00BC78F5" w:rsidRPr="004737C5">
              <w:rPr>
                <w:rFonts w:cstheme="minorHAnsi"/>
                <w:noProof/>
                <w:webHidden/>
              </w:rPr>
              <w:fldChar w:fldCharType="end"/>
            </w:r>
          </w:hyperlink>
        </w:p>
        <w:p w14:paraId="55CB0FDB" w14:textId="0A38B76C" w:rsidR="00BC78F5" w:rsidRPr="004737C5" w:rsidRDefault="00FB5819" w:rsidP="006D3BE8">
          <w:pPr>
            <w:pStyle w:val="TOC2"/>
            <w:tabs>
              <w:tab w:val="right" w:leader="dot" w:pos="9627"/>
            </w:tabs>
            <w:rPr>
              <w:rFonts w:eastAsiaTheme="minorEastAsia" w:cstheme="minorHAnsi"/>
              <w:noProof/>
              <w:lang w:eastAsia="zh-CN"/>
            </w:rPr>
          </w:pPr>
          <w:hyperlink w:anchor="_Toc492650049" w:history="1">
            <w:r w:rsidR="008848B8" w:rsidRPr="004737C5">
              <w:rPr>
                <w:rStyle w:val="Hyperlink"/>
                <w:rFonts w:cstheme="minorHAnsi"/>
                <w:noProof/>
              </w:rPr>
              <w:t>E.</w:t>
            </w:r>
            <w:r w:rsidR="00BC78F5" w:rsidRPr="004737C5">
              <w:rPr>
                <w:rStyle w:val="Hyperlink"/>
                <w:rFonts w:cstheme="minorHAnsi"/>
                <w:noProof/>
              </w:rPr>
              <w:t xml:space="preserve"> Product safety in international law and policy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_Toc492650049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87</w:t>
            </w:r>
            <w:r w:rsidR="00BC78F5" w:rsidRPr="004737C5">
              <w:rPr>
                <w:rFonts w:cstheme="minorHAnsi"/>
                <w:noProof/>
                <w:webHidden/>
              </w:rPr>
              <w:fldChar w:fldCharType="end"/>
            </w:r>
          </w:hyperlink>
        </w:p>
        <w:p w14:paraId="6A2C37CC" w14:textId="64FD8ED3" w:rsidR="00BC78F5" w:rsidRPr="004737C5" w:rsidRDefault="00FB5819" w:rsidP="006D3BE8">
          <w:pPr>
            <w:pStyle w:val="TOC2"/>
            <w:tabs>
              <w:tab w:val="right" w:leader="dot" w:pos="9627"/>
            </w:tabs>
            <w:rPr>
              <w:rFonts w:eastAsiaTheme="minorEastAsia" w:cstheme="minorHAnsi"/>
              <w:noProof/>
              <w:lang w:eastAsia="zh-CN"/>
            </w:rPr>
          </w:pPr>
          <w:hyperlink w:anchor="_Toc492650050" w:history="1">
            <w:r w:rsidR="008848B8" w:rsidRPr="004737C5">
              <w:rPr>
                <w:rStyle w:val="Hyperlink"/>
                <w:rFonts w:cstheme="minorHAnsi"/>
                <w:noProof/>
              </w:rPr>
              <w:t>F. Second</w:t>
            </w:r>
            <w:r w:rsidR="0071486B" w:rsidRPr="004737C5">
              <w:rPr>
                <w:rStyle w:val="Hyperlink"/>
                <w:rFonts w:cstheme="minorHAnsi"/>
                <w:noProof/>
              </w:rPr>
              <w:t>-</w:t>
            </w:r>
            <w:r w:rsidR="00BC78F5" w:rsidRPr="004737C5">
              <w:rPr>
                <w:rStyle w:val="Hyperlink"/>
                <w:rFonts w:cstheme="minorHAnsi"/>
                <w:noProof/>
              </w:rPr>
              <w:t>hand goods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_Toc492650050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89</w:t>
            </w:r>
            <w:r w:rsidR="00BC78F5" w:rsidRPr="004737C5">
              <w:rPr>
                <w:rFonts w:cstheme="minorHAnsi"/>
                <w:noProof/>
                <w:webHidden/>
              </w:rPr>
              <w:fldChar w:fldCharType="end"/>
            </w:r>
          </w:hyperlink>
        </w:p>
        <w:p w14:paraId="3D6574E3" w14:textId="63F9F74D" w:rsidR="00BC78F5" w:rsidRPr="004737C5" w:rsidRDefault="00FB5819" w:rsidP="006D3BE8">
          <w:pPr>
            <w:pStyle w:val="TOC2"/>
            <w:tabs>
              <w:tab w:val="right" w:leader="dot" w:pos="9627"/>
            </w:tabs>
            <w:rPr>
              <w:rFonts w:eastAsiaTheme="minorEastAsia" w:cstheme="minorHAnsi"/>
              <w:noProof/>
              <w:lang w:eastAsia="zh-CN"/>
            </w:rPr>
          </w:pPr>
          <w:hyperlink w:anchor="_Toc492650051" w:history="1">
            <w:r w:rsidR="008848B8" w:rsidRPr="004737C5">
              <w:rPr>
                <w:rStyle w:val="Hyperlink"/>
                <w:rFonts w:cstheme="minorHAnsi"/>
                <w:noProof/>
              </w:rPr>
              <w:t>G.</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_Toc492650051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89</w:t>
            </w:r>
            <w:r w:rsidR="00BC78F5" w:rsidRPr="004737C5">
              <w:rPr>
                <w:rFonts w:cstheme="minorHAnsi"/>
                <w:noProof/>
                <w:webHidden/>
              </w:rPr>
              <w:fldChar w:fldCharType="end"/>
            </w:r>
          </w:hyperlink>
        </w:p>
        <w:p w14:paraId="7841F1E4" w14:textId="3EBD19D4" w:rsidR="00BC78F5" w:rsidRPr="004737C5" w:rsidRDefault="00FB5819" w:rsidP="006D3BE8">
          <w:pPr>
            <w:pStyle w:val="TOC1"/>
            <w:rPr>
              <w:rFonts w:eastAsiaTheme="minorEastAsia" w:cstheme="minorHAnsi"/>
              <w:noProof/>
              <w:lang w:eastAsia="zh-CN"/>
            </w:rPr>
          </w:pPr>
          <w:hyperlink w:anchor="_Toc492650052" w:history="1">
            <w:r w:rsidR="008848B8" w:rsidRPr="004737C5">
              <w:rPr>
                <w:rStyle w:val="Hyperlink"/>
                <w:rFonts w:cstheme="minorHAnsi"/>
                <w:noProof/>
              </w:rPr>
              <w:t>X. Consumer information and e</w:t>
            </w:r>
            <w:r w:rsidR="00BC78F5" w:rsidRPr="004737C5">
              <w:rPr>
                <w:rStyle w:val="Hyperlink"/>
                <w:rFonts w:cstheme="minorHAnsi"/>
                <w:noProof/>
              </w:rPr>
              <w:t>ducation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_Toc492650052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90</w:t>
            </w:r>
            <w:r w:rsidR="00BC78F5" w:rsidRPr="004737C5">
              <w:rPr>
                <w:rFonts w:cstheme="minorHAnsi"/>
                <w:noProof/>
                <w:webHidden/>
              </w:rPr>
              <w:fldChar w:fldCharType="end"/>
            </w:r>
          </w:hyperlink>
        </w:p>
        <w:p w14:paraId="14E9B855" w14:textId="71265517" w:rsidR="00BC78F5" w:rsidRPr="004737C5" w:rsidRDefault="00FB5819" w:rsidP="006D3BE8">
          <w:pPr>
            <w:pStyle w:val="TOC2"/>
            <w:tabs>
              <w:tab w:val="right" w:leader="dot" w:pos="9627"/>
            </w:tabs>
            <w:rPr>
              <w:rFonts w:eastAsiaTheme="minorEastAsia" w:cstheme="minorHAnsi"/>
              <w:noProof/>
              <w:lang w:eastAsia="zh-CN"/>
            </w:rPr>
          </w:pPr>
          <w:hyperlink w:anchor="_Toc492650053" w:history="1">
            <w:r w:rsidR="0071486B" w:rsidRPr="004737C5">
              <w:rPr>
                <w:rStyle w:val="Hyperlink"/>
                <w:rFonts w:cstheme="minorHAnsi"/>
                <w:noProof/>
              </w:rPr>
              <w:t>A. Consumer information and education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_Toc492650053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90</w:t>
            </w:r>
            <w:r w:rsidR="00BC78F5" w:rsidRPr="004737C5">
              <w:rPr>
                <w:rFonts w:cstheme="minorHAnsi"/>
                <w:noProof/>
                <w:webHidden/>
              </w:rPr>
              <w:fldChar w:fldCharType="end"/>
            </w:r>
          </w:hyperlink>
        </w:p>
        <w:p w14:paraId="65515C22" w14:textId="18A6472E" w:rsidR="00BC78F5" w:rsidRPr="004737C5" w:rsidRDefault="00FB5819" w:rsidP="006D3BE8">
          <w:pPr>
            <w:pStyle w:val="TOC2"/>
            <w:tabs>
              <w:tab w:val="right" w:leader="dot" w:pos="9627"/>
            </w:tabs>
            <w:rPr>
              <w:rFonts w:eastAsiaTheme="minorEastAsia" w:cstheme="minorHAnsi"/>
              <w:noProof/>
              <w:lang w:eastAsia="zh-CN"/>
            </w:rPr>
          </w:pPr>
          <w:hyperlink w:anchor="_Toc492650054" w:history="1">
            <w:r w:rsidR="008848B8" w:rsidRPr="004737C5">
              <w:rPr>
                <w:rStyle w:val="Hyperlink"/>
                <w:rFonts w:cstheme="minorHAnsi"/>
                <w:noProof/>
              </w:rPr>
              <w:t>B.</w:t>
            </w:r>
            <w:r w:rsidR="00BC78F5" w:rsidRPr="004737C5">
              <w:rPr>
                <w:rStyle w:val="Hyperlink"/>
                <w:rFonts w:cstheme="minorHAnsi"/>
                <w:noProof/>
              </w:rPr>
              <w:t xml:space="preserve"> Consumer information and education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_Toc492650054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90</w:t>
            </w:r>
            <w:r w:rsidR="00BC78F5" w:rsidRPr="004737C5">
              <w:rPr>
                <w:rFonts w:cstheme="minorHAnsi"/>
                <w:noProof/>
                <w:webHidden/>
              </w:rPr>
              <w:fldChar w:fldCharType="end"/>
            </w:r>
          </w:hyperlink>
        </w:p>
        <w:p w14:paraId="7D487A96" w14:textId="52CB739E" w:rsidR="00BC78F5" w:rsidRPr="004737C5" w:rsidRDefault="00FB5819" w:rsidP="006D3BE8">
          <w:pPr>
            <w:pStyle w:val="TOC2"/>
            <w:tabs>
              <w:tab w:val="right" w:leader="dot" w:pos="9627"/>
            </w:tabs>
            <w:rPr>
              <w:rFonts w:eastAsiaTheme="minorEastAsia" w:cstheme="minorHAnsi"/>
              <w:noProof/>
              <w:lang w:eastAsia="zh-CN"/>
            </w:rPr>
          </w:pPr>
          <w:hyperlink w:anchor="_Toc492650055" w:history="1">
            <w:r w:rsidR="008848B8" w:rsidRPr="004737C5">
              <w:rPr>
                <w:rStyle w:val="Hyperlink"/>
                <w:rFonts w:cstheme="minorHAnsi"/>
                <w:noProof/>
              </w:rPr>
              <w:t>C.</w:t>
            </w:r>
            <w:r w:rsidR="00BC78F5" w:rsidRPr="004737C5">
              <w:rPr>
                <w:rStyle w:val="Hyperlink"/>
                <w:rFonts w:cstheme="minorHAnsi"/>
                <w:noProof/>
              </w:rPr>
              <w:t xml:space="preserve"> The transfer of risk</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_Toc492650055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91</w:t>
            </w:r>
            <w:r w:rsidR="00BC78F5" w:rsidRPr="004737C5">
              <w:rPr>
                <w:rFonts w:cstheme="minorHAnsi"/>
                <w:noProof/>
                <w:webHidden/>
              </w:rPr>
              <w:fldChar w:fldCharType="end"/>
            </w:r>
          </w:hyperlink>
        </w:p>
        <w:p w14:paraId="6093BE75" w14:textId="7F9A2396" w:rsidR="00BC78F5" w:rsidRPr="004737C5" w:rsidRDefault="00FB5819" w:rsidP="006D3BE8">
          <w:pPr>
            <w:pStyle w:val="TOC2"/>
            <w:tabs>
              <w:tab w:val="right" w:leader="dot" w:pos="9627"/>
            </w:tabs>
            <w:rPr>
              <w:rFonts w:eastAsiaTheme="minorEastAsia" w:cstheme="minorHAnsi"/>
              <w:noProof/>
              <w:lang w:eastAsia="zh-CN"/>
            </w:rPr>
          </w:pPr>
          <w:hyperlink w:anchor="_Toc492650056" w:history="1">
            <w:r w:rsidR="008848B8" w:rsidRPr="004737C5">
              <w:rPr>
                <w:rStyle w:val="Hyperlink"/>
                <w:rFonts w:cstheme="minorHAnsi"/>
                <w:noProof/>
              </w:rPr>
              <w:t>D.</w:t>
            </w:r>
            <w:r w:rsidR="00BC78F5" w:rsidRPr="004737C5">
              <w:rPr>
                <w:rStyle w:val="Hyperlink"/>
                <w:rFonts w:cstheme="minorHAnsi"/>
                <w:noProof/>
              </w:rPr>
              <w:t xml:space="preserve"> Consumer information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_Toc492650056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91</w:t>
            </w:r>
            <w:r w:rsidR="00BC78F5" w:rsidRPr="004737C5">
              <w:rPr>
                <w:rFonts w:cstheme="minorHAnsi"/>
                <w:noProof/>
                <w:webHidden/>
              </w:rPr>
              <w:fldChar w:fldCharType="end"/>
            </w:r>
          </w:hyperlink>
        </w:p>
        <w:p w14:paraId="1EFE72FC" w14:textId="034BA9DC" w:rsidR="00BC78F5" w:rsidRPr="004737C5" w:rsidRDefault="00FB5819" w:rsidP="00D82918">
          <w:pPr>
            <w:pStyle w:val="TOC2"/>
            <w:tabs>
              <w:tab w:val="right" w:leader="dot" w:pos="9627"/>
            </w:tabs>
            <w:rPr>
              <w:rFonts w:eastAsiaTheme="minorEastAsia" w:cstheme="minorHAnsi"/>
              <w:noProof/>
              <w:lang w:eastAsia="zh-CN"/>
            </w:rPr>
          </w:pPr>
          <w:hyperlink w:anchor="_Toc492650057" w:history="1">
            <w:r w:rsidR="008848B8" w:rsidRPr="004737C5">
              <w:rPr>
                <w:rStyle w:val="Hyperlink"/>
                <w:rFonts w:cstheme="minorHAnsi"/>
                <w:noProof/>
              </w:rPr>
              <w:t>E.</w:t>
            </w:r>
            <w:r w:rsidR="00BC78F5" w:rsidRPr="004737C5">
              <w:rPr>
                <w:rStyle w:val="Hyperlink"/>
                <w:rFonts w:cstheme="minorHAnsi"/>
                <w:noProof/>
              </w:rPr>
              <w:t xml:space="preserve"> Critical issues with respect to labelling</w:t>
            </w:r>
            <w:r w:rsidR="00BC78F5" w:rsidRPr="004737C5">
              <w:rPr>
                <w:rFonts w:cstheme="minorHAnsi"/>
                <w:noProof/>
                <w:webHidden/>
              </w:rPr>
              <w:tab/>
            </w:r>
            <w:r w:rsidR="0071486B" w:rsidRPr="004737C5">
              <w:rPr>
                <w:rFonts w:cstheme="minorHAnsi"/>
                <w:noProof/>
                <w:webHidden/>
              </w:rPr>
              <w:t>9</w:t>
            </w:r>
            <w:r w:rsidR="00D82918" w:rsidRPr="004737C5">
              <w:rPr>
                <w:rFonts w:cstheme="minorHAnsi"/>
                <w:noProof/>
                <w:webHidden/>
              </w:rPr>
              <w:t>3</w:t>
            </w:r>
          </w:hyperlink>
        </w:p>
        <w:p w14:paraId="6E3A5CF0" w14:textId="08BF7107" w:rsidR="00BC78F5" w:rsidRPr="004737C5" w:rsidRDefault="00FB5819" w:rsidP="00D82918">
          <w:pPr>
            <w:pStyle w:val="TOC2"/>
            <w:tabs>
              <w:tab w:val="right" w:leader="dot" w:pos="9627"/>
            </w:tabs>
            <w:rPr>
              <w:rFonts w:eastAsiaTheme="minorEastAsia" w:cstheme="minorHAnsi"/>
              <w:noProof/>
              <w:lang w:eastAsia="zh-CN"/>
            </w:rPr>
          </w:pPr>
          <w:hyperlink w:anchor="_Toc492650061" w:history="1">
            <w:r w:rsidR="008848B8" w:rsidRPr="004737C5">
              <w:rPr>
                <w:rStyle w:val="Hyperlink"/>
                <w:rFonts w:cstheme="minorHAnsi"/>
                <w:noProof/>
              </w:rPr>
              <w:t>F.</w:t>
            </w:r>
            <w:r w:rsidR="00BC78F5" w:rsidRPr="004737C5">
              <w:rPr>
                <w:rStyle w:val="Hyperlink"/>
                <w:rFonts w:cstheme="minorHAnsi"/>
                <w:noProof/>
              </w:rPr>
              <w:t xml:space="preserve"> Critical issues with respect to advertising</w:t>
            </w:r>
            <w:r w:rsidR="00BC78F5" w:rsidRPr="004737C5">
              <w:rPr>
                <w:rFonts w:cstheme="minorHAnsi"/>
                <w:noProof/>
                <w:webHidden/>
              </w:rPr>
              <w:tab/>
            </w:r>
            <w:r w:rsidR="0071486B" w:rsidRPr="004737C5">
              <w:rPr>
                <w:rFonts w:cstheme="minorHAnsi"/>
                <w:noProof/>
                <w:webHidden/>
              </w:rPr>
              <w:t>9</w:t>
            </w:r>
            <w:r w:rsidR="00D82918" w:rsidRPr="004737C5">
              <w:rPr>
                <w:rFonts w:cstheme="minorHAnsi"/>
                <w:noProof/>
                <w:webHidden/>
              </w:rPr>
              <w:t>5</w:t>
            </w:r>
          </w:hyperlink>
        </w:p>
        <w:p w14:paraId="500C4B30" w14:textId="486589E5" w:rsidR="00BC78F5" w:rsidRPr="004737C5" w:rsidRDefault="00FB5819" w:rsidP="006D3BE8">
          <w:pPr>
            <w:pStyle w:val="TOC2"/>
            <w:tabs>
              <w:tab w:val="right" w:leader="dot" w:pos="9627"/>
            </w:tabs>
            <w:rPr>
              <w:rFonts w:eastAsiaTheme="minorEastAsia" w:cstheme="minorHAnsi"/>
              <w:noProof/>
              <w:lang w:eastAsia="zh-CN"/>
            </w:rPr>
          </w:pPr>
          <w:hyperlink w:anchor="_Toc492650062" w:history="1">
            <w:r w:rsidR="008848B8" w:rsidRPr="004737C5">
              <w:rPr>
                <w:rStyle w:val="Hyperlink"/>
                <w:rFonts w:cstheme="minorHAnsi"/>
                <w:noProof/>
              </w:rPr>
              <w:t>G. Consumer education and its i</w:t>
            </w:r>
            <w:r w:rsidR="00BC78F5" w:rsidRPr="004737C5">
              <w:rPr>
                <w:rStyle w:val="Hyperlink"/>
                <w:rFonts w:cstheme="minorHAnsi"/>
                <w:noProof/>
              </w:rPr>
              <w:t>mplementation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_Toc492650062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98</w:t>
            </w:r>
            <w:r w:rsidR="00BC78F5" w:rsidRPr="004737C5">
              <w:rPr>
                <w:rFonts w:cstheme="minorHAnsi"/>
                <w:noProof/>
                <w:webHidden/>
              </w:rPr>
              <w:fldChar w:fldCharType="end"/>
            </w:r>
          </w:hyperlink>
        </w:p>
        <w:p w14:paraId="02AD4EC7" w14:textId="70E8975E" w:rsidR="00BC78F5" w:rsidRPr="004737C5" w:rsidRDefault="00FB5819" w:rsidP="006D3BE8">
          <w:pPr>
            <w:pStyle w:val="TOC2"/>
            <w:tabs>
              <w:tab w:val="right" w:leader="dot" w:pos="9627"/>
            </w:tabs>
            <w:rPr>
              <w:rFonts w:eastAsiaTheme="minorEastAsia" w:cstheme="minorHAnsi"/>
              <w:noProof/>
              <w:lang w:eastAsia="zh-CN"/>
            </w:rPr>
          </w:pPr>
          <w:hyperlink w:anchor="_Toc492650063" w:history="1">
            <w:r w:rsidR="008848B8" w:rsidRPr="004737C5">
              <w:rPr>
                <w:rStyle w:val="Hyperlink"/>
                <w:rFonts w:cstheme="minorHAnsi"/>
                <w:noProof/>
              </w:rPr>
              <w:t>H.</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_Toc492650063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102</w:t>
            </w:r>
            <w:r w:rsidR="00BC78F5" w:rsidRPr="004737C5">
              <w:rPr>
                <w:rFonts w:cstheme="minorHAnsi"/>
                <w:noProof/>
                <w:webHidden/>
              </w:rPr>
              <w:fldChar w:fldCharType="end"/>
            </w:r>
          </w:hyperlink>
        </w:p>
        <w:p w14:paraId="4DB3CFB4" w14:textId="1AB2BA97" w:rsidR="00BC78F5" w:rsidRPr="004737C5" w:rsidRDefault="00FB5819" w:rsidP="00D82918">
          <w:pPr>
            <w:pStyle w:val="TOC1"/>
            <w:rPr>
              <w:rFonts w:eastAsiaTheme="minorEastAsia" w:cstheme="minorHAnsi"/>
              <w:noProof/>
              <w:lang w:eastAsia="zh-CN"/>
            </w:rPr>
          </w:pPr>
          <w:hyperlink w:anchor="_Toc492650064" w:history="1">
            <w:r w:rsidR="008848B8" w:rsidRPr="004737C5">
              <w:rPr>
                <w:rStyle w:val="Hyperlink"/>
                <w:rFonts w:cstheme="minorHAnsi"/>
                <w:noProof/>
              </w:rPr>
              <w:t>XI. Consumer dispute resolution and r</w:t>
            </w:r>
            <w:r w:rsidR="00BC78F5" w:rsidRPr="004737C5">
              <w:rPr>
                <w:rStyle w:val="Hyperlink"/>
                <w:rFonts w:cstheme="minorHAnsi"/>
                <w:noProof/>
              </w:rPr>
              <w:t>edress</w:t>
            </w:r>
            <w:r w:rsidR="00BC78F5" w:rsidRPr="004737C5">
              <w:rPr>
                <w:rFonts w:cstheme="minorHAnsi"/>
                <w:noProof/>
                <w:webHidden/>
              </w:rPr>
              <w:tab/>
            </w:r>
            <w:r w:rsidR="00B1100F" w:rsidRPr="004737C5">
              <w:rPr>
                <w:rFonts w:cstheme="minorHAnsi"/>
                <w:noProof/>
                <w:webHidden/>
              </w:rPr>
              <w:t>10</w:t>
            </w:r>
            <w:r w:rsidR="00D82918" w:rsidRPr="004737C5">
              <w:rPr>
                <w:rFonts w:cstheme="minorHAnsi"/>
                <w:noProof/>
                <w:webHidden/>
              </w:rPr>
              <w:t>4</w:t>
            </w:r>
          </w:hyperlink>
        </w:p>
        <w:p w14:paraId="06341B11" w14:textId="7845FF01" w:rsidR="00BC78F5" w:rsidRPr="004737C5" w:rsidRDefault="00FB5819" w:rsidP="00D82918">
          <w:pPr>
            <w:pStyle w:val="TOC2"/>
            <w:tabs>
              <w:tab w:val="right" w:leader="dot" w:pos="9627"/>
            </w:tabs>
            <w:rPr>
              <w:rFonts w:eastAsiaTheme="minorEastAsia" w:cstheme="minorHAnsi"/>
              <w:noProof/>
              <w:lang w:eastAsia="zh-CN"/>
            </w:rPr>
          </w:pPr>
          <w:hyperlink w:anchor="_Toc492650065" w:history="1">
            <w:r w:rsidR="008848B8" w:rsidRPr="004737C5">
              <w:rPr>
                <w:rStyle w:val="Hyperlink"/>
                <w:rFonts w:cstheme="minorHAnsi"/>
                <w:noProof/>
              </w:rPr>
              <w:t>A.</w:t>
            </w:r>
            <w:r w:rsidR="00BC78F5" w:rsidRPr="004737C5">
              <w:rPr>
                <w:rStyle w:val="Hyperlink"/>
                <w:rFonts w:cstheme="minorHAnsi"/>
                <w:noProof/>
              </w:rPr>
              <w:t xml:space="preserve"> Consumer dispute resolution and redress in the United Nations Guidelines for Consumer Protection</w:t>
            </w:r>
            <w:r w:rsidR="00BC78F5" w:rsidRPr="004737C5">
              <w:rPr>
                <w:rFonts w:cstheme="minorHAnsi"/>
                <w:noProof/>
                <w:webHidden/>
              </w:rPr>
              <w:tab/>
            </w:r>
            <w:r w:rsidR="00B1100F" w:rsidRPr="004737C5">
              <w:rPr>
                <w:rFonts w:cstheme="minorHAnsi"/>
                <w:noProof/>
                <w:webHidden/>
              </w:rPr>
              <w:t>10</w:t>
            </w:r>
            <w:r w:rsidR="00D82918" w:rsidRPr="004737C5">
              <w:rPr>
                <w:rFonts w:cstheme="minorHAnsi"/>
                <w:noProof/>
                <w:webHidden/>
              </w:rPr>
              <w:t>5</w:t>
            </w:r>
          </w:hyperlink>
        </w:p>
        <w:p w14:paraId="17FF0A29" w14:textId="0DC9AC80" w:rsidR="00BC78F5" w:rsidRPr="004737C5" w:rsidRDefault="00FB5819" w:rsidP="00ED5CD5">
          <w:pPr>
            <w:pStyle w:val="TOC2"/>
            <w:tabs>
              <w:tab w:val="right" w:leader="dot" w:pos="9627"/>
            </w:tabs>
            <w:rPr>
              <w:rFonts w:eastAsiaTheme="minorEastAsia" w:cstheme="minorHAnsi"/>
              <w:noProof/>
              <w:lang w:eastAsia="zh-CN"/>
            </w:rPr>
          </w:pPr>
          <w:hyperlink w:anchor="_Toc492650066" w:history="1">
            <w:r w:rsidR="008848B8" w:rsidRPr="004737C5">
              <w:rPr>
                <w:rStyle w:val="Hyperlink"/>
                <w:rFonts w:cstheme="minorHAnsi"/>
                <w:noProof/>
              </w:rPr>
              <w:t>B.</w:t>
            </w:r>
            <w:r w:rsidR="00BC78F5" w:rsidRPr="004737C5">
              <w:rPr>
                <w:rStyle w:val="Hyperlink"/>
                <w:rFonts w:cstheme="minorHAnsi"/>
                <w:noProof/>
              </w:rPr>
              <w:t xml:space="preserve"> The need for consumer dispute resolution and redress</w:t>
            </w:r>
            <w:r w:rsidR="00BC78F5" w:rsidRPr="004737C5">
              <w:rPr>
                <w:rFonts w:cstheme="minorHAnsi"/>
                <w:noProof/>
                <w:webHidden/>
              </w:rPr>
              <w:tab/>
            </w:r>
            <w:r w:rsidR="00B1100F" w:rsidRPr="004737C5">
              <w:rPr>
                <w:rFonts w:cstheme="minorHAnsi"/>
                <w:noProof/>
                <w:webHidden/>
              </w:rPr>
              <w:t>10</w:t>
            </w:r>
            <w:r w:rsidR="00ED5CD5" w:rsidRPr="004737C5">
              <w:rPr>
                <w:rFonts w:cstheme="minorHAnsi"/>
                <w:noProof/>
                <w:webHidden/>
              </w:rPr>
              <w:t>4</w:t>
            </w:r>
          </w:hyperlink>
        </w:p>
        <w:p w14:paraId="2E35761A" w14:textId="1F214D87" w:rsidR="00BC78F5" w:rsidRPr="004737C5" w:rsidRDefault="00FB5819" w:rsidP="00ED5CD5">
          <w:pPr>
            <w:pStyle w:val="TOC2"/>
            <w:tabs>
              <w:tab w:val="right" w:leader="dot" w:pos="9627"/>
            </w:tabs>
            <w:rPr>
              <w:rFonts w:eastAsiaTheme="minorEastAsia" w:cstheme="minorHAnsi"/>
              <w:noProof/>
              <w:lang w:eastAsia="zh-CN"/>
            </w:rPr>
          </w:pPr>
          <w:hyperlink w:anchor="_Toc492650067" w:history="1">
            <w:r w:rsidR="008848B8" w:rsidRPr="004737C5">
              <w:rPr>
                <w:rStyle w:val="Hyperlink"/>
                <w:rFonts w:cstheme="minorHAnsi"/>
                <w:noProof/>
              </w:rPr>
              <w:t>C.</w:t>
            </w:r>
            <w:r w:rsidR="00BC78F5" w:rsidRPr="004737C5">
              <w:rPr>
                <w:rStyle w:val="Hyperlink"/>
                <w:rFonts w:cstheme="minorHAnsi"/>
                <w:noProof/>
              </w:rPr>
              <w:t xml:space="preserve"> Pathways for delivering consumer dispute resolution and redress</w:t>
            </w:r>
            <w:r w:rsidR="00BC78F5" w:rsidRPr="004737C5">
              <w:rPr>
                <w:rFonts w:cstheme="minorHAnsi"/>
                <w:noProof/>
                <w:webHidden/>
              </w:rPr>
              <w:tab/>
            </w:r>
            <w:r w:rsidR="00B1100F" w:rsidRPr="004737C5">
              <w:rPr>
                <w:rFonts w:cstheme="minorHAnsi"/>
                <w:noProof/>
                <w:webHidden/>
              </w:rPr>
              <w:t>10</w:t>
            </w:r>
            <w:r w:rsidR="00ED5CD5" w:rsidRPr="004737C5">
              <w:rPr>
                <w:rFonts w:cstheme="minorHAnsi"/>
                <w:noProof/>
                <w:webHidden/>
              </w:rPr>
              <w:t>5</w:t>
            </w:r>
          </w:hyperlink>
        </w:p>
        <w:p w14:paraId="3C44B7B2" w14:textId="6E3F3F28" w:rsidR="00BC78F5" w:rsidRPr="004737C5" w:rsidRDefault="00FB5819" w:rsidP="006D3BE8">
          <w:pPr>
            <w:pStyle w:val="TOC2"/>
            <w:tabs>
              <w:tab w:val="right" w:leader="dot" w:pos="9627"/>
            </w:tabs>
            <w:rPr>
              <w:rFonts w:eastAsiaTheme="minorEastAsia" w:cstheme="minorHAnsi"/>
              <w:noProof/>
              <w:lang w:eastAsia="zh-CN"/>
            </w:rPr>
          </w:pPr>
          <w:hyperlink w:anchor="_Toc492650075" w:history="1">
            <w:r w:rsidR="008848B8" w:rsidRPr="004737C5">
              <w:rPr>
                <w:rStyle w:val="Hyperlink"/>
                <w:rFonts w:cstheme="minorHAnsi"/>
                <w:noProof/>
              </w:rPr>
              <w:t>D.</w:t>
            </w:r>
            <w:r w:rsidR="00BC78F5" w:rsidRPr="004737C5">
              <w:rPr>
                <w:rStyle w:val="Hyperlink"/>
                <w:rFonts w:cstheme="minorHAnsi"/>
                <w:noProof/>
              </w:rPr>
              <w:t xml:space="preserve"> Criteria for assessing consumer dispute resolution and redress systems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_Toc492650075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110</w:t>
            </w:r>
            <w:r w:rsidR="00BC78F5" w:rsidRPr="004737C5">
              <w:rPr>
                <w:rFonts w:cstheme="minorHAnsi"/>
                <w:noProof/>
                <w:webHidden/>
              </w:rPr>
              <w:fldChar w:fldCharType="end"/>
            </w:r>
          </w:hyperlink>
        </w:p>
        <w:p w14:paraId="33480CF8" w14:textId="2A1BF55E" w:rsidR="00BC78F5" w:rsidRPr="004737C5" w:rsidRDefault="00FB5819" w:rsidP="006D3BE8">
          <w:pPr>
            <w:pStyle w:val="TOC2"/>
            <w:tabs>
              <w:tab w:val="right" w:leader="dot" w:pos="9627"/>
            </w:tabs>
            <w:rPr>
              <w:rFonts w:eastAsiaTheme="minorEastAsia" w:cstheme="minorHAnsi"/>
              <w:noProof/>
              <w:lang w:eastAsia="zh-CN"/>
            </w:rPr>
          </w:pPr>
          <w:hyperlink w:anchor="_Toc492650076" w:history="1">
            <w:r w:rsidR="008848B8" w:rsidRPr="004737C5">
              <w:rPr>
                <w:rStyle w:val="Hyperlink"/>
                <w:rFonts w:cstheme="minorHAnsi"/>
                <w:noProof/>
              </w:rPr>
              <w:t>E.</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_Toc492650076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111</w:t>
            </w:r>
            <w:r w:rsidR="00BC78F5" w:rsidRPr="004737C5">
              <w:rPr>
                <w:rFonts w:cstheme="minorHAnsi"/>
                <w:noProof/>
                <w:webHidden/>
              </w:rPr>
              <w:fldChar w:fldCharType="end"/>
            </w:r>
          </w:hyperlink>
        </w:p>
        <w:p w14:paraId="6E264FBF" w14:textId="4408B941" w:rsidR="00BC78F5" w:rsidRPr="004737C5" w:rsidRDefault="00FB5819" w:rsidP="006D3BE8">
          <w:pPr>
            <w:pStyle w:val="TOC1"/>
            <w:rPr>
              <w:rFonts w:eastAsiaTheme="minorEastAsia" w:cstheme="minorHAnsi"/>
              <w:noProof/>
              <w:lang w:eastAsia="zh-CN"/>
            </w:rPr>
          </w:pPr>
          <w:hyperlink w:anchor="_Toc492650077" w:history="1">
            <w:r w:rsidR="008848B8" w:rsidRPr="004737C5">
              <w:rPr>
                <w:rStyle w:val="Hyperlink"/>
                <w:rFonts w:cstheme="minorHAnsi"/>
                <w:noProof/>
              </w:rPr>
              <w:t>XII. Electronic c</w:t>
            </w:r>
            <w:r w:rsidR="00BC78F5" w:rsidRPr="004737C5">
              <w:rPr>
                <w:rStyle w:val="Hyperlink"/>
                <w:rFonts w:cstheme="minorHAnsi"/>
                <w:noProof/>
              </w:rPr>
              <w:t>ommerce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_Toc492650077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112</w:t>
            </w:r>
            <w:r w:rsidR="00BC78F5" w:rsidRPr="004737C5">
              <w:rPr>
                <w:rFonts w:cstheme="minorHAnsi"/>
                <w:noProof/>
                <w:webHidden/>
              </w:rPr>
              <w:fldChar w:fldCharType="end"/>
            </w:r>
          </w:hyperlink>
        </w:p>
        <w:p w14:paraId="4ECE416E" w14:textId="5F20C397" w:rsidR="00BC78F5" w:rsidRPr="004737C5" w:rsidRDefault="00FB5819" w:rsidP="006D3BE8">
          <w:pPr>
            <w:pStyle w:val="TOC2"/>
            <w:tabs>
              <w:tab w:val="right" w:leader="dot" w:pos="9627"/>
            </w:tabs>
            <w:rPr>
              <w:rFonts w:eastAsiaTheme="minorEastAsia" w:cstheme="minorHAnsi"/>
              <w:noProof/>
              <w:lang w:eastAsia="zh-CN"/>
            </w:rPr>
          </w:pPr>
          <w:hyperlink w:anchor="_Toc492650078" w:history="1">
            <w:r w:rsidR="008848B8" w:rsidRPr="004737C5">
              <w:rPr>
                <w:rStyle w:val="Hyperlink"/>
                <w:rFonts w:cstheme="minorHAnsi"/>
                <w:noProof/>
              </w:rPr>
              <w:t>A.</w:t>
            </w:r>
            <w:r w:rsidR="00BC78F5" w:rsidRPr="004737C5">
              <w:rPr>
                <w:rStyle w:val="Hyperlink"/>
                <w:rFonts w:cstheme="minorHAnsi"/>
                <w:noProof/>
              </w:rPr>
              <w:t xml:space="preserve"> Electronic commerce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_Toc492650078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112</w:t>
            </w:r>
            <w:r w:rsidR="00BC78F5" w:rsidRPr="004737C5">
              <w:rPr>
                <w:rFonts w:cstheme="minorHAnsi"/>
                <w:noProof/>
                <w:webHidden/>
              </w:rPr>
              <w:fldChar w:fldCharType="end"/>
            </w:r>
          </w:hyperlink>
        </w:p>
        <w:p w14:paraId="59B0FA4B" w14:textId="0E100887" w:rsidR="00BC78F5" w:rsidRPr="004737C5" w:rsidRDefault="00FB5819" w:rsidP="006D3BE8">
          <w:pPr>
            <w:pStyle w:val="TOC2"/>
            <w:tabs>
              <w:tab w:val="right" w:leader="dot" w:pos="9627"/>
            </w:tabs>
            <w:rPr>
              <w:rFonts w:eastAsiaTheme="minorEastAsia" w:cstheme="minorHAnsi"/>
              <w:noProof/>
              <w:lang w:eastAsia="zh-CN"/>
            </w:rPr>
          </w:pPr>
          <w:hyperlink w:anchor="_Toc492650079" w:history="1">
            <w:r w:rsidR="008848B8" w:rsidRPr="004737C5">
              <w:rPr>
                <w:rStyle w:val="Hyperlink"/>
                <w:rFonts w:cstheme="minorHAnsi"/>
                <w:noProof/>
              </w:rPr>
              <w:t>B.</w:t>
            </w:r>
            <w:r w:rsidR="00BC78F5" w:rsidRPr="004737C5">
              <w:rPr>
                <w:rStyle w:val="Hyperlink"/>
                <w:rFonts w:cstheme="minorHAnsi"/>
                <w:noProof/>
              </w:rPr>
              <w:t xml:space="preserve"> The scope and extent of e-commerce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_Toc492650079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112</w:t>
            </w:r>
            <w:r w:rsidR="00BC78F5" w:rsidRPr="004737C5">
              <w:rPr>
                <w:rFonts w:cstheme="minorHAnsi"/>
                <w:noProof/>
                <w:webHidden/>
              </w:rPr>
              <w:fldChar w:fldCharType="end"/>
            </w:r>
          </w:hyperlink>
        </w:p>
        <w:p w14:paraId="757EE735" w14:textId="66992662" w:rsidR="00BC78F5" w:rsidRPr="004737C5" w:rsidRDefault="00FB5819" w:rsidP="006D3BE8">
          <w:pPr>
            <w:pStyle w:val="TOC2"/>
            <w:tabs>
              <w:tab w:val="right" w:leader="dot" w:pos="9627"/>
            </w:tabs>
            <w:rPr>
              <w:rFonts w:eastAsiaTheme="minorEastAsia" w:cstheme="minorHAnsi"/>
              <w:noProof/>
              <w:lang w:eastAsia="zh-CN"/>
            </w:rPr>
          </w:pPr>
          <w:hyperlink w:anchor="_Toc492650080" w:history="1">
            <w:r w:rsidR="008848B8" w:rsidRPr="004737C5">
              <w:rPr>
                <w:rStyle w:val="Hyperlink"/>
                <w:rFonts w:cstheme="minorHAnsi"/>
                <w:noProof/>
              </w:rPr>
              <w:t>C.</w:t>
            </w:r>
            <w:r w:rsidR="00BC78F5" w:rsidRPr="004737C5">
              <w:rPr>
                <w:rStyle w:val="Hyperlink"/>
                <w:rFonts w:cstheme="minorHAnsi"/>
                <w:noProof/>
              </w:rPr>
              <w:t xml:space="preserve"> Consumer trust in the digital market</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_Toc492650080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117</w:t>
            </w:r>
            <w:r w:rsidR="00BC78F5" w:rsidRPr="004737C5">
              <w:rPr>
                <w:rFonts w:cstheme="minorHAnsi"/>
                <w:noProof/>
                <w:webHidden/>
              </w:rPr>
              <w:fldChar w:fldCharType="end"/>
            </w:r>
          </w:hyperlink>
        </w:p>
        <w:p w14:paraId="2078E5E6" w14:textId="579D46A0" w:rsidR="00BC78F5" w:rsidRPr="004737C5" w:rsidRDefault="00FB5819" w:rsidP="006D3BE8">
          <w:pPr>
            <w:pStyle w:val="TOC2"/>
            <w:tabs>
              <w:tab w:val="right" w:leader="dot" w:pos="9627"/>
            </w:tabs>
            <w:rPr>
              <w:rFonts w:eastAsiaTheme="minorEastAsia" w:cstheme="minorHAnsi"/>
              <w:noProof/>
              <w:lang w:eastAsia="zh-CN"/>
            </w:rPr>
          </w:pPr>
          <w:hyperlink w:anchor="_Toc492650081" w:history="1">
            <w:r w:rsidR="008848B8" w:rsidRPr="004737C5">
              <w:rPr>
                <w:rStyle w:val="Hyperlink"/>
                <w:rFonts w:cstheme="minorHAnsi"/>
                <w:noProof/>
              </w:rPr>
              <w:t>D.</w:t>
            </w:r>
            <w:r w:rsidR="00B1100F" w:rsidRPr="004737C5">
              <w:rPr>
                <w:rStyle w:val="Hyperlink"/>
                <w:rFonts w:cstheme="minorHAnsi"/>
                <w:noProof/>
              </w:rPr>
              <w:t xml:space="preserve"> Guidelines from the Organis</w:t>
            </w:r>
            <w:r w:rsidR="00BC78F5" w:rsidRPr="004737C5">
              <w:rPr>
                <w:rStyle w:val="Hyperlink"/>
                <w:rFonts w:cstheme="minorHAnsi"/>
                <w:noProof/>
              </w:rPr>
              <w:t>ation for Economic Cooperation and Development</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_Toc492650081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118</w:t>
            </w:r>
            <w:r w:rsidR="00BC78F5" w:rsidRPr="004737C5">
              <w:rPr>
                <w:rFonts w:cstheme="minorHAnsi"/>
                <w:noProof/>
                <w:webHidden/>
              </w:rPr>
              <w:fldChar w:fldCharType="end"/>
            </w:r>
          </w:hyperlink>
        </w:p>
        <w:p w14:paraId="6C85E974" w14:textId="6535E3C7" w:rsidR="00BC78F5" w:rsidRPr="004737C5" w:rsidRDefault="00FB5819" w:rsidP="006D3BE8">
          <w:pPr>
            <w:pStyle w:val="TOC2"/>
            <w:tabs>
              <w:tab w:val="right" w:leader="dot" w:pos="9627"/>
            </w:tabs>
            <w:rPr>
              <w:rFonts w:eastAsiaTheme="minorEastAsia" w:cstheme="minorHAnsi"/>
              <w:noProof/>
              <w:lang w:eastAsia="zh-CN"/>
            </w:rPr>
          </w:pPr>
          <w:hyperlink w:anchor="_Toc492650089" w:history="1">
            <w:r w:rsidR="008848B8" w:rsidRPr="004737C5">
              <w:rPr>
                <w:rStyle w:val="Hyperlink"/>
                <w:rFonts w:cstheme="minorHAnsi"/>
                <w:noProof/>
              </w:rPr>
              <w:t>E.</w:t>
            </w:r>
            <w:r w:rsidR="00BC78F5" w:rsidRPr="004737C5">
              <w:rPr>
                <w:rStyle w:val="Hyperlink"/>
                <w:rFonts w:cstheme="minorHAnsi"/>
                <w:noProof/>
              </w:rPr>
              <w:t xml:space="preserve"> Other international guidelines for the regulation of e-commerce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_Toc492650089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122</w:t>
            </w:r>
            <w:r w:rsidR="00BC78F5" w:rsidRPr="004737C5">
              <w:rPr>
                <w:rFonts w:cstheme="minorHAnsi"/>
                <w:noProof/>
                <w:webHidden/>
              </w:rPr>
              <w:fldChar w:fldCharType="end"/>
            </w:r>
          </w:hyperlink>
        </w:p>
        <w:p w14:paraId="4DD01971" w14:textId="013D1316" w:rsidR="00BC78F5" w:rsidRPr="004737C5" w:rsidRDefault="00FB5819" w:rsidP="006D3BE8">
          <w:pPr>
            <w:pStyle w:val="TOC2"/>
            <w:tabs>
              <w:tab w:val="right" w:leader="dot" w:pos="9627"/>
            </w:tabs>
            <w:rPr>
              <w:rFonts w:eastAsiaTheme="minorEastAsia" w:cstheme="minorHAnsi"/>
              <w:noProof/>
              <w:lang w:eastAsia="zh-CN"/>
            </w:rPr>
          </w:pPr>
          <w:hyperlink w:anchor="_Toc492650094" w:history="1">
            <w:r w:rsidR="008848B8" w:rsidRPr="004737C5">
              <w:rPr>
                <w:rStyle w:val="Hyperlink"/>
                <w:rFonts w:cstheme="minorHAnsi"/>
                <w:noProof/>
              </w:rPr>
              <w:t>F.</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_Toc492650094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124</w:t>
            </w:r>
            <w:r w:rsidR="00BC78F5" w:rsidRPr="004737C5">
              <w:rPr>
                <w:rFonts w:cstheme="minorHAnsi"/>
                <w:noProof/>
                <w:webHidden/>
              </w:rPr>
              <w:fldChar w:fldCharType="end"/>
            </w:r>
          </w:hyperlink>
        </w:p>
        <w:p w14:paraId="436CEDA0" w14:textId="66F446E1" w:rsidR="00BC78F5" w:rsidRPr="004737C5" w:rsidRDefault="00FB5819" w:rsidP="006D3BE8">
          <w:pPr>
            <w:pStyle w:val="TOC1"/>
            <w:rPr>
              <w:rFonts w:eastAsiaTheme="minorEastAsia" w:cstheme="minorHAnsi"/>
              <w:noProof/>
              <w:lang w:eastAsia="zh-CN"/>
            </w:rPr>
          </w:pPr>
          <w:hyperlink w:anchor="_Toc492650095" w:history="1">
            <w:r w:rsidR="008848B8" w:rsidRPr="004737C5">
              <w:rPr>
                <w:rStyle w:val="Hyperlink"/>
                <w:rFonts w:cstheme="minorHAnsi"/>
                <w:noProof/>
                <w:shd w:val="clear" w:color="auto" w:fill="FFFFFF"/>
              </w:rPr>
              <w:t>XIII. Privacy and data p</w:t>
            </w:r>
            <w:r w:rsidR="00BC78F5" w:rsidRPr="004737C5">
              <w:rPr>
                <w:rStyle w:val="Hyperlink"/>
                <w:rFonts w:cstheme="minorHAnsi"/>
                <w:noProof/>
                <w:shd w:val="clear" w:color="auto" w:fill="FFFFFF"/>
              </w:rPr>
              <w:t>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_Toc492650095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126</w:t>
            </w:r>
            <w:r w:rsidR="00BC78F5" w:rsidRPr="004737C5">
              <w:rPr>
                <w:rFonts w:cstheme="minorHAnsi"/>
                <w:noProof/>
                <w:webHidden/>
              </w:rPr>
              <w:fldChar w:fldCharType="end"/>
            </w:r>
          </w:hyperlink>
        </w:p>
        <w:p w14:paraId="44E4EA57" w14:textId="025C0309" w:rsidR="00BC78F5" w:rsidRPr="004737C5" w:rsidRDefault="00FB5819" w:rsidP="006D3BE8">
          <w:pPr>
            <w:pStyle w:val="TOC2"/>
            <w:tabs>
              <w:tab w:val="right" w:leader="dot" w:pos="9627"/>
            </w:tabs>
            <w:rPr>
              <w:rFonts w:eastAsiaTheme="minorEastAsia" w:cstheme="minorHAnsi"/>
              <w:noProof/>
              <w:lang w:eastAsia="zh-CN"/>
            </w:rPr>
          </w:pPr>
          <w:hyperlink w:anchor="_Toc492650096" w:history="1">
            <w:r w:rsidR="008848B8" w:rsidRPr="004737C5">
              <w:rPr>
                <w:rStyle w:val="Hyperlink"/>
                <w:rFonts w:cstheme="minorHAnsi"/>
                <w:noProof/>
              </w:rPr>
              <w:t>A.</w:t>
            </w:r>
            <w:r w:rsidR="00BC78F5" w:rsidRPr="004737C5">
              <w:rPr>
                <w:rStyle w:val="Hyperlink"/>
                <w:rFonts w:cstheme="minorHAnsi"/>
                <w:noProof/>
              </w:rPr>
              <w:t xml:space="preserve"> Privacy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_Toc492650096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126</w:t>
            </w:r>
            <w:r w:rsidR="00BC78F5" w:rsidRPr="004737C5">
              <w:rPr>
                <w:rFonts w:cstheme="minorHAnsi"/>
                <w:noProof/>
                <w:webHidden/>
              </w:rPr>
              <w:fldChar w:fldCharType="end"/>
            </w:r>
          </w:hyperlink>
        </w:p>
        <w:p w14:paraId="1CFEF5EE" w14:textId="6C5AEB62" w:rsidR="00BC78F5" w:rsidRPr="004737C5" w:rsidRDefault="00FB5819" w:rsidP="006D3BE8">
          <w:pPr>
            <w:pStyle w:val="TOC2"/>
            <w:tabs>
              <w:tab w:val="right" w:leader="dot" w:pos="9627"/>
            </w:tabs>
            <w:rPr>
              <w:rFonts w:eastAsiaTheme="minorEastAsia" w:cstheme="minorHAnsi"/>
              <w:noProof/>
              <w:lang w:eastAsia="zh-CN"/>
            </w:rPr>
          </w:pPr>
          <w:hyperlink w:anchor="_Toc492650097" w:history="1">
            <w:r w:rsidR="008848B8" w:rsidRPr="004737C5">
              <w:rPr>
                <w:rStyle w:val="Hyperlink"/>
                <w:rFonts w:cstheme="minorHAnsi"/>
                <w:noProof/>
              </w:rPr>
              <w:t>B.</w:t>
            </w:r>
            <w:r w:rsidR="00BC78F5" w:rsidRPr="004737C5">
              <w:rPr>
                <w:rStyle w:val="Hyperlink"/>
                <w:rFonts w:cstheme="minorHAnsi"/>
                <w:noProof/>
              </w:rPr>
              <w:t xml:space="preserve"> Is privacy a right?</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_Toc492650097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126</w:t>
            </w:r>
            <w:r w:rsidR="00BC78F5" w:rsidRPr="004737C5">
              <w:rPr>
                <w:rFonts w:cstheme="minorHAnsi"/>
                <w:noProof/>
                <w:webHidden/>
              </w:rPr>
              <w:fldChar w:fldCharType="end"/>
            </w:r>
          </w:hyperlink>
        </w:p>
        <w:p w14:paraId="7C2D7BA2" w14:textId="440F2AB3" w:rsidR="00BC78F5" w:rsidRPr="004737C5" w:rsidRDefault="00FB5819" w:rsidP="006D3BE8">
          <w:pPr>
            <w:pStyle w:val="TOC2"/>
            <w:tabs>
              <w:tab w:val="right" w:leader="dot" w:pos="9627"/>
            </w:tabs>
            <w:rPr>
              <w:rFonts w:eastAsiaTheme="minorEastAsia" w:cstheme="minorHAnsi"/>
              <w:noProof/>
              <w:lang w:eastAsia="zh-CN"/>
            </w:rPr>
          </w:pPr>
          <w:hyperlink w:anchor="_Toc492650098" w:history="1">
            <w:r w:rsidR="008848B8" w:rsidRPr="004737C5">
              <w:rPr>
                <w:rStyle w:val="Hyperlink"/>
                <w:rFonts w:cstheme="minorHAnsi"/>
                <w:noProof/>
              </w:rPr>
              <w:t>C.</w:t>
            </w:r>
            <w:r w:rsidR="00BC78F5" w:rsidRPr="004737C5">
              <w:rPr>
                <w:rStyle w:val="Hyperlink"/>
                <w:rFonts w:cstheme="minorHAnsi"/>
                <w:noProof/>
              </w:rPr>
              <w:t xml:space="preserve"> Understanding the data dimension from a consumer perspective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_Toc492650098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127</w:t>
            </w:r>
            <w:r w:rsidR="00BC78F5" w:rsidRPr="004737C5">
              <w:rPr>
                <w:rFonts w:cstheme="minorHAnsi"/>
                <w:noProof/>
                <w:webHidden/>
              </w:rPr>
              <w:fldChar w:fldCharType="end"/>
            </w:r>
          </w:hyperlink>
        </w:p>
        <w:p w14:paraId="77ECDD53" w14:textId="49F2A74F" w:rsidR="00BC78F5" w:rsidRPr="004737C5" w:rsidRDefault="00FB5819" w:rsidP="006D3BE8">
          <w:pPr>
            <w:pStyle w:val="TOC2"/>
            <w:tabs>
              <w:tab w:val="right" w:leader="dot" w:pos="9627"/>
            </w:tabs>
            <w:rPr>
              <w:rFonts w:eastAsiaTheme="minorEastAsia" w:cstheme="minorHAnsi"/>
              <w:noProof/>
              <w:lang w:eastAsia="zh-CN"/>
            </w:rPr>
          </w:pPr>
          <w:hyperlink w:anchor="_Toc492650099" w:history="1">
            <w:r w:rsidR="008848B8" w:rsidRPr="004737C5">
              <w:rPr>
                <w:rStyle w:val="Hyperlink"/>
                <w:rFonts w:cstheme="minorHAnsi"/>
                <w:noProof/>
              </w:rPr>
              <w:t>D.</w:t>
            </w:r>
            <w:r w:rsidR="00BC78F5" w:rsidRPr="004737C5">
              <w:rPr>
                <w:rStyle w:val="Hyperlink"/>
                <w:rFonts w:cstheme="minorHAnsi"/>
                <w:noProof/>
              </w:rPr>
              <w:t xml:space="preserve"> Regulating the digital age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_Toc492650099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128</w:t>
            </w:r>
            <w:r w:rsidR="00BC78F5" w:rsidRPr="004737C5">
              <w:rPr>
                <w:rFonts w:cstheme="minorHAnsi"/>
                <w:noProof/>
                <w:webHidden/>
              </w:rPr>
              <w:fldChar w:fldCharType="end"/>
            </w:r>
          </w:hyperlink>
        </w:p>
        <w:p w14:paraId="54F3B382" w14:textId="1040D0F8" w:rsidR="00BC78F5" w:rsidRPr="004737C5" w:rsidRDefault="00FB5819" w:rsidP="006D3BE8">
          <w:pPr>
            <w:pStyle w:val="TOC2"/>
            <w:tabs>
              <w:tab w:val="right" w:leader="dot" w:pos="9627"/>
            </w:tabs>
            <w:rPr>
              <w:rFonts w:eastAsiaTheme="minorEastAsia" w:cstheme="minorHAnsi"/>
              <w:noProof/>
              <w:lang w:eastAsia="zh-CN"/>
            </w:rPr>
          </w:pPr>
          <w:hyperlink w:anchor="_Toc492650100" w:history="1">
            <w:r w:rsidR="008848B8" w:rsidRPr="004737C5">
              <w:rPr>
                <w:rStyle w:val="Hyperlink"/>
                <w:rFonts w:cstheme="minorHAnsi"/>
                <w:noProof/>
              </w:rPr>
              <w:t>E.</w:t>
            </w:r>
            <w:r w:rsidR="00BC78F5" w:rsidRPr="004737C5">
              <w:rPr>
                <w:rStyle w:val="Hyperlink"/>
                <w:rFonts w:cstheme="minorHAnsi"/>
                <w:noProof/>
              </w:rPr>
              <w:t xml:space="preserve"> International regulation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130</w:t>
            </w:r>
            <w:r w:rsidR="00BC78F5" w:rsidRPr="004737C5">
              <w:rPr>
                <w:rFonts w:cstheme="minorHAnsi"/>
                <w:noProof/>
                <w:webHidden/>
              </w:rPr>
              <w:fldChar w:fldCharType="end"/>
            </w:r>
          </w:hyperlink>
        </w:p>
        <w:p w14:paraId="243A73E5" w14:textId="4932E61F" w:rsidR="00BC78F5" w:rsidRPr="004737C5" w:rsidRDefault="00FB5819" w:rsidP="006D3BE8">
          <w:pPr>
            <w:pStyle w:val="TOC2"/>
            <w:tabs>
              <w:tab w:val="right" w:leader="dot" w:pos="9627"/>
            </w:tabs>
            <w:rPr>
              <w:rFonts w:eastAsiaTheme="minorEastAsia" w:cstheme="minorHAnsi"/>
              <w:noProof/>
              <w:lang w:eastAsia="zh-CN"/>
            </w:rPr>
          </w:pPr>
          <w:hyperlink w:anchor="_Toc492650101" w:history="1">
            <w:r w:rsidR="008848B8" w:rsidRPr="004737C5">
              <w:rPr>
                <w:rStyle w:val="Hyperlink"/>
                <w:rFonts w:cstheme="minorHAnsi"/>
                <w:noProof/>
              </w:rPr>
              <w:t>F.</w:t>
            </w:r>
            <w:r w:rsidR="00BC78F5" w:rsidRPr="004737C5">
              <w:rPr>
                <w:rStyle w:val="Hyperlink"/>
                <w:rFonts w:cstheme="minorHAnsi"/>
                <w:noProof/>
              </w:rPr>
              <w:t xml:space="preserve"> Can technology respond to the challenges that technology creates?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132</w:t>
            </w:r>
            <w:r w:rsidR="00BC78F5" w:rsidRPr="004737C5">
              <w:rPr>
                <w:rFonts w:cstheme="minorHAnsi"/>
                <w:noProof/>
                <w:webHidden/>
              </w:rPr>
              <w:fldChar w:fldCharType="end"/>
            </w:r>
          </w:hyperlink>
        </w:p>
        <w:p w14:paraId="717CE0B8" w14:textId="5EA9D224" w:rsidR="00BC78F5" w:rsidRPr="004737C5" w:rsidRDefault="00FB5819" w:rsidP="006D3BE8">
          <w:pPr>
            <w:pStyle w:val="TOC2"/>
            <w:tabs>
              <w:tab w:val="right" w:leader="dot" w:pos="9627"/>
            </w:tabs>
            <w:rPr>
              <w:rFonts w:eastAsiaTheme="minorEastAsia" w:cstheme="minorHAnsi"/>
              <w:noProof/>
              <w:lang w:eastAsia="zh-CN"/>
            </w:rPr>
          </w:pPr>
          <w:hyperlink w:anchor="_Toc492650102" w:history="1">
            <w:r w:rsidR="008848B8" w:rsidRPr="004737C5">
              <w:rPr>
                <w:rStyle w:val="Hyperlink"/>
                <w:rFonts w:cstheme="minorHAnsi"/>
                <w:noProof/>
              </w:rPr>
              <w:t>G.</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_Toc492650102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135</w:t>
            </w:r>
            <w:r w:rsidR="00BC78F5" w:rsidRPr="004737C5">
              <w:rPr>
                <w:rFonts w:cstheme="minorHAnsi"/>
                <w:noProof/>
                <w:webHidden/>
              </w:rPr>
              <w:fldChar w:fldCharType="end"/>
            </w:r>
          </w:hyperlink>
        </w:p>
        <w:p w14:paraId="5EC5EC73" w14:textId="42FFEAA8" w:rsidR="00BC78F5" w:rsidRPr="004737C5" w:rsidRDefault="00FB5819" w:rsidP="006D3BE8">
          <w:pPr>
            <w:pStyle w:val="TOC1"/>
            <w:rPr>
              <w:rFonts w:eastAsiaTheme="minorEastAsia" w:cstheme="minorHAnsi"/>
              <w:noProof/>
              <w:lang w:eastAsia="zh-CN"/>
            </w:rPr>
          </w:pPr>
          <w:hyperlink w:anchor="_Toc492650103" w:history="1">
            <w:r w:rsidR="00BC78F5" w:rsidRPr="004737C5">
              <w:rPr>
                <w:rStyle w:val="Hyperlink"/>
                <w:rFonts w:cstheme="minorHAnsi"/>
                <w:noProof/>
              </w:rPr>
              <w:t>P</w:t>
            </w:r>
            <w:r w:rsidR="00B1100F" w:rsidRPr="004737C5">
              <w:rPr>
                <w:rStyle w:val="Hyperlink"/>
                <w:rFonts w:cstheme="minorHAnsi"/>
                <w:noProof/>
              </w:rPr>
              <w:t>art three.</w:t>
            </w:r>
            <w:r w:rsidR="008848B8" w:rsidRPr="004737C5">
              <w:rPr>
                <w:rStyle w:val="Hyperlink"/>
                <w:rFonts w:cstheme="minorHAnsi"/>
                <w:noProof/>
              </w:rPr>
              <w:t xml:space="preserve"> Consumer protection and basic goods and services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_Toc492650103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136</w:t>
            </w:r>
            <w:r w:rsidR="00BC78F5" w:rsidRPr="004737C5">
              <w:rPr>
                <w:rFonts w:cstheme="minorHAnsi"/>
                <w:noProof/>
                <w:webHidden/>
              </w:rPr>
              <w:fldChar w:fldCharType="end"/>
            </w:r>
          </w:hyperlink>
        </w:p>
        <w:p w14:paraId="6A0CF07C" w14:textId="50D0146A" w:rsidR="00BC78F5" w:rsidRPr="004737C5" w:rsidRDefault="00FB5819" w:rsidP="006D3BE8">
          <w:pPr>
            <w:pStyle w:val="TOC1"/>
            <w:rPr>
              <w:rFonts w:eastAsiaTheme="minorEastAsia" w:cstheme="minorHAnsi"/>
              <w:noProof/>
              <w:lang w:eastAsia="zh-CN"/>
            </w:rPr>
          </w:pPr>
          <w:hyperlink w:anchor="_Toc492650104" w:history="1">
            <w:r w:rsidR="008848B8" w:rsidRPr="004737C5">
              <w:rPr>
                <w:rStyle w:val="Hyperlink"/>
                <w:rFonts w:cstheme="minorHAnsi"/>
                <w:noProof/>
              </w:rPr>
              <w:t xml:space="preserve">XIV. </w:t>
            </w:r>
            <w:r w:rsidR="00BC78F5" w:rsidRPr="004737C5">
              <w:rPr>
                <w:rStyle w:val="Hyperlink"/>
                <w:rFonts w:cstheme="minorHAnsi"/>
                <w:noProof/>
              </w:rPr>
              <w:t>Financ</w:t>
            </w:r>
            <w:r w:rsidR="008848B8" w:rsidRPr="004737C5">
              <w:rPr>
                <w:rStyle w:val="Hyperlink"/>
                <w:rFonts w:cstheme="minorHAnsi"/>
                <w:noProof/>
              </w:rPr>
              <w:t>ial s</w:t>
            </w:r>
            <w:r w:rsidR="00BC78F5" w:rsidRPr="004737C5">
              <w:rPr>
                <w:rStyle w:val="Hyperlink"/>
                <w:rFonts w:cstheme="minorHAnsi"/>
                <w:noProof/>
              </w:rPr>
              <w:t>ervices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_Toc492650104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137</w:t>
            </w:r>
            <w:r w:rsidR="00BC78F5" w:rsidRPr="004737C5">
              <w:rPr>
                <w:rFonts w:cstheme="minorHAnsi"/>
                <w:noProof/>
                <w:webHidden/>
              </w:rPr>
              <w:fldChar w:fldCharType="end"/>
            </w:r>
          </w:hyperlink>
        </w:p>
        <w:p w14:paraId="0D72B6CB" w14:textId="1AA6FFB3" w:rsidR="00BC78F5" w:rsidRPr="004737C5" w:rsidRDefault="00FB5819" w:rsidP="006D3BE8">
          <w:pPr>
            <w:pStyle w:val="TOC2"/>
            <w:tabs>
              <w:tab w:val="right" w:leader="dot" w:pos="9627"/>
            </w:tabs>
            <w:rPr>
              <w:rFonts w:eastAsiaTheme="minorEastAsia" w:cstheme="minorHAnsi"/>
              <w:noProof/>
              <w:lang w:eastAsia="zh-CN"/>
            </w:rPr>
          </w:pPr>
          <w:hyperlink w:anchor="_Toc492650105" w:history="1">
            <w:r w:rsidR="008848B8" w:rsidRPr="004737C5">
              <w:rPr>
                <w:rStyle w:val="Hyperlink"/>
                <w:rFonts w:cstheme="minorHAnsi"/>
                <w:noProof/>
              </w:rPr>
              <w:t>A.</w:t>
            </w:r>
            <w:r w:rsidR="00BC78F5" w:rsidRPr="004737C5">
              <w:rPr>
                <w:rStyle w:val="Hyperlink"/>
                <w:rFonts w:cstheme="minorHAnsi"/>
                <w:noProof/>
              </w:rPr>
              <w:t xml:space="preserve"> Financial services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137</w:t>
            </w:r>
            <w:r w:rsidR="00BC78F5" w:rsidRPr="004737C5">
              <w:rPr>
                <w:rFonts w:cstheme="minorHAnsi"/>
                <w:noProof/>
                <w:webHidden/>
              </w:rPr>
              <w:fldChar w:fldCharType="end"/>
            </w:r>
          </w:hyperlink>
        </w:p>
        <w:p w14:paraId="04DB32E3" w14:textId="163EFBF4" w:rsidR="00BC78F5" w:rsidRPr="004737C5" w:rsidRDefault="00FB5819" w:rsidP="006D3BE8">
          <w:pPr>
            <w:pStyle w:val="TOC2"/>
            <w:tabs>
              <w:tab w:val="right" w:leader="dot" w:pos="9627"/>
            </w:tabs>
            <w:rPr>
              <w:rFonts w:eastAsiaTheme="minorEastAsia" w:cstheme="minorHAnsi"/>
              <w:noProof/>
              <w:lang w:eastAsia="zh-CN"/>
            </w:rPr>
          </w:pPr>
          <w:hyperlink w:anchor="_Toc492650106" w:history="1">
            <w:r w:rsidR="008848B8" w:rsidRPr="004737C5">
              <w:rPr>
                <w:rStyle w:val="Hyperlink"/>
                <w:rFonts w:cstheme="minorHAnsi"/>
                <w:noProof/>
              </w:rPr>
              <w:t>B.</w:t>
            </w:r>
            <w:r w:rsidR="00BC78F5" w:rsidRPr="004737C5">
              <w:rPr>
                <w:rStyle w:val="Hyperlink"/>
                <w:rFonts w:cstheme="minorHAnsi"/>
                <w:noProof/>
              </w:rPr>
              <w:t xml:space="preserve"> Function and forms of consumer credit</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138</w:t>
            </w:r>
            <w:r w:rsidR="00BC78F5" w:rsidRPr="004737C5">
              <w:rPr>
                <w:rFonts w:cstheme="minorHAnsi"/>
                <w:noProof/>
                <w:webHidden/>
              </w:rPr>
              <w:fldChar w:fldCharType="end"/>
            </w:r>
          </w:hyperlink>
        </w:p>
        <w:p w14:paraId="1121B9BC" w14:textId="51BEA6A2" w:rsidR="00BC78F5" w:rsidRPr="004737C5" w:rsidRDefault="00FB5819" w:rsidP="006D3BE8">
          <w:pPr>
            <w:pStyle w:val="TOC2"/>
            <w:tabs>
              <w:tab w:val="right" w:leader="dot" w:pos="9627"/>
            </w:tabs>
            <w:rPr>
              <w:rFonts w:eastAsiaTheme="minorEastAsia" w:cstheme="minorHAnsi"/>
              <w:noProof/>
              <w:lang w:eastAsia="zh-CN"/>
            </w:rPr>
          </w:pPr>
          <w:hyperlink w:anchor="_Toc492650109" w:history="1">
            <w:r w:rsidR="008848B8" w:rsidRPr="004737C5">
              <w:rPr>
                <w:rStyle w:val="Hyperlink"/>
                <w:rFonts w:cstheme="minorHAnsi"/>
                <w:noProof/>
              </w:rPr>
              <w:t>C.</w:t>
            </w:r>
            <w:r w:rsidR="00BC78F5" w:rsidRPr="004737C5">
              <w:rPr>
                <w:rStyle w:val="Hyperlink"/>
                <w:rFonts w:cstheme="minorHAnsi"/>
                <w:noProof/>
              </w:rPr>
              <w:t xml:space="preserve"> Function and forms of insurance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_Toc492650109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142</w:t>
            </w:r>
            <w:r w:rsidR="00BC78F5" w:rsidRPr="004737C5">
              <w:rPr>
                <w:rFonts w:cstheme="minorHAnsi"/>
                <w:noProof/>
                <w:webHidden/>
              </w:rPr>
              <w:fldChar w:fldCharType="end"/>
            </w:r>
          </w:hyperlink>
        </w:p>
        <w:p w14:paraId="55DF2050" w14:textId="06CB6006" w:rsidR="00BC78F5" w:rsidRPr="004737C5" w:rsidRDefault="00FB5819" w:rsidP="00ED5CD5">
          <w:pPr>
            <w:pStyle w:val="TOC2"/>
            <w:tabs>
              <w:tab w:val="right" w:leader="dot" w:pos="9627"/>
            </w:tabs>
            <w:rPr>
              <w:rFonts w:eastAsiaTheme="minorEastAsia" w:cstheme="minorHAnsi"/>
              <w:noProof/>
              <w:lang w:eastAsia="zh-CN"/>
            </w:rPr>
          </w:pPr>
          <w:hyperlink w:anchor="_Toc492650110" w:history="1">
            <w:r w:rsidR="008848B8" w:rsidRPr="004737C5">
              <w:rPr>
                <w:rStyle w:val="Hyperlink"/>
                <w:rFonts w:cstheme="minorHAnsi"/>
                <w:noProof/>
              </w:rPr>
              <w:t>D.</w:t>
            </w:r>
            <w:r w:rsidR="00BC78F5" w:rsidRPr="004737C5">
              <w:rPr>
                <w:rStyle w:val="Hyperlink"/>
                <w:rFonts w:cstheme="minorHAnsi"/>
                <w:noProof/>
              </w:rPr>
              <w:t xml:space="preserve"> Areas of regulation for financial services and prospects for reform</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_Toc492650110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14</w:t>
            </w:r>
            <w:r w:rsidR="00ED5CD5" w:rsidRPr="004737C5">
              <w:rPr>
                <w:rFonts w:cstheme="minorHAnsi"/>
                <w:noProof/>
                <w:webHidden/>
              </w:rPr>
              <w:t>3</w:t>
            </w:r>
            <w:r w:rsidR="00BC78F5" w:rsidRPr="004737C5">
              <w:rPr>
                <w:rFonts w:cstheme="minorHAnsi"/>
                <w:noProof/>
                <w:webHidden/>
              </w:rPr>
              <w:fldChar w:fldCharType="end"/>
            </w:r>
          </w:hyperlink>
        </w:p>
        <w:p w14:paraId="4BFC64CB" w14:textId="620776AF" w:rsidR="00BC78F5" w:rsidRPr="004737C5" w:rsidRDefault="00FB5819" w:rsidP="006D3BE8">
          <w:pPr>
            <w:pStyle w:val="TOC2"/>
            <w:tabs>
              <w:tab w:val="right" w:leader="dot" w:pos="9627"/>
            </w:tabs>
            <w:rPr>
              <w:rFonts w:eastAsiaTheme="minorEastAsia" w:cstheme="minorHAnsi"/>
              <w:noProof/>
              <w:lang w:eastAsia="zh-CN"/>
            </w:rPr>
          </w:pPr>
          <w:hyperlink w:anchor="_Toc492650118" w:history="1">
            <w:r w:rsidR="008848B8" w:rsidRPr="004737C5">
              <w:rPr>
                <w:rStyle w:val="Hyperlink"/>
                <w:rFonts w:cstheme="minorHAnsi"/>
                <w:noProof/>
              </w:rPr>
              <w:t>E.</w:t>
            </w:r>
            <w:r w:rsidR="00BC78F5" w:rsidRPr="004737C5">
              <w:rPr>
                <w:rStyle w:val="Hyperlink"/>
                <w:rFonts w:cstheme="minorHAnsi"/>
                <w:noProof/>
              </w:rPr>
              <w:t xml:space="preserve"> Emerging issues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_Toc492650118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148</w:t>
            </w:r>
            <w:r w:rsidR="00BC78F5" w:rsidRPr="004737C5">
              <w:rPr>
                <w:rFonts w:cstheme="minorHAnsi"/>
                <w:noProof/>
                <w:webHidden/>
              </w:rPr>
              <w:fldChar w:fldCharType="end"/>
            </w:r>
          </w:hyperlink>
        </w:p>
        <w:p w14:paraId="501F04EC" w14:textId="7ACBAEDF" w:rsidR="00BC78F5" w:rsidRPr="004737C5" w:rsidRDefault="00FB5819" w:rsidP="006D3BE8">
          <w:pPr>
            <w:pStyle w:val="TOC2"/>
            <w:tabs>
              <w:tab w:val="right" w:leader="dot" w:pos="9627"/>
            </w:tabs>
            <w:rPr>
              <w:rFonts w:eastAsiaTheme="minorEastAsia" w:cstheme="minorHAnsi"/>
              <w:noProof/>
              <w:lang w:eastAsia="zh-CN"/>
            </w:rPr>
          </w:pPr>
          <w:hyperlink w:anchor="_Toc492650123" w:history="1">
            <w:r w:rsidR="008848B8" w:rsidRPr="004737C5">
              <w:rPr>
                <w:rStyle w:val="Hyperlink"/>
                <w:rFonts w:cstheme="minorHAnsi"/>
                <w:noProof/>
              </w:rPr>
              <w:t>F.</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_Toc492650123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151</w:t>
            </w:r>
            <w:r w:rsidR="00BC78F5" w:rsidRPr="004737C5">
              <w:rPr>
                <w:rFonts w:cstheme="minorHAnsi"/>
                <w:noProof/>
                <w:webHidden/>
              </w:rPr>
              <w:fldChar w:fldCharType="end"/>
            </w:r>
          </w:hyperlink>
        </w:p>
        <w:p w14:paraId="510CA0A2" w14:textId="52C114FC" w:rsidR="00BC78F5" w:rsidRPr="004737C5" w:rsidRDefault="00FB5819" w:rsidP="006D3BE8">
          <w:pPr>
            <w:pStyle w:val="TOC1"/>
            <w:rPr>
              <w:rFonts w:eastAsiaTheme="minorEastAsia" w:cstheme="minorHAnsi"/>
              <w:noProof/>
              <w:lang w:eastAsia="zh-CN"/>
            </w:rPr>
          </w:pPr>
          <w:hyperlink w:anchor="_Toc492650124" w:history="1">
            <w:r w:rsidR="008848B8" w:rsidRPr="004737C5">
              <w:rPr>
                <w:rStyle w:val="Hyperlink"/>
                <w:rFonts w:cstheme="minorHAnsi"/>
                <w:noProof/>
              </w:rPr>
              <w:t>XV. Consumer protection in the provision of u</w:t>
            </w:r>
            <w:r w:rsidR="00BC78F5" w:rsidRPr="004737C5">
              <w:rPr>
                <w:rStyle w:val="Hyperlink"/>
                <w:rFonts w:cstheme="minorHAnsi"/>
                <w:noProof/>
              </w:rPr>
              <w:t>tilities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_Toc492650124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153</w:t>
            </w:r>
            <w:r w:rsidR="00BC78F5" w:rsidRPr="004737C5">
              <w:rPr>
                <w:rFonts w:cstheme="minorHAnsi"/>
                <w:noProof/>
                <w:webHidden/>
              </w:rPr>
              <w:fldChar w:fldCharType="end"/>
            </w:r>
          </w:hyperlink>
        </w:p>
        <w:p w14:paraId="6C7B4AF4" w14:textId="7F5136A3" w:rsidR="00BC78F5" w:rsidRPr="004737C5" w:rsidRDefault="00FB5819" w:rsidP="006D3BE8">
          <w:pPr>
            <w:pStyle w:val="TOC2"/>
            <w:tabs>
              <w:tab w:val="right" w:leader="dot" w:pos="9627"/>
            </w:tabs>
            <w:rPr>
              <w:rFonts w:eastAsiaTheme="minorEastAsia" w:cstheme="minorHAnsi"/>
              <w:noProof/>
              <w:lang w:eastAsia="zh-CN"/>
            </w:rPr>
          </w:pPr>
          <w:hyperlink w:anchor="_Toc492650125" w:history="1">
            <w:r w:rsidR="008848B8" w:rsidRPr="004737C5">
              <w:rPr>
                <w:rStyle w:val="Hyperlink"/>
                <w:rFonts w:cstheme="minorHAnsi"/>
                <w:noProof/>
              </w:rPr>
              <w:t>A.</w:t>
            </w:r>
            <w:r w:rsidR="00BC78F5" w:rsidRPr="004737C5">
              <w:rPr>
                <w:rStyle w:val="Hyperlink"/>
                <w:rFonts w:cstheme="minorHAnsi"/>
                <w:noProof/>
              </w:rPr>
              <w:t xml:space="preserve"> Public utilities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_Toc492650125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153</w:t>
            </w:r>
            <w:r w:rsidR="00BC78F5" w:rsidRPr="004737C5">
              <w:rPr>
                <w:rFonts w:cstheme="minorHAnsi"/>
                <w:noProof/>
                <w:webHidden/>
              </w:rPr>
              <w:fldChar w:fldCharType="end"/>
            </w:r>
          </w:hyperlink>
        </w:p>
        <w:p w14:paraId="50F76641" w14:textId="3DE512FC" w:rsidR="00BC78F5" w:rsidRPr="004737C5" w:rsidRDefault="00FB5819" w:rsidP="006D3BE8">
          <w:pPr>
            <w:pStyle w:val="TOC2"/>
            <w:tabs>
              <w:tab w:val="right" w:leader="dot" w:pos="9627"/>
            </w:tabs>
            <w:rPr>
              <w:rFonts w:eastAsiaTheme="minorEastAsia" w:cstheme="minorHAnsi"/>
              <w:noProof/>
              <w:lang w:eastAsia="zh-CN"/>
            </w:rPr>
          </w:pPr>
          <w:hyperlink w:anchor="_Toc492650126" w:history="1">
            <w:r w:rsidR="008848B8" w:rsidRPr="004737C5">
              <w:rPr>
                <w:rStyle w:val="Hyperlink"/>
                <w:rFonts w:cstheme="minorHAnsi"/>
                <w:noProof/>
              </w:rPr>
              <w:t>B.</w:t>
            </w:r>
            <w:r w:rsidR="00BC78F5" w:rsidRPr="004737C5">
              <w:rPr>
                <w:rStyle w:val="Hyperlink"/>
                <w:rFonts w:cstheme="minorHAnsi"/>
                <w:noProof/>
              </w:rPr>
              <w:t xml:space="preserve"> The nature of utilities provision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_Toc492650126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153</w:t>
            </w:r>
            <w:r w:rsidR="00BC78F5" w:rsidRPr="004737C5">
              <w:rPr>
                <w:rFonts w:cstheme="minorHAnsi"/>
                <w:noProof/>
                <w:webHidden/>
              </w:rPr>
              <w:fldChar w:fldCharType="end"/>
            </w:r>
          </w:hyperlink>
        </w:p>
        <w:p w14:paraId="3E1AAFF1" w14:textId="0DC2E56A" w:rsidR="00BC78F5" w:rsidRPr="004737C5" w:rsidRDefault="00FB5819" w:rsidP="006D3BE8">
          <w:pPr>
            <w:pStyle w:val="TOC2"/>
            <w:tabs>
              <w:tab w:val="right" w:leader="dot" w:pos="9627"/>
            </w:tabs>
            <w:rPr>
              <w:rFonts w:eastAsiaTheme="minorEastAsia" w:cstheme="minorHAnsi"/>
              <w:noProof/>
              <w:lang w:eastAsia="zh-CN"/>
            </w:rPr>
          </w:pPr>
          <w:hyperlink w:anchor="_Toc492650127" w:history="1">
            <w:r w:rsidR="008848B8" w:rsidRPr="004737C5">
              <w:rPr>
                <w:rStyle w:val="Hyperlink"/>
                <w:rFonts w:cstheme="minorHAnsi"/>
                <w:noProof/>
              </w:rPr>
              <w:t>C.</w:t>
            </w:r>
            <w:r w:rsidR="00BC78F5" w:rsidRPr="004737C5">
              <w:rPr>
                <w:rStyle w:val="Hyperlink"/>
                <w:rFonts w:cstheme="minorHAnsi"/>
                <w:noProof/>
              </w:rPr>
              <w:t xml:space="preserve"> Regulation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_Toc492650127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154</w:t>
            </w:r>
            <w:r w:rsidR="00BC78F5" w:rsidRPr="004737C5">
              <w:rPr>
                <w:rFonts w:cstheme="minorHAnsi"/>
                <w:noProof/>
                <w:webHidden/>
              </w:rPr>
              <w:fldChar w:fldCharType="end"/>
            </w:r>
          </w:hyperlink>
        </w:p>
        <w:p w14:paraId="20DC92B6" w14:textId="1245FC08" w:rsidR="00BC78F5" w:rsidRPr="004737C5" w:rsidRDefault="00FB5819" w:rsidP="006D3BE8">
          <w:pPr>
            <w:pStyle w:val="TOC2"/>
            <w:tabs>
              <w:tab w:val="right" w:leader="dot" w:pos="9627"/>
            </w:tabs>
            <w:rPr>
              <w:rFonts w:eastAsiaTheme="minorEastAsia" w:cstheme="minorHAnsi"/>
              <w:noProof/>
              <w:lang w:eastAsia="zh-CN"/>
            </w:rPr>
          </w:pPr>
          <w:hyperlink w:anchor="_Toc492650128" w:history="1">
            <w:r w:rsidR="008848B8" w:rsidRPr="004737C5">
              <w:rPr>
                <w:rStyle w:val="Hyperlink"/>
                <w:rFonts w:cstheme="minorHAnsi"/>
                <w:noProof/>
              </w:rPr>
              <w:t>D.</w:t>
            </w:r>
            <w:r w:rsidR="00BC78F5" w:rsidRPr="004737C5">
              <w:rPr>
                <w:rStyle w:val="Hyperlink"/>
                <w:rFonts w:cstheme="minorHAnsi"/>
                <w:noProof/>
              </w:rPr>
              <w:t xml:space="preserve"> Ownership</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_Toc492650128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155</w:t>
            </w:r>
            <w:r w:rsidR="00BC78F5" w:rsidRPr="004737C5">
              <w:rPr>
                <w:rFonts w:cstheme="minorHAnsi"/>
                <w:noProof/>
                <w:webHidden/>
              </w:rPr>
              <w:fldChar w:fldCharType="end"/>
            </w:r>
          </w:hyperlink>
        </w:p>
        <w:p w14:paraId="48F501A5" w14:textId="0DF9D8E8" w:rsidR="00BC78F5" w:rsidRPr="004737C5" w:rsidRDefault="00FB5819" w:rsidP="006D3BE8">
          <w:pPr>
            <w:pStyle w:val="TOC2"/>
            <w:tabs>
              <w:tab w:val="right" w:leader="dot" w:pos="9627"/>
            </w:tabs>
            <w:rPr>
              <w:rFonts w:eastAsiaTheme="minorEastAsia" w:cstheme="minorHAnsi"/>
              <w:noProof/>
              <w:lang w:eastAsia="zh-CN"/>
            </w:rPr>
          </w:pPr>
          <w:hyperlink w:anchor="_Toc492650129" w:history="1">
            <w:r w:rsidR="008848B8" w:rsidRPr="004737C5">
              <w:rPr>
                <w:rStyle w:val="Hyperlink"/>
                <w:rFonts w:cstheme="minorHAnsi"/>
                <w:noProof/>
              </w:rPr>
              <w:t>E.</w:t>
            </w:r>
            <w:r w:rsidR="00BC78F5" w:rsidRPr="004737C5">
              <w:rPr>
                <w:rStyle w:val="Hyperlink"/>
                <w:rFonts w:cstheme="minorHAnsi"/>
                <w:noProof/>
              </w:rPr>
              <w:t xml:space="preserve"> The performance of public utilities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_Toc492650129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157</w:t>
            </w:r>
            <w:r w:rsidR="00BC78F5" w:rsidRPr="004737C5">
              <w:rPr>
                <w:rFonts w:cstheme="minorHAnsi"/>
                <w:noProof/>
                <w:webHidden/>
              </w:rPr>
              <w:fldChar w:fldCharType="end"/>
            </w:r>
          </w:hyperlink>
        </w:p>
        <w:p w14:paraId="7A4CF340" w14:textId="6A9ECE88" w:rsidR="00BC78F5" w:rsidRPr="004737C5" w:rsidRDefault="00FB5819" w:rsidP="006D3BE8">
          <w:pPr>
            <w:pStyle w:val="TOC2"/>
            <w:tabs>
              <w:tab w:val="right" w:leader="dot" w:pos="9627"/>
            </w:tabs>
            <w:rPr>
              <w:rFonts w:eastAsiaTheme="minorEastAsia" w:cstheme="minorHAnsi"/>
              <w:noProof/>
              <w:lang w:eastAsia="zh-CN"/>
            </w:rPr>
          </w:pPr>
          <w:hyperlink w:anchor="_Toc492650130" w:history="1">
            <w:r w:rsidR="008848B8" w:rsidRPr="004737C5">
              <w:rPr>
                <w:rStyle w:val="Hyperlink"/>
                <w:rFonts w:cstheme="minorHAnsi"/>
                <w:noProof/>
              </w:rPr>
              <w:t>F.</w:t>
            </w:r>
            <w:r w:rsidR="00BC78F5" w:rsidRPr="004737C5">
              <w:rPr>
                <w:rStyle w:val="Hyperlink"/>
                <w:rFonts w:cstheme="minorHAnsi"/>
                <w:noProof/>
              </w:rPr>
              <w:t xml:space="preserve"> Pricing and subsidies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_Toc492650130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158</w:t>
            </w:r>
            <w:r w:rsidR="00BC78F5" w:rsidRPr="004737C5">
              <w:rPr>
                <w:rFonts w:cstheme="minorHAnsi"/>
                <w:noProof/>
                <w:webHidden/>
              </w:rPr>
              <w:fldChar w:fldCharType="end"/>
            </w:r>
          </w:hyperlink>
        </w:p>
        <w:p w14:paraId="177B6625" w14:textId="04E7A758" w:rsidR="00BC78F5" w:rsidRPr="004737C5" w:rsidRDefault="00FB5819" w:rsidP="006D3BE8">
          <w:pPr>
            <w:pStyle w:val="TOC2"/>
            <w:tabs>
              <w:tab w:val="right" w:leader="dot" w:pos="9627"/>
            </w:tabs>
            <w:rPr>
              <w:rFonts w:eastAsiaTheme="minorEastAsia" w:cstheme="minorHAnsi"/>
              <w:noProof/>
              <w:lang w:eastAsia="zh-CN"/>
            </w:rPr>
          </w:pPr>
          <w:hyperlink w:anchor="_Toc492650133" w:history="1">
            <w:r w:rsidR="008848B8" w:rsidRPr="004737C5">
              <w:rPr>
                <w:rStyle w:val="Hyperlink"/>
                <w:rFonts w:cstheme="minorHAnsi"/>
                <w:noProof/>
              </w:rPr>
              <w:t>G.</w:t>
            </w:r>
            <w:r w:rsidR="00BC78F5" w:rsidRPr="004737C5">
              <w:rPr>
                <w:rStyle w:val="Hyperlink"/>
                <w:rFonts w:cstheme="minorHAnsi"/>
                <w:noProof/>
              </w:rPr>
              <w:t xml:space="preserve"> Access at the MDG/SDG interface</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_Toc492650133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160</w:t>
            </w:r>
            <w:r w:rsidR="00BC78F5" w:rsidRPr="004737C5">
              <w:rPr>
                <w:rFonts w:cstheme="minorHAnsi"/>
                <w:noProof/>
                <w:webHidden/>
              </w:rPr>
              <w:fldChar w:fldCharType="end"/>
            </w:r>
          </w:hyperlink>
        </w:p>
        <w:p w14:paraId="740A66FD" w14:textId="353458D2" w:rsidR="00BC78F5" w:rsidRPr="004737C5" w:rsidRDefault="00FB5819" w:rsidP="006D3BE8">
          <w:pPr>
            <w:pStyle w:val="TOC2"/>
            <w:tabs>
              <w:tab w:val="right" w:leader="dot" w:pos="9627"/>
            </w:tabs>
            <w:rPr>
              <w:rFonts w:eastAsiaTheme="minorEastAsia" w:cstheme="minorHAnsi"/>
              <w:noProof/>
              <w:lang w:eastAsia="zh-CN"/>
            </w:rPr>
          </w:pPr>
          <w:hyperlink w:anchor="_Toc492650134" w:history="1">
            <w:r w:rsidR="008848B8" w:rsidRPr="004737C5">
              <w:rPr>
                <w:rStyle w:val="Hyperlink"/>
                <w:rFonts w:cstheme="minorHAnsi"/>
                <w:noProof/>
              </w:rPr>
              <w:t>H.</w:t>
            </w:r>
            <w:r w:rsidR="00BC78F5" w:rsidRPr="004737C5">
              <w:rPr>
                <w:rStyle w:val="Hyperlink"/>
                <w:rFonts w:cstheme="minorHAnsi"/>
                <w:noProof/>
              </w:rPr>
              <w:t xml:space="preserve"> Safeguarding the consumer interest</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_Toc492650134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161</w:t>
            </w:r>
            <w:r w:rsidR="00BC78F5" w:rsidRPr="004737C5">
              <w:rPr>
                <w:rFonts w:cstheme="minorHAnsi"/>
                <w:noProof/>
                <w:webHidden/>
              </w:rPr>
              <w:fldChar w:fldCharType="end"/>
            </w:r>
          </w:hyperlink>
        </w:p>
        <w:p w14:paraId="4E1DF809" w14:textId="2E2CA692" w:rsidR="00BC78F5" w:rsidRPr="004737C5" w:rsidRDefault="00FB5819" w:rsidP="006D3BE8">
          <w:pPr>
            <w:pStyle w:val="TOC2"/>
            <w:tabs>
              <w:tab w:val="right" w:leader="dot" w:pos="9627"/>
            </w:tabs>
            <w:rPr>
              <w:rFonts w:eastAsiaTheme="minorEastAsia" w:cstheme="minorHAnsi"/>
              <w:noProof/>
              <w:lang w:eastAsia="zh-CN"/>
            </w:rPr>
          </w:pPr>
          <w:hyperlink w:anchor="_Toc492650135" w:history="1">
            <w:r w:rsidR="008848B8" w:rsidRPr="004737C5">
              <w:rPr>
                <w:rStyle w:val="Hyperlink"/>
                <w:rFonts w:cstheme="minorHAnsi"/>
                <w:noProof/>
              </w:rPr>
              <w:t>I.</w:t>
            </w:r>
            <w:r w:rsidR="00BC78F5" w:rsidRPr="004737C5">
              <w:rPr>
                <w:rStyle w:val="Hyperlink"/>
                <w:rFonts w:cstheme="minorHAnsi"/>
                <w:noProof/>
              </w:rPr>
              <w:t xml:space="preserve"> Introducing competition in utility services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_Toc492650135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162</w:t>
            </w:r>
            <w:r w:rsidR="00BC78F5" w:rsidRPr="004737C5">
              <w:rPr>
                <w:rFonts w:cstheme="minorHAnsi"/>
                <w:noProof/>
                <w:webHidden/>
              </w:rPr>
              <w:fldChar w:fldCharType="end"/>
            </w:r>
          </w:hyperlink>
        </w:p>
        <w:p w14:paraId="7BC13FE4" w14:textId="613C76A6" w:rsidR="00BC78F5" w:rsidRPr="004737C5" w:rsidRDefault="00FB5819" w:rsidP="006D3BE8">
          <w:pPr>
            <w:pStyle w:val="TOC2"/>
            <w:tabs>
              <w:tab w:val="right" w:leader="dot" w:pos="9627"/>
            </w:tabs>
            <w:rPr>
              <w:rFonts w:eastAsiaTheme="minorEastAsia" w:cstheme="minorHAnsi"/>
              <w:noProof/>
              <w:lang w:eastAsia="zh-CN"/>
            </w:rPr>
          </w:pPr>
          <w:hyperlink w:anchor="_Toc492650138" w:history="1">
            <w:r w:rsidR="008848B8" w:rsidRPr="004737C5">
              <w:rPr>
                <w:rStyle w:val="Hyperlink"/>
                <w:rFonts w:cstheme="minorHAnsi"/>
                <w:noProof/>
              </w:rPr>
              <w:t>J.</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_Toc492650138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164</w:t>
            </w:r>
            <w:r w:rsidR="00BC78F5" w:rsidRPr="004737C5">
              <w:rPr>
                <w:rFonts w:cstheme="minorHAnsi"/>
                <w:noProof/>
                <w:webHidden/>
              </w:rPr>
              <w:fldChar w:fldCharType="end"/>
            </w:r>
          </w:hyperlink>
        </w:p>
        <w:p w14:paraId="3FBD1227" w14:textId="6A19CE1E" w:rsidR="00BC78F5" w:rsidRPr="004737C5" w:rsidRDefault="00FB5819" w:rsidP="006D3BE8">
          <w:pPr>
            <w:pStyle w:val="TOC1"/>
            <w:rPr>
              <w:rFonts w:eastAsiaTheme="minorEastAsia" w:cstheme="minorHAnsi"/>
              <w:noProof/>
              <w:lang w:eastAsia="zh-CN"/>
            </w:rPr>
          </w:pPr>
          <w:hyperlink w:anchor="_Toc492650139" w:history="1">
            <w:r w:rsidR="008848B8" w:rsidRPr="004737C5">
              <w:rPr>
                <w:rStyle w:val="Hyperlink"/>
                <w:rFonts w:cstheme="minorHAnsi"/>
                <w:noProof/>
              </w:rPr>
              <w:t>XVI. Food for a</w:t>
            </w:r>
            <w:r w:rsidR="00BC78F5" w:rsidRPr="004737C5">
              <w:rPr>
                <w:rStyle w:val="Hyperlink"/>
                <w:rFonts w:cstheme="minorHAnsi"/>
                <w:noProof/>
              </w:rPr>
              <w:t>ll</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_Toc492650139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165</w:t>
            </w:r>
            <w:r w:rsidR="00BC78F5" w:rsidRPr="004737C5">
              <w:rPr>
                <w:rFonts w:cstheme="minorHAnsi"/>
                <w:noProof/>
                <w:webHidden/>
              </w:rPr>
              <w:fldChar w:fldCharType="end"/>
            </w:r>
          </w:hyperlink>
        </w:p>
        <w:p w14:paraId="536E339D" w14:textId="7ABBF9F6" w:rsidR="00BC78F5" w:rsidRPr="004737C5" w:rsidRDefault="00FB5819" w:rsidP="006D3BE8">
          <w:pPr>
            <w:pStyle w:val="TOC2"/>
            <w:tabs>
              <w:tab w:val="right" w:leader="dot" w:pos="9627"/>
            </w:tabs>
            <w:rPr>
              <w:rFonts w:eastAsiaTheme="minorEastAsia" w:cstheme="minorHAnsi"/>
              <w:noProof/>
              <w:lang w:eastAsia="zh-CN"/>
            </w:rPr>
          </w:pPr>
          <w:hyperlink w:anchor="_Toc492650140" w:history="1">
            <w:r w:rsidR="008848B8" w:rsidRPr="004737C5">
              <w:rPr>
                <w:rStyle w:val="Hyperlink"/>
                <w:rFonts w:cstheme="minorHAnsi"/>
                <w:noProof/>
              </w:rPr>
              <w:t>A.</w:t>
            </w:r>
            <w:r w:rsidR="00BC78F5" w:rsidRPr="004737C5">
              <w:rPr>
                <w:rStyle w:val="Hyperlink"/>
                <w:rFonts w:cstheme="minorHAnsi"/>
                <w:noProof/>
              </w:rPr>
              <w:t xml:space="preserve"> The right to food</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_Toc492650140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165</w:t>
            </w:r>
            <w:r w:rsidR="00BC78F5" w:rsidRPr="004737C5">
              <w:rPr>
                <w:rFonts w:cstheme="minorHAnsi"/>
                <w:noProof/>
                <w:webHidden/>
              </w:rPr>
              <w:fldChar w:fldCharType="end"/>
            </w:r>
          </w:hyperlink>
        </w:p>
        <w:p w14:paraId="45BEF8E2" w14:textId="42A671E8" w:rsidR="00BC78F5" w:rsidRPr="004737C5" w:rsidRDefault="00FB5819" w:rsidP="006D3BE8">
          <w:pPr>
            <w:pStyle w:val="TOC2"/>
            <w:tabs>
              <w:tab w:val="right" w:leader="dot" w:pos="9627"/>
            </w:tabs>
            <w:rPr>
              <w:rFonts w:eastAsiaTheme="minorEastAsia" w:cstheme="minorHAnsi"/>
              <w:noProof/>
              <w:lang w:eastAsia="zh-CN"/>
            </w:rPr>
          </w:pPr>
          <w:hyperlink w:anchor="_Toc492650141" w:history="1">
            <w:r w:rsidR="008848B8" w:rsidRPr="004737C5">
              <w:rPr>
                <w:rStyle w:val="Hyperlink"/>
                <w:rFonts w:cstheme="minorHAnsi"/>
                <w:noProof/>
              </w:rPr>
              <w:t>B.</w:t>
            </w:r>
            <w:r w:rsidR="00BC78F5" w:rsidRPr="004737C5">
              <w:rPr>
                <w:rStyle w:val="Hyperlink"/>
                <w:rFonts w:cstheme="minorHAnsi"/>
                <w:noProof/>
              </w:rPr>
              <w:t xml:space="preserve"> Food in the United Nations Guidelines for Consumer Protection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_Toc492650141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165</w:t>
            </w:r>
            <w:r w:rsidR="00BC78F5" w:rsidRPr="004737C5">
              <w:rPr>
                <w:rFonts w:cstheme="minorHAnsi"/>
                <w:noProof/>
                <w:webHidden/>
              </w:rPr>
              <w:fldChar w:fldCharType="end"/>
            </w:r>
          </w:hyperlink>
        </w:p>
        <w:p w14:paraId="4A5ED0B1" w14:textId="60FC37CB" w:rsidR="00BC78F5" w:rsidRPr="004737C5" w:rsidRDefault="00FB5819" w:rsidP="006D3BE8">
          <w:pPr>
            <w:pStyle w:val="TOC2"/>
            <w:tabs>
              <w:tab w:val="right" w:leader="dot" w:pos="9627"/>
            </w:tabs>
            <w:rPr>
              <w:rFonts w:eastAsiaTheme="minorEastAsia" w:cstheme="minorHAnsi"/>
              <w:noProof/>
              <w:lang w:eastAsia="zh-CN"/>
            </w:rPr>
          </w:pPr>
          <w:hyperlink w:anchor="_Toc492650142" w:history="1">
            <w:r w:rsidR="008848B8" w:rsidRPr="004737C5">
              <w:rPr>
                <w:rStyle w:val="Hyperlink"/>
                <w:rFonts w:cstheme="minorHAnsi"/>
                <w:noProof/>
              </w:rPr>
              <w:t>C.</w:t>
            </w:r>
            <w:r w:rsidR="00BC78F5" w:rsidRPr="004737C5">
              <w:rPr>
                <w:rStyle w:val="Hyperlink"/>
                <w:rFonts w:cstheme="minorHAnsi"/>
                <w:noProof/>
              </w:rPr>
              <w:t xml:space="preserve"> Malnutrition and food security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_Toc492650142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165</w:t>
            </w:r>
            <w:r w:rsidR="00BC78F5" w:rsidRPr="004737C5">
              <w:rPr>
                <w:rFonts w:cstheme="minorHAnsi"/>
                <w:noProof/>
                <w:webHidden/>
              </w:rPr>
              <w:fldChar w:fldCharType="end"/>
            </w:r>
          </w:hyperlink>
        </w:p>
        <w:p w14:paraId="4E4E7324" w14:textId="1C53504E" w:rsidR="00BC78F5" w:rsidRPr="004737C5" w:rsidRDefault="00FB5819" w:rsidP="006D3BE8">
          <w:pPr>
            <w:pStyle w:val="TOC2"/>
            <w:tabs>
              <w:tab w:val="right" w:leader="dot" w:pos="9627"/>
            </w:tabs>
            <w:rPr>
              <w:rFonts w:eastAsiaTheme="minorEastAsia" w:cstheme="minorHAnsi"/>
              <w:noProof/>
              <w:lang w:eastAsia="zh-CN"/>
            </w:rPr>
          </w:pPr>
          <w:hyperlink w:anchor="_Toc492650146" w:history="1">
            <w:r w:rsidR="008848B8" w:rsidRPr="004737C5">
              <w:rPr>
                <w:rStyle w:val="Hyperlink"/>
                <w:rFonts w:cstheme="minorHAnsi"/>
                <w:noProof/>
              </w:rPr>
              <w:t>D.</w:t>
            </w:r>
            <w:r w:rsidR="00BC78F5" w:rsidRPr="004737C5">
              <w:rPr>
                <w:rStyle w:val="Hyperlink"/>
                <w:rFonts w:cstheme="minorHAnsi"/>
                <w:noProof/>
              </w:rPr>
              <w:t xml:space="preserve"> Consumer concerns with food safety</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_Toc492650146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167</w:t>
            </w:r>
            <w:r w:rsidR="00BC78F5" w:rsidRPr="004737C5">
              <w:rPr>
                <w:rFonts w:cstheme="minorHAnsi"/>
                <w:noProof/>
                <w:webHidden/>
              </w:rPr>
              <w:fldChar w:fldCharType="end"/>
            </w:r>
          </w:hyperlink>
        </w:p>
        <w:p w14:paraId="32A4102F" w14:textId="60884332" w:rsidR="00BC78F5" w:rsidRPr="004737C5" w:rsidRDefault="00FB5819" w:rsidP="006D3BE8">
          <w:pPr>
            <w:pStyle w:val="TOC2"/>
            <w:tabs>
              <w:tab w:val="right" w:leader="dot" w:pos="9627"/>
            </w:tabs>
            <w:rPr>
              <w:rFonts w:eastAsiaTheme="minorEastAsia" w:cstheme="minorHAnsi"/>
              <w:noProof/>
              <w:lang w:eastAsia="zh-CN"/>
            </w:rPr>
          </w:pPr>
          <w:hyperlink w:anchor="_Toc492650147" w:history="1">
            <w:r w:rsidR="008848B8" w:rsidRPr="004737C5">
              <w:rPr>
                <w:rStyle w:val="Hyperlink"/>
                <w:rFonts w:cstheme="minorHAnsi"/>
                <w:noProof/>
              </w:rPr>
              <w:t>E.</w:t>
            </w:r>
            <w:r w:rsidR="00BC78F5" w:rsidRPr="004737C5">
              <w:rPr>
                <w:rStyle w:val="Hyperlink"/>
                <w:rFonts w:cstheme="minorHAnsi"/>
                <w:noProof/>
              </w:rPr>
              <w:t xml:space="preserve"> Food standards mechanisms</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_Toc492650147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168</w:t>
            </w:r>
            <w:r w:rsidR="00BC78F5" w:rsidRPr="004737C5">
              <w:rPr>
                <w:rFonts w:cstheme="minorHAnsi"/>
                <w:noProof/>
                <w:webHidden/>
              </w:rPr>
              <w:fldChar w:fldCharType="end"/>
            </w:r>
          </w:hyperlink>
        </w:p>
        <w:p w14:paraId="5B0DA853" w14:textId="0FF177E0" w:rsidR="00BC78F5" w:rsidRPr="004737C5" w:rsidRDefault="00FB5819" w:rsidP="006D3BE8">
          <w:pPr>
            <w:pStyle w:val="TOC2"/>
            <w:tabs>
              <w:tab w:val="right" w:leader="dot" w:pos="9627"/>
            </w:tabs>
            <w:rPr>
              <w:rFonts w:eastAsiaTheme="minorEastAsia" w:cstheme="minorHAnsi"/>
              <w:noProof/>
              <w:lang w:eastAsia="zh-CN"/>
            </w:rPr>
          </w:pPr>
          <w:hyperlink w:anchor="_Toc492650148" w:history="1">
            <w:r w:rsidR="008848B8" w:rsidRPr="004737C5">
              <w:rPr>
                <w:rStyle w:val="Hyperlink"/>
                <w:rFonts w:cstheme="minorHAnsi"/>
                <w:noProof/>
              </w:rPr>
              <w:t>F.</w:t>
            </w:r>
            <w:r w:rsidR="00BC78F5" w:rsidRPr="004737C5">
              <w:rPr>
                <w:rStyle w:val="Hyperlink"/>
                <w:rFonts w:cstheme="minorHAnsi"/>
                <w:noProof/>
              </w:rPr>
              <w:t xml:space="preserve"> Consumer concerns with genetic engineering</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_Toc492650148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168</w:t>
            </w:r>
            <w:r w:rsidR="00BC78F5" w:rsidRPr="004737C5">
              <w:rPr>
                <w:rFonts w:cstheme="minorHAnsi"/>
                <w:noProof/>
                <w:webHidden/>
              </w:rPr>
              <w:fldChar w:fldCharType="end"/>
            </w:r>
          </w:hyperlink>
        </w:p>
        <w:p w14:paraId="35FF5C68" w14:textId="436C344D" w:rsidR="00BC78F5" w:rsidRPr="004737C5" w:rsidRDefault="00FB5819" w:rsidP="006D3BE8">
          <w:pPr>
            <w:pStyle w:val="TOC2"/>
            <w:tabs>
              <w:tab w:val="right" w:leader="dot" w:pos="9627"/>
            </w:tabs>
            <w:rPr>
              <w:rFonts w:eastAsiaTheme="minorEastAsia" w:cstheme="minorHAnsi"/>
              <w:noProof/>
              <w:lang w:eastAsia="zh-CN"/>
            </w:rPr>
          </w:pPr>
          <w:hyperlink w:anchor="_Toc492650149" w:history="1">
            <w:r w:rsidR="008848B8" w:rsidRPr="004737C5">
              <w:rPr>
                <w:rStyle w:val="Hyperlink"/>
                <w:rFonts w:cstheme="minorHAnsi"/>
                <w:noProof/>
              </w:rPr>
              <w:t>G.</w:t>
            </w:r>
            <w:r w:rsidR="00BC78F5" w:rsidRPr="004737C5">
              <w:rPr>
                <w:rStyle w:val="Hyperlink"/>
                <w:rFonts w:cstheme="minorHAnsi"/>
                <w:noProof/>
              </w:rPr>
              <w:t xml:space="preserve"> Food legislation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_Toc492650149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169</w:t>
            </w:r>
            <w:r w:rsidR="00BC78F5" w:rsidRPr="004737C5">
              <w:rPr>
                <w:rFonts w:cstheme="minorHAnsi"/>
                <w:noProof/>
                <w:webHidden/>
              </w:rPr>
              <w:fldChar w:fldCharType="end"/>
            </w:r>
          </w:hyperlink>
        </w:p>
        <w:p w14:paraId="2088DCF9" w14:textId="20852938" w:rsidR="00BC78F5" w:rsidRPr="004737C5" w:rsidRDefault="00FB5819" w:rsidP="006D3BE8">
          <w:pPr>
            <w:pStyle w:val="TOC2"/>
            <w:tabs>
              <w:tab w:val="right" w:leader="dot" w:pos="9627"/>
            </w:tabs>
            <w:rPr>
              <w:rFonts w:eastAsiaTheme="minorEastAsia" w:cstheme="minorHAnsi"/>
              <w:noProof/>
              <w:lang w:eastAsia="zh-CN"/>
            </w:rPr>
          </w:pPr>
          <w:hyperlink w:anchor="_Toc492650150" w:history="1">
            <w:r w:rsidR="008848B8" w:rsidRPr="004737C5">
              <w:rPr>
                <w:rStyle w:val="Hyperlink"/>
                <w:rFonts w:cstheme="minorHAnsi"/>
                <w:noProof/>
              </w:rPr>
              <w:t>H.</w:t>
            </w:r>
            <w:r w:rsidR="00BC78F5" w:rsidRPr="004737C5">
              <w:rPr>
                <w:rStyle w:val="Hyperlink"/>
                <w:rFonts w:cstheme="minorHAnsi"/>
                <w:noProof/>
              </w:rPr>
              <w:t xml:space="preserve"> Conclusion</w:t>
            </w:r>
            <w:r w:rsidR="00BC78F5" w:rsidRPr="004737C5">
              <w:rPr>
                <w:rFonts w:cstheme="minorHAnsi"/>
                <w:noProof/>
                <w:webHidden/>
              </w:rPr>
              <w:tab/>
            </w:r>
            <w:r w:rsidR="00BC78F5" w:rsidRPr="004737C5">
              <w:rPr>
                <w:rFonts w:cstheme="minorHAnsi"/>
                <w:noProof/>
                <w:webHidden/>
              </w:rPr>
              <w:fldChar w:fldCharType="begin"/>
            </w:r>
            <w:r w:rsidR="00BC78F5" w:rsidRPr="004737C5">
              <w:rPr>
                <w:rFonts w:cstheme="minorHAnsi"/>
                <w:noProof/>
                <w:webHidden/>
              </w:rPr>
              <w:instrText xml:space="preserve"> PAGEREF _Toc492650150 \h </w:instrText>
            </w:r>
            <w:r w:rsidR="00BC78F5" w:rsidRPr="004737C5">
              <w:rPr>
                <w:rFonts w:cstheme="minorHAnsi"/>
                <w:noProof/>
                <w:webHidden/>
              </w:rPr>
            </w:r>
            <w:r w:rsidR="00BC78F5" w:rsidRPr="004737C5">
              <w:rPr>
                <w:rFonts w:cstheme="minorHAnsi"/>
                <w:noProof/>
                <w:webHidden/>
              </w:rPr>
              <w:fldChar w:fldCharType="separate"/>
            </w:r>
            <w:r w:rsidR="00D82918" w:rsidRPr="004737C5">
              <w:rPr>
                <w:rFonts w:cstheme="minorHAnsi"/>
                <w:noProof/>
                <w:webHidden/>
              </w:rPr>
              <w:t>170</w:t>
            </w:r>
            <w:r w:rsidR="00BC78F5" w:rsidRPr="004737C5">
              <w:rPr>
                <w:rFonts w:cstheme="minorHAnsi"/>
                <w:noProof/>
                <w:webHidden/>
              </w:rPr>
              <w:fldChar w:fldCharType="end"/>
            </w:r>
          </w:hyperlink>
        </w:p>
        <w:p w14:paraId="3D91F21B" w14:textId="77777777" w:rsidR="00ED1768" w:rsidRPr="004737C5" w:rsidRDefault="004D505A" w:rsidP="006D3BE8">
          <w:pPr>
            <w:pStyle w:val="TOC1"/>
            <w:rPr>
              <w:rFonts w:cstheme="minorHAnsi"/>
            </w:rPr>
          </w:pPr>
          <w:r w:rsidRPr="004737C5">
            <w:rPr>
              <w:rFonts w:cstheme="minorHAnsi"/>
              <w:b/>
              <w:bCs/>
              <w:noProof/>
            </w:rPr>
            <w:fldChar w:fldCharType="end"/>
          </w:r>
          <w:r w:rsidR="00ED1768" w:rsidRPr="004737C5">
            <w:rPr>
              <w:rFonts w:cstheme="minorHAnsi"/>
            </w:rPr>
            <w:t xml:space="preserve"> </w:t>
          </w:r>
        </w:p>
        <w:p w14:paraId="2301D1BF" w14:textId="77777777" w:rsidR="00843222" w:rsidRPr="004737C5" w:rsidRDefault="00FB5819" w:rsidP="006D3BE8">
          <w:pPr>
            <w:rPr>
              <w:rFonts w:cstheme="minorHAnsi"/>
            </w:rPr>
          </w:pPr>
        </w:p>
      </w:sdtContent>
    </w:sdt>
    <w:p w14:paraId="17D8615C" w14:textId="77777777" w:rsidR="00843222" w:rsidRPr="004737C5" w:rsidRDefault="00843222" w:rsidP="006D3BE8">
      <w:pPr>
        <w:rPr>
          <w:rFonts w:eastAsia="Times New Roman" w:cstheme="minorHAnsi"/>
          <w:b/>
          <w:bCs/>
          <w:caps/>
          <w:sz w:val="28"/>
          <w:szCs w:val="20"/>
        </w:rPr>
      </w:pPr>
      <w:r w:rsidRPr="004737C5">
        <w:rPr>
          <w:rFonts w:cstheme="minorHAnsi"/>
          <w:sz w:val="28"/>
        </w:rPr>
        <w:br w:type="page"/>
      </w:r>
    </w:p>
    <w:p w14:paraId="631BB926" w14:textId="77777777" w:rsidR="004F0DA1" w:rsidRPr="004737C5" w:rsidRDefault="004F0DA1" w:rsidP="006D3BE8">
      <w:pPr>
        <w:jc w:val="center"/>
        <w:rPr>
          <w:b/>
          <w:sz w:val="24"/>
          <w:szCs w:val="24"/>
        </w:rPr>
      </w:pPr>
      <w:bookmarkStart w:id="5" w:name="_Toc492649959"/>
      <w:r w:rsidRPr="004737C5">
        <w:rPr>
          <w:b/>
          <w:sz w:val="24"/>
          <w:szCs w:val="24"/>
        </w:rPr>
        <w:lastRenderedPageBreak/>
        <w:t>L</w:t>
      </w:r>
      <w:r w:rsidR="00546EB3" w:rsidRPr="004737C5">
        <w:rPr>
          <w:b/>
          <w:sz w:val="24"/>
          <w:szCs w:val="24"/>
        </w:rPr>
        <w:t>ist of abbreviations</w:t>
      </w:r>
      <w:bookmarkEnd w:id="5"/>
    </w:p>
    <w:p w14:paraId="399ABF85" w14:textId="77777777" w:rsidR="004F0DA1" w:rsidRPr="004737C5" w:rsidRDefault="004F0DA1" w:rsidP="006D3BE8">
      <w:pPr>
        <w:spacing w:after="0"/>
        <w:rPr>
          <w:rFonts w:cstheme="minorHAnsi"/>
        </w:rPr>
      </w:pPr>
      <w:r w:rsidRPr="004737C5">
        <w:rPr>
          <w:rFonts w:cstheme="minorHAnsi"/>
        </w:rPr>
        <w:t>ACCC</w:t>
      </w:r>
      <w:r w:rsidRPr="004737C5">
        <w:rPr>
          <w:rFonts w:cstheme="minorHAnsi"/>
        </w:rPr>
        <w:tab/>
      </w:r>
      <w:r w:rsidRPr="004737C5">
        <w:rPr>
          <w:rFonts w:cstheme="minorHAnsi"/>
        </w:rPr>
        <w:tab/>
        <w:t>Australian Competition and Consumer Commission</w:t>
      </w:r>
    </w:p>
    <w:p w14:paraId="00B22D8F" w14:textId="170CC7DC" w:rsidR="00904CD2" w:rsidRPr="004737C5" w:rsidRDefault="00C1423B" w:rsidP="006D3BE8">
      <w:pPr>
        <w:spacing w:after="0"/>
        <w:rPr>
          <w:rFonts w:cstheme="minorHAnsi"/>
        </w:rPr>
      </w:pPr>
      <w:r w:rsidRPr="004737C5">
        <w:rPr>
          <w:rFonts w:cstheme="minorHAnsi"/>
        </w:rPr>
        <w:t xml:space="preserve">ADR </w:t>
      </w:r>
      <w:r w:rsidRPr="004737C5">
        <w:rPr>
          <w:rFonts w:cstheme="minorHAnsi"/>
        </w:rPr>
        <w:tab/>
      </w:r>
      <w:r w:rsidRPr="004737C5">
        <w:rPr>
          <w:rFonts w:cstheme="minorHAnsi"/>
        </w:rPr>
        <w:tab/>
        <w:t>a</w:t>
      </w:r>
      <w:r w:rsidR="00847EC8" w:rsidRPr="004737C5">
        <w:rPr>
          <w:rFonts w:cstheme="minorHAnsi"/>
        </w:rPr>
        <w:t xml:space="preserve">lternative </w:t>
      </w:r>
      <w:r w:rsidR="00546EB3" w:rsidRPr="004737C5">
        <w:rPr>
          <w:rFonts w:cstheme="minorHAnsi"/>
        </w:rPr>
        <w:t>d</w:t>
      </w:r>
      <w:r w:rsidR="00847EC8" w:rsidRPr="004737C5">
        <w:rPr>
          <w:rFonts w:cstheme="minorHAnsi"/>
        </w:rPr>
        <w:t xml:space="preserve">ispute resolution </w:t>
      </w:r>
    </w:p>
    <w:p w14:paraId="4E8A6B10" w14:textId="77777777" w:rsidR="00904CD2" w:rsidRPr="004737C5" w:rsidRDefault="00904CD2" w:rsidP="006D3BE8">
      <w:pPr>
        <w:spacing w:after="0"/>
        <w:rPr>
          <w:rFonts w:cstheme="minorHAnsi"/>
        </w:rPr>
      </w:pPr>
      <w:r w:rsidRPr="004737C5">
        <w:rPr>
          <w:rFonts w:cstheme="minorHAnsi"/>
        </w:rPr>
        <w:t xml:space="preserve">AICD </w:t>
      </w:r>
      <w:r w:rsidRPr="004737C5">
        <w:rPr>
          <w:rFonts w:cstheme="minorHAnsi"/>
        </w:rPr>
        <w:tab/>
      </w:r>
      <w:r w:rsidRPr="004737C5">
        <w:rPr>
          <w:rFonts w:cstheme="minorHAnsi"/>
        </w:rPr>
        <w:tab/>
        <w:t>Africa Infrastructure Country Diagnostic</w:t>
      </w:r>
    </w:p>
    <w:p w14:paraId="2F3A33C9" w14:textId="2C287D6D" w:rsidR="004F0DA1" w:rsidRPr="004737C5" w:rsidRDefault="004F0DA1" w:rsidP="006D3BE8">
      <w:pPr>
        <w:spacing w:after="0"/>
        <w:rPr>
          <w:rFonts w:cstheme="minorHAnsi"/>
        </w:rPr>
      </w:pPr>
      <w:r w:rsidRPr="004737C5">
        <w:rPr>
          <w:rFonts w:cstheme="minorHAnsi"/>
        </w:rPr>
        <w:t>APEC</w:t>
      </w:r>
      <w:r w:rsidRPr="004737C5">
        <w:rPr>
          <w:rFonts w:cstheme="minorHAnsi"/>
        </w:rPr>
        <w:tab/>
      </w:r>
      <w:r w:rsidRPr="004737C5">
        <w:rPr>
          <w:rFonts w:cstheme="minorHAnsi"/>
        </w:rPr>
        <w:tab/>
        <w:t>Asia-Pacific Economic Cooperation</w:t>
      </w:r>
    </w:p>
    <w:p w14:paraId="28607D64" w14:textId="6AFD1FBE" w:rsidR="00570703" w:rsidRPr="004737C5" w:rsidRDefault="00570703" w:rsidP="00570703">
      <w:pPr>
        <w:spacing w:after="0"/>
        <w:ind w:left="1440" w:hanging="1440"/>
        <w:rPr>
          <w:rFonts w:cstheme="minorHAnsi"/>
        </w:rPr>
      </w:pPr>
      <w:r w:rsidRPr="004737C5">
        <w:rPr>
          <w:rFonts w:cstheme="minorHAnsi"/>
        </w:rPr>
        <w:t xml:space="preserve">ASA </w:t>
      </w:r>
      <w:r w:rsidRPr="004737C5">
        <w:rPr>
          <w:rFonts w:cstheme="minorHAnsi"/>
        </w:rPr>
        <w:tab/>
        <w:t>Advertising Standards Authority of the United Kingdom of Great Britain and Northern Ireland</w:t>
      </w:r>
    </w:p>
    <w:p w14:paraId="66E16555" w14:textId="77777777" w:rsidR="004F0DA1" w:rsidRPr="004737C5" w:rsidRDefault="004F0DA1" w:rsidP="006D3BE8">
      <w:pPr>
        <w:spacing w:after="0"/>
        <w:rPr>
          <w:rFonts w:cstheme="minorHAnsi"/>
        </w:rPr>
      </w:pPr>
      <w:r w:rsidRPr="004737C5">
        <w:rPr>
          <w:rFonts w:cstheme="minorHAnsi"/>
        </w:rPr>
        <w:t>ASEAN</w:t>
      </w:r>
      <w:r w:rsidRPr="004737C5">
        <w:rPr>
          <w:rFonts w:cstheme="minorHAnsi"/>
        </w:rPr>
        <w:tab/>
      </w:r>
      <w:r w:rsidRPr="004737C5">
        <w:rPr>
          <w:rFonts w:cstheme="minorHAnsi"/>
        </w:rPr>
        <w:tab/>
        <w:t>Association of Southeast Asian Nations</w:t>
      </w:r>
    </w:p>
    <w:p w14:paraId="6FF95A5F" w14:textId="77777777" w:rsidR="00904CD2" w:rsidRPr="004737C5" w:rsidRDefault="00C1423B" w:rsidP="006D3BE8">
      <w:pPr>
        <w:spacing w:after="0"/>
        <w:rPr>
          <w:rFonts w:cstheme="minorHAnsi"/>
        </w:rPr>
      </w:pPr>
      <w:r w:rsidRPr="004737C5">
        <w:rPr>
          <w:rFonts w:cstheme="minorHAnsi"/>
        </w:rPr>
        <w:t>B2B</w:t>
      </w:r>
      <w:r w:rsidRPr="004737C5">
        <w:rPr>
          <w:rFonts w:cstheme="minorHAnsi"/>
        </w:rPr>
        <w:tab/>
      </w:r>
      <w:r w:rsidRPr="004737C5">
        <w:rPr>
          <w:rFonts w:cstheme="minorHAnsi"/>
        </w:rPr>
        <w:tab/>
        <w:t>b</w:t>
      </w:r>
      <w:r w:rsidR="00904CD2" w:rsidRPr="004737C5">
        <w:rPr>
          <w:rFonts w:cstheme="minorHAnsi"/>
        </w:rPr>
        <w:t>usiness-to-</w:t>
      </w:r>
      <w:r w:rsidR="00546EB3" w:rsidRPr="004737C5">
        <w:rPr>
          <w:rFonts w:cstheme="minorHAnsi"/>
        </w:rPr>
        <w:t>b</w:t>
      </w:r>
      <w:r w:rsidR="00904CD2" w:rsidRPr="004737C5">
        <w:rPr>
          <w:rFonts w:cstheme="minorHAnsi"/>
        </w:rPr>
        <w:t>usiness</w:t>
      </w:r>
    </w:p>
    <w:p w14:paraId="4C0CEF50" w14:textId="0E6663FA" w:rsidR="00904CD2" w:rsidRPr="004737C5" w:rsidRDefault="00C1423B" w:rsidP="006D3BE8">
      <w:pPr>
        <w:spacing w:after="0"/>
        <w:rPr>
          <w:rFonts w:cstheme="minorHAnsi"/>
        </w:rPr>
      </w:pPr>
      <w:r w:rsidRPr="004737C5">
        <w:rPr>
          <w:rFonts w:cstheme="minorHAnsi"/>
        </w:rPr>
        <w:t>B2C</w:t>
      </w:r>
      <w:r w:rsidRPr="004737C5">
        <w:rPr>
          <w:rFonts w:cstheme="minorHAnsi"/>
        </w:rPr>
        <w:tab/>
      </w:r>
      <w:r w:rsidRPr="004737C5">
        <w:rPr>
          <w:rFonts w:cstheme="minorHAnsi"/>
        </w:rPr>
        <w:tab/>
        <w:t>b</w:t>
      </w:r>
      <w:r w:rsidR="00546EB3" w:rsidRPr="004737C5">
        <w:rPr>
          <w:rFonts w:cstheme="minorHAnsi"/>
        </w:rPr>
        <w:t>usiness-to-c</w:t>
      </w:r>
      <w:r w:rsidR="00904CD2" w:rsidRPr="004737C5">
        <w:rPr>
          <w:rFonts w:cstheme="minorHAnsi"/>
        </w:rPr>
        <w:t>onsumer</w:t>
      </w:r>
    </w:p>
    <w:p w14:paraId="366EC0BE" w14:textId="16C958FE" w:rsidR="002D402E" w:rsidRPr="004737C5" w:rsidRDefault="002D402E" w:rsidP="006D3BE8">
      <w:pPr>
        <w:spacing w:after="0"/>
        <w:rPr>
          <w:rFonts w:cstheme="minorHAnsi"/>
        </w:rPr>
      </w:pPr>
      <w:r w:rsidRPr="004737C5">
        <w:rPr>
          <w:rFonts w:cstheme="minorHAnsi"/>
        </w:rPr>
        <w:t xml:space="preserve">BASCAP </w:t>
      </w:r>
      <w:r w:rsidRPr="004737C5">
        <w:rPr>
          <w:rFonts w:cstheme="minorHAnsi"/>
        </w:rPr>
        <w:tab/>
        <w:t xml:space="preserve">Business Action to Stop Counterfeiting and Piracy </w:t>
      </w:r>
    </w:p>
    <w:p w14:paraId="09162007" w14:textId="7308DF63" w:rsidR="004A78BD" w:rsidRPr="004737C5" w:rsidRDefault="004A78BD" w:rsidP="006D3BE8">
      <w:pPr>
        <w:spacing w:after="0"/>
        <w:rPr>
          <w:rFonts w:cstheme="minorHAnsi"/>
        </w:rPr>
      </w:pPr>
      <w:r w:rsidRPr="004737C5">
        <w:rPr>
          <w:rFonts w:cstheme="minorHAnsi"/>
        </w:rPr>
        <w:t xml:space="preserve">BSE </w:t>
      </w:r>
      <w:r w:rsidRPr="004737C5">
        <w:rPr>
          <w:rFonts w:cstheme="minorHAnsi"/>
        </w:rPr>
        <w:tab/>
      </w:r>
      <w:r w:rsidRPr="004737C5">
        <w:rPr>
          <w:rFonts w:cstheme="minorHAnsi"/>
        </w:rPr>
        <w:tab/>
        <w:t xml:space="preserve">bovine spongiform encephalopathy </w:t>
      </w:r>
    </w:p>
    <w:p w14:paraId="7D5B8C9A" w14:textId="7534B63A" w:rsidR="004A78BD" w:rsidRPr="004737C5" w:rsidRDefault="00C1423B" w:rsidP="006D3BE8">
      <w:pPr>
        <w:spacing w:after="0"/>
        <w:rPr>
          <w:rFonts w:cstheme="minorHAnsi"/>
        </w:rPr>
      </w:pPr>
      <w:r w:rsidRPr="004737C5">
        <w:rPr>
          <w:rFonts w:cstheme="minorHAnsi"/>
        </w:rPr>
        <w:t>C2C</w:t>
      </w:r>
      <w:r w:rsidRPr="004737C5">
        <w:rPr>
          <w:rFonts w:cstheme="minorHAnsi"/>
        </w:rPr>
        <w:tab/>
      </w:r>
      <w:r w:rsidRPr="004737C5">
        <w:rPr>
          <w:rFonts w:cstheme="minorHAnsi"/>
        </w:rPr>
        <w:tab/>
        <w:t>c</w:t>
      </w:r>
      <w:r w:rsidR="00546EB3" w:rsidRPr="004737C5">
        <w:rPr>
          <w:rFonts w:cstheme="minorHAnsi"/>
        </w:rPr>
        <w:t>onsumer-to-c</w:t>
      </w:r>
      <w:r w:rsidR="00904CD2" w:rsidRPr="004737C5">
        <w:rPr>
          <w:rFonts w:cstheme="minorHAnsi"/>
        </w:rPr>
        <w:t>onsumer</w:t>
      </w:r>
    </w:p>
    <w:p w14:paraId="37F8448E" w14:textId="77777777" w:rsidR="003E07CE" w:rsidRPr="004737C5" w:rsidRDefault="003E07CE" w:rsidP="006D3BE8">
      <w:pPr>
        <w:spacing w:after="0"/>
        <w:rPr>
          <w:rFonts w:cstheme="minorHAnsi"/>
        </w:rPr>
      </w:pPr>
      <w:r w:rsidRPr="004737C5">
        <w:rPr>
          <w:rFonts w:cstheme="minorHAnsi"/>
        </w:rPr>
        <w:t>CARICOM</w:t>
      </w:r>
      <w:r w:rsidRPr="004737C5">
        <w:rPr>
          <w:rFonts w:cstheme="minorHAnsi"/>
        </w:rPr>
        <w:tab/>
        <w:t>Caribbean Community</w:t>
      </w:r>
    </w:p>
    <w:p w14:paraId="4A6AC8B0" w14:textId="77777777" w:rsidR="004F0DA1" w:rsidRPr="004737C5" w:rsidRDefault="004F0DA1" w:rsidP="006D3BE8">
      <w:pPr>
        <w:spacing w:after="0"/>
        <w:rPr>
          <w:rFonts w:cstheme="minorHAnsi"/>
        </w:rPr>
      </w:pPr>
      <w:r w:rsidRPr="004737C5">
        <w:rPr>
          <w:rFonts w:cstheme="minorHAnsi"/>
        </w:rPr>
        <w:t>CCA</w:t>
      </w:r>
      <w:r w:rsidRPr="004737C5">
        <w:rPr>
          <w:rFonts w:cstheme="minorHAnsi"/>
        </w:rPr>
        <w:tab/>
      </w:r>
      <w:r w:rsidRPr="004737C5">
        <w:rPr>
          <w:rFonts w:cstheme="minorHAnsi"/>
        </w:rPr>
        <w:tab/>
        <w:t>Chinese Consumer Association</w:t>
      </w:r>
    </w:p>
    <w:p w14:paraId="7DA1DE40" w14:textId="77777777" w:rsidR="00103B40" w:rsidRPr="004737C5" w:rsidRDefault="00103B40" w:rsidP="00103B40">
      <w:pPr>
        <w:spacing w:after="0"/>
        <w:ind w:left="1440" w:hanging="1440"/>
        <w:jc w:val="left"/>
        <w:rPr>
          <w:rFonts w:cstheme="minorHAnsi"/>
        </w:rPr>
      </w:pPr>
      <w:r w:rsidRPr="004737C5">
        <w:rPr>
          <w:rFonts w:cstheme="minorHAnsi"/>
        </w:rPr>
        <w:t>CCP</w:t>
      </w:r>
      <w:r w:rsidRPr="004737C5">
        <w:rPr>
          <w:rFonts w:cstheme="minorHAnsi"/>
        </w:rPr>
        <w:tab/>
        <w:t>Committee on Consumer Policy of the Organisation for Economic Cooperation and Development</w:t>
      </w:r>
    </w:p>
    <w:p w14:paraId="5AA0CE6D" w14:textId="1C6F8EF8" w:rsidR="002D402E" w:rsidRPr="004737C5" w:rsidRDefault="002D402E" w:rsidP="006D3BE8">
      <w:pPr>
        <w:spacing w:after="0"/>
        <w:rPr>
          <w:rFonts w:cstheme="minorHAnsi"/>
        </w:rPr>
      </w:pPr>
      <w:r w:rsidRPr="004737C5">
        <w:rPr>
          <w:rFonts w:cstheme="minorHAnsi"/>
        </w:rPr>
        <w:t xml:space="preserve">CGAP </w:t>
      </w:r>
      <w:r w:rsidRPr="004737C5">
        <w:rPr>
          <w:rFonts w:cstheme="minorHAnsi"/>
        </w:rPr>
        <w:tab/>
      </w:r>
      <w:r w:rsidRPr="004737C5">
        <w:rPr>
          <w:rFonts w:cstheme="minorHAnsi"/>
        </w:rPr>
        <w:tab/>
        <w:t xml:space="preserve">Consultative Group to Advise the Poor </w:t>
      </w:r>
    </w:p>
    <w:p w14:paraId="45D8470B" w14:textId="379B4487" w:rsidR="004F0DA1" w:rsidRPr="004737C5" w:rsidRDefault="004F0DA1" w:rsidP="006D3BE8">
      <w:pPr>
        <w:spacing w:after="0"/>
        <w:rPr>
          <w:rFonts w:cstheme="minorHAnsi"/>
        </w:rPr>
      </w:pPr>
      <w:r w:rsidRPr="004737C5">
        <w:rPr>
          <w:rFonts w:cstheme="minorHAnsi"/>
        </w:rPr>
        <w:t>CI</w:t>
      </w:r>
      <w:r w:rsidRPr="004737C5">
        <w:rPr>
          <w:rFonts w:cstheme="minorHAnsi"/>
        </w:rPr>
        <w:tab/>
      </w:r>
      <w:r w:rsidRPr="004737C5">
        <w:rPr>
          <w:rFonts w:cstheme="minorHAnsi"/>
        </w:rPr>
        <w:tab/>
        <w:t>Consumers International</w:t>
      </w:r>
    </w:p>
    <w:p w14:paraId="6730F51F" w14:textId="67A58B7A" w:rsidR="004A78BD" w:rsidRPr="004737C5" w:rsidRDefault="004A78BD" w:rsidP="006D3BE8">
      <w:pPr>
        <w:spacing w:after="0"/>
        <w:rPr>
          <w:rFonts w:cstheme="minorHAnsi"/>
        </w:rPr>
      </w:pPr>
      <w:r w:rsidRPr="004737C5">
        <w:rPr>
          <w:rFonts w:cstheme="minorHAnsi"/>
        </w:rPr>
        <w:t xml:space="preserve">COPOLCO </w:t>
      </w:r>
      <w:r w:rsidRPr="004737C5">
        <w:rPr>
          <w:rFonts w:cstheme="minorHAnsi"/>
        </w:rPr>
        <w:tab/>
        <w:t>Consumer Policy Committee of the International Organization for Standardization</w:t>
      </w:r>
    </w:p>
    <w:p w14:paraId="12BF42D5" w14:textId="035C4907" w:rsidR="004F0DA1" w:rsidRPr="004737C5" w:rsidRDefault="00546EB3" w:rsidP="006D3BE8">
      <w:pPr>
        <w:spacing w:after="0"/>
        <w:rPr>
          <w:rFonts w:cstheme="minorHAnsi"/>
        </w:rPr>
      </w:pPr>
      <w:r w:rsidRPr="004737C5">
        <w:rPr>
          <w:rFonts w:cstheme="minorHAnsi"/>
        </w:rPr>
        <w:t>CSR</w:t>
      </w:r>
      <w:r w:rsidRPr="004737C5">
        <w:rPr>
          <w:rFonts w:cstheme="minorHAnsi"/>
        </w:rPr>
        <w:tab/>
      </w:r>
      <w:r w:rsidRPr="004737C5">
        <w:rPr>
          <w:rFonts w:cstheme="minorHAnsi"/>
        </w:rPr>
        <w:tab/>
        <w:t>Corporate social r</w:t>
      </w:r>
      <w:r w:rsidR="004F0DA1" w:rsidRPr="004737C5">
        <w:rPr>
          <w:rFonts w:cstheme="minorHAnsi"/>
        </w:rPr>
        <w:t>esponsibility</w:t>
      </w:r>
    </w:p>
    <w:p w14:paraId="066A5030" w14:textId="0E882CF4" w:rsidR="004A78BD" w:rsidRPr="004737C5" w:rsidRDefault="004A78BD" w:rsidP="006D3BE8">
      <w:pPr>
        <w:spacing w:after="0"/>
        <w:rPr>
          <w:rFonts w:cstheme="minorHAnsi"/>
        </w:rPr>
      </w:pPr>
      <w:r w:rsidRPr="004737C5">
        <w:rPr>
          <w:rFonts w:cstheme="minorHAnsi"/>
        </w:rPr>
        <w:t xml:space="preserve">DEVCO </w:t>
      </w:r>
      <w:r w:rsidRPr="004737C5">
        <w:rPr>
          <w:rFonts w:cstheme="minorHAnsi"/>
        </w:rPr>
        <w:tab/>
      </w:r>
      <w:r w:rsidRPr="004737C5">
        <w:rPr>
          <w:rFonts w:cstheme="minorHAnsi"/>
        </w:rPr>
        <w:tab/>
        <w:t>Developing Country Committee of the International Organization for Standardization</w:t>
      </w:r>
    </w:p>
    <w:p w14:paraId="4E7392B6" w14:textId="77777777" w:rsidR="004F0DA1" w:rsidRPr="00B40BB0" w:rsidRDefault="004F0DA1" w:rsidP="006D3BE8">
      <w:pPr>
        <w:spacing w:after="0"/>
        <w:ind w:left="1440" w:hanging="1440"/>
        <w:jc w:val="left"/>
        <w:rPr>
          <w:rFonts w:cstheme="minorHAnsi"/>
          <w:lang w:val="fr-CH"/>
        </w:rPr>
      </w:pPr>
      <w:r w:rsidRPr="00B40BB0">
        <w:rPr>
          <w:rFonts w:cstheme="minorHAnsi"/>
          <w:lang w:val="fr-CH"/>
        </w:rPr>
        <w:t>DGCCRF</w:t>
      </w:r>
      <w:r w:rsidRPr="00B40BB0">
        <w:rPr>
          <w:rFonts w:cstheme="minorHAnsi"/>
          <w:lang w:val="fr-CH"/>
        </w:rPr>
        <w:tab/>
      </w:r>
      <w:r w:rsidR="00484284" w:rsidRPr="00B40BB0">
        <w:rPr>
          <w:rFonts w:cstheme="minorHAnsi"/>
          <w:lang w:val="fr-CH"/>
        </w:rPr>
        <w:t>Direction générale de la c</w:t>
      </w:r>
      <w:r w:rsidRPr="00B40BB0">
        <w:rPr>
          <w:rFonts w:cstheme="minorHAnsi"/>
          <w:lang w:val="fr-CH"/>
        </w:rPr>
        <w:t xml:space="preserve">oncurrence, </w:t>
      </w:r>
      <w:r w:rsidR="00E72D3F" w:rsidRPr="00B40BB0">
        <w:rPr>
          <w:rFonts w:cstheme="minorHAnsi"/>
          <w:lang w:val="fr-CH"/>
        </w:rPr>
        <w:t xml:space="preserve">de </w:t>
      </w:r>
      <w:r w:rsidR="00484284" w:rsidRPr="00B40BB0">
        <w:rPr>
          <w:rFonts w:cstheme="minorHAnsi"/>
          <w:lang w:val="fr-CH"/>
        </w:rPr>
        <w:t>la c</w:t>
      </w:r>
      <w:r w:rsidRPr="00B40BB0">
        <w:rPr>
          <w:rFonts w:cstheme="minorHAnsi"/>
          <w:lang w:val="fr-CH"/>
        </w:rPr>
        <w:t xml:space="preserve">onsommation et </w:t>
      </w:r>
      <w:r w:rsidR="00E72D3F" w:rsidRPr="00B40BB0">
        <w:rPr>
          <w:rFonts w:cstheme="minorHAnsi"/>
          <w:lang w:val="fr-CH"/>
        </w:rPr>
        <w:t xml:space="preserve">de </w:t>
      </w:r>
      <w:r w:rsidRPr="00B40BB0">
        <w:rPr>
          <w:rFonts w:cstheme="minorHAnsi"/>
          <w:lang w:val="fr-CH"/>
        </w:rPr>
        <w:t xml:space="preserve">la </w:t>
      </w:r>
      <w:r w:rsidR="00484284" w:rsidRPr="00B40BB0">
        <w:rPr>
          <w:rFonts w:cstheme="minorHAnsi"/>
          <w:lang w:val="fr-CH"/>
        </w:rPr>
        <w:t>r</w:t>
      </w:r>
      <w:r w:rsidRPr="00B40BB0">
        <w:rPr>
          <w:rFonts w:cstheme="minorHAnsi"/>
          <w:lang w:val="fr-CH"/>
        </w:rPr>
        <w:t xml:space="preserve">épression des </w:t>
      </w:r>
      <w:r w:rsidR="00484284" w:rsidRPr="00B40BB0">
        <w:rPr>
          <w:rFonts w:cstheme="minorHAnsi"/>
          <w:lang w:val="fr-CH"/>
        </w:rPr>
        <w:t>f</w:t>
      </w:r>
      <w:r w:rsidRPr="00B40BB0">
        <w:rPr>
          <w:rFonts w:cstheme="minorHAnsi"/>
          <w:lang w:val="fr-CH"/>
        </w:rPr>
        <w:t>raudes of France</w:t>
      </w:r>
    </w:p>
    <w:p w14:paraId="42D025D6" w14:textId="77777777" w:rsidR="004F0DA1" w:rsidRPr="004737C5" w:rsidRDefault="004F0DA1" w:rsidP="006D3BE8">
      <w:pPr>
        <w:spacing w:after="0"/>
        <w:rPr>
          <w:rFonts w:cstheme="minorHAnsi"/>
        </w:rPr>
      </w:pPr>
      <w:r w:rsidRPr="004737C5">
        <w:rPr>
          <w:rFonts w:cstheme="minorHAnsi"/>
        </w:rPr>
        <w:t>EC</w:t>
      </w:r>
      <w:r w:rsidRPr="004737C5">
        <w:rPr>
          <w:rFonts w:cstheme="minorHAnsi"/>
        </w:rPr>
        <w:tab/>
      </w:r>
      <w:r w:rsidRPr="004737C5">
        <w:rPr>
          <w:rFonts w:cstheme="minorHAnsi"/>
        </w:rPr>
        <w:tab/>
        <w:t>European Commission of the European Union</w:t>
      </w:r>
    </w:p>
    <w:p w14:paraId="464854CA" w14:textId="77777777" w:rsidR="004F0DA1" w:rsidRPr="004737C5" w:rsidRDefault="004F0DA1" w:rsidP="006D3BE8">
      <w:pPr>
        <w:spacing w:after="0"/>
        <w:rPr>
          <w:rFonts w:cstheme="minorHAnsi"/>
        </w:rPr>
      </w:pPr>
      <w:r w:rsidRPr="004737C5">
        <w:rPr>
          <w:rFonts w:cstheme="minorHAnsi"/>
        </w:rPr>
        <w:t>ECJ</w:t>
      </w:r>
      <w:r w:rsidRPr="004737C5">
        <w:rPr>
          <w:rFonts w:cstheme="minorHAnsi"/>
        </w:rPr>
        <w:tab/>
      </w:r>
      <w:r w:rsidRPr="004737C5">
        <w:rPr>
          <w:rFonts w:cstheme="minorHAnsi"/>
        </w:rPr>
        <w:tab/>
        <w:t>European Court of Justice of the European Union</w:t>
      </w:r>
    </w:p>
    <w:p w14:paraId="5FE99F40" w14:textId="77777777" w:rsidR="004F0DA1" w:rsidRPr="004737C5" w:rsidRDefault="004F0DA1" w:rsidP="006D3BE8">
      <w:pPr>
        <w:spacing w:after="0"/>
        <w:rPr>
          <w:rFonts w:cstheme="minorHAnsi"/>
        </w:rPr>
      </w:pPr>
      <w:r w:rsidRPr="004737C5">
        <w:rPr>
          <w:rFonts w:cstheme="minorHAnsi"/>
        </w:rPr>
        <w:t>ECOSOC</w:t>
      </w:r>
      <w:r w:rsidRPr="004737C5">
        <w:rPr>
          <w:rFonts w:cstheme="minorHAnsi"/>
        </w:rPr>
        <w:tab/>
        <w:t xml:space="preserve">United Nations Economic and Social Council </w:t>
      </w:r>
    </w:p>
    <w:p w14:paraId="208F3A3C" w14:textId="77777777" w:rsidR="00904CD2" w:rsidRPr="004737C5" w:rsidRDefault="00904CD2" w:rsidP="006D3BE8">
      <w:pPr>
        <w:spacing w:after="0"/>
        <w:rPr>
          <w:rFonts w:cstheme="minorHAnsi"/>
        </w:rPr>
      </w:pPr>
      <w:r w:rsidRPr="004737C5">
        <w:rPr>
          <w:rFonts w:cstheme="minorHAnsi"/>
        </w:rPr>
        <w:t>FAO</w:t>
      </w:r>
      <w:r w:rsidRPr="004737C5">
        <w:rPr>
          <w:rFonts w:cstheme="minorHAnsi"/>
        </w:rPr>
        <w:tab/>
      </w:r>
      <w:r w:rsidRPr="004737C5">
        <w:rPr>
          <w:rFonts w:cstheme="minorHAnsi"/>
        </w:rPr>
        <w:tab/>
        <w:t>United Nations Food and Agriculture Organization</w:t>
      </w:r>
    </w:p>
    <w:p w14:paraId="31B9DD6C" w14:textId="77777777" w:rsidR="004F0DA1" w:rsidRPr="00B40BB0" w:rsidRDefault="004F0DA1" w:rsidP="006D3BE8">
      <w:pPr>
        <w:spacing w:after="0"/>
        <w:rPr>
          <w:rFonts w:cstheme="minorHAnsi"/>
          <w:lang w:val="es-ES"/>
        </w:rPr>
      </w:pPr>
      <w:r w:rsidRPr="00B40BB0">
        <w:rPr>
          <w:rFonts w:cstheme="minorHAnsi"/>
          <w:lang w:val="es-ES"/>
        </w:rPr>
        <w:t>FIAGC</w:t>
      </w:r>
      <w:r w:rsidRPr="00B40BB0">
        <w:rPr>
          <w:rFonts w:cstheme="minorHAnsi"/>
          <w:lang w:val="es-ES"/>
        </w:rPr>
        <w:tab/>
      </w:r>
      <w:r w:rsidRPr="00B40BB0">
        <w:rPr>
          <w:rFonts w:cstheme="minorHAnsi"/>
          <w:lang w:val="es-ES"/>
        </w:rPr>
        <w:tab/>
        <w:t>Foro Iberoamericano de Agencias Gubernamentales de Protección al Consumidor</w:t>
      </w:r>
    </w:p>
    <w:p w14:paraId="427058F8" w14:textId="77777777" w:rsidR="004F0DA1" w:rsidRPr="004737C5" w:rsidRDefault="004F0DA1" w:rsidP="006D3BE8">
      <w:pPr>
        <w:spacing w:after="0"/>
        <w:rPr>
          <w:rFonts w:cstheme="minorHAnsi"/>
        </w:rPr>
      </w:pPr>
      <w:r w:rsidRPr="004737C5">
        <w:rPr>
          <w:rFonts w:cstheme="minorHAnsi"/>
        </w:rPr>
        <w:t>FTC</w:t>
      </w:r>
      <w:r w:rsidRPr="004737C5">
        <w:rPr>
          <w:rFonts w:cstheme="minorHAnsi"/>
        </w:rPr>
        <w:tab/>
      </w:r>
      <w:r w:rsidRPr="004737C5">
        <w:rPr>
          <w:rFonts w:cstheme="minorHAnsi"/>
        </w:rPr>
        <w:tab/>
        <w:t>Federal Trade Commission of the United States</w:t>
      </w:r>
      <w:r w:rsidR="00007A5E" w:rsidRPr="004737C5">
        <w:rPr>
          <w:rFonts w:cstheme="minorHAnsi"/>
        </w:rPr>
        <w:t xml:space="preserve"> of America</w:t>
      </w:r>
    </w:p>
    <w:p w14:paraId="6B11E8AD" w14:textId="77777777" w:rsidR="004F0DA1" w:rsidRPr="004737C5" w:rsidRDefault="004F0DA1" w:rsidP="006D3BE8">
      <w:pPr>
        <w:spacing w:after="0"/>
        <w:rPr>
          <w:rFonts w:cstheme="minorHAnsi"/>
        </w:rPr>
      </w:pPr>
      <w:r w:rsidRPr="004737C5">
        <w:rPr>
          <w:rFonts w:cstheme="minorHAnsi"/>
        </w:rPr>
        <w:t>G20</w:t>
      </w:r>
      <w:r w:rsidRPr="004737C5">
        <w:rPr>
          <w:rFonts w:cstheme="minorHAnsi"/>
        </w:rPr>
        <w:tab/>
      </w:r>
      <w:r w:rsidRPr="004737C5">
        <w:rPr>
          <w:rFonts w:cstheme="minorHAnsi"/>
        </w:rPr>
        <w:tab/>
        <w:t>Group of 20</w:t>
      </w:r>
    </w:p>
    <w:p w14:paraId="291812BC" w14:textId="77777777" w:rsidR="004F0DA1" w:rsidRPr="004737C5" w:rsidRDefault="004F0DA1" w:rsidP="006D3BE8">
      <w:pPr>
        <w:spacing w:after="0"/>
        <w:rPr>
          <w:rFonts w:cstheme="minorHAnsi"/>
        </w:rPr>
      </w:pPr>
      <w:r w:rsidRPr="004737C5">
        <w:rPr>
          <w:rFonts w:cstheme="minorHAnsi"/>
        </w:rPr>
        <w:t>GATS</w:t>
      </w:r>
      <w:r w:rsidRPr="004737C5">
        <w:rPr>
          <w:rFonts w:cstheme="minorHAnsi"/>
        </w:rPr>
        <w:tab/>
      </w:r>
      <w:r w:rsidRPr="004737C5">
        <w:rPr>
          <w:rFonts w:cstheme="minorHAnsi"/>
        </w:rPr>
        <w:tab/>
        <w:t>General Agreement on Trade in Services</w:t>
      </w:r>
    </w:p>
    <w:p w14:paraId="1B9380B4" w14:textId="77777777" w:rsidR="004F0DA1" w:rsidRPr="004737C5" w:rsidRDefault="004F0DA1" w:rsidP="006D3BE8">
      <w:pPr>
        <w:spacing w:after="0"/>
        <w:rPr>
          <w:rFonts w:cstheme="minorHAnsi"/>
        </w:rPr>
      </w:pPr>
      <w:r w:rsidRPr="004737C5">
        <w:rPr>
          <w:rFonts w:cstheme="minorHAnsi"/>
        </w:rPr>
        <w:t>GATT</w:t>
      </w:r>
      <w:r w:rsidRPr="004737C5">
        <w:rPr>
          <w:rFonts w:cstheme="minorHAnsi"/>
        </w:rPr>
        <w:tab/>
      </w:r>
      <w:r w:rsidRPr="004737C5">
        <w:rPr>
          <w:rFonts w:cstheme="minorHAnsi"/>
        </w:rPr>
        <w:tab/>
        <w:t>General Agreement on Tariffs and Trade</w:t>
      </w:r>
    </w:p>
    <w:p w14:paraId="04BD3B08" w14:textId="77777777" w:rsidR="004F0DA1" w:rsidRPr="004737C5" w:rsidRDefault="004F0DA1" w:rsidP="006D3BE8">
      <w:pPr>
        <w:spacing w:after="0"/>
        <w:jc w:val="left"/>
        <w:rPr>
          <w:rFonts w:cstheme="minorHAnsi"/>
        </w:rPr>
      </w:pPr>
      <w:r w:rsidRPr="004737C5">
        <w:rPr>
          <w:rFonts w:cstheme="minorHAnsi"/>
        </w:rPr>
        <w:t>HKCC</w:t>
      </w:r>
      <w:r w:rsidRPr="004737C5">
        <w:rPr>
          <w:rFonts w:cstheme="minorHAnsi"/>
        </w:rPr>
        <w:tab/>
      </w:r>
      <w:r w:rsidRPr="004737C5">
        <w:rPr>
          <w:rFonts w:cstheme="minorHAnsi"/>
        </w:rPr>
        <w:tab/>
        <w:t>Hong Kong (China) Consumer Council</w:t>
      </w:r>
    </w:p>
    <w:p w14:paraId="6A8E59E0" w14:textId="2FF8F4C0" w:rsidR="00904CD2" w:rsidRPr="004737C5" w:rsidRDefault="00880BCD" w:rsidP="006D3BE8">
      <w:pPr>
        <w:spacing w:after="0"/>
        <w:rPr>
          <w:rFonts w:cstheme="minorHAnsi"/>
        </w:rPr>
      </w:pPr>
      <w:r w:rsidRPr="004737C5">
        <w:rPr>
          <w:rFonts w:cstheme="minorHAnsi"/>
        </w:rPr>
        <w:t>HLP</w:t>
      </w:r>
      <w:r w:rsidR="00484284" w:rsidRPr="004737C5">
        <w:rPr>
          <w:rFonts w:cstheme="minorHAnsi"/>
        </w:rPr>
        <w:tab/>
      </w:r>
      <w:r w:rsidR="00484284" w:rsidRPr="004737C5">
        <w:rPr>
          <w:rFonts w:cstheme="minorHAnsi"/>
        </w:rPr>
        <w:tab/>
        <w:t>h</w:t>
      </w:r>
      <w:r w:rsidR="00A8689C" w:rsidRPr="004737C5">
        <w:rPr>
          <w:rFonts w:cstheme="minorHAnsi"/>
        </w:rPr>
        <w:t>igh-</w:t>
      </w:r>
      <w:r w:rsidR="00546EB3" w:rsidRPr="004737C5">
        <w:rPr>
          <w:rFonts w:cstheme="minorHAnsi"/>
        </w:rPr>
        <w:t>level p</w:t>
      </w:r>
      <w:r w:rsidRPr="004737C5">
        <w:rPr>
          <w:rFonts w:cstheme="minorHAnsi"/>
        </w:rPr>
        <w:t>rinciple</w:t>
      </w:r>
    </w:p>
    <w:p w14:paraId="273DE7F5" w14:textId="53DCA2C0" w:rsidR="00880BCD" w:rsidRPr="004737C5" w:rsidRDefault="00880BCD" w:rsidP="006D3BE8">
      <w:pPr>
        <w:spacing w:after="0"/>
        <w:rPr>
          <w:rFonts w:cstheme="minorHAnsi"/>
        </w:rPr>
      </w:pPr>
      <w:r w:rsidRPr="004737C5">
        <w:rPr>
          <w:rFonts w:cstheme="minorHAnsi"/>
        </w:rPr>
        <w:t>IBT</w:t>
      </w:r>
      <w:r w:rsidRPr="004737C5">
        <w:rPr>
          <w:rFonts w:cstheme="minorHAnsi"/>
        </w:rPr>
        <w:tab/>
      </w:r>
      <w:r w:rsidRPr="004737C5">
        <w:rPr>
          <w:rFonts w:cstheme="minorHAnsi"/>
        </w:rPr>
        <w:tab/>
        <w:t>increasing block tariff</w:t>
      </w:r>
    </w:p>
    <w:p w14:paraId="721ADA83" w14:textId="76DD6A24" w:rsidR="004F0DA1" w:rsidRPr="004737C5" w:rsidRDefault="004F0DA1" w:rsidP="006D3BE8">
      <w:pPr>
        <w:spacing w:after="0"/>
        <w:rPr>
          <w:rFonts w:cstheme="minorHAnsi"/>
        </w:rPr>
      </w:pPr>
      <w:r w:rsidRPr="004737C5">
        <w:rPr>
          <w:rFonts w:cstheme="minorHAnsi"/>
        </w:rPr>
        <w:t>ICC</w:t>
      </w:r>
      <w:r w:rsidRPr="004737C5">
        <w:rPr>
          <w:rFonts w:cstheme="minorHAnsi"/>
        </w:rPr>
        <w:tab/>
      </w:r>
      <w:r w:rsidRPr="004737C5">
        <w:rPr>
          <w:rFonts w:cstheme="minorHAnsi"/>
        </w:rPr>
        <w:tab/>
        <w:t>International Chamber of Commerce</w:t>
      </w:r>
    </w:p>
    <w:p w14:paraId="72E5DD98" w14:textId="5DD1D58E" w:rsidR="004A78BD" w:rsidRPr="004737C5" w:rsidRDefault="004A78BD" w:rsidP="006D3BE8">
      <w:pPr>
        <w:spacing w:after="0"/>
        <w:rPr>
          <w:rFonts w:cstheme="minorHAnsi"/>
        </w:rPr>
      </w:pPr>
      <w:r w:rsidRPr="004737C5">
        <w:rPr>
          <w:rFonts w:cstheme="minorHAnsi"/>
        </w:rPr>
        <w:t xml:space="preserve">ICPEN </w:t>
      </w:r>
      <w:r w:rsidRPr="004737C5">
        <w:rPr>
          <w:rFonts w:cstheme="minorHAnsi"/>
        </w:rPr>
        <w:tab/>
      </w:r>
      <w:r w:rsidRPr="004737C5">
        <w:rPr>
          <w:rFonts w:cstheme="minorHAnsi"/>
        </w:rPr>
        <w:tab/>
        <w:t xml:space="preserve">International Consumer Protection and Enforcement Network </w:t>
      </w:r>
    </w:p>
    <w:p w14:paraId="0B3DC243" w14:textId="77777777" w:rsidR="004F0DA1" w:rsidRPr="004737C5" w:rsidRDefault="004F0DA1" w:rsidP="006D3BE8">
      <w:pPr>
        <w:spacing w:after="0"/>
        <w:rPr>
          <w:rFonts w:cstheme="minorHAnsi"/>
        </w:rPr>
      </w:pPr>
      <w:r w:rsidRPr="004737C5">
        <w:rPr>
          <w:rFonts w:cstheme="minorHAnsi"/>
        </w:rPr>
        <w:t>ICRT</w:t>
      </w:r>
      <w:r w:rsidRPr="004737C5">
        <w:rPr>
          <w:rFonts w:cstheme="minorHAnsi"/>
        </w:rPr>
        <w:tab/>
      </w:r>
      <w:r w:rsidRPr="004737C5">
        <w:rPr>
          <w:rFonts w:cstheme="minorHAnsi"/>
        </w:rPr>
        <w:tab/>
        <w:t>International Consumer Research and Testing</w:t>
      </w:r>
    </w:p>
    <w:p w14:paraId="0BF8AE80" w14:textId="1BDD343A" w:rsidR="007863B7" w:rsidRPr="004737C5" w:rsidRDefault="007863B7" w:rsidP="006D3BE8">
      <w:pPr>
        <w:spacing w:after="0"/>
        <w:ind w:left="1440" w:hanging="1440"/>
        <w:jc w:val="left"/>
        <w:rPr>
          <w:rFonts w:cstheme="minorHAnsi"/>
        </w:rPr>
      </w:pPr>
      <w:r w:rsidRPr="004737C5">
        <w:rPr>
          <w:rFonts w:cstheme="minorHAnsi"/>
        </w:rPr>
        <w:t>IGE</w:t>
      </w:r>
      <w:r w:rsidRPr="004737C5">
        <w:rPr>
          <w:rFonts w:cstheme="minorHAnsi"/>
        </w:rPr>
        <w:tab/>
        <w:t>Intergovernmental Group of Experts on Consumer Protection Law and Policy</w:t>
      </w:r>
    </w:p>
    <w:p w14:paraId="5B5242C1" w14:textId="3398E793" w:rsidR="004F0DA1" w:rsidRPr="00B40BB0" w:rsidRDefault="004F0DA1" w:rsidP="006D3BE8">
      <w:pPr>
        <w:spacing w:after="0"/>
        <w:ind w:left="1440" w:hanging="1440"/>
        <w:jc w:val="left"/>
        <w:rPr>
          <w:rFonts w:cstheme="minorHAnsi"/>
          <w:lang w:val="es-ES"/>
        </w:rPr>
      </w:pPr>
      <w:r w:rsidRPr="00B40BB0">
        <w:rPr>
          <w:rFonts w:cstheme="minorHAnsi"/>
          <w:lang w:val="es-ES"/>
        </w:rPr>
        <w:t xml:space="preserve">INDECOPI </w:t>
      </w:r>
      <w:r w:rsidRPr="00B40BB0">
        <w:rPr>
          <w:rFonts w:cstheme="minorHAnsi"/>
          <w:lang w:val="es-ES"/>
        </w:rPr>
        <w:tab/>
        <w:t>Instituto Nacional de Defensa de la Competencia y Protección de la Propiedad Intelectual of Peru</w:t>
      </w:r>
    </w:p>
    <w:p w14:paraId="7DD7CBB6" w14:textId="4FFF5C5F" w:rsidR="004F0DA1" w:rsidRPr="004737C5" w:rsidRDefault="00C1423B" w:rsidP="006D3BE8">
      <w:pPr>
        <w:spacing w:after="0"/>
        <w:rPr>
          <w:rFonts w:cstheme="minorHAnsi"/>
        </w:rPr>
      </w:pPr>
      <w:r w:rsidRPr="004737C5">
        <w:rPr>
          <w:rFonts w:cstheme="minorHAnsi"/>
        </w:rPr>
        <w:t>IP</w:t>
      </w:r>
      <w:r w:rsidRPr="004737C5">
        <w:rPr>
          <w:rFonts w:cstheme="minorHAnsi"/>
        </w:rPr>
        <w:tab/>
      </w:r>
      <w:r w:rsidRPr="004737C5">
        <w:rPr>
          <w:rFonts w:cstheme="minorHAnsi"/>
        </w:rPr>
        <w:tab/>
        <w:t>i</w:t>
      </w:r>
      <w:r w:rsidR="004F0DA1" w:rsidRPr="004737C5">
        <w:rPr>
          <w:rFonts w:cstheme="minorHAnsi"/>
        </w:rPr>
        <w:t>ntellectual property</w:t>
      </w:r>
      <w:r w:rsidR="00F37A69" w:rsidRPr="004737C5">
        <w:rPr>
          <w:rFonts w:cstheme="minorHAnsi"/>
        </w:rPr>
        <w:t xml:space="preserve"> </w:t>
      </w:r>
    </w:p>
    <w:p w14:paraId="5AAF1102" w14:textId="77777777" w:rsidR="004F0DA1" w:rsidRPr="004737C5" w:rsidRDefault="004F0DA1" w:rsidP="006D3BE8">
      <w:pPr>
        <w:spacing w:after="0"/>
        <w:rPr>
          <w:rFonts w:cstheme="minorHAnsi"/>
        </w:rPr>
      </w:pPr>
      <w:r w:rsidRPr="004737C5">
        <w:rPr>
          <w:rFonts w:cstheme="minorHAnsi"/>
        </w:rPr>
        <w:t>ISO</w:t>
      </w:r>
      <w:r w:rsidRPr="004737C5">
        <w:rPr>
          <w:rFonts w:cstheme="minorHAnsi"/>
        </w:rPr>
        <w:tab/>
      </w:r>
      <w:r w:rsidRPr="004737C5">
        <w:rPr>
          <w:rFonts w:cstheme="minorHAnsi"/>
        </w:rPr>
        <w:tab/>
        <w:t>International Organization for Standardization</w:t>
      </w:r>
    </w:p>
    <w:p w14:paraId="092C585D" w14:textId="77777777" w:rsidR="004F0DA1" w:rsidRPr="004737C5" w:rsidRDefault="004F0DA1" w:rsidP="006D3BE8">
      <w:pPr>
        <w:spacing w:after="0"/>
        <w:rPr>
          <w:rFonts w:cstheme="minorHAnsi"/>
        </w:rPr>
      </w:pPr>
      <w:r w:rsidRPr="004737C5">
        <w:rPr>
          <w:rFonts w:cstheme="minorHAnsi"/>
        </w:rPr>
        <w:t>MDGs</w:t>
      </w:r>
      <w:r w:rsidRPr="004737C5">
        <w:rPr>
          <w:rFonts w:cstheme="minorHAnsi"/>
        </w:rPr>
        <w:tab/>
      </w:r>
      <w:r w:rsidRPr="004737C5">
        <w:rPr>
          <w:rFonts w:cstheme="minorHAnsi"/>
        </w:rPr>
        <w:tab/>
        <w:t>Millennium Development Goals</w:t>
      </w:r>
    </w:p>
    <w:p w14:paraId="0546AB13" w14:textId="77777777" w:rsidR="004F0DA1" w:rsidRPr="004737C5" w:rsidRDefault="004F0DA1" w:rsidP="006D3BE8">
      <w:pPr>
        <w:spacing w:after="0"/>
        <w:rPr>
          <w:rFonts w:cstheme="minorHAnsi"/>
        </w:rPr>
      </w:pPr>
      <w:r w:rsidRPr="004737C5">
        <w:rPr>
          <w:rFonts w:cstheme="minorHAnsi"/>
        </w:rPr>
        <w:t>MERCOSUR</w:t>
      </w:r>
      <w:r w:rsidRPr="004737C5">
        <w:rPr>
          <w:rFonts w:cstheme="minorHAnsi"/>
        </w:rPr>
        <w:tab/>
        <w:t>Southern Common Market</w:t>
      </w:r>
    </w:p>
    <w:p w14:paraId="031DAFBA" w14:textId="343978EC" w:rsidR="004F0DA1" w:rsidRPr="004737C5" w:rsidRDefault="00C1423B" w:rsidP="006D3BE8">
      <w:pPr>
        <w:spacing w:after="0"/>
        <w:rPr>
          <w:rFonts w:cstheme="minorHAnsi"/>
        </w:rPr>
      </w:pPr>
      <w:r w:rsidRPr="004737C5">
        <w:rPr>
          <w:rFonts w:cstheme="minorHAnsi"/>
        </w:rPr>
        <w:t>MNE</w:t>
      </w:r>
      <w:r w:rsidRPr="004737C5">
        <w:rPr>
          <w:rFonts w:cstheme="minorHAnsi"/>
        </w:rPr>
        <w:tab/>
      </w:r>
      <w:r w:rsidRPr="004737C5">
        <w:rPr>
          <w:rFonts w:cstheme="minorHAnsi"/>
        </w:rPr>
        <w:tab/>
        <w:t>m</w:t>
      </w:r>
      <w:r w:rsidR="00DB1BE0" w:rsidRPr="004737C5">
        <w:rPr>
          <w:rFonts w:cstheme="minorHAnsi"/>
        </w:rPr>
        <w:t>ultinational enterprise</w:t>
      </w:r>
    </w:p>
    <w:p w14:paraId="1BE0D532" w14:textId="1081E112" w:rsidR="00E75DCC" w:rsidRPr="004737C5" w:rsidRDefault="00E75DCC" w:rsidP="006D3BE8">
      <w:pPr>
        <w:spacing w:after="0"/>
        <w:rPr>
          <w:rFonts w:cstheme="minorHAnsi"/>
        </w:rPr>
      </w:pPr>
      <w:r w:rsidRPr="004737C5">
        <w:rPr>
          <w:rFonts w:cstheme="minorHAnsi"/>
        </w:rPr>
        <w:t xml:space="preserve">NGO </w:t>
      </w:r>
      <w:r w:rsidRPr="004737C5">
        <w:rPr>
          <w:rFonts w:cstheme="minorHAnsi"/>
        </w:rPr>
        <w:tab/>
      </w:r>
      <w:r w:rsidRPr="004737C5">
        <w:rPr>
          <w:rFonts w:cstheme="minorHAnsi"/>
        </w:rPr>
        <w:tab/>
        <w:t xml:space="preserve">non-governmental organization </w:t>
      </w:r>
    </w:p>
    <w:p w14:paraId="24EB3269" w14:textId="77777777" w:rsidR="004F0DA1" w:rsidRPr="004737C5" w:rsidRDefault="004F0DA1" w:rsidP="006D3BE8">
      <w:pPr>
        <w:spacing w:after="0"/>
        <w:rPr>
          <w:rFonts w:cstheme="minorHAnsi"/>
        </w:rPr>
      </w:pPr>
      <w:r w:rsidRPr="004737C5">
        <w:rPr>
          <w:rFonts w:cstheme="minorHAnsi"/>
        </w:rPr>
        <w:t>OAS</w:t>
      </w:r>
      <w:r w:rsidRPr="004737C5">
        <w:rPr>
          <w:rFonts w:cstheme="minorHAnsi"/>
        </w:rPr>
        <w:tab/>
      </w:r>
      <w:r w:rsidRPr="004737C5">
        <w:rPr>
          <w:rFonts w:cstheme="minorHAnsi"/>
        </w:rPr>
        <w:tab/>
        <w:t>Organization of American States</w:t>
      </w:r>
    </w:p>
    <w:p w14:paraId="2AF73B02" w14:textId="404B21DF" w:rsidR="00061B8C" w:rsidRPr="004737C5" w:rsidRDefault="00061B8C" w:rsidP="006D3BE8">
      <w:pPr>
        <w:spacing w:after="0"/>
        <w:rPr>
          <w:rFonts w:cstheme="minorHAnsi"/>
        </w:rPr>
      </w:pPr>
      <w:r w:rsidRPr="004737C5">
        <w:rPr>
          <w:rFonts w:cstheme="minorHAnsi"/>
        </w:rPr>
        <w:t>ODR</w:t>
      </w:r>
      <w:r w:rsidRPr="004737C5">
        <w:rPr>
          <w:rFonts w:cstheme="minorHAnsi"/>
        </w:rPr>
        <w:tab/>
      </w:r>
      <w:r w:rsidRPr="004737C5">
        <w:rPr>
          <w:rFonts w:cstheme="minorHAnsi"/>
        </w:rPr>
        <w:tab/>
        <w:t>online dispute resolution</w:t>
      </w:r>
    </w:p>
    <w:p w14:paraId="6DF9B6B1" w14:textId="0AB3B36E" w:rsidR="004F0DA1" w:rsidRPr="004737C5" w:rsidRDefault="004F0DA1" w:rsidP="006D3BE8">
      <w:pPr>
        <w:spacing w:after="0"/>
        <w:rPr>
          <w:rFonts w:cstheme="minorHAnsi"/>
        </w:rPr>
      </w:pPr>
      <w:r w:rsidRPr="004737C5">
        <w:rPr>
          <w:rFonts w:cstheme="minorHAnsi"/>
        </w:rPr>
        <w:t>OECD</w:t>
      </w:r>
      <w:r w:rsidR="00484284" w:rsidRPr="004737C5">
        <w:rPr>
          <w:rFonts w:cstheme="minorHAnsi"/>
        </w:rPr>
        <w:t xml:space="preserve"> </w:t>
      </w:r>
      <w:r w:rsidR="00484284" w:rsidRPr="004737C5">
        <w:rPr>
          <w:rFonts w:cstheme="minorHAnsi"/>
        </w:rPr>
        <w:tab/>
      </w:r>
      <w:r w:rsidR="00484284" w:rsidRPr="004737C5">
        <w:rPr>
          <w:rFonts w:cstheme="minorHAnsi"/>
        </w:rPr>
        <w:tab/>
        <w:t>Organisation for Economic Co</w:t>
      </w:r>
      <w:r w:rsidRPr="004737C5">
        <w:rPr>
          <w:rFonts w:cstheme="minorHAnsi"/>
        </w:rPr>
        <w:t>operation and Development</w:t>
      </w:r>
    </w:p>
    <w:p w14:paraId="1FE29F43" w14:textId="3A8D0C67" w:rsidR="004F0DA1" w:rsidRPr="004737C5" w:rsidRDefault="004F0DA1" w:rsidP="006D3BE8">
      <w:pPr>
        <w:spacing w:after="0"/>
        <w:rPr>
          <w:rFonts w:cstheme="minorHAnsi"/>
        </w:rPr>
      </w:pPr>
      <w:r w:rsidRPr="004737C5">
        <w:rPr>
          <w:rFonts w:cstheme="minorHAnsi"/>
        </w:rPr>
        <w:lastRenderedPageBreak/>
        <w:t>OFCOM</w:t>
      </w:r>
      <w:r w:rsidRPr="004737C5">
        <w:rPr>
          <w:rFonts w:cstheme="minorHAnsi"/>
        </w:rPr>
        <w:tab/>
      </w:r>
      <w:r w:rsidRPr="004737C5">
        <w:rPr>
          <w:rFonts w:cstheme="minorHAnsi"/>
        </w:rPr>
        <w:tab/>
        <w:t>Office of Communication of the United Kingdom</w:t>
      </w:r>
      <w:r w:rsidR="007D0BC7" w:rsidRPr="004737C5">
        <w:rPr>
          <w:rFonts w:cstheme="minorHAnsi"/>
        </w:rPr>
        <w:t xml:space="preserve"> of Great Britain and Northern Ireland</w:t>
      </w:r>
    </w:p>
    <w:p w14:paraId="50219C6A" w14:textId="0A3119B8" w:rsidR="004A78BD" w:rsidRPr="004737C5" w:rsidRDefault="004A78BD" w:rsidP="006D3BE8">
      <w:pPr>
        <w:spacing w:after="0"/>
        <w:rPr>
          <w:rFonts w:cstheme="minorHAnsi"/>
        </w:rPr>
      </w:pPr>
      <w:r w:rsidRPr="004737C5">
        <w:rPr>
          <w:rFonts w:cstheme="minorHAnsi"/>
        </w:rPr>
        <w:t>OFT</w:t>
      </w:r>
      <w:r w:rsidRPr="004737C5">
        <w:rPr>
          <w:rFonts w:cstheme="minorHAnsi"/>
        </w:rPr>
        <w:tab/>
      </w:r>
      <w:r w:rsidRPr="004737C5">
        <w:rPr>
          <w:rFonts w:cstheme="minorHAnsi"/>
        </w:rPr>
        <w:tab/>
        <w:t>Office of Fair Trading of the United Kingdom of Great Britain and Northern Ireland</w:t>
      </w:r>
    </w:p>
    <w:p w14:paraId="18B4624A" w14:textId="3FC9E6BB" w:rsidR="002D402E" w:rsidRPr="004737C5" w:rsidRDefault="002D402E" w:rsidP="006D3BE8">
      <w:pPr>
        <w:spacing w:after="0"/>
        <w:rPr>
          <w:rFonts w:cstheme="minorHAnsi"/>
        </w:rPr>
      </w:pPr>
      <w:r w:rsidRPr="004737C5">
        <w:rPr>
          <w:rFonts w:cstheme="minorHAnsi"/>
        </w:rPr>
        <w:t xml:space="preserve">PPI </w:t>
      </w:r>
      <w:r w:rsidRPr="004737C5">
        <w:rPr>
          <w:rFonts w:cstheme="minorHAnsi"/>
        </w:rPr>
        <w:tab/>
      </w:r>
      <w:r w:rsidRPr="004737C5">
        <w:rPr>
          <w:rFonts w:cstheme="minorHAnsi"/>
        </w:rPr>
        <w:tab/>
        <w:t>payment protection insurance</w:t>
      </w:r>
    </w:p>
    <w:p w14:paraId="2ABCFFFE" w14:textId="3FD31EC9" w:rsidR="004C6A3D" w:rsidRPr="004737C5" w:rsidRDefault="004C6A3D" w:rsidP="004C6A3D">
      <w:pPr>
        <w:spacing w:after="0"/>
        <w:rPr>
          <w:rFonts w:cstheme="minorHAnsi"/>
        </w:rPr>
      </w:pPr>
      <w:r w:rsidRPr="004737C5">
        <w:rPr>
          <w:rFonts w:cstheme="minorHAnsi"/>
        </w:rPr>
        <w:t>PPIAF</w:t>
      </w:r>
      <w:r w:rsidRPr="004737C5">
        <w:rPr>
          <w:rFonts w:cstheme="minorHAnsi"/>
        </w:rPr>
        <w:tab/>
      </w:r>
      <w:r w:rsidRPr="004737C5">
        <w:rPr>
          <w:rFonts w:cstheme="minorHAnsi"/>
        </w:rPr>
        <w:tab/>
        <w:t>Public-Private Infrastructure Advisory Facility</w:t>
      </w:r>
    </w:p>
    <w:p w14:paraId="540483A9" w14:textId="6934D42F" w:rsidR="004F0DA1" w:rsidRPr="00B40BB0" w:rsidRDefault="004F0DA1" w:rsidP="006D3BE8">
      <w:pPr>
        <w:spacing w:after="0"/>
        <w:rPr>
          <w:rFonts w:cstheme="minorHAnsi"/>
          <w:lang w:val="es-ES"/>
        </w:rPr>
      </w:pPr>
      <w:r w:rsidRPr="00B40BB0">
        <w:rPr>
          <w:rFonts w:cstheme="minorHAnsi"/>
          <w:lang w:val="es-ES"/>
        </w:rPr>
        <w:t xml:space="preserve">PROFECO </w:t>
      </w:r>
      <w:r w:rsidRPr="00B40BB0">
        <w:rPr>
          <w:rFonts w:cstheme="minorHAnsi"/>
          <w:lang w:val="es-ES"/>
        </w:rPr>
        <w:tab/>
        <w:t>Procuradur</w:t>
      </w:r>
      <w:r w:rsidR="006543BE" w:rsidRPr="00B40BB0">
        <w:rPr>
          <w:rFonts w:cstheme="minorHAnsi"/>
          <w:lang w:val="es-ES"/>
        </w:rPr>
        <w:t>í</w:t>
      </w:r>
      <w:r w:rsidRPr="00B40BB0">
        <w:rPr>
          <w:rFonts w:cstheme="minorHAnsi"/>
          <w:lang w:val="es-ES"/>
        </w:rPr>
        <w:t>a Federal del Consumidor of Mexico</w:t>
      </w:r>
    </w:p>
    <w:p w14:paraId="4C3BDEAF" w14:textId="77777777" w:rsidR="004F0DA1" w:rsidRPr="00B40BB0" w:rsidRDefault="00484284" w:rsidP="006D3BE8">
      <w:pPr>
        <w:spacing w:after="0"/>
        <w:rPr>
          <w:rFonts w:cstheme="minorHAnsi"/>
          <w:lang w:val="fr-CH"/>
        </w:rPr>
      </w:pPr>
      <w:r w:rsidRPr="00B40BB0">
        <w:rPr>
          <w:rFonts w:cstheme="minorHAnsi"/>
          <w:lang w:val="fr-CH"/>
        </w:rPr>
        <w:t xml:space="preserve">PTA </w:t>
      </w:r>
      <w:r w:rsidRPr="00B40BB0">
        <w:rPr>
          <w:rFonts w:cstheme="minorHAnsi"/>
          <w:lang w:val="fr-CH"/>
        </w:rPr>
        <w:tab/>
      </w:r>
      <w:r w:rsidRPr="00B40BB0">
        <w:rPr>
          <w:rFonts w:cstheme="minorHAnsi"/>
          <w:lang w:val="fr-CH"/>
        </w:rPr>
        <w:tab/>
        <w:t>p</w:t>
      </w:r>
      <w:r w:rsidR="004F0DA1" w:rsidRPr="00B40BB0">
        <w:rPr>
          <w:rFonts w:cstheme="minorHAnsi"/>
          <w:lang w:val="fr-CH"/>
        </w:rPr>
        <w:t>referential trade agreement</w:t>
      </w:r>
    </w:p>
    <w:p w14:paraId="2FDAB5D1" w14:textId="77777777" w:rsidR="004F0DA1" w:rsidRPr="00B40BB0" w:rsidRDefault="004F0DA1" w:rsidP="006D3BE8">
      <w:pPr>
        <w:spacing w:after="0"/>
        <w:rPr>
          <w:rFonts w:cstheme="minorHAnsi"/>
          <w:lang w:val="fr-CH"/>
        </w:rPr>
      </w:pPr>
      <w:r w:rsidRPr="00B40BB0">
        <w:rPr>
          <w:rFonts w:cstheme="minorHAnsi"/>
          <w:lang w:val="fr-CH"/>
        </w:rPr>
        <w:t>RACE</w:t>
      </w:r>
      <w:r w:rsidRPr="00B40BB0">
        <w:rPr>
          <w:rFonts w:cstheme="minorHAnsi"/>
          <w:lang w:val="fr-CH"/>
        </w:rPr>
        <w:tab/>
      </w:r>
      <w:r w:rsidRPr="00B40BB0">
        <w:rPr>
          <w:rFonts w:cstheme="minorHAnsi"/>
          <w:lang w:val="fr-CH"/>
        </w:rPr>
        <w:tab/>
        <w:t>Réseau associat</w:t>
      </w:r>
      <w:r w:rsidR="007007BF" w:rsidRPr="00B40BB0">
        <w:rPr>
          <w:rFonts w:cstheme="minorHAnsi"/>
          <w:lang w:val="fr-CH"/>
        </w:rPr>
        <w:t>i</w:t>
      </w:r>
      <w:r w:rsidR="00546EB3" w:rsidRPr="00B40BB0">
        <w:rPr>
          <w:rFonts w:cstheme="minorHAnsi"/>
          <w:lang w:val="fr-CH"/>
        </w:rPr>
        <w:t>f des c</w:t>
      </w:r>
      <w:r w:rsidRPr="00B40BB0">
        <w:rPr>
          <w:rFonts w:cstheme="minorHAnsi"/>
          <w:lang w:val="fr-CH"/>
        </w:rPr>
        <w:t>onsommateurs d</w:t>
      </w:r>
      <w:r w:rsidR="00387A04" w:rsidRPr="00B40BB0">
        <w:rPr>
          <w:rFonts w:cstheme="minorHAnsi"/>
          <w:lang w:val="fr-CH"/>
        </w:rPr>
        <w:t>e</w:t>
      </w:r>
      <w:r w:rsidRPr="00B40BB0">
        <w:rPr>
          <w:rFonts w:cstheme="minorHAnsi"/>
          <w:lang w:val="fr-CH"/>
        </w:rPr>
        <w:t xml:space="preserve"> l'énérgie of Cameroon</w:t>
      </w:r>
    </w:p>
    <w:p w14:paraId="747DEF62" w14:textId="77777777" w:rsidR="004F0DA1" w:rsidRPr="004737C5" w:rsidRDefault="004F0DA1" w:rsidP="006D3BE8">
      <w:pPr>
        <w:spacing w:after="0"/>
        <w:rPr>
          <w:rFonts w:cstheme="minorHAnsi"/>
        </w:rPr>
      </w:pPr>
      <w:r w:rsidRPr="004737C5">
        <w:rPr>
          <w:rFonts w:cstheme="minorHAnsi"/>
        </w:rPr>
        <w:t>RAPEX</w:t>
      </w:r>
      <w:r w:rsidRPr="004737C5">
        <w:rPr>
          <w:rFonts w:cstheme="minorHAnsi"/>
        </w:rPr>
        <w:tab/>
      </w:r>
      <w:r w:rsidRPr="004737C5">
        <w:rPr>
          <w:rFonts w:cstheme="minorHAnsi"/>
        </w:rPr>
        <w:tab/>
        <w:t>Rapid Exchange of Information System of the European Union</w:t>
      </w:r>
    </w:p>
    <w:p w14:paraId="1E55885A" w14:textId="77777777" w:rsidR="004F0DA1" w:rsidRPr="004737C5" w:rsidRDefault="004F0DA1" w:rsidP="006D3BE8">
      <w:pPr>
        <w:spacing w:after="0"/>
        <w:rPr>
          <w:rFonts w:cstheme="minorHAnsi"/>
        </w:rPr>
      </w:pPr>
      <w:r w:rsidRPr="004737C5">
        <w:rPr>
          <w:rFonts w:cstheme="minorHAnsi"/>
        </w:rPr>
        <w:t xml:space="preserve">RASSF </w:t>
      </w:r>
      <w:r w:rsidRPr="004737C5">
        <w:rPr>
          <w:rFonts w:cstheme="minorHAnsi"/>
        </w:rPr>
        <w:tab/>
      </w:r>
      <w:r w:rsidRPr="004737C5">
        <w:rPr>
          <w:rFonts w:cstheme="minorHAnsi"/>
        </w:rPr>
        <w:tab/>
        <w:t>Food and Feed Safety Alerts of the European Union</w:t>
      </w:r>
    </w:p>
    <w:p w14:paraId="58F3A555" w14:textId="51FA6D74" w:rsidR="00880BCD" w:rsidRPr="004737C5" w:rsidRDefault="00880BCD" w:rsidP="00880BCD">
      <w:pPr>
        <w:spacing w:after="0"/>
        <w:rPr>
          <w:rFonts w:cstheme="minorHAnsi"/>
        </w:rPr>
      </w:pPr>
      <w:r w:rsidRPr="004737C5">
        <w:rPr>
          <w:rFonts w:cstheme="minorHAnsi"/>
        </w:rPr>
        <w:t>RBT</w:t>
      </w:r>
      <w:r w:rsidRPr="004737C5">
        <w:rPr>
          <w:rFonts w:cstheme="minorHAnsi"/>
        </w:rPr>
        <w:tab/>
      </w:r>
      <w:r w:rsidRPr="004737C5">
        <w:rPr>
          <w:rFonts w:cstheme="minorHAnsi"/>
        </w:rPr>
        <w:tab/>
        <w:t xml:space="preserve">rising block tariff </w:t>
      </w:r>
    </w:p>
    <w:p w14:paraId="525CA103" w14:textId="563F6432" w:rsidR="004F0DA1" w:rsidRPr="004737C5" w:rsidRDefault="00484284" w:rsidP="006D3BE8">
      <w:pPr>
        <w:spacing w:after="0"/>
        <w:rPr>
          <w:rFonts w:cstheme="minorHAnsi"/>
        </w:rPr>
      </w:pPr>
      <w:r w:rsidRPr="004737C5">
        <w:rPr>
          <w:rFonts w:cstheme="minorHAnsi"/>
        </w:rPr>
        <w:t>RTA</w:t>
      </w:r>
      <w:r w:rsidRPr="004737C5">
        <w:rPr>
          <w:rFonts w:cstheme="minorHAnsi"/>
        </w:rPr>
        <w:tab/>
      </w:r>
      <w:r w:rsidRPr="004737C5">
        <w:rPr>
          <w:rFonts w:cstheme="minorHAnsi"/>
        </w:rPr>
        <w:tab/>
        <w:t>r</w:t>
      </w:r>
      <w:r w:rsidR="004F0DA1" w:rsidRPr="004737C5">
        <w:rPr>
          <w:rFonts w:cstheme="minorHAnsi"/>
        </w:rPr>
        <w:t>egional trade agreement</w:t>
      </w:r>
    </w:p>
    <w:p w14:paraId="4699D265" w14:textId="77777777" w:rsidR="004F0DA1" w:rsidRPr="004737C5" w:rsidRDefault="004F0DA1" w:rsidP="006D3BE8">
      <w:pPr>
        <w:spacing w:after="0"/>
        <w:rPr>
          <w:rFonts w:cstheme="minorHAnsi"/>
        </w:rPr>
      </w:pPr>
      <w:r w:rsidRPr="004737C5">
        <w:rPr>
          <w:rFonts w:cstheme="minorHAnsi"/>
        </w:rPr>
        <w:t>SDGs</w:t>
      </w:r>
      <w:r w:rsidRPr="004737C5">
        <w:rPr>
          <w:rFonts w:cstheme="minorHAnsi"/>
        </w:rPr>
        <w:tab/>
      </w:r>
      <w:r w:rsidRPr="004737C5">
        <w:rPr>
          <w:rFonts w:cstheme="minorHAnsi"/>
        </w:rPr>
        <w:tab/>
        <w:t>Sustainable Development Goals</w:t>
      </w:r>
    </w:p>
    <w:p w14:paraId="16295286" w14:textId="0260FF1F" w:rsidR="004F0DA1" w:rsidRPr="004737C5" w:rsidRDefault="004F0DA1" w:rsidP="006D3BE8">
      <w:pPr>
        <w:spacing w:after="0"/>
        <w:rPr>
          <w:rFonts w:cstheme="minorHAnsi"/>
        </w:rPr>
      </w:pPr>
      <w:r w:rsidRPr="004737C5">
        <w:rPr>
          <w:rFonts w:cstheme="minorHAnsi"/>
        </w:rPr>
        <w:t xml:space="preserve">SENACON </w:t>
      </w:r>
      <w:r w:rsidRPr="004737C5">
        <w:rPr>
          <w:rFonts w:cstheme="minorHAnsi"/>
        </w:rPr>
        <w:tab/>
        <w:t>Secretaria Nacional do Consumidor of Brazil</w:t>
      </w:r>
    </w:p>
    <w:p w14:paraId="6B9B809A" w14:textId="0E67EDF5" w:rsidR="002D402E" w:rsidRPr="004737C5" w:rsidRDefault="002D402E" w:rsidP="006D3BE8">
      <w:pPr>
        <w:spacing w:after="0"/>
        <w:rPr>
          <w:rFonts w:cstheme="minorHAnsi"/>
        </w:rPr>
      </w:pPr>
      <w:r w:rsidRPr="004737C5">
        <w:rPr>
          <w:rFonts w:cstheme="minorHAnsi"/>
        </w:rPr>
        <w:t xml:space="preserve">SGEI </w:t>
      </w:r>
      <w:r w:rsidRPr="004737C5">
        <w:rPr>
          <w:rFonts w:cstheme="minorHAnsi"/>
        </w:rPr>
        <w:tab/>
      </w:r>
      <w:r w:rsidRPr="004737C5">
        <w:rPr>
          <w:rFonts w:cstheme="minorHAnsi"/>
        </w:rPr>
        <w:tab/>
        <w:t>service of general economic interest</w:t>
      </w:r>
    </w:p>
    <w:p w14:paraId="5E27F18C" w14:textId="1AF2B1CB" w:rsidR="004A78BD" w:rsidRPr="004737C5" w:rsidRDefault="004A78BD" w:rsidP="006D3BE8">
      <w:pPr>
        <w:spacing w:after="0"/>
        <w:rPr>
          <w:rFonts w:cstheme="minorHAnsi"/>
        </w:rPr>
      </w:pPr>
      <w:r w:rsidRPr="004737C5">
        <w:rPr>
          <w:rFonts w:cstheme="minorHAnsi"/>
        </w:rPr>
        <w:t>SHG</w:t>
      </w:r>
      <w:r w:rsidRPr="004737C5">
        <w:rPr>
          <w:rFonts w:cstheme="minorHAnsi"/>
        </w:rPr>
        <w:tab/>
      </w:r>
      <w:r w:rsidRPr="004737C5">
        <w:rPr>
          <w:rFonts w:cstheme="minorHAnsi"/>
        </w:rPr>
        <w:tab/>
        <w:t>second-hand goods</w:t>
      </w:r>
    </w:p>
    <w:p w14:paraId="4A4F8C63" w14:textId="28A0F85C" w:rsidR="004F0DA1" w:rsidRPr="004737C5" w:rsidRDefault="004F0DA1" w:rsidP="006D3BE8">
      <w:pPr>
        <w:spacing w:after="0"/>
        <w:rPr>
          <w:rFonts w:cstheme="minorHAnsi"/>
        </w:rPr>
      </w:pPr>
      <w:r w:rsidRPr="004737C5">
        <w:rPr>
          <w:rFonts w:cstheme="minorHAnsi"/>
        </w:rPr>
        <w:t xml:space="preserve">SIAR </w:t>
      </w:r>
      <w:r w:rsidRPr="004737C5">
        <w:rPr>
          <w:rFonts w:cstheme="minorHAnsi"/>
        </w:rPr>
        <w:tab/>
      </w:r>
      <w:r w:rsidRPr="004737C5">
        <w:rPr>
          <w:rFonts w:cstheme="minorHAnsi"/>
        </w:rPr>
        <w:tab/>
        <w:t>Inter-American Rapid Alert System of the Organization of American States</w:t>
      </w:r>
    </w:p>
    <w:p w14:paraId="4264A84E" w14:textId="7C47E40C" w:rsidR="004A78BD" w:rsidRPr="004737C5" w:rsidRDefault="004A78BD" w:rsidP="006D3BE8">
      <w:pPr>
        <w:spacing w:after="0"/>
        <w:rPr>
          <w:rFonts w:cstheme="minorHAnsi"/>
        </w:rPr>
      </w:pPr>
      <w:r w:rsidRPr="004737C5">
        <w:rPr>
          <w:rFonts w:cstheme="minorHAnsi"/>
        </w:rPr>
        <w:t>SIECA</w:t>
      </w:r>
      <w:r w:rsidRPr="004737C5">
        <w:rPr>
          <w:rFonts w:cstheme="minorHAnsi"/>
        </w:rPr>
        <w:tab/>
      </w:r>
      <w:r w:rsidRPr="004737C5">
        <w:rPr>
          <w:rFonts w:cstheme="minorHAnsi"/>
        </w:rPr>
        <w:tab/>
        <w:t xml:space="preserve">Secretary of Economic Integration of Central America </w:t>
      </w:r>
    </w:p>
    <w:p w14:paraId="6D049B3D" w14:textId="7B58758F" w:rsidR="002D402E" w:rsidRPr="004737C5" w:rsidRDefault="002D402E" w:rsidP="006D3BE8">
      <w:pPr>
        <w:spacing w:after="0"/>
        <w:rPr>
          <w:rFonts w:cstheme="minorHAnsi"/>
        </w:rPr>
      </w:pPr>
      <w:r w:rsidRPr="004737C5">
        <w:rPr>
          <w:rFonts w:cstheme="minorHAnsi"/>
        </w:rPr>
        <w:t xml:space="preserve">SSIP </w:t>
      </w:r>
      <w:r w:rsidRPr="004737C5">
        <w:rPr>
          <w:rFonts w:cstheme="minorHAnsi"/>
        </w:rPr>
        <w:tab/>
      </w:r>
      <w:r w:rsidRPr="004737C5">
        <w:rPr>
          <w:rFonts w:cstheme="minorHAnsi"/>
        </w:rPr>
        <w:tab/>
        <w:t>small-scale independent provider</w:t>
      </w:r>
    </w:p>
    <w:p w14:paraId="36646E9F" w14:textId="09B55C6B" w:rsidR="00F37A69" w:rsidRPr="004737C5" w:rsidRDefault="00F37A69" w:rsidP="006D3BE8">
      <w:pPr>
        <w:spacing w:after="0"/>
        <w:ind w:left="1440" w:hanging="1440"/>
        <w:jc w:val="left"/>
        <w:rPr>
          <w:rFonts w:cstheme="minorHAnsi"/>
        </w:rPr>
      </w:pPr>
      <w:r w:rsidRPr="004737C5">
        <w:rPr>
          <w:rFonts w:cstheme="minorHAnsi"/>
        </w:rPr>
        <w:t xml:space="preserve">TPM </w:t>
      </w:r>
      <w:r w:rsidRPr="004737C5">
        <w:rPr>
          <w:rFonts w:cstheme="minorHAnsi"/>
        </w:rPr>
        <w:tab/>
        <w:t>technological protection measure</w:t>
      </w:r>
    </w:p>
    <w:p w14:paraId="0DA720C8" w14:textId="23D8AC04" w:rsidR="00F37A69" w:rsidRPr="004737C5" w:rsidRDefault="00F37A69" w:rsidP="006D3BE8">
      <w:pPr>
        <w:spacing w:after="0"/>
        <w:ind w:left="1440" w:hanging="1440"/>
        <w:jc w:val="left"/>
        <w:rPr>
          <w:rFonts w:cstheme="minorHAnsi"/>
        </w:rPr>
      </w:pPr>
      <w:r w:rsidRPr="004737C5">
        <w:rPr>
          <w:rFonts w:cstheme="minorHAnsi"/>
        </w:rPr>
        <w:t>TPP</w:t>
      </w:r>
      <w:r w:rsidRPr="004737C5">
        <w:rPr>
          <w:rFonts w:cstheme="minorHAnsi"/>
        </w:rPr>
        <w:tab/>
        <w:t>Trans-Pacific Partnership</w:t>
      </w:r>
    </w:p>
    <w:p w14:paraId="15DFFCB4" w14:textId="77777777" w:rsidR="004F0DA1" w:rsidRPr="004737C5" w:rsidRDefault="004F0DA1" w:rsidP="006D3BE8">
      <w:pPr>
        <w:spacing w:after="0"/>
        <w:ind w:left="1440" w:hanging="1440"/>
        <w:jc w:val="left"/>
        <w:rPr>
          <w:rFonts w:cstheme="minorHAnsi"/>
        </w:rPr>
      </w:pPr>
      <w:r w:rsidRPr="004737C5">
        <w:rPr>
          <w:rFonts w:cstheme="minorHAnsi"/>
        </w:rPr>
        <w:t>TRIPS</w:t>
      </w:r>
      <w:r w:rsidRPr="004737C5">
        <w:rPr>
          <w:rFonts w:cstheme="minorHAnsi"/>
        </w:rPr>
        <w:tab/>
        <w:t>Agreement on Trade-Related Aspects of Intellectual Property Rights</w:t>
      </w:r>
      <w:r w:rsidR="00387A04" w:rsidRPr="004737C5">
        <w:rPr>
          <w:rFonts w:cstheme="minorHAnsi"/>
        </w:rPr>
        <w:t xml:space="preserve"> </w:t>
      </w:r>
      <w:r w:rsidR="00484284" w:rsidRPr="004737C5">
        <w:rPr>
          <w:rFonts w:cstheme="minorHAnsi"/>
        </w:rPr>
        <w:t xml:space="preserve">of the World Trade Organization </w:t>
      </w:r>
    </w:p>
    <w:p w14:paraId="4CEE36C5" w14:textId="68FAC630" w:rsidR="00904CD2" w:rsidRPr="004737C5" w:rsidRDefault="00904CD2" w:rsidP="006D3BE8">
      <w:pPr>
        <w:spacing w:after="0"/>
        <w:rPr>
          <w:rFonts w:cstheme="minorHAnsi"/>
        </w:rPr>
      </w:pPr>
      <w:r w:rsidRPr="004737C5">
        <w:rPr>
          <w:rFonts w:cstheme="minorHAnsi"/>
        </w:rPr>
        <w:t>TTIP</w:t>
      </w:r>
      <w:r w:rsidRPr="004737C5">
        <w:rPr>
          <w:rFonts w:cstheme="minorHAnsi"/>
        </w:rPr>
        <w:tab/>
      </w:r>
      <w:r w:rsidRPr="004737C5">
        <w:rPr>
          <w:rFonts w:cstheme="minorHAnsi"/>
        </w:rPr>
        <w:tab/>
        <w:t>Trans-Atlantic Trade and Investment Partnership</w:t>
      </w:r>
    </w:p>
    <w:p w14:paraId="779208DC" w14:textId="7DD0A804" w:rsidR="002D402E" w:rsidRPr="004737C5" w:rsidRDefault="002D402E" w:rsidP="006D3BE8">
      <w:pPr>
        <w:spacing w:after="0"/>
        <w:rPr>
          <w:rFonts w:cstheme="minorHAnsi"/>
        </w:rPr>
      </w:pPr>
      <w:r w:rsidRPr="004737C5">
        <w:rPr>
          <w:rFonts w:cstheme="minorHAnsi"/>
        </w:rPr>
        <w:t xml:space="preserve">UNCITRAL </w:t>
      </w:r>
      <w:r w:rsidRPr="004737C5">
        <w:rPr>
          <w:rFonts w:cstheme="minorHAnsi"/>
        </w:rPr>
        <w:tab/>
        <w:t xml:space="preserve">United Nations Commission on International Trade Law </w:t>
      </w:r>
    </w:p>
    <w:p w14:paraId="69B7F1F0" w14:textId="77777777" w:rsidR="004F0DA1" w:rsidRPr="004737C5" w:rsidRDefault="004F0DA1" w:rsidP="006D3BE8">
      <w:pPr>
        <w:spacing w:after="0"/>
        <w:rPr>
          <w:rFonts w:cstheme="minorHAnsi"/>
        </w:rPr>
      </w:pPr>
      <w:r w:rsidRPr="004737C5">
        <w:rPr>
          <w:rFonts w:cstheme="minorHAnsi"/>
        </w:rPr>
        <w:t>UNCTAD</w:t>
      </w:r>
      <w:r w:rsidRPr="004737C5">
        <w:rPr>
          <w:rFonts w:cstheme="minorHAnsi"/>
        </w:rPr>
        <w:tab/>
        <w:t>United Nations Conference on Trade and Development</w:t>
      </w:r>
    </w:p>
    <w:p w14:paraId="50C9843D" w14:textId="3B77FF74" w:rsidR="004F0DA1" w:rsidRPr="004737C5" w:rsidRDefault="004F0DA1" w:rsidP="006D3BE8">
      <w:pPr>
        <w:spacing w:after="0"/>
        <w:rPr>
          <w:rFonts w:cstheme="minorHAnsi"/>
        </w:rPr>
      </w:pPr>
      <w:r w:rsidRPr="004737C5">
        <w:rPr>
          <w:rFonts w:cstheme="minorHAnsi"/>
        </w:rPr>
        <w:t>UNGCP</w:t>
      </w:r>
      <w:r w:rsidRPr="004737C5">
        <w:rPr>
          <w:rFonts w:cstheme="minorHAnsi"/>
        </w:rPr>
        <w:tab/>
      </w:r>
      <w:r w:rsidRPr="004737C5">
        <w:rPr>
          <w:rFonts w:cstheme="minorHAnsi"/>
        </w:rPr>
        <w:tab/>
        <w:t>United Nations Guidelines for Consumer Protection</w:t>
      </w:r>
    </w:p>
    <w:p w14:paraId="058FC908" w14:textId="64579A49" w:rsidR="00570703" w:rsidRPr="004737C5" w:rsidRDefault="00570703" w:rsidP="006D3BE8">
      <w:pPr>
        <w:spacing w:after="0"/>
        <w:rPr>
          <w:rFonts w:cstheme="minorHAnsi"/>
        </w:rPr>
      </w:pPr>
      <w:r w:rsidRPr="004737C5">
        <w:rPr>
          <w:rFonts w:cstheme="minorHAnsi"/>
        </w:rPr>
        <w:t>UNICEF</w:t>
      </w:r>
      <w:r w:rsidRPr="004737C5">
        <w:rPr>
          <w:rFonts w:cstheme="minorHAnsi"/>
        </w:rPr>
        <w:tab/>
      </w:r>
      <w:r w:rsidRPr="004737C5">
        <w:rPr>
          <w:rFonts w:cstheme="minorHAnsi"/>
        </w:rPr>
        <w:tab/>
        <w:t>United Nations Children's Fund</w:t>
      </w:r>
    </w:p>
    <w:p w14:paraId="68DA7F9B" w14:textId="77777777" w:rsidR="00904CD2" w:rsidRPr="004737C5" w:rsidRDefault="00904CD2" w:rsidP="006D3BE8">
      <w:pPr>
        <w:spacing w:after="0"/>
        <w:rPr>
          <w:rFonts w:cstheme="minorHAnsi"/>
        </w:rPr>
      </w:pPr>
      <w:r w:rsidRPr="004737C5">
        <w:rPr>
          <w:rFonts w:cstheme="minorHAnsi"/>
        </w:rPr>
        <w:t>WHO</w:t>
      </w:r>
      <w:r w:rsidRPr="004737C5">
        <w:rPr>
          <w:rFonts w:cstheme="minorHAnsi"/>
        </w:rPr>
        <w:tab/>
      </w:r>
      <w:r w:rsidRPr="004737C5">
        <w:rPr>
          <w:rFonts w:cstheme="minorHAnsi"/>
        </w:rPr>
        <w:tab/>
        <w:t>World Health Organization</w:t>
      </w:r>
    </w:p>
    <w:p w14:paraId="215E5126" w14:textId="77777777" w:rsidR="004F0DA1" w:rsidRPr="004737C5" w:rsidRDefault="004F0DA1" w:rsidP="006D3BE8">
      <w:pPr>
        <w:spacing w:after="0"/>
        <w:jc w:val="left"/>
        <w:rPr>
          <w:rFonts w:cstheme="minorHAnsi"/>
        </w:rPr>
      </w:pPr>
      <w:r w:rsidRPr="004737C5">
        <w:rPr>
          <w:rFonts w:cstheme="minorHAnsi"/>
        </w:rPr>
        <w:t>WTO</w:t>
      </w:r>
      <w:r w:rsidRPr="004737C5">
        <w:rPr>
          <w:rFonts w:cstheme="minorHAnsi"/>
        </w:rPr>
        <w:tab/>
      </w:r>
      <w:r w:rsidRPr="004737C5">
        <w:rPr>
          <w:rFonts w:cstheme="minorHAnsi"/>
        </w:rPr>
        <w:tab/>
        <w:t>World Trade Organization</w:t>
      </w:r>
    </w:p>
    <w:p w14:paraId="3A5BF19A" w14:textId="77777777" w:rsidR="00BE71E3" w:rsidRPr="004737C5" w:rsidRDefault="00BE71E3" w:rsidP="006D3BE8">
      <w:pPr>
        <w:spacing w:after="0"/>
        <w:rPr>
          <w:rFonts w:cstheme="minorHAnsi"/>
        </w:rPr>
      </w:pPr>
    </w:p>
    <w:p w14:paraId="74506FC4" w14:textId="77777777" w:rsidR="00BE71E3" w:rsidRPr="004737C5" w:rsidRDefault="00BE71E3" w:rsidP="006D3BE8">
      <w:pPr>
        <w:jc w:val="left"/>
        <w:rPr>
          <w:rFonts w:eastAsia="Times New Roman" w:cstheme="minorHAnsi"/>
          <w:b/>
          <w:bCs/>
          <w:caps/>
          <w:sz w:val="24"/>
          <w:szCs w:val="20"/>
        </w:rPr>
      </w:pPr>
    </w:p>
    <w:p w14:paraId="4CDCB5B4" w14:textId="77777777" w:rsidR="002E652F" w:rsidRPr="004737C5" w:rsidRDefault="004F0DA1" w:rsidP="006D3BE8">
      <w:pPr>
        <w:jc w:val="left"/>
        <w:rPr>
          <w:rFonts w:cstheme="minorHAnsi"/>
        </w:rPr>
        <w:sectPr w:rsidR="002E652F" w:rsidRPr="004737C5" w:rsidSect="005B4E96">
          <w:footerReference w:type="default" r:id="rId10"/>
          <w:pgSz w:w="11906" w:h="16838" w:code="9"/>
          <w:pgMar w:top="1440" w:right="1440" w:bottom="1440" w:left="1440" w:header="0" w:footer="720" w:gutter="0"/>
          <w:pgNumType w:fmt="lowerRoman"/>
          <w:cols w:space="720"/>
          <w:formProt w:val="0"/>
          <w:titlePg/>
          <w:docGrid w:linePitch="299" w:charSpace="8192"/>
        </w:sectPr>
      </w:pPr>
      <w:r w:rsidRPr="004737C5">
        <w:rPr>
          <w:rFonts w:cstheme="minorHAnsi"/>
        </w:rPr>
        <w:br w:type="page"/>
      </w:r>
    </w:p>
    <w:p w14:paraId="4A338BD6" w14:textId="77777777" w:rsidR="00D8547F" w:rsidRPr="004737C5" w:rsidRDefault="00D8547F" w:rsidP="006D3BE8">
      <w:pPr>
        <w:pStyle w:val="Heading1"/>
        <w:spacing w:after="240"/>
        <w:rPr>
          <w:rFonts w:asciiTheme="minorHAnsi" w:hAnsiTheme="minorHAnsi" w:cstheme="minorHAnsi"/>
        </w:rPr>
      </w:pPr>
    </w:p>
    <w:p w14:paraId="36887B97" w14:textId="77777777" w:rsidR="00D8547F" w:rsidRPr="004737C5" w:rsidRDefault="00D8547F" w:rsidP="006D3BE8">
      <w:pPr>
        <w:pStyle w:val="Heading1"/>
        <w:spacing w:after="240"/>
        <w:rPr>
          <w:rFonts w:asciiTheme="minorHAnsi" w:hAnsiTheme="minorHAnsi" w:cstheme="minorHAnsi"/>
        </w:rPr>
      </w:pPr>
    </w:p>
    <w:p w14:paraId="2CFA2A72" w14:textId="77777777" w:rsidR="00D8547F" w:rsidRPr="004737C5" w:rsidRDefault="00D8547F" w:rsidP="006D3BE8">
      <w:pPr>
        <w:pStyle w:val="Heading1"/>
        <w:spacing w:after="240"/>
        <w:rPr>
          <w:rFonts w:asciiTheme="minorHAnsi" w:hAnsiTheme="minorHAnsi" w:cstheme="minorHAnsi"/>
        </w:rPr>
      </w:pPr>
    </w:p>
    <w:p w14:paraId="143B220C" w14:textId="77777777" w:rsidR="00D8547F" w:rsidRPr="004737C5" w:rsidRDefault="00D8547F" w:rsidP="006D3BE8">
      <w:pPr>
        <w:pStyle w:val="Heading1"/>
        <w:spacing w:after="240"/>
        <w:rPr>
          <w:rFonts w:asciiTheme="minorHAnsi" w:hAnsiTheme="minorHAnsi" w:cstheme="minorHAnsi"/>
        </w:rPr>
      </w:pPr>
    </w:p>
    <w:p w14:paraId="3B95D68A" w14:textId="77777777" w:rsidR="00D8547F" w:rsidRPr="004737C5" w:rsidRDefault="00D8547F" w:rsidP="006D3BE8">
      <w:pPr>
        <w:pStyle w:val="Heading1"/>
        <w:spacing w:after="240"/>
        <w:rPr>
          <w:rFonts w:asciiTheme="minorHAnsi" w:hAnsiTheme="minorHAnsi" w:cstheme="minorHAnsi"/>
        </w:rPr>
      </w:pPr>
    </w:p>
    <w:p w14:paraId="7E543E1A" w14:textId="77777777" w:rsidR="00D8547F" w:rsidRPr="004737C5" w:rsidRDefault="00D8547F" w:rsidP="006D3BE8">
      <w:pPr>
        <w:pStyle w:val="Heading1"/>
        <w:spacing w:after="240"/>
        <w:rPr>
          <w:rFonts w:asciiTheme="minorHAnsi" w:hAnsiTheme="minorHAnsi" w:cstheme="minorHAnsi"/>
        </w:rPr>
      </w:pPr>
    </w:p>
    <w:p w14:paraId="00DF60B6" w14:textId="77777777" w:rsidR="00D8547F" w:rsidRPr="004737C5" w:rsidRDefault="00D8547F" w:rsidP="006D3BE8">
      <w:pPr>
        <w:pStyle w:val="Heading1"/>
        <w:spacing w:after="240"/>
        <w:rPr>
          <w:rFonts w:asciiTheme="minorHAnsi" w:hAnsiTheme="minorHAnsi" w:cstheme="minorHAnsi"/>
        </w:rPr>
      </w:pPr>
    </w:p>
    <w:p w14:paraId="148DE3F0" w14:textId="77777777" w:rsidR="00D8547F" w:rsidRPr="004737C5" w:rsidRDefault="00D8547F" w:rsidP="006D3BE8">
      <w:pPr>
        <w:pStyle w:val="Heading1"/>
        <w:spacing w:after="240"/>
        <w:rPr>
          <w:rFonts w:asciiTheme="minorHAnsi" w:hAnsiTheme="minorHAnsi" w:cstheme="minorHAnsi"/>
        </w:rPr>
      </w:pPr>
    </w:p>
    <w:p w14:paraId="226E1C0C" w14:textId="77777777" w:rsidR="00D8547F" w:rsidRPr="004737C5" w:rsidRDefault="00D8547F" w:rsidP="006D3BE8">
      <w:pPr>
        <w:pStyle w:val="Heading1"/>
        <w:spacing w:after="240"/>
        <w:rPr>
          <w:rFonts w:asciiTheme="minorHAnsi" w:hAnsiTheme="minorHAnsi" w:cstheme="minorHAnsi"/>
        </w:rPr>
      </w:pPr>
    </w:p>
    <w:p w14:paraId="4F2D9EDF" w14:textId="77777777" w:rsidR="00555140" w:rsidRPr="004737C5" w:rsidRDefault="00D8547F" w:rsidP="006D3BE8">
      <w:pPr>
        <w:jc w:val="center"/>
        <w:rPr>
          <w:b/>
          <w:sz w:val="34"/>
          <w:szCs w:val="34"/>
        </w:rPr>
      </w:pPr>
      <w:bookmarkStart w:id="6" w:name="_Toc492649960"/>
      <w:r w:rsidRPr="004737C5">
        <w:rPr>
          <w:b/>
          <w:sz w:val="34"/>
          <w:szCs w:val="34"/>
        </w:rPr>
        <w:t>P</w:t>
      </w:r>
      <w:r w:rsidR="00555140" w:rsidRPr="004737C5">
        <w:rPr>
          <w:b/>
          <w:sz w:val="34"/>
          <w:szCs w:val="34"/>
        </w:rPr>
        <w:t>art one</w:t>
      </w:r>
    </w:p>
    <w:p w14:paraId="2434B5A4" w14:textId="77777777" w:rsidR="00D8547F" w:rsidRPr="004737C5" w:rsidRDefault="00D8547F" w:rsidP="006D3BE8">
      <w:pPr>
        <w:jc w:val="center"/>
        <w:rPr>
          <w:b/>
          <w:sz w:val="34"/>
          <w:szCs w:val="34"/>
        </w:rPr>
      </w:pPr>
      <w:r w:rsidRPr="004737C5">
        <w:rPr>
          <w:b/>
          <w:sz w:val="34"/>
          <w:szCs w:val="34"/>
        </w:rPr>
        <w:t xml:space="preserve">A </w:t>
      </w:r>
      <w:r w:rsidR="00555140" w:rsidRPr="004737C5">
        <w:rPr>
          <w:b/>
          <w:sz w:val="34"/>
          <w:szCs w:val="34"/>
        </w:rPr>
        <w:t>consumer protection system</w:t>
      </w:r>
      <w:bookmarkEnd w:id="6"/>
    </w:p>
    <w:p w14:paraId="15292C3F" w14:textId="77777777" w:rsidR="00D8547F" w:rsidRPr="004737C5" w:rsidRDefault="00D8547F" w:rsidP="006D3BE8">
      <w:pPr>
        <w:jc w:val="left"/>
        <w:rPr>
          <w:rFonts w:eastAsia="Times New Roman" w:cstheme="minorHAnsi"/>
          <w:b/>
          <w:bCs/>
          <w:caps/>
          <w:sz w:val="24"/>
          <w:szCs w:val="20"/>
        </w:rPr>
      </w:pPr>
      <w:r w:rsidRPr="004737C5">
        <w:rPr>
          <w:rFonts w:cstheme="minorHAnsi"/>
        </w:rPr>
        <w:br w:type="page"/>
      </w:r>
    </w:p>
    <w:p w14:paraId="1549FF0F" w14:textId="77777777" w:rsidR="00843222" w:rsidRPr="004737C5" w:rsidRDefault="00555140" w:rsidP="006D3BE8">
      <w:pPr>
        <w:rPr>
          <w:b/>
          <w:sz w:val="28"/>
          <w:szCs w:val="28"/>
        </w:rPr>
      </w:pPr>
      <w:bookmarkStart w:id="7" w:name="_Toc492649961"/>
      <w:r w:rsidRPr="004737C5">
        <w:rPr>
          <w:b/>
          <w:sz w:val="28"/>
          <w:szCs w:val="28"/>
        </w:rPr>
        <w:lastRenderedPageBreak/>
        <w:t>I. Consumer protection: An o</w:t>
      </w:r>
      <w:r w:rsidR="00843222" w:rsidRPr="004737C5">
        <w:rPr>
          <w:b/>
          <w:sz w:val="28"/>
          <w:szCs w:val="28"/>
        </w:rPr>
        <w:t>verview</w:t>
      </w:r>
      <w:bookmarkEnd w:id="7"/>
    </w:p>
    <w:p w14:paraId="52CAA5CF" w14:textId="77777777" w:rsidR="004D505A" w:rsidRPr="004737C5" w:rsidRDefault="00C1423B" w:rsidP="00061B8C">
      <w:pPr>
        <w:pStyle w:val="Heading2"/>
        <w:spacing w:before="0" w:after="160"/>
        <w:rPr>
          <w:rFonts w:cstheme="minorHAnsi"/>
          <w:color w:val="auto"/>
          <w:sz w:val="24"/>
          <w:szCs w:val="24"/>
        </w:rPr>
      </w:pPr>
      <w:bookmarkStart w:id="8" w:name="_Toc492649962"/>
      <w:r w:rsidRPr="004737C5">
        <w:rPr>
          <w:rFonts w:cstheme="minorHAnsi"/>
          <w:color w:val="auto"/>
          <w:sz w:val="24"/>
          <w:szCs w:val="24"/>
        </w:rPr>
        <w:t xml:space="preserve">A. </w:t>
      </w:r>
      <w:r w:rsidR="00843222" w:rsidRPr="004737C5">
        <w:rPr>
          <w:rFonts w:cstheme="minorHAnsi"/>
          <w:color w:val="auto"/>
          <w:sz w:val="24"/>
          <w:szCs w:val="24"/>
        </w:rPr>
        <w:t>The rationale for consumer protection</w:t>
      </w:r>
      <w:bookmarkEnd w:id="8"/>
      <w:r w:rsidR="00843222" w:rsidRPr="004737C5">
        <w:rPr>
          <w:rFonts w:cstheme="minorHAnsi"/>
          <w:color w:val="auto"/>
          <w:sz w:val="24"/>
          <w:szCs w:val="24"/>
        </w:rPr>
        <w:tab/>
      </w:r>
    </w:p>
    <w:p w14:paraId="4347DB5A" w14:textId="0D83625E" w:rsidR="004D505A" w:rsidRPr="004737C5" w:rsidRDefault="00843222" w:rsidP="006D3BE8">
      <w:pPr>
        <w:rPr>
          <w:rFonts w:cstheme="minorHAnsi"/>
        </w:rPr>
      </w:pPr>
      <w:r w:rsidRPr="004737C5">
        <w:rPr>
          <w:rFonts w:cstheme="minorHAnsi"/>
        </w:rPr>
        <w:t xml:space="preserve">Consumer protection addresses </w:t>
      </w:r>
      <w:r w:rsidR="008A67A1" w:rsidRPr="004737C5">
        <w:rPr>
          <w:rFonts w:cstheme="minorHAnsi"/>
        </w:rPr>
        <w:t xml:space="preserve">intrinsic </w:t>
      </w:r>
      <w:r w:rsidRPr="004737C5">
        <w:rPr>
          <w:rFonts w:cstheme="minorHAnsi"/>
        </w:rPr>
        <w:t xml:space="preserve">disparities found in the consumer-supplier relationship, </w:t>
      </w:r>
      <w:r w:rsidR="00061B8C" w:rsidRPr="004737C5">
        <w:rPr>
          <w:rFonts w:cstheme="minorHAnsi"/>
        </w:rPr>
        <w:t>including</w:t>
      </w:r>
      <w:r w:rsidR="00461879" w:rsidRPr="004737C5">
        <w:rPr>
          <w:rFonts w:cstheme="minorHAnsi"/>
        </w:rPr>
        <w:t xml:space="preserve"> b</w:t>
      </w:r>
      <w:r w:rsidRPr="004737C5">
        <w:rPr>
          <w:rFonts w:cstheme="minorHAnsi"/>
        </w:rPr>
        <w:t>argaining power</w:t>
      </w:r>
      <w:r w:rsidR="00461879" w:rsidRPr="004737C5">
        <w:rPr>
          <w:rFonts w:cstheme="minorHAnsi"/>
        </w:rPr>
        <w:t>,</w:t>
      </w:r>
      <w:r w:rsidR="007007BF" w:rsidRPr="004737C5">
        <w:rPr>
          <w:rFonts w:cstheme="minorHAnsi"/>
        </w:rPr>
        <w:t xml:space="preserve"> </w:t>
      </w:r>
      <w:r w:rsidR="00461879" w:rsidRPr="004737C5">
        <w:rPr>
          <w:rFonts w:cstheme="minorHAnsi"/>
        </w:rPr>
        <w:t xml:space="preserve">knowledge and other resources. </w:t>
      </w:r>
    </w:p>
    <w:p w14:paraId="36B6EDC7" w14:textId="77777777" w:rsidR="00574175" w:rsidRPr="004737C5" w:rsidRDefault="00574175" w:rsidP="006D3BE8">
      <w:pPr>
        <w:pStyle w:val="BodyText"/>
        <w:spacing w:after="160"/>
        <w:rPr>
          <w:rFonts w:asciiTheme="minorHAnsi" w:hAnsiTheme="minorHAnsi" w:cstheme="minorHAnsi"/>
          <w:sz w:val="22"/>
          <w:szCs w:val="22"/>
        </w:rPr>
      </w:pPr>
      <w:r w:rsidRPr="004737C5">
        <w:rPr>
          <w:rFonts w:asciiTheme="minorHAnsi" w:hAnsiTheme="minorHAnsi" w:cstheme="minorHAnsi"/>
          <w:sz w:val="22"/>
          <w:szCs w:val="22"/>
        </w:rPr>
        <w:t>T</w:t>
      </w:r>
      <w:r w:rsidR="0092553A" w:rsidRPr="004737C5">
        <w:rPr>
          <w:rFonts w:asciiTheme="minorHAnsi" w:hAnsiTheme="minorHAnsi" w:cstheme="minorHAnsi"/>
          <w:sz w:val="22"/>
          <w:szCs w:val="22"/>
        </w:rPr>
        <w:t>o help correct such imbalances, t</w:t>
      </w:r>
      <w:r w:rsidRPr="004737C5">
        <w:rPr>
          <w:rFonts w:asciiTheme="minorHAnsi" w:hAnsiTheme="minorHAnsi" w:cstheme="minorHAnsi"/>
          <w:sz w:val="22"/>
          <w:szCs w:val="22"/>
        </w:rPr>
        <w:t>he modern</w:t>
      </w:r>
      <w:r w:rsidR="00484284" w:rsidRPr="004737C5">
        <w:rPr>
          <w:rFonts w:asciiTheme="minorHAnsi" w:hAnsiTheme="minorHAnsi" w:cstheme="minorHAnsi"/>
          <w:sz w:val="22"/>
          <w:szCs w:val="22"/>
        </w:rPr>
        <w:t>-</w:t>
      </w:r>
      <w:r w:rsidR="00C1423B" w:rsidRPr="004737C5">
        <w:rPr>
          <w:rFonts w:asciiTheme="minorHAnsi" w:hAnsiTheme="minorHAnsi" w:cstheme="minorHAnsi"/>
          <w:sz w:val="22"/>
          <w:szCs w:val="22"/>
        </w:rPr>
        <w:t>day</w:t>
      </w:r>
      <w:r w:rsidRPr="004737C5">
        <w:rPr>
          <w:rFonts w:asciiTheme="minorHAnsi" w:hAnsiTheme="minorHAnsi" w:cstheme="minorHAnsi"/>
          <w:sz w:val="22"/>
          <w:szCs w:val="22"/>
        </w:rPr>
        <w:t xml:space="preserve"> concept of the right to consumer protection was articulated in a landmark speech by President Kennedy on </w:t>
      </w:r>
      <w:r w:rsidR="00484284" w:rsidRPr="004737C5">
        <w:rPr>
          <w:rFonts w:asciiTheme="minorHAnsi" w:hAnsiTheme="minorHAnsi" w:cstheme="minorHAnsi"/>
          <w:sz w:val="22"/>
          <w:szCs w:val="22"/>
        </w:rPr>
        <w:t>15 March</w:t>
      </w:r>
      <w:r w:rsidRPr="004737C5">
        <w:rPr>
          <w:rFonts w:asciiTheme="minorHAnsi" w:hAnsiTheme="minorHAnsi" w:cstheme="minorHAnsi"/>
          <w:sz w:val="22"/>
          <w:szCs w:val="22"/>
        </w:rPr>
        <w:t xml:space="preserve"> 1962 in his </w:t>
      </w:r>
      <w:r w:rsidR="00FA1A36" w:rsidRPr="004737C5">
        <w:rPr>
          <w:rFonts w:asciiTheme="minorHAnsi" w:hAnsiTheme="minorHAnsi" w:cstheme="minorHAnsi"/>
          <w:sz w:val="22"/>
          <w:szCs w:val="22"/>
        </w:rPr>
        <w:t>“</w:t>
      </w:r>
      <w:r w:rsidR="005E0C7E" w:rsidRPr="004737C5">
        <w:rPr>
          <w:rFonts w:asciiTheme="minorHAnsi" w:hAnsiTheme="minorHAnsi" w:cstheme="minorHAnsi"/>
          <w:sz w:val="22"/>
          <w:szCs w:val="22"/>
        </w:rPr>
        <w:t>special m</w:t>
      </w:r>
      <w:r w:rsidRPr="004737C5">
        <w:rPr>
          <w:rFonts w:asciiTheme="minorHAnsi" w:hAnsiTheme="minorHAnsi" w:cstheme="minorHAnsi"/>
          <w:sz w:val="22"/>
          <w:szCs w:val="22"/>
        </w:rPr>
        <w:t>essage to the Congress of the United States</w:t>
      </w:r>
      <w:r w:rsidR="00007A5E" w:rsidRPr="004737C5">
        <w:rPr>
          <w:rFonts w:asciiTheme="minorHAnsi" w:hAnsiTheme="minorHAnsi" w:cstheme="minorHAnsi"/>
          <w:sz w:val="22"/>
          <w:szCs w:val="22"/>
        </w:rPr>
        <w:t xml:space="preserve"> of America</w:t>
      </w:r>
      <w:r w:rsidR="005E0C7E" w:rsidRPr="004737C5">
        <w:rPr>
          <w:rFonts w:asciiTheme="minorHAnsi" w:hAnsiTheme="minorHAnsi" w:cstheme="minorHAnsi"/>
          <w:sz w:val="22"/>
          <w:szCs w:val="22"/>
        </w:rPr>
        <w:t xml:space="preserve"> on protecting the c</w:t>
      </w:r>
      <w:r w:rsidRPr="004737C5">
        <w:rPr>
          <w:rFonts w:asciiTheme="minorHAnsi" w:hAnsiTheme="minorHAnsi" w:cstheme="minorHAnsi"/>
          <w:sz w:val="22"/>
          <w:szCs w:val="22"/>
        </w:rPr>
        <w:t>on</w:t>
      </w:r>
      <w:r w:rsidR="005E0C7E" w:rsidRPr="004737C5">
        <w:rPr>
          <w:rFonts w:asciiTheme="minorHAnsi" w:hAnsiTheme="minorHAnsi" w:cstheme="minorHAnsi"/>
          <w:sz w:val="22"/>
          <w:szCs w:val="22"/>
        </w:rPr>
        <w:t>sumer i</w:t>
      </w:r>
      <w:r w:rsidRPr="004737C5">
        <w:rPr>
          <w:rFonts w:asciiTheme="minorHAnsi" w:hAnsiTheme="minorHAnsi" w:cstheme="minorHAnsi"/>
          <w:sz w:val="22"/>
          <w:szCs w:val="22"/>
        </w:rPr>
        <w:t>nterest</w:t>
      </w:r>
      <w:r w:rsidR="00FA1A36" w:rsidRPr="004737C5">
        <w:rPr>
          <w:rFonts w:asciiTheme="minorHAnsi" w:hAnsiTheme="minorHAnsi" w:cstheme="minorHAnsi"/>
          <w:sz w:val="22"/>
          <w:szCs w:val="22"/>
        </w:rPr>
        <w:t>”</w:t>
      </w:r>
      <w:r w:rsidRPr="004737C5">
        <w:rPr>
          <w:rFonts w:asciiTheme="minorHAnsi" w:hAnsiTheme="minorHAnsi" w:cstheme="minorHAnsi"/>
          <w:sz w:val="22"/>
          <w:szCs w:val="22"/>
        </w:rPr>
        <w:t>. In</w:t>
      </w:r>
      <w:r w:rsidR="00484284" w:rsidRPr="004737C5">
        <w:rPr>
          <w:rFonts w:asciiTheme="minorHAnsi" w:hAnsiTheme="minorHAnsi" w:cstheme="minorHAnsi"/>
          <w:sz w:val="22"/>
          <w:szCs w:val="22"/>
        </w:rPr>
        <w:t xml:space="preserve"> his message, he state</w:t>
      </w:r>
      <w:r w:rsidRPr="004737C5">
        <w:rPr>
          <w:rFonts w:asciiTheme="minorHAnsi" w:hAnsiTheme="minorHAnsi" w:cstheme="minorHAnsi"/>
          <w:sz w:val="22"/>
          <w:szCs w:val="22"/>
        </w:rPr>
        <w:t>d that:</w:t>
      </w:r>
    </w:p>
    <w:p w14:paraId="22CCBC38" w14:textId="77777777" w:rsidR="00574175" w:rsidRPr="004737C5" w:rsidRDefault="00574175" w:rsidP="006D3BE8">
      <w:pPr>
        <w:pStyle w:val="BodyText"/>
        <w:spacing w:after="160"/>
        <w:ind w:left="567" w:right="567"/>
        <w:rPr>
          <w:rFonts w:asciiTheme="minorHAnsi" w:hAnsiTheme="minorHAnsi" w:cstheme="minorHAnsi"/>
          <w:sz w:val="22"/>
          <w:szCs w:val="22"/>
        </w:rPr>
      </w:pPr>
      <w:r w:rsidRPr="004737C5">
        <w:rPr>
          <w:rFonts w:asciiTheme="minorHAnsi" w:hAnsiTheme="minorHAnsi" w:cstheme="minorHAnsi"/>
          <w:iCs/>
          <w:sz w:val="22"/>
          <w:szCs w:val="22"/>
        </w:rPr>
        <w:t>Consumers</w:t>
      </w:r>
      <w:r w:rsidR="00484284" w:rsidRPr="004737C5">
        <w:rPr>
          <w:rFonts w:asciiTheme="minorHAnsi" w:hAnsiTheme="minorHAnsi" w:cstheme="minorHAnsi"/>
          <w:iCs/>
          <w:sz w:val="22"/>
          <w:szCs w:val="22"/>
        </w:rPr>
        <w:t>,</w:t>
      </w:r>
      <w:r w:rsidRPr="004737C5">
        <w:rPr>
          <w:rFonts w:asciiTheme="minorHAnsi" w:hAnsiTheme="minorHAnsi" w:cstheme="minorHAnsi"/>
          <w:iCs/>
          <w:sz w:val="22"/>
          <w:szCs w:val="22"/>
        </w:rPr>
        <w:t xml:space="preserve"> by definition, include us all. They are the largest economic group in the economy, affecting and affected by almost every public and</w:t>
      </w:r>
      <w:r w:rsidR="00484284" w:rsidRPr="004737C5">
        <w:rPr>
          <w:rFonts w:asciiTheme="minorHAnsi" w:hAnsiTheme="minorHAnsi" w:cstheme="minorHAnsi"/>
          <w:iCs/>
          <w:sz w:val="22"/>
          <w:szCs w:val="22"/>
        </w:rPr>
        <w:t xml:space="preserve"> private economic decision. Two </w:t>
      </w:r>
      <w:r w:rsidRPr="004737C5">
        <w:rPr>
          <w:rFonts w:asciiTheme="minorHAnsi" w:hAnsiTheme="minorHAnsi" w:cstheme="minorHAnsi"/>
          <w:iCs/>
          <w:sz w:val="22"/>
          <w:szCs w:val="22"/>
        </w:rPr>
        <w:t>thirds of all spending in the economy is by consumers. But they are the only important group in the economy who are not effectively organized, whose views are often not heard</w:t>
      </w:r>
      <w:r w:rsidR="00484284" w:rsidRPr="004737C5">
        <w:rPr>
          <w:rFonts w:asciiTheme="minorHAnsi" w:hAnsiTheme="minorHAnsi" w:cstheme="minorHAnsi"/>
          <w:iCs/>
          <w:sz w:val="22"/>
          <w:szCs w:val="22"/>
        </w:rPr>
        <w:t xml:space="preserve"> … </w:t>
      </w:r>
      <w:r w:rsidRPr="004737C5">
        <w:rPr>
          <w:rFonts w:asciiTheme="minorHAnsi" w:hAnsiTheme="minorHAnsi" w:cstheme="minorHAnsi"/>
          <w:sz w:val="22"/>
          <w:szCs w:val="22"/>
        </w:rPr>
        <w:t>We cannot afford waste in consumption any more than we can affo</w:t>
      </w:r>
      <w:r w:rsidR="00484284" w:rsidRPr="004737C5">
        <w:rPr>
          <w:rFonts w:asciiTheme="minorHAnsi" w:hAnsiTheme="minorHAnsi" w:cstheme="minorHAnsi"/>
          <w:sz w:val="22"/>
          <w:szCs w:val="22"/>
        </w:rPr>
        <w:t>rd inefficiency in business or g</w:t>
      </w:r>
      <w:r w:rsidRPr="004737C5">
        <w:rPr>
          <w:rFonts w:asciiTheme="minorHAnsi" w:hAnsiTheme="minorHAnsi" w:cstheme="minorHAnsi"/>
          <w:sz w:val="22"/>
          <w:szCs w:val="22"/>
        </w:rPr>
        <w:t>overnment. If consumers are offered inferior products, if prices are exorbitant, if drugs</w:t>
      </w:r>
      <w:r w:rsidR="00B52C07" w:rsidRPr="004737C5">
        <w:rPr>
          <w:rFonts w:asciiTheme="minorHAnsi" w:hAnsiTheme="minorHAnsi" w:cstheme="minorHAnsi"/>
          <w:sz w:val="22"/>
          <w:szCs w:val="22"/>
        </w:rPr>
        <w:t xml:space="preserve"> are unsafe or worthless, if</w:t>
      </w:r>
      <w:r w:rsidRPr="004737C5">
        <w:rPr>
          <w:rFonts w:asciiTheme="minorHAnsi" w:hAnsiTheme="minorHAnsi" w:cstheme="minorHAnsi"/>
          <w:sz w:val="22"/>
          <w:szCs w:val="22"/>
        </w:rPr>
        <w:t xml:space="preserve"> consumer</w:t>
      </w:r>
      <w:r w:rsidR="00B52C07" w:rsidRPr="004737C5">
        <w:rPr>
          <w:rFonts w:asciiTheme="minorHAnsi" w:hAnsiTheme="minorHAnsi" w:cstheme="minorHAnsi"/>
          <w:sz w:val="22"/>
          <w:szCs w:val="22"/>
        </w:rPr>
        <w:t>[s are]</w:t>
      </w:r>
      <w:r w:rsidRPr="004737C5">
        <w:rPr>
          <w:rFonts w:asciiTheme="minorHAnsi" w:hAnsiTheme="minorHAnsi" w:cstheme="minorHAnsi"/>
          <w:sz w:val="22"/>
          <w:szCs w:val="22"/>
        </w:rPr>
        <w:t xml:space="preserve"> unable to choose on an informed basis, then </w:t>
      </w:r>
      <w:r w:rsidR="00B52C07" w:rsidRPr="004737C5">
        <w:rPr>
          <w:rFonts w:asciiTheme="minorHAnsi" w:hAnsiTheme="minorHAnsi" w:cstheme="minorHAnsi"/>
          <w:sz w:val="22"/>
          <w:szCs w:val="22"/>
        </w:rPr>
        <w:t xml:space="preserve">[their] </w:t>
      </w:r>
      <w:r w:rsidRPr="004737C5">
        <w:rPr>
          <w:rFonts w:asciiTheme="minorHAnsi" w:hAnsiTheme="minorHAnsi" w:cstheme="minorHAnsi"/>
          <w:sz w:val="22"/>
          <w:szCs w:val="22"/>
        </w:rPr>
        <w:t>dollar</w:t>
      </w:r>
      <w:r w:rsidR="00B52C07" w:rsidRPr="004737C5">
        <w:rPr>
          <w:rFonts w:asciiTheme="minorHAnsi" w:hAnsiTheme="minorHAnsi" w:cstheme="minorHAnsi"/>
          <w:sz w:val="22"/>
          <w:szCs w:val="22"/>
        </w:rPr>
        <w:t>s are wasted, [their]</w:t>
      </w:r>
      <w:r w:rsidRPr="004737C5">
        <w:rPr>
          <w:rFonts w:asciiTheme="minorHAnsi" w:hAnsiTheme="minorHAnsi" w:cstheme="minorHAnsi"/>
          <w:sz w:val="22"/>
          <w:szCs w:val="22"/>
        </w:rPr>
        <w:t xml:space="preserve"> health and safety may be threatened, and</w:t>
      </w:r>
      <w:r w:rsidR="00484284" w:rsidRPr="004737C5">
        <w:rPr>
          <w:rFonts w:asciiTheme="minorHAnsi" w:hAnsiTheme="minorHAnsi" w:cstheme="minorHAnsi"/>
          <w:sz w:val="22"/>
          <w:szCs w:val="22"/>
        </w:rPr>
        <w:t xml:space="preserve"> the national interest suffers.</w:t>
      </w:r>
      <w:r w:rsidRPr="004737C5">
        <w:rPr>
          <w:rStyle w:val="FootnoteReference"/>
          <w:rFonts w:asciiTheme="minorHAnsi" w:hAnsiTheme="minorHAnsi" w:cstheme="minorHAnsi"/>
          <w:iCs/>
          <w:sz w:val="22"/>
          <w:szCs w:val="22"/>
        </w:rPr>
        <w:footnoteReference w:id="2"/>
      </w:r>
    </w:p>
    <w:p w14:paraId="235D6A6A" w14:textId="77777777" w:rsidR="00574175" w:rsidRPr="004737C5" w:rsidRDefault="00574175" w:rsidP="006D3BE8">
      <w:pPr>
        <w:pStyle w:val="BodyText"/>
        <w:spacing w:after="160"/>
        <w:rPr>
          <w:rFonts w:asciiTheme="minorHAnsi" w:hAnsiTheme="minorHAnsi" w:cstheme="minorHAnsi"/>
          <w:sz w:val="22"/>
          <w:szCs w:val="22"/>
        </w:rPr>
      </w:pPr>
      <w:r w:rsidRPr="004737C5">
        <w:rPr>
          <w:rFonts w:asciiTheme="minorHAnsi" w:hAnsiTheme="minorHAnsi" w:cstheme="minorHAnsi"/>
          <w:sz w:val="22"/>
          <w:szCs w:val="22"/>
        </w:rPr>
        <w:t xml:space="preserve">President Kennedy asserted that legislative and administrative actions were required if the Government was to meet its responsibility to consumers </w:t>
      </w:r>
      <w:r w:rsidR="00E72D3F" w:rsidRPr="004737C5">
        <w:rPr>
          <w:rFonts w:asciiTheme="minorHAnsi" w:hAnsiTheme="minorHAnsi" w:cstheme="minorHAnsi"/>
          <w:sz w:val="22"/>
          <w:szCs w:val="22"/>
        </w:rPr>
        <w:t>in the exercise of their rights, namely</w:t>
      </w:r>
      <w:r w:rsidRPr="004737C5">
        <w:rPr>
          <w:rFonts w:asciiTheme="minorHAnsi" w:hAnsiTheme="minorHAnsi" w:cstheme="minorHAnsi"/>
          <w:sz w:val="22"/>
          <w:szCs w:val="22"/>
        </w:rPr>
        <w:t>:</w:t>
      </w:r>
    </w:p>
    <w:p w14:paraId="51C83594" w14:textId="4F61773E" w:rsidR="00574175" w:rsidRPr="004737C5" w:rsidRDefault="00574175" w:rsidP="002473E9">
      <w:pPr>
        <w:pStyle w:val="BodyText3"/>
        <w:numPr>
          <w:ilvl w:val="0"/>
          <w:numId w:val="1"/>
        </w:numPr>
        <w:ind w:left="992" w:right="567" w:hanging="425"/>
        <w:rPr>
          <w:rFonts w:asciiTheme="minorHAnsi" w:hAnsiTheme="minorHAnsi" w:cstheme="minorHAnsi"/>
          <w:iCs/>
          <w:szCs w:val="22"/>
        </w:rPr>
      </w:pPr>
      <w:r w:rsidRPr="004737C5">
        <w:rPr>
          <w:rFonts w:asciiTheme="minorHAnsi" w:hAnsiTheme="minorHAnsi" w:cstheme="minorHAnsi"/>
          <w:iCs/>
          <w:szCs w:val="22"/>
        </w:rPr>
        <w:t>The right to safety – to be protected against the marketing of goods which are haza</w:t>
      </w:r>
      <w:r w:rsidR="00484284" w:rsidRPr="004737C5">
        <w:rPr>
          <w:rFonts w:asciiTheme="minorHAnsi" w:hAnsiTheme="minorHAnsi" w:cstheme="minorHAnsi"/>
          <w:iCs/>
          <w:szCs w:val="22"/>
        </w:rPr>
        <w:t>rdous to health or life</w:t>
      </w:r>
    </w:p>
    <w:p w14:paraId="08BC5D24" w14:textId="6D4C3F53" w:rsidR="00574175" w:rsidRPr="004737C5" w:rsidRDefault="00574175" w:rsidP="002473E9">
      <w:pPr>
        <w:pStyle w:val="BodyText3"/>
        <w:numPr>
          <w:ilvl w:val="0"/>
          <w:numId w:val="1"/>
        </w:numPr>
        <w:ind w:left="992" w:right="567" w:hanging="425"/>
        <w:rPr>
          <w:rFonts w:asciiTheme="minorHAnsi" w:hAnsiTheme="minorHAnsi" w:cstheme="minorHAnsi"/>
          <w:iCs/>
          <w:szCs w:val="22"/>
        </w:rPr>
      </w:pPr>
      <w:r w:rsidRPr="004737C5">
        <w:rPr>
          <w:rFonts w:asciiTheme="minorHAnsi" w:hAnsiTheme="minorHAnsi" w:cstheme="minorHAnsi"/>
          <w:iCs/>
          <w:szCs w:val="22"/>
        </w:rPr>
        <w:t>The right to be informed – to be protecte</w:t>
      </w:r>
      <w:r w:rsidR="009C1A1B" w:rsidRPr="004737C5">
        <w:rPr>
          <w:rFonts w:asciiTheme="minorHAnsi" w:hAnsiTheme="minorHAnsi" w:cstheme="minorHAnsi"/>
          <w:iCs/>
          <w:szCs w:val="22"/>
        </w:rPr>
        <w:t>d against fraudulent, deceitful</w:t>
      </w:r>
      <w:r w:rsidRPr="004737C5">
        <w:rPr>
          <w:rFonts w:asciiTheme="minorHAnsi" w:hAnsiTheme="minorHAnsi" w:cstheme="minorHAnsi"/>
          <w:iCs/>
          <w:szCs w:val="22"/>
        </w:rPr>
        <w:t xml:space="preserve"> or grossly misleading info</w:t>
      </w:r>
      <w:r w:rsidR="009C1A1B" w:rsidRPr="004737C5">
        <w:rPr>
          <w:rFonts w:asciiTheme="minorHAnsi" w:hAnsiTheme="minorHAnsi" w:cstheme="minorHAnsi"/>
          <w:iCs/>
          <w:szCs w:val="22"/>
        </w:rPr>
        <w:t>rmation, advertising, labelling</w:t>
      </w:r>
      <w:r w:rsidRPr="004737C5">
        <w:rPr>
          <w:rFonts w:asciiTheme="minorHAnsi" w:hAnsiTheme="minorHAnsi" w:cstheme="minorHAnsi"/>
          <w:iCs/>
          <w:szCs w:val="22"/>
        </w:rPr>
        <w:t xml:space="preserve"> or other practices, and to be given the facts o</w:t>
      </w:r>
      <w:r w:rsidR="00B52C07" w:rsidRPr="004737C5">
        <w:rPr>
          <w:rFonts w:asciiTheme="minorHAnsi" w:hAnsiTheme="minorHAnsi" w:cstheme="minorHAnsi"/>
          <w:iCs/>
          <w:szCs w:val="22"/>
        </w:rPr>
        <w:t>ne</w:t>
      </w:r>
      <w:r w:rsidRPr="004737C5">
        <w:rPr>
          <w:rFonts w:asciiTheme="minorHAnsi" w:hAnsiTheme="minorHAnsi" w:cstheme="minorHAnsi"/>
          <w:iCs/>
          <w:szCs w:val="22"/>
        </w:rPr>
        <w:t xml:space="preserve"> n</w:t>
      </w:r>
      <w:r w:rsidR="00484284" w:rsidRPr="004737C5">
        <w:rPr>
          <w:rFonts w:asciiTheme="minorHAnsi" w:hAnsiTheme="minorHAnsi" w:cstheme="minorHAnsi"/>
          <w:iCs/>
          <w:szCs w:val="22"/>
        </w:rPr>
        <w:t>eeds to make an informed choice</w:t>
      </w:r>
    </w:p>
    <w:p w14:paraId="3D4DD08C" w14:textId="44239232" w:rsidR="00574175" w:rsidRPr="004737C5" w:rsidRDefault="00574175" w:rsidP="002473E9">
      <w:pPr>
        <w:pStyle w:val="BodyText3"/>
        <w:numPr>
          <w:ilvl w:val="0"/>
          <w:numId w:val="1"/>
        </w:numPr>
        <w:ind w:left="992" w:right="567" w:hanging="425"/>
        <w:rPr>
          <w:rFonts w:asciiTheme="minorHAnsi" w:hAnsiTheme="minorHAnsi" w:cstheme="minorHAnsi"/>
          <w:iCs/>
          <w:szCs w:val="22"/>
        </w:rPr>
      </w:pPr>
      <w:r w:rsidRPr="004737C5">
        <w:rPr>
          <w:rFonts w:asciiTheme="minorHAnsi" w:hAnsiTheme="minorHAnsi" w:cstheme="minorHAnsi"/>
          <w:iCs/>
          <w:szCs w:val="22"/>
        </w:rPr>
        <w:t xml:space="preserve">The right to choose – to </w:t>
      </w:r>
      <w:r w:rsidR="00B52C07" w:rsidRPr="004737C5">
        <w:rPr>
          <w:rFonts w:asciiTheme="minorHAnsi" w:hAnsiTheme="minorHAnsi" w:cstheme="minorHAnsi"/>
          <w:iCs/>
          <w:szCs w:val="22"/>
        </w:rPr>
        <w:t>be assured, wherever possible, of</w:t>
      </w:r>
      <w:r w:rsidRPr="004737C5">
        <w:rPr>
          <w:rFonts w:asciiTheme="minorHAnsi" w:hAnsiTheme="minorHAnsi" w:cstheme="minorHAnsi"/>
          <w:iCs/>
          <w:szCs w:val="22"/>
        </w:rPr>
        <w:t xml:space="preserve"> access to a variety of products and services at competitive prices; and in those industries in which c</w:t>
      </w:r>
      <w:r w:rsidR="005E0C7E" w:rsidRPr="004737C5">
        <w:rPr>
          <w:rFonts w:asciiTheme="minorHAnsi" w:hAnsiTheme="minorHAnsi" w:cstheme="minorHAnsi"/>
          <w:iCs/>
          <w:szCs w:val="22"/>
        </w:rPr>
        <w:t>ompetition is not workable and g</w:t>
      </w:r>
      <w:r w:rsidRPr="004737C5">
        <w:rPr>
          <w:rFonts w:asciiTheme="minorHAnsi" w:hAnsiTheme="minorHAnsi" w:cstheme="minorHAnsi"/>
          <w:iCs/>
          <w:szCs w:val="22"/>
        </w:rPr>
        <w:t>overnment regulation is substituted, an assurance of satisfactory quality and service at fair prices</w:t>
      </w:r>
    </w:p>
    <w:p w14:paraId="6D46539D" w14:textId="6BF6CB23" w:rsidR="00574175" w:rsidRPr="004737C5" w:rsidRDefault="00574175" w:rsidP="002473E9">
      <w:pPr>
        <w:pStyle w:val="BodyText3"/>
        <w:numPr>
          <w:ilvl w:val="0"/>
          <w:numId w:val="1"/>
        </w:numPr>
        <w:spacing w:after="160"/>
        <w:ind w:left="992" w:right="567" w:hanging="425"/>
        <w:rPr>
          <w:rFonts w:asciiTheme="minorHAnsi" w:hAnsiTheme="minorHAnsi" w:cstheme="minorHAnsi"/>
          <w:iCs/>
          <w:szCs w:val="22"/>
        </w:rPr>
      </w:pPr>
      <w:r w:rsidRPr="004737C5">
        <w:rPr>
          <w:rFonts w:asciiTheme="minorHAnsi" w:hAnsiTheme="minorHAnsi" w:cstheme="minorHAnsi"/>
          <w:iCs/>
          <w:szCs w:val="22"/>
        </w:rPr>
        <w:t>The right to be heard – to be assured that consumer interests will receive full and sympathetic consi</w:t>
      </w:r>
      <w:r w:rsidR="005E0C7E" w:rsidRPr="004737C5">
        <w:rPr>
          <w:rFonts w:asciiTheme="minorHAnsi" w:hAnsiTheme="minorHAnsi" w:cstheme="minorHAnsi"/>
          <w:iCs/>
          <w:szCs w:val="22"/>
        </w:rPr>
        <w:t>deration in the formulation of g</w:t>
      </w:r>
      <w:r w:rsidRPr="004737C5">
        <w:rPr>
          <w:rFonts w:asciiTheme="minorHAnsi" w:hAnsiTheme="minorHAnsi" w:cstheme="minorHAnsi"/>
          <w:iCs/>
          <w:szCs w:val="22"/>
        </w:rPr>
        <w:t>overnment policy, and fair and expeditious treatment i</w:t>
      </w:r>
      <w:r w:rsidR="00061B8C" w:rsidRPr="004737C5">
        <w:rPr>
          <w:rFonts w:asciiTheme="minorHAnsi" w:hAnsiTheme="minorHAnsi" w:cstheme="minorHAnsi"/>
          <w:iCs/>
          <w:szCs w:val="22"/>
        </w:rPr>
        <w:t>n its administrative tribunals</w:t>
      </w:r>
      <w:r w:rsidR="009C1A1B" w:rsidRPr="004737C5">
        <w:rPr>
          <w:rStyle w:val="FootnoteReference"/>
          <w:rFonts w:asciiTheme="minorHAnsi" w:hAnsiTheme="minorHAnsi" w:cstheme="minorHAnsi"/>
          <w:iCs/>
          <w:szCs w:val="22"/>
        </w:rPr>
        <w:footnoteReference w:id="3"/>
      </w:r>
    </w:p>
    <w:p w14:paraId="3E029630" w14:textId="6487EA12" w:rsidR="009C1A1B" w:rsidRPr="004737C5" w:rsidRDefault="00574175" w:rsidP="00061B8C">
      <w:pPr>
        <w:rPr>
          <w:rFonts w:cstheme="minorHAnsi"/>
        </w:rPr>
      </w:pPr>
      <w:r w:rsidRPr="004737C5">
        <w:rPr>
          <w:rFonts w:cstheme="minorHAnsi"/>
        </w:rPr>
        <w:t xml:space="preserve">After describing his proposals for strengthening existing programmes in </w:t>
      </w:r>
      <w:r w:rsidR="009C1A1B" w:rsidRPr="004737C5">
        <w:rPr>
          <w:rFonts w:cstheme="minorHAnsi"/>
        </w:rPr>
        <w:t xml:space="preserve">various </w:t>
      </w:r>
      <w:r w:rsidRPr="004737C5">
        <w:rPr>
          <w:rFonts w:cstheme="minorHAnsi"/>
        </w:rPr>
        <w:t>areas including food and drugs, transport and finance</w:t>
      </w:r>
      <w:r w:rsidR="009C1A1B" w:rsidRPr="004737C5">
        <w:rPr>
          <w:rFonts w:cstheme="minorHAnsi"/>
        </w:rPr>
        <w:t xml:space="preserve">, strengthening </w:t>
      </w:r>
      <w:r w:rsidRPr="004737C5">
        <w:rPr>
          <w:rFonts w:cstheme="minorHAnsi"/>
        </w:rPr>
        <w:t xml:space="preserve">legislation </w:t>
      </w:r>
      <w:r w:rsidR="009C1A1B" w:rsidRPr="004737C5">
        <w:rPr>
          <w:rFonts w:cstheme="minorHAnsi"/>
        </w:rPr>
        <w:t xml:space="preserve">in relation to </w:t>
      </w:r>
      <w:r w:rsidRPr="004737C5">
        <w:rPr>
          <w:rFonts w:cstheme="minorHAnsi"/>
        </w:rPr>
        <w:t>tr</w:t>
      </w:r>
      <w:r w:rsidR="009C1A1B" w:rsidRPr="004737C5">
        <w:rPr>
          <w:rFonts w:cstheme="minorHAnsi"/>
        </w:rPr>
        <w:t>uth in lending and packaging</w:t>
      </w:r>
      <w:r w:rsidRPr="004737C5">
        <w:rPr>
          <w:rFonts w:cstheme="minorHAnsi"/>
        </w:rPr>
        <w:t xml:space="preserve"> and </w:t>
      </w:r>
      <w:r w:rsidR="009C1A1B" w:rsidRPr="004737C5">
        <w:rPr>
          <w:rFonts w:cstheme="minorHAnsi"/>
        </w:rPr>
        <w:t xml:space="preserve">introducing </w:t>
      </w:r>
      <w:r w:rsidRPr="004737C5">
        <w:rPr>
          <w:rFonts w:cstheme="minorHAnsi"/>
        </w:rPr>
        <w:t xml:space="preserve">stronger laws </w:t>
      </w:r>
      <w:r w:rsidR="009C1A1B" w:rsidRPr="004737C5">
        <w:rPr>
          <w:rFonts w:cstheme="minorHAnsi"/>
        </w:rPr>
        <w:t xml:space="preserve">for </w:t>
      </w:r>
      <w:r w:rsidRPr="004737C5">
        <w:rPr>
          <w:rFonts w:cstheme="minorHAnsi"/>
        </w:rPr>
        <w:t>promoting competition and prohibiting monopolies, Pre</w:t>
      </w:r>
      <w:r w:rsidR="009C1A1B" w:rsidRPr="004737C5">
        <w:rPr>
          <w:rFonts w:cstheme="minorHAnsi"/>
        </w:rPr>
        <w:t xml:space="preserve">sident Kennedy concluded that: </w:t>
      </w:r>
    </w:p>
    <w:p w14:paraId="04487580" w14:textId="77777777" w:rsidR="00574175" w:rsidRPr="004737C5" w:rsidRDefault="009C1A1B" w:rsidP="006D3BE8">
      <w:pPr>
        <w:ind w:left="567" w:right="567"/>
        <w:rPr>
          <w:rFonts w:cstheme="minorHAnsi"/>
        </w:rPr>
      </w:pPr>
      <w:r w:rsidRPr="004737C5">
        <w:rPr>
          <w:rFonts w:cstheme="minorHAnsi"/>
        </w:rPr>
        <w:t>All of us are consumers. T</w:t>
      </w:r>
      <w:r w:rsidR="00574175" w:rsidRPr="004737C5">
        <w:rPr>
          <w:rFonts w:cstheme="minorHAnsi"/>
        </w:rPr>
        <w:t>hes</w:t>
      </w:r>
      <w:r w:rsidR="007007BF" w:rsidRPr="004737C5">
        <w:rPr>
          <w:rFonts w:cstheme="minorHAnsi"/>
        </w:rPr>
        <w:t xml:space="preserve">e actions and proposals in the </w:t>
      </w:r>
      <w:r w:rsidR="00574175" w:rsidRPr="004737C5">
        <w:rPr>
          <w:rFonts w:cstheme="minorHAnsi"/>
        </w:rPr>
        <w:t>interest of consumers are in the interest of us all. The budgetary investment required by these programmes is very modest – but they can yield rich dividends in strengthening our free competitive economy, our standard of living and health and our traditionally high ethical patterns of business conduct. Fair competition a</w:t>
      </w:r>
      <w:r w:rsidRPr="004737C5">
        <w:rPr>
          <w:rFonts w:cstheme="minorHAnsi"/>
        </w:rPr>
        <w:t>ids both business and consumer.</w:t>
      </w:r>
      <w:r w:rsidRPr="004737C5">
        <w:rPr>
          <w:rStyle w:val="FootnoteReference"/>
          <w:rFonts w:cstheme="minorHAnsi"/>
        </w:rPr>
        <w:footnoteReference w:id="4"/>
      </w:r>
    </w:p>
    <w:p w14:paraId="6AD05C9B" w14:textId="77777777" w:rsidR="00574175" w:rsidRPr="004737C5" w:rsidRDefault="00574175" w:rsidP="006D3BE8">
      <w:pPr>
        <w:pStyle w:val="BodyText"/>
        <w:spacing w:after="160"/>
        <w:rPr>
          <w:rFonts w:asciiTheme="minorHAnsi" w:hAnsiTheme="minorHAnsi" w:cstheme="minorHAnsi"/>
          <w:sz w:val="22"/>
          <w:szCs w:val="22"/>
        </w:rPr>
      </w:pPr>
      <w:r w:rsidRPr="004737C5">
        <w:rPr>
          <w:rFonts w:asciiTheme="minorHAnsi" w:hAnsiTheme="minorHAnsi" w:cstheme="minorHAnsi"/>
          <w:sz w:val="22"/>
          <w:szCs w:val="22"/>
        </w:rPr>
        <w:lastRenderedPageBreak/>
        <w:t>The President’s declaration of rights was seized upon by con</w:t>
      </w:r>
      <w:r w:rsidR="004749F9" w:rsidRPr="004737C5">
        <w:rPr>
          <w:rFonts w:asciiTheme="minorHAnsi" w:hAnsiTheme="minorHAnsi" w:cstheme="minorHAnsi"/>
          <w:sz w:val="22"/>
          <w:szCs w:val="22"/>
        </w:rPr>
        <w:t>sumer campaigners (see chapter II</w:t>
      </w:r>
      <w:r w:rsidRPr="004737C5">
        <w:rPr>
          <w:rFonts w:asciiTheme="minorHAnsi" w:hAnsiTheme="minorHAnsi" w:cstheme="minorHAnsi"/>
          <w:sz w:val="22"/>
          <w:szCs w:val="22"/>
        </w:rPr>
        <w:t>)</w:t>
      </w:r>
      <w:r w:rsidR="009C1A1B" w:rsidRPr="004737C5">
        <w:rPr>
          <w:rFonts w:asciiTheme="minorHAnsi" w:hAnsiTheme="minorHAnsi" w:cstheme="minorHAnsi"/>
          <w:sz w:val="22"/>
          <w:szCs w:val="22"/>
        </w:rPr>
        <w:t>.</w:t>
      </w:r>
      <w:r w:rsidRPr="004737C5">
        <w:rPr>
          <w:rFonts w:asciiTheme="minorHAnsi" w:hAnsiTheme="minorHAnsi" w:cstheme="minorHAnsi"/>
          <w:sz w:val="22"/>
          <w:szCs w:val="22"/>
        </w:rPr>
        <w:t xml:space="preserve"> </w:t>
      </w:r>
      <w:r w:rsidR="009C1A1B" w:rsidRPr="004737C5">
        <w:rPr>
          <w:rFonts w:asciiTheme="minorHAnsi" w:hAnsiTheme="minorHAnsi" w:cstheme="minorHAnsi"/>
          <w:sz w:val="22"/>
          <w:szCs w:val="22"/>
        </w:rPr>
        <w:t>T</w:t>
      </w:r>
      <w:r w:rsidRPr="004737C5">
        <w:rPr>
          <w:rFonts w:asciiTheme="minorHAnsi" w:hAnsiTheme="minorHAnsi" w:cstheme="minorHAnsi"/>
          <w:sz w:val="22"/>
          <w:szCs w:val="22"/>
        </w:rPr>
        <w:t xml:space="preserve">heir efforts bore fruit when, on </w:t>
      </w:r>
      <w:r w:rsidR="009C1A1B" w:rsidRPr="004737C5">
        <w:rPr>
          <w:rFonts w:asciiTheme="minorHAnsi" w:hAnsiTheme="minorHAnsi" w:cstheme="minorHAnsi"/>
          <w:sz w:val="22"/>
          <w:szCs w:val="22"/>
        </w:rPr>
        <w:t xml:space="preserve">9 </w:t>
      </w:r>
      <w:r w:rsidR="00B74B19" w:rsidRPr="004737C5">
        <w:rPr>
          <w:rFonts w:asciiTheme="minorHAnsi" w:hAnsiTheme="minorHAnsi" w:cstheme="minorHAnsi"/>
          <w:sz w:val="22"/>
          <w:szCs w:val="22"/>
        </w:rPr>
        <w:t>April</w:t>
      </w:r>
      <w:r w:rsidRPr="004737C5">
        <w:rPr>
          <w:rFonts w:asciiTheme="minorHAnsi" w:hAnsiTheme="minorHAnsi" w:cstheme="minorHAnsi"/>
          <w:sz w:val="22"/>
          <w:szCs w:val="22"/>
        </w:rPr>
        <w:t xml:space="preserve"> 1985, the General Assembly of the United Nations unanimously adopted the U</w:t>
      </w:r>
      <w:r w:rsidR="00B74B19" w:rsidRPr="004737C5">
        <w:rPr>
          <w:rFonts w:asciiTheme="minorHAnsi" w:hAnsiTheme="minorHAnsi" w:cstheme="minorHAnsi"/>
          <w:sz w:val="22"/>
          <w:szCs w:val="22"/>
        </w:rPr>
        <w:t xml:space="preserve">nited Nations </w:t>
      </w:r>
      <w:r w:rsidR="00C11F19" w:rsidRPr="004737C5">
        <w:rPr>
          <w:rFonts w:asciiTheme="minorHAnsi" w:hAnsiTheme="minorHAnsi" w:cstheme="minorHAnsi"/>
          <w:sz w:val="22"/>
          <w:szCs w:val="22"/>
        </w:rPr>
        <w:t>Guidelines for Consumer Protection (UN</w:t>
      </w:r>
      <w:r w:rsidRPr="004737C5">
        <w:rPr>
          <w:rFonts w:asciiTheme="minorHAnsi" w:hAnsiTheme="minorHAnsi" w:cstheme="minorHAnsi"/>
          <w:sz w:val="22"/>
          <w:szCs w:val="22"/>
        </w:rPr>
        <w:t>GCP</w:t>
      </w:r>
      <w:r w:rsidR="00C11F19" w:rsidRPr="004737C5">
        <w:rPr>
          <w:rFonts w:asciiTheme="minorHAnsi" w:hAnsiTheme="minorHAnsi" w:cstheme="minorHAnsi"/>
          <w:sz w:val="22"/>
          <w:szCs w:val="22"/>
        </w:rPr>
        <w:t>)</w:t>
      </w:r>
      <w:r w:rsidRPr="004737C5">
        <w:rPr>
          <w:rFonts w:asciiTheme="minorHAnsi" w:hAnsiTheme="minorHAnsi" w:cstheme="minorHAnsi"/>
          <w:sz w:val="22"/>
          <w:szCs w:val="22"/>
        </w:rPr>
        <w:t xml:space="preserve">. The UNGCP </w:t>
      </w:r>
      <w:r w:rsidR="00C11F19" w:rsidRPr="004737C5">
        <w:rPr>
          <w:rFonts w:asciiTheme="minorHAnsi" w:hAnsiTheme="minorHAnsi" w:cstheme="minorHAnsi"/>
          <w:sz w:val="22"/>
          <w:szCs w:val="22"/>
        </w:rPr>
        <w:t>are</w:t>
      </w:r>
      <w:r w:rsidRPr="004737C5">
        <w:rPr>
          <w:rFonts w:asciiTheme="minorHAnsi" w:hAnsiTheme="minorHAnsi" w:cstheme="minorHAnsi"/>
          <w:sz w:val="22"/>
          <w:szCs w:val="22"/>
        </w:rPr>
        <w:t xml:space="preserve"> an internationally recognized set of minimum objectives for consumer protection, which have become </w:t>
      </w:r>
      <w:r w:rsidR="00C11F19" w:rsidRPr="004737C5">
        <w:rPr>
          <w:rFonts w:asciiTheme="minorHAnsi" w:hAnsiTheme="minorHAnsi" w:cstheme="minorHAnsi"/>
          <w:sz w:val="22"/>
          <w:szCs w:val="22"/>
        </w:rPr>
        <w:t>a</w:t>
      </w:r>
      <w:r w:rsidRPr="004737C5">
        <w:rPr>
          <w:rFonts w:asciiTheme="minorHAnsi" w:hAnsiTheme="minorHAnsi" w:cstheme="minorHAnsi"/>
          <w:sz w:val="22"/>
          <w:szCs w:val="22"/>
        </w:rPr>
        <w:t xml:space="preserve"> baseline for </w:t>
      </w:r>
      <w:r w:rsidR="009C1A1B" w:rsidRPr="004737C5">
        <w:rPr>
          <w:rFonts w:asciiTheme="minorHAnsi" w:hAnsiTheme="minorHAnsi" w:cstheme="minorHAnsi"/>
          <w:sz w:val="22"/>
          <w:szCs w:val="22"/>
        </w:rPr>
        <w:t xml:space="preserve">consumers’ </w:t>
      </w:r>
      <w:r w:rsidRPr="004737C5">
        <w:rPr>
          <w:rFonts w:asciiTheme="minorHAnsi" w:hAnsiTheme="minorHAnsi" w:cstheme="minorHAnsi"/>
          <w:sz w:val="22"/>
          <w:szCs w:val="22"/>
        </w:rPr>
        <w:t>entitlements worldwide.</w:t>
      </w:r>
      <w:r w:rsidR="00854A65" w:rsidRPr="004737C5">
        <w:rPr>
          <w:rFonts w:asciiTheme="minorHAnsi" w:hAnsiTheme="minorHAnsi" w:cstheme="minorHAnsi"/>
          <w:sz w:val="22"/>
          <w:szCs w:val="22"/>
        </w:rPr>
        <w:t xml:space="preserve"> The best-known section of the g</w:t>
      </w:r>
      <w:r w:rsidRPr="004737C5">
        <w:rPr>
          <w:rFonts w:asciiTheme="minorHAnsi" w:hAnsiTheme="minorHAnsi" w:cstheme="minorHAnsi"/>
          <w:sz w:val="22"/>
          <w:szCs w:val="22"/>
        </w:rPr>
        <w:t xml:space="preserve">uidelines, which sets out the “legitimate needs” of consumers, has become a checklist which </w:t>
      </w:r>
      <w:r w:rsidR="00854A65" w:rsidRPr="004737C5">
        <w:rPr>
          <w:rFonts w:asciiTheme="minorHAnsi" w:hAnsiTheme="minorHAnsi" w:cstheme="minorHAnsi"/>
          <w:sz w:val="22"/>
          <w:szCs w:val="22"/>
        </w:rPr>
        <w:t>has brought</w:t>
      </w:r>
      <w:r w:rsidRPr="004737C5">
        <w:rPr>
          <w:rFonts w:asciiTheme="minorHAnsi" w:hAnsiTheme="minorHAnsi" w:cstheme="minorHAnsi"/>
          <w:sz w:val="22"/>
          <w:szCs w:val="22"/>
        </w:rPr>
        <w:t xml:space="preserve"> about widespread recognition of consumer rights. Nations throughout the world have enacted laws</w:t>
      </w:r>
      <w:r w:rsidR="00854A65" w:rsidRPr="004737C5">
        <w:rPr>
          <w:rFonts w:asciiTheme="minorHAnsi" w:hAnsiTheme="minorHAnsi" w:cstheme="minorHAnsi"/>
          <w:sz w:val="22"/>
          <w:szCs w:val="22"/>
        </w:rPr>
        <w:t xml:space="preserve">, including newly drafted national constitutions, </w:t>
      </w:r>
      <w:r w:rsidRPr="004737C5">
        <w:rPr>
          <w:rFonts w:asciiTheme="minorHAnsi" w:hAnsiTheme="minorHAnsi" w:cstheme="minorHAnsi"/>
          <w:sz w:val="22"/>
          <w:szCs w:val="22"/>
        </w:rPr>
        <w:t xml:space="preserve">to </w:t>
      </w:r>
      <w:r w:rsidR="00854A65" w:rsidRPr="004737C5">
        <w:rPr>
          <w:rFonts w:asciiTheme="minorHAnsi" w:hAnsiTheme="minorHAnsi" w:cstheme="minorHAnsi"/>
          <w:sz w:val="22"/>
          <w:szCs w:val="22"/>
        </w:rPr>
        <w:t xml:space="preserve">recognize </w:t>
      </w:r>
      <w:r w:rsidRPr="004737C5">
        <w:rPr>
          <w:rFonts w:asciiTheme="minorHAnsi" w:hAnsiTheme="minorHAnsi" w:cstheme="minorHAnsi"/>
          <w:sz w:val="22"/>
          <w:szCs w:val="22"/>
        </w:rPr>
        <w:t>these r</w:t>
      </w:r>
      <w:r w:rsidR="004749F9" w:rsidRPr="004737C5">
        <w:rPr>
          <w:rFonts w:asciiTheme="minorHAnsi" w:hAnsiTheme="minorHAnsi" w:cstheme="minorHAnsi"/>
          <w:sz w:val="22"/>
          <w:szCs w:val="22"/>
        </w:rPr>
        <w:t>ights, as discussed in chapter III</w:t>
      </w:r>
      <w:r w:rsidRPr="004737C5">
        <w:rPr>
          <w:rFonts w:asciiTheme="minorHAnsi" w:hAnsiTheme="minorHAnsi" w:cstheme="minorHAnsi"/>
          <w:sz w:val="22"/>
          <w:szCs w:val="22"/>
        </w:rPr>
        <w:t xml:space="preserve">. </w:t>
      </w:r>
    </w:p>
    <w:p w14:paraId="567D8D7C" w14:textId="77777777" w:rsidR="00843222" w:rsidRPr="004737C5" w:rsidRDefault="00843222" w:rsidP="00061B8C">
      <w:pPr>
        <w:rPr>
          <w:rFonts w:cstheme="minorHAnsi"/>
        </w:rPr>
      </w:pPr>
      <w:r w:rsidRPr="004737C5">
        <w:rPr>
          <w:rFonts w:cstheme="minorHAnsi"/>
        </w:rPr>
        <w:t>S</w:t>
      </w:r>
      <w:r w:rsidR="00854A65" w:rsidRPr="004737C5">
        <w:rPr>
          <w:rFonts w:cstheme="minorHAnsi"/>
        </w:rPr>
        <w:t>uch s</w:t>
      </w:r>
      <w:r w:rsidRPr="004737C5">
        <w:rPr>
          <w:rFonts w:cstheme="minorHAnsi"/>
        </w:rPr>
        <w:t xml:space="preserve">tate intervention is premised </w:t>
      </w:r>
      <w:r w:rsidR="008A67A1" w:rsidRPr="004737C5">
        <w:rPr>
          <w:rFonts w:cstheme="minorHAnsi"/>
        </w:rPr>
        <w:t xml:space="preserve">on the need </w:t>
      </w:r>
      <w:r w:rsidRPr="004737C5">
        <w:rPr>
          <w:rFonts w:cstheme="minorHAnsi"/>
        </w:rPr>
        <w:t>to provide consumer protection on a number of grounds, including</w:t>
      </w:r>
      <w:r w:rsidR="00C11F19" w:rsidRPr="004737C5">
        <w:rPr>
          <w:rFonts w:cstheme="minorHAnsi"/>
        </w:rPr>
        <w:t xml:space="preserve"> economic efficiency, individual rights, distributive justice and the right to development.</w:t>
      </w:r>
    </w:p>
    <w:p w14:paraId="29A9AC88" w14:textId="77777777" w:rsidR="00C11F19" w:rsidRPr="004737C5" w:rsidRDefault="00C11F19" w:rsidP="00A577C4">
      <w:pPr>
        <w:spacing w:before="200"/>
        <w:rPr>
          <w:rFonts w:cstheme="minorHAnsi"/>
        </w:rPr>
      </w:pPr>
      <w:r w:rsidRPr="004737C5">
        <w:rPr>
          <w:rFonts w:cstheme="minorHAnsi"/>
          <w:b/>
        </w:rPr>
        <w:t xml:space="preserve">1. </w:t>
      </w:r>
      <w:r w:rsidR="00843222" w:rsidRPr="004737C5">
        <w:rPr>
          <w:rFonts w:cstheme="minorHAnsi"/>
          <w:b/>
        </w:rPr>
        <w:t>Economic efficiency</w:t>
      </w:r>
    </w:p>
    <w:p w14:paraId="6D4CB91E" w14:textId="4B146B82" w:rsidR="00843222" w:rsidRPr="004737C5" w:rsidRDefault="00843222" w:rsidP="006D3BE8">
      <w:pPr>
        <w:rPr>
          <w:rFonts w:cstheme="minorHAnsi"/>
        </w:rPr>
      </w:pPr>
      <w:r w:rsidRPr="004737C5">
        <w:rPr>
          <w:rFonts w:cstheme="minorHAnsi"/>
        </w:rPr>
        <w:t xml:space="preserve">In the case of a market economy, economic </w:t>
      </w:r>
      <w:r w:rsidR="00C11F19" w:rsidRPr="004737C5">
        <w:rPr>
          <w:rFonts w:cstheme="minorHAnsi"/>
        </w:rPr>
        <w:t>efficiency is a prerequisite for</w:t>
      </w:r>
      <w:r w:rsidRPr="004737C5">
        <w:rPr>
          <w:rFonts w:cstheme="minorHAnsi"/>
        </w:rPr>
        <w:t xml:space="preserve"> ensuring that all systems are functioning optimally. In an ideal market economy, the market is</w:t>
      </w:r>
      <w:r w:rsidR="00061B8C" w:rsidRPr="004737C5">
        <w:rPr>
          <w:rFonts w:cstheme="minorHAnsi"/>
        </w:rPr>
        <w:t xml:space="preserve"> in perfect equilibrium when supply and demand </w:t>
      </w:r>
      <w:r w:rsidRPr="004737C5">
        <w:rPr>
          <w:rFonts w:cstheme="minorHAnsi"/>
        </w:rPr>
        <w:t>h</w:t>
      </w:r>
      <w:r w:rsidR="00C11F19" w:rsidRPr="004737C5">
        <w:rPr>
          <w:rFonts w:cstheme="minorHAnsi"/>
        </w:rPr>
        <w:t>ave equal power. Suppliers will engage in fair competition, p</w:t>
      </w:r>
      <w:r w:rsidRPr="004737C5">
        <w:rPr>
          <w:rFonts w:cstheme="minorHAnsi"/>
        </w:rPr>
        <w:t>rovide consumers with ful</w:t>
      </w:r>
      <w:r w:rsidR="00C11F19" w:rsidRPr="004737C5">
        <w:rPr>
          <w:rFonts w:cstheme="minorHAnsi"/>
        </w:rPr>
        <w:t>l information on their products, o</w:t>
      </w:r>
      <w:r w:rsidRPr="004737C5">
        <w:rPr>
          <w:rFonts w:cstheme="minorHAnsi"/>
        </w:rPr>
        <w:t>bserve all laws regarding s</w:t>
      </w:r>
      <w:r w:rsidR="00C11F19" w:rsidRPr="004737C5">
        <w:rPr>
          <w:rFonts w:cstheme="minorHAnsi"/>
        </w:rPr>
        <w:t>afety and quality standards and c</w:t>
      </w:r>
      <w:r w:rsidRPr="004737C5">
        <w:rPr>
          <w:rFonts w:cstheme="minorHAnsi"/>
        </w:rPr>
        <w:t xml:space="preserve">ompensate consumers if problems arise </w:t>
      </w:r>
      <w:r w:rsidR="00C11F19" w:rsidRPr="004737C5">
        <w:rPr>
          <w:rFonts w:cstheme="minorHAnsi"/>
        </w:rPr>
        <w:t>with their products or services.</w:t>
      </w:r>
      <w:r w:rsidR="00775893" w:rsidRPr="004737C5">
        <w:rPr>
          <w:rFonts w:cstheme="minorHAnsi"/>
        </w:rPr>
        <w:t xml:space="preserve"> </w:t>
      </w:r>
      <w:r w:rsidRPr="004737C5">
        <w:rPr>
          <w:rFonts w:cstheme="minorHAnsi"/>
        </w:rPr>
        <w:t xml:space="preserve">On the demand side, consumers </w:t>
      </w:r>
      <w:r w:rsidR="00C11F19" w:rsidRPr="004737C5">
        <w:rPr>
          <w:rFonts w:cstheme="minorHAnsi"/>
        </w:rPr>
        <w:t>will</w:t>
      </w:r>
      <w:r w:rsidRPr="004737C5">
        <w:rPr>
          <w:rFonts w:cstheme="minorHAnsi"/>
        </w:rPr>
        <w:t xml:space="preserve"> act reasonably and purchase only products of the required quality at the best price, thereby weeding out any uncompetitive suppliers. Consumers should be wel</w:t>
      </w:r>
      <w:r w:rsidR="00061B8C" w:rsidRPr="004737C5">
        <w:rPr>
          <w:rFonts w:cstheme="minorHAnsi"/>
        </w:rPr>
        <w:t>l-</w:t>
      </w:r>
      <w:r w:rsidRPr="004737C5">
        <w:rPr>
          <w:rFonts w:cstheme="minorHAnsi"/>
        </w:rPr>
        <w:t xml:space="preserve">informed about a product or service before making a purchase. They should </w:t>
      </w:r>
      <w:r w:rsidR="00775893" w:rsidRPr="004737C5">
        <w:rPr>
          <w:rFonts w:cstheme="minorHAnsi"/>
        </w:rPr>
        <w:t xml:space="preserve">also </w:t>
      </w:r>
      <w:r w:rsidRPr="004737C5">
        <w:rPr>
          <w:rFonts w:cstheme="minorHAnsi"/>
        </w:rPr>
        <w:t xml:space="preserve">be knowledgeable </w:t>
      </w:r>
      <w:r w:rsidR="005B2021" w:rsidRPr="004737C5">
        <w:rPr>
          <w:rFonts w:cstheme="minorHAnsi"/>
        </w:rPr>
        <w:t xml:space="preserve">about </w:t>
      </w:r>
      <w:r w:rsidRPr="004737C5">
        <w:rPr>
          <w:rFonts w:cstheme="minorHAnsi"/>
        </w:rPr>
        <w:t>remedies available to them so that they can actively pursue the</w:t>
      </w:r>
      <w:r w:rsidR="005B2021" w:rsidRPr="004737C5">
        <w:rPr>
          <w:rFonts w:cstheme="minorHAnsi"/>
        </w:rPr>
        <w:t>ir</w:t>
      </w:r>
      <w:r w:rsidRPr="004737C5">
        <w:rPr>
          <w:rFonts w:cstheme="minorHAnsi"/>
        </w:rPr>
        <w:t xml:space="preserve"> rights. </w:t>
      </w:r>
    </w:p>
    <w:p w14:paraId="33669A54" w14:textId="77777777" w:rsidR="00843222" w:rsidRPr="004737C5" w:rsidRDefault="00843222" w:rsidP="006D3BE8">
      <w:pPr>
        <w:rPr>
          <w:rFonts w:cstheme="minorHAnsi"/>
        </w:rPr>
      </w:pPr>
      <w:r w:rsidRPr="004737C5">
        <w:rPr>
          <w:rFonts w:cstheme="minorHAnsi"/>
        </w:rPr>
        <w:t>It is impossible to envisage an economy</w:t>
      </w:r>
      <w:r w:rsidR="00E17E32" w:rsidRPr="004737C5">
        <w:rPr>
          <w:rFonts w:cstheme="minorHAnsi"/>
        </w:rPr>
        <w:t>,</w:t>
      </w:r>
      <w:r w:rsidRPr="004737C5">
        <w:rPr>
          <w:rFonts w:cstheme="minorHAnsi"/>
        </w:rPr>
        <w:t xml:space="preserve"> </w:t>
      </w:r>
      <w:r w:rsidR="00E17E32" w:rsidRPr="004737C5">
        <w:rPr>
          <w:rFonts w:cstheme="minorHAnsi"/>
        </w:rPr>
        <w:t xml:space="preserve">whether centrally planned or laissez-faire, </w:t>
      </w:r>
      <w:r w:rsidRPr="004737C5">
        <w:rPr>
          <w:rFonts w:cstheme="minorHAnsi"/>
        </w:rPr>
        <w:t>where there is no possibility of abuse. State intervention is necessary to ensure that suppliers behave responsibly and that aggrieved consumers have access to remed</w:t>
      </w:r>
      <w:r w:rsidR="00775893" w:rsidRPr="004737C5">
        <w:rPr>
          <w:rFonts w:cstheme="minorHAnsi"/>
        </w:rPr>
        <w:t xml:space="preserve">ies. The modern market does not only involve </w:t>
      </w:r>
      <w:r w:rsidRPr="004737C5">
        <w:rPr>
          <w:rFonts w:cstheme="minorHAnsi"/>
        </w:rPr>
        <w:t>private economic relations between supplier</w:t>
      </w:r>
      <w:r w:rsidR="00775893" w:rsidRPr="004737C5">
        <w:rPr>
          <w:rFonts w:cstheme="minorHAnsi"/>
        </w:rPr>
        <w:t>s</w:t>
      </w:r>
      <w:r w:rsidR="001A0359" w:rsidRPr="004737C5">
        <w:rPr>
          <w:rFonts w:cstheme="minorHAnsi"/>
        </w:rPr>
        <w:t xml:space="preserve"> and consumer</w:t>
      </w:r>
      <w:r w:rsidR="00775893" w:rsidRPr="004737C5">
        <w:rPr>
          <w:rFonts w:cstheme="minorHAnsi"/>
        </w:rPr>
        <w:t>s</w:t>
      </w:r>
      <w:r w:rsidR="001A0359" w:rsidRPr="004737C5">
        <w:rPr>
          <w:rFonts w:cstheme="minorHAnsi"/>
        </w:rPr>
        <w:t>. It is characteriz</w:t>
      </w:r>
      <w:r w:rsidR="00775893" w:rsidRPr="004737C5">
        <w:rPr>
          <w:rFonts w:cstheme="minorHAnsi"/>
        </w:rPr>
        <w:t>ed by a certain degree of s</w:t>
      </w:r>
      <w:r w:rsidRPr="004737C5">
        <w:rPr>
          <w:rFonts w:cstheme="minorHAnsi"/>
        </w:rPr>
        <w:t>tate involvement through the enactment and enforcement of consumer protection laws dealing both with private rights and statutory obligations to ensure a safe and orderly market for consumers.</w:t>
      </w:r>
    </w:p>
    <w:p w14:paraId="023B47AF" w14:textId="14DF1A48" w:rsidR="00323952" w:rsidRPr="004737C5" w:rsidRDefault="00843222" w:rsidP="00061B8C">
      <w:pPr>
        <w:rPr>
          <w:rFonts w:cstheme="minorHAnsi"/>
        </w:rPr>
      </w:pPr>
      <w:r w:rsidRPr="004737C5">
        <w:rPr>
          <w:rFonts w:cstheme="minorHAnsi"/>
        </w:rPr>
        <w:t>Broadly speaking, consumer protection</w:t>
      </w:r>
      <w:r w:rsidRPr="004737C5">
        <w:rPr>
          <w:rFonts w:cstheme="minorHAnsi"/>
          <w:i/>
        </w:rPr>
        <w:t xml:space="preserve"> </w:t>
      </w:r>
      <w:r w:rsidRPr="004737C5">
        <w:rPr>
          <w:rFonts w:cstheme="minorHAnsi"/>
        </w:rPr>
        <w:t>is meant to en</w:t>
      </w:r>
      <w:r w:rsidR="00775893" w:rsidRPr="004737C5">
        <w:rPr>
          <w:rFonts w:cstheme="minorHAnsi"/>
        </w:rPr>
        <w:t>sure that the demand side of a</w:t>
      </w:r>
      <w:r w:rsidRPr="004737C5">
        <w:rPr>
          <w:rFonts w:cstheme="minorHAnsi"/>
        </w:rPr>
        <w:t xml:space="preserve"> market economy function</w:t>
      </w:r>
      <w:r w:rsidR="00775893" w:rsidRPr="004737C5">
        <w:rPr>
          <w:rFonts w:cstheme="minorHAnsi"/>
        </w:rPr>
        <w:t xml:space="preserve">s </w:t>
      </w:r>
      <w:r w:rsidRPr="004737C5">
        <w:rPr>
          <w:rFonts w:cstheme="minorHAnsi"/>
        </w:rPr>
        <w:t xml:space="preserve">optimally </w:t>
      </w:r>
      <w:r w:rsidR="00775893" w:rsidRPr="004737C5">
        <w:rPr>
          <w:rFonts w:cstheme="minorHAnsi"/>
        </w:rPr>
        <w:t>so that the market system can</w:t>
      </w:r>
      <w:r w:rsidR="00061B8C" w:rsidRPr="004737C5">
        <w:rPr>
          <w:rFonts w:cstheme="minorHAnsi"/>
        </w:rPr>
        <w:t xml:space="preserve"> work effectively.</w:t>
      </w:r>
      <w:r w:rsidRPr="004737C5">
        <w:rPr>
          <w:rFonts w:cstheme="minorHAnsi"/>
        </w:rPr>
        <w:t xml:space="preserve"> </w:t>
      </w:r>
      <w:r w:rsidR="00061B8C" w:rsidRPr="004737C5">
        <w:rPr>
          <w:rFonts w:cstheme="minorHAnsi"/>
        </w:rPr>
        <w:t xml:space="preserve">It </w:t>
      </w:r>
      <w:r w:rsidRPr="004737C5">
        <w:rPr>
          <w:rFonts w:cstheme="minorHAnsi"/>
        </w:rPr>
        <w:t>is complemented by competition policy to ensure tha</w:t>
      </w:r>
      <w:r w:rsidR="00775893" w:rsidRPr="004737C5">
        <w:rPr>
          <w:rFonts w:cstheme="minorHAnsi"/>
        </w:rPr>
        <w:t>t the supply side functions</w:t>
      </w:r>
      <w:r w:rsidRPr="004737C5">
        <w:rPr>
          <w:rFonts w:cstheme="minorHAnsi"/>
        </w:rPr>
        <w:t xml:space="preserve"> optimally</w:t>
      </w:r>
      <w:r w:rsidR="005B2021" w:rsidRPr="004737C5">
        <w:rPr>
          <w:rFonts w:cstheme="minorHAnsi"/>
        </w:rPr>
        <w:t xml:space="preserve"> too</w:t>
      </w:r>
      <w:r w:rsidR="00775893" w:rsidRPr="004737C5">
        <w:rPr>
          <w:rFonts w:cstheme="minorHAnsi"/>
        </w:rPr>
        <w:t>. The s</w:t>
      </w:r>
      <w:r w:rsidRPr="004737C5">
        <w:rPr>
          <w:rFonts w:cstheme="minorHAnsi"/>
        </w:rPr>
        <w:t xml:space="preserve">tate </w:t>
      </w:r>
      <w:r w:rsidR="00775893" w:rsidRPr="004737C5">
        <w:rPr>
          <w:rFonts w:cstheme="minorHAnsi"/>
        </w:rPr>
        <w:t>enacts consumer protection laws</w:t>
      </w:r>
      <w:r w:rsidRPr="004737C5">
        <w:rPr>
          <w:rFonts w:cstheme="minorHAnsi"/>
        </w:rPr>
        <w:t xml:space="preserve"> covering issues </w:t>
      </w:r>
      <w:r w:rsidR="00775893" w:rsidRPr="004737C5">
        <w:rPr>
          <w:rFonts w:cstheme="minorHAnsi"/>
        </w:rPr>
        <w:t>such as</w:t>
      </w:r>
      <w:r w:rsidRPr="004737C5">
        <w:rPr>
          <w:rFonts w:cstheme="minorHAnsi"/>
        </w:rPr>
        <w:t xml:space="preserve"> fair trading, </w:t>
      </w:r>
      <w:r w:rsidR="00775893" w:rsidRPr="004737C5">
        <w:rPr>
          <w:rFonts w:cstheme="minorHAnsi"/>
        </w:rPr>
        <w:t>information, mechanisms</w:t>
      </w:r>
      <w:r w:rsidRPr="004737C5">
        <w:rPr>
          <w:rFonts w:cstheme="minorHAnsi"/>
        </w:rPr>
        <w:t xml:space="preserve"> </w:t>
      </w:r>
      <w:r w:rsidR="00775893" w:rsidRPr="004737C5">
        <w:rPr>
          <w:rFonts w:cstheme="minorHAnsi"/>
        </w:rPr>
        <w:t xml:space="preserve">for redress </w:t>
      </w:r>
      <w:r w:rsidRPr="004737C5">
        <w:rPr>
          <w:rFonts w:cstheme="minorHAnsi"/>
        </w:rPr>
        <w:t>and access to essential goods and services.</w:t>
      </w:r>
      <w:r w:rsidR="00AA0FF6" w:rsidRPr="004737C5">
        <w:rPr>
          <w:rFonts w:cstheme="minorHAnsi"/>
        </w:rPr>
        <w:t xml:space="preserve"> Sometimes such</w:t>
      </w:r>
      <w:r w:rsidR="000811F5" w:rsidRPr="004737C5">
        <w:rPr>
          <w:rFonts w:cstheme="minorHAnsi"/>
        </w:rPr>
        <w:t xml:space="preserve"> protections are denigrated as “red tape”</w:t>
      </w:r>
      <w:r w:rsidR="00775893" w:rsidRPr="004737C5">
        <w:rPr>
          <w:rFonts w:cstheme="minorHAnsi"/>
        </w:rPr>
        <w:t>.</w:t>
      </w:r>
      <w:r w:rsidR="00AA0FF6" w:rsidRPr="004737C5">
        <w:rPr>
          <w:rFonts w:cstheme="minorHAnsi"/>
        </w:rPr>
        <w:t xml:space="preserve"> </w:t>
      </w:r>
      <w:r w:rsidR="00775893" w:rsidRPr="004737C5">
        <w:rPr>
          <w:rFonts w:cstheme="minorHAnsi"/>
        </w:rPr>
        <w:t>R</w:t>
      </w:r>
      <w:r w:rsidR="00323952" w:rsidRPr="004737C5">
        <w:rPr>
          <w:rFonts w:cstheme="minorHAnsi"/>
        </w:rPr>
        <w:t xml:space="preserve">ecent decades have witnessed </w:t>
      </w:r>
      <w:r w:rsidR="00AA0FF6" w:rsidRPr="004737C5">
        <w:rPr>
          <w:rFonts w:cstheme="minorHAnsi"/>
        </w:rPr>
        <w:t>what a 2015</w:t>
      </w:r>
      <w:r w:rsidR="00323952" w:rsidRPr="004737C5">
        <w:rPr>
          <w:rFonts w:cstheme="minorHAnsi"/>
        </w:rPr>
        <w:t xml:space="preserve"> article in the </w:t>
      </w:r>
      <w:r w:rsidR="00323952" w:rsidRPr="004737C5">
        <w:rPr>
          <w:rFonts w:cstheme="minorHAnsi"/>
          <w:i/>
        </w:rPr>
        <w:t>International Small Bu</w:t>
      </w:r>
      <w:r w:rsidR="000545A7" w:rsidRPr="004737C5">
        <w:rPr>
          <w:rFonts w:cstheme="minorHAnsi"/>
          <w:i/>
        </w:rPr>
        <w:t>siness J</w:t>
      </w:r>
      <w:r w:rsidR="00323952" w:rsidRPr="004737C5">
        <w:rPr>
          <w:rFonts w:cstheme="minorHAnsi"/>
          <w:i/>
        </w:rPr>
        <w:t>ournal</w:t>
      </w:r>
      <w:r w:rsidR="00323952" w:rsidRPr="004737C5">
        <w:rPr>
          <w:rFonts w:cstheme="minorHAnsi"/>
        </w:rPr>
        <w:t xml:space="preserve"> refe</w:t>
      </w:r>
      <w:r w:rsidR="000545A7" w:rsidRPr="004737C5">
        <w:rPr>
          <w:rFonts w:cstheme="minorHAnsi"/>
        </w:rPr>
        <w:t>r</w:t>
      </w:r>
      <w:r w:rsidR="00323952" w:rsidRPr="004737C5">
        <w:rPr>
          <w:rFonts w:cstheme="minorHAnsi"/>
        </w:rPr>
        <w:t xml:space="preserve">s to as </w:t>
      </w:r>
      <w:r w:rsidR="000545A7" w:rsidRPr="004737C5">
        <w:rPr>
          <w:rFonts w:cstheme="minorHAnsi"/>
        </w:rPr>
        <w:t xml:space="preserve">a perception of </w:t>
      </w:r>
      <w:r w:rsidR="00775893" w:rsidRPr="004737C5">
        <w:rPr>
          <w:rFonts w:cstheme="minorHAnsi"/>
        </w:rPr>
        <w:t>“</w:t>
      </w:r>
      <w:r w:rsidR="004D505A" w:rsidRPr="004737C5">
        <w:rPr>
          <w:rFonts w:cstheme="minorHAnsi"/>
        </w:rPr>
        <w:t>regulation as a static and negative influence</w:t>
      </w:r>
      <w:r w:rsidR="00775893" w:rsidRPr="004737C5">
        <w:rPr>
          <w:rFonts w:cstheme="minorHAnsi"/>
        </w:rPr>
        <w:t>”</w:t>
      </w:r>
      <w:r w:rsidR="00AA0FF6" w:rsidRPr="004737C5">
        <w:rPr>
          <w:rFonts w:cstheme="minorHAnsi"/>
        </w:rPr>
        <w:t>.</w:t>
      </w:r>
      <w:r w:rsidR="000545A7" w:rsidRPr="004737C5">
        <w:rPr>
          <w:rFonts w:cstheme="minorHAnsi"/>
        </w:rPr>
        <w:t xml:space="preserve"> </w:t>
      </w:r>
      <w:r w:rsidR="00775893" w:rsidRPr="004737C5">
        <w:rPr>
          <w:rFonts w:cstheme="minorHAnsi"/>
        </w:rPr>
        <w:t>T</w:t>
      </w:r>
      <w:r w:rsidR="000545A7" w:rsidRPr="004737C5">
        <w:rPr>
          <w:rFonts w:cstheme="minorHAnsi"/>
        </w:rPr>
        <w:t xml:space="preserve">he </w:t>
      </w:r>
      <w:r w:rsidR="00AA0FF6" w:rsidRPr="004737C5">
        <w:rPr>
          <w:rFonts w:cstheme="minorHAnsi"/>
        </w:rPr>
        <w:t>authors</w:t>
      </w:r>
      <w:r w:rsidR="00775893" w:rsidRPr="004737C5">
        <w:rPr>
          <w:rFonts w:cstheme="minorHAnsi"/>
        </w:rPr>
        <w:t xml:space="preserve"> of the article</w:t>
      </w:r>
      <w:r w:rsidR="00AA0FF6" w:rsidRPr="004737C5">
        <w:rPr>
          <w:rFonts w:cstheme="minorHAnsi"/>
        </w:rPr>
        <w:t xml:space="preserve"> challenge</w:t>
      </w:r>
      <w:r w:rsidR="000545A7" w:rsidRPr="004737C5">
        <w:rPr>
          <w:rFonts w:cstheme="minorHAnsi"/>
        </w:rPr>
        <w:t xml:space="preserve"> </w:t>
      </w:r>
      <w:r w:rsidR="00AA0FF6" w:rsidRPr="004737C5">
        <w:rPr>
          <w:rFonts w:cstheme="minorHAnsi"/>
        </w:rPr>
        <w:t xml:space="preserve">this perception, putting forward </w:t>
      </w:r>
      <w:r w:rsidR="00775893" w:rsidRPr="004737C5">
        <w:rPr>
          <w:rFonts w:cstheme="minorHAnsi"/>
        </w:rPr>
        <w:t>a</w:t>
      </w:r>
      <w:r w:rsidR="00AA0FF6" w:rsidRPr="004737C5">
        <w:rPr>
          <w:rFonts w:cstheme="minorHAnsi"/>
        </w:rPr>
        <w:t xml:space="preserve"> theory of</w:t>
      </w:r>
      <w:r w:rsidR="000545A7" w:rsidRPr="004737C5">
        <w:rPr>
          <w:rFonts w:cstheme="minorHAnsi"/>
        </w:rPr>
        <w:t xml:space="preserve"> </w:t>
      </w:r>
      <w:r w:rsidR="00775893" w:rsidRPr="004737C5">
        <w:rPr>
          <w:rFonts w:cstheme="minorHAnsi"/>
        </w:rPr>
        <w:t>“</w:t>
      </w:r>
      <w:r w:rsidR="004D505A" w:rsidRPr="004737C5">
        <w:rPr>
          <w:rFonts w:cstheme="minorHAnsi"/>
        </w:rPr>
        <w:t>regulation as a dynamic force enabling as w</w:t>
      </w:r>
      <w:r w:rsidR="00775893" w:rsidRPr="004737C5">
        <w:rPr>
          <w:rFonts w:cstheme="minorHAnsi"/>
        </w:rPr>
        <w:t>ell as constraining performance”.</w:t>
      </w:r>
      <w:r w:rsidR="000545A7" w:rsidRPr="004737C5">
        <w:rPr>
          <w:rStyle w:val="FootnoteReference"/>
          <w:rFonts w:cstheme="minorHAnsi"/>
        </w:rPr>
        <w:footnoteReference w:id="5"/>
      </w:r>
      <w:r w:rsidR="00AA0FF6" w:rsidRPr="004737C5">
        <w:rPr>
          <w:rFonts w:cstheme="minorHAnsi"/>
        </w:rPr>
        <w:t xml:space="preserve"> Some constraints are needed</w:t>
      </w:r>
      <w:r w:rsidR="003C0BCE" w:rsidRPr="004737C5">
        <w:rPr>
          <w:rFonts w:cstheme="minorHAnsi"/>
        </w:rPr>
        <w:t xml:space="preserve"> to prevent malpractice</w:t>
      </w:r>
      <w:r w:rsidR="00AA0FF6" w:rsidRPr="004737C5">
        <w:rPr>
          <w:rFonts w:cstheme="minorHAnsi"/>
        </w:rPr>
        <w:t>, but regulation can also help business</w:t>
      </w:r>
      <w:r w:rsidR="00775893" w:rsidRPr="004737C5">
        <w:rPr>
          <w:rFonts w:cstheme="minorHAnsi"/>
        </w:rPr>
        <w:t>es</w:t>
      </w:r>
      <w:r w:rsidR="00061B8C" w:rsidRPr="004737C5">
        <w:rPr>
          <w:rFonts w:cstheme="minorHAnsi"/>
        </w:rPr>
        <w:t>,</w:t>
      </w:r>
      <w:r w:rsidR="00AA0FF6" w:rsidRPr="004737C5">
        <w:rPr>
          <w:rFonts w:cstheme="minorHAnsi"/>
        </w:rPr>
        <w:t xml:space="preserve"> through</w:t>
      </w:r>
      <w:r w:rsidR="00DA3605" w:rsidRPr="004737C5">
        <w:rPr>
          <w:rFonts w:cstheme="minorHAnsi"/>
        </w:rPr>
        <w:t>,</w:t>
      </w:r>
      <w:r w:rsidR="00AA0FF6" w:rsidRPr="004737C5">
        <w:rPr>
          <w:rFonts w:cstheme="minorHAnsi"/>
        </w:rPr>
        <w:t xml:space="preserve"> for example, putting in place consumer protections which individual businesses would like to adopt </w:t>
      </w:r>
      <w:r w:rsidR="003C0BCE" w:rsidRPr="004737C5">
        <w:rPr>
          <w:rFonts w:cstheme="minorHAnsi"/>
        </w:rPr>
        <w:t xml:space="preserve">voluntarily </w:t>
      </w:r>
      <w:r w:rsidR="00AA0FF6" w:rsidRPr="004737C5">
        <w:rPr>
          <w:rFonts w:cstheme="minorHAnsi"/>
        </w:rPr>
        <w:t>but</w:t>
      </w:r>
      <w:r w:rsidR="003C0BCE" w:rsidRPr="004737C5">
        <w:rPr>
          <w:rFonts w:cstheme="minorHAnsi"/>
        </w:rPr>
        <w:t xml:space="preserve"> </w:t>
      </w:r>
      <w:r w:rsidR="00775893" w:rsidRPr="004737C5">
        <w:rPr>
          <w:rFonts w:cstheme="minorHAnsi"/>
        </w:rPr>
        <w:t xml:space="preserve">which </w:t>
      </w:r>
      <w:r w:rsidR="003C0BCE" w:rsidRPr="004737C5">
        <w:rPr>
          <w:rFonts w:cstheme="minorHAnsi"/>
        </w:rPr>
        <w:t>would</w:t>
      </w:r>
      <w:r w:rsidR="00AA0FF6" w:rsidRPr="004737C5">
        <w:rPr>
          <w:rFonts w:cstheme="minorHAnsi"/>
        </w:rPr>
        <w:t xml:space="preserve"> </w:t>
      </w:r>
      <w:r w:rsidR="00775893" w:rsidRPr="004737C5">
        <w:rPr>
          <w:rFonts w:cstheme="minorHAnsi"/>
        </w:rPr>
        <w:t xml:space="preserve">put them </w:t>
      </w:r>
      <w:r w:rsidR="00E86077" w:rsidRPr="004737C5">
        <w:rPr>
          <w:rFonts w:cstheme="minorHAnsi"/>
        </w:rPr>
        <w:t>at a</w:t>
      </w:r>
      <w:r w:rsidR="003C0BCE" w:rsidRPr="004737C5">
        <w:rPr>
          <w:rFonts w:cstheme="minorHAnsi"/>
        </w:rPr>
        <w:t xml:space="preserve"> disadvantage compared with rival businesses. </w:t>
      </w:r>
    </w:p>
    <w:p w14:paraId="3739BCC5" w14:textId="77777777" w:rsidR="00775893" w:rsidRPr="004737C5" w:rsidRDefault="00775893" w:rsidP="00A577C4">
      <w:pPr>
        <w:spacing w:before="200"/>
        <w:rPr>
          <w:rFonts w:cstheme="minorHAnsi"/>
        </w:rPr>
      </w:pPr>
      <w:r w:rsidRPr="004737C5">
        <w:rPr>
          <w:rFonts w:cstheme="minorHAnsi"/>
          <w:b/>
        </w:rPr>
        <w:t xml:space="preserve">2. </w:t>
      </w:r>
      <w:r w:rsidR="00843222" w:rsidRPr="004737C5">
        <w:rPr>
          <w:rFonts w:cstheme="minorHAnsi"/>
          <w:b/>
        </w:rPr>
        <w:t>Individual rights</w:t>
      </w:r>
    </w:p>
    <w:p w14:paraId="3D0BB440" w14:textId="77777777" w:rsidR="00843222" w:rsidRPr="004737C5" w:rsidRDefault="00843222" w:rsidP="006D3BE8">
      <w:pPr>
        <w:rPr>
          <w:rFonts w:eastAsia="Calibri" w:cstheme="minorHAnsi"/>
        </w:rPr>
      </w:pPr>
      <w:r w:rsidRPr="004737C5">
        <w:rPr>
          <w:rFonts w:cstheme="minorHAnsi"/>
          <w:spacing w:val="-3"/>
        </w:rPr>
        <w:lastRenderedPageBreak/>
        <w:t xml:space="preserve">Consumer </w:t>
      </w:r>
      <w:r w:rsidR="00775893" w:rsidRPr="004737C5">
        <w:rPr>
          <w:rFonts w:cstheme="minorHAnsi"/>
          <w:spacing w:val="-3"/>
        </w:rPr>
        <w:t>rights are part of a range of</w:t>
      </w:r>
      <w:r w:rsidRPr="004737C5">
        <w:rPr>
          <w:rFonts w:cstheme="minorHAnsi"/>
          <w:spacing w:val="-3"/>
        </w:rPr>
        <w:t xml:space="preserve"> rights </w:t>
      </w:r>
      <w:r w:rsidR="00775893" w:rsidRPr="004737C5">
        <w:rPr>
          <w:rFonts w:cstheme="minorHAnsi"/>
          <w:spacing w:val="-3"/>
        </w:rPr>
        <w:t>that</w:t>
      </w:r>
      <w:r w:rsidRPr="004737C5">
        <w:rPr>
          <w:rFonts w:cstheme="minorHAnsi"/>
          <w:spacing w:val="-3"/>
        </w:rPr>
        <w:t xml:space="preserve"> individuals are entitled to claim in a modern society. </w:t>
      </w:r>
      <w:r w:rsidRPr="004737C5">
        <w:rPr>
          <w:rFonts w:eastAsia="Calibri" w:cstheme="minorHAnsi"/>
          <w:spacing w:val="-3"/>
        </w:rPr>
        <w:t>Such rights, often of an aspirational nature, have been enshrined in national constitutions (</w:t>
      </w:r>
      <w:r w:rsidR="00FA1A36" w:rsidRPr="004737C5">
        <w:rPr>
          <w:rFonts w:eastAsia="Calibri" w:cstheme="minorHAnsi"/>
          <w:spacing w:val="-3"/>
        </w:rPr>
        <w:t>see</w:t>
      </w:r>
      <w:r w:rsidR="004749F9" w:rsidRPr="004737C5">
        <w:rPr>
          <w:rFonts w:eastAsia="Calibri" w:cstheme="minorHAnsi"/>
          <w:spacing w:val="-3"/>
        </w:rPr>
        <w:t xml:space="preserve"> chapter III</w:t>
      </w:r>
      <w:r w:rsidRPr="004737C5">
        <w:rPr>
          <w:rFonts w:eastAsia="Calibri" w:cstheme="minorHAnsi"/>
          <w:spacing w:val="-3"/>
        </w:rPr>
        <w:t>). Other rights, presen</w:t>
      </w:r>
      <w:r w:rsidR="00FA1A36" w:rsidRPr="004737C5">
        <w:rPr>
          <w:rFonts w:eastAsia="Calibri" w:cstheme="minorHAnsi"/>
          <w:spacing w:val="-3"/>
        </w:rPr>
        <w:t>t in United Nations resolutions</w:t>
      </w:r>
      <w:r w:rsidRPr="004737C5">
        <w:rPr>
          <w:rFonts w:eastAsia="Calibri" w:cstheme="minorHAnsi"/>
          <w:spacing w:val="-3"/>
        </w:rPr>
        <w:t xml:space="preserve"> </w:t>
      </w:r>
      <w:r w:rsidR="00FA1A36" w:rsidRPr="004737C5">
        <w:rPr>
          <w:rFonts w:eastAsia="Calibri" w:cstheme="minorHAnsi"/>
          <w:spacing w:val="-3"/>
        </w:rPr>
        <w:t>and other definitive statements</w:t>
      </w:r>
      <w:r w:rsidRPr="004737C5">
        <w:rPr>
          <w:rFonts w:eastAsia="Calibri" w:cstheme="minorHAnsi"/>
          <w:spacing w:val="-3"/>
        </w:rPr>
        <w:t xml:space="preserve"> such as the Millennium Development Goals (MDGs) and the Sustainable Development Goals (SDGs), may not be labelled </w:t>
      </w:r>
      <w:r w:rsidR="00FA1A36" w:rsidRPr="004737C5">
        <w:rPr>
          <w:rFonts w:eastAsia="Calibri" w:cstheme="minorHAnsi"/>
          <w:spacing w:val="-3"/>
        </w:rPr>
        <w:t>“</w:t>
      </w:r>
      <w:r w:rsidRPr="004737C5">
        <w:rPr>
          <w:rFonts w:eastAsia="Calibri" w:cstheme="minorHAnsi"/>
          <w:spacing w:val="-3"/>
        </w:rPr>
        <w:t>consumer rights</w:t>
      </w:r>
      <w:r w:rsidR="00FA1A36" w:rsidRPr="004737C5">
        <w:rPr>
          <w:rFonts w:eastAsia="Calibri" w:cstheme="minorHAnsi"/>
          <w:spacing w:val="-3"/>
        </w:rPr>
        <w:t>”</w:t>
      </w:r>
      <w:r w:rsidRPr="004737C5">
        <w:rPr>
          <w:rFonts w:eastAsia="Calibri" w:cstheme="minorHAnsi"/>
          <w:spacing w:val="-3"/>
        </w:rPr>
        <w:t xml:space="preserve"> but </w:t>
      </w:r>
      <w:r w:rsidR="00FA1A36" w:rsidRPr="004737C5">
        <w:rPr>
          <w:rFonts w:eastAsia="Calibri" w:cstheme="minorHAnsi"/>
          <w:spacing w:val="-3"/>
        </w:rPr>
        <w:t xml:space="preserve">nevertheless </w:t>
      </w:r>
      <w:r w:rsidRPr="004737C5">
        <w:rPr>
          <w:rFonts w:eastAsia="Calibri" w:cstheme="minorHAnsi"/>
          <w:spacing w:val="-3"/>
        </w:rPr>
        <w:t>have great importance for c</w:t>
      </w:r>
      <w:r w:rsidR="00FA1A36" w:rsidRPr="004737C5">
        <w:rPr>
          <w:rFonts w:eastAsia="Calibri" w:cstheme="minorHAnsi"/>
          <w:spacing w:val="-3"/>
        </w:rPr>
        <w:t xml:space="preserve">onsumer welfare. </w:t>
      </w:r>
    </w:p>
    <w:p w14:paraId="050ECE33" w14:textId="6695ECD3" w:rsidR="00843222" w:rsidRPr="004737C5" w:rsidRDefault="00843222" w:rsidP="006D3BE8">
      <w:pPr>
        <w:tabs>
          <w:tab w:val="left" w:pos="-720"/>
        </w:tabs>
        <w:suppressAutoHyphens/>
        <w:rPr>
          <w:rFonts w:cstheme="minorHAnsi"/>
          <w:color w:val="FF0000"/>
          <w:spacing w:val="-3"/>
        </w:rPr>
      </w:pPr>
      <w:r w:rsidRPr="004737C5">
        <w:rPr>
          <w:rFonts w:cstheme="minorHAnsi"/>
          <w:spacing w:val="-3"/>
        </w:rPr>
        <w:t xml:space="preserve">Consumer protection measures contribute to equity and social justice </w:t>
      </w:r>
      <w:r w:rsidR="00FA1A36" w:rsidRPr="004737C5">
        <w:rPr>
          <w:rFonts w:cstheme="minorHAnsi"/>
          <w:spacing w:val="-3"/>
        </w:rPr>
        <w:t>through</w:t>
      </w:r>
      <w:r w:rsidRPr="004737C5">
        <w:rPr>
          <w:rFonts w:cstheme="minorHAnsi"/>
          <w:spacing w:val="-3"/>
        </w:rPr>
        <w:t xml:space="preserve"> </w:t>
      </w:r>
      <w:r w:rsidR="005B2021" w:rsidRPr="004737C5">
        <w:rPr>
          <w:rFonts w:cstheme="minorHAnsi"/>
          <w:spacing w:val="-3"/>
        </w:rPr>
        <w:t>enhanc</w:t>
      </w:r>
      <w:r w:rsidRPr="004737C5">
        <w:rPr>
          <w:rFonts w:cstheme="minorHAnsi"/>
          <w:spacing w:val="-3"/>
        </w:rPr>
        <w:t>ing bargaining equality between consumer and produ</w:t>
      </w:r>
      <w:r w:rsidR="00FA1A36" w:rsidRPr="004737C5">
        <w:rPr>
          <w:rFonts w:cstheme="minorHAnsi"/>
          <w:spacing w:val="-3"/>
        </w:rPr>
        <w:t>cer interests</w:t>
      </w:r>
      <w:r w:rsidRPr="004737C5">
        <w:rPr>
          <w:rFonts w:cstheme="minorHAnsi"/>
          <w:spacing w:val="-3"/>
        </w:rPr>
        <w:t xml:space="preserve"> and alleviating the problems of those who are particularly vulnerable in the marketplace</w:t>
      </w:r>
      <w:r w:rsidR="00061B8C" w:rsidRPr="004737C5">
        <w:rPr>
          <w:rFonts w:cstheme="minorHAnsi"/>
          <w:spacing w:val="-3"/>
        </w:rPr>
        <w:t>,</w:t>
      </w:r>
      <w:r w:rsidRPr="004737C5">
        <w:rPr>
          <w:rFonts w:cstheme="minorHAnsi"/>
          <w:spacing w:val="-3"/>
        </w:rPr>
        <w:t xml:space="preserve"> such as children, the poor and illiterate, and those with particular needs such as persons with disabilities.</w:t>
      </w:r>
    </w:p>
    <w:p w14:paraId="240930ED" w14:textId="77777777" w:rsidR="00843222" w:rsidRPr="004737C5" w:rsidRDefault="00843222" w:rsidP="006D3BE8">
      <w:pPr>
        <w:tabs>
          <w:tab w:val="left" w:pos="-720"/>
        </w:tabs>
        <w:suppressAutoHyphens/>
        <w:rPr>
          <w:rFonts w:cstheme="minorHAnsi"/>
          <w:spacing w:val="-3"/>
        </w:rPr>
      </w:pPr>
      <w:r w:rsidRPr="004737C5">
        <w:rPr>
          <w:rFonts w:cstheme="minorHAnsi"/>
          <w:spacing w:val="-3"/>
        </w:rPr>
        <w:t>Inequality of bargaining power exists in most areas of consumer transactions,</w:t>
      </w:r>
      <w:r w:rsidRPr="004737C5">
        <w:rPr>
          <w:rStyle w:val="FootnoteReference"/>
          <w:rFonts w:cstheme="minorHAnsi"/>
          <w:spacing w:val="-3"/>
        </w:rPr>
        <w:footnoteReference w:id="6"/>
      </w:r>
      <w:r w:rsidRPr="004737C5">
        <w:rPr>
          <w:rFonts w:cstheme="minorHAnsi"/>
          <w:spacing w:val="-3"/>
        </w:rPr>
        <w:t xml:space="preserve"> particularly in complex products such as financial service transactions where s</w:t>
      </w:r>
      <w:r w:rsidR="00B52C07" w:rsidRPr="004737C5">
        <w:rPr>
          <w:rFonts w:cstheme="minorHAnsi"/>
          <w:spacing w:val="-3"/>
        </w:rPr>
        <w:t xml:space="preserve">tandard form </w:t>
      </w:r>
      <w:r w:rsidRPr="004737C5">
        <w:rPr>
          <w:rFonts w:cstheme="minorHAnsi"/>
          <w:spacing w:val="-3"/>
        </w:rPr>
        <w:t xml:space="preserve">contracts are the norm and are encouraged by the development of large enterprises involved in mass marketing.  </w:t>
      </w:r>
    </w:p>
    <w:p w14:paraId="0FA6C8FF" w14:textId="77777777" w:rsidR="00843222" w:rsidRPr="004737C5" w:rsidRDefault="00843222" w:rsidP="006D3BE8">
      <w:pPr>
        <w:tabs>
          <w:tab w:val="left" w:pos="-720"/>
        </w:tabs>
        <w:suppressAutoHyphens/>
        <w:rPr>
          <w:rFonts w:cstheme="minorHAnsi"/>
          <w:spacing w:val="-3"/>
        </w:rPr>
      </w:pPr>
      <w:r w:rsidRPr="004737C5">
        <w:rPr>
          <w:rFonts w:cstheme="minorHAnsi"/>
          <w:spacing w:val="-3"/>
        </w:rPr>
        <w:t>The disadvantages of s</w:t>
      </w:r>
      <w:r w:rsidR="00AE69D5" w:rsidRPr="004737C5">
        <w:rPr>
          <w:rFonts w:cstheme="minorHAnsi"/>
          <w:spacing w:val="-3"/>
        </w:rPr>
        <w:t xml:space="preserve">tandard form </w:t>
      </w:r>
      <w:r w:rsidRPr="004737C5">
        <w:rPr>
          <w:rFonts w:cstheme="minorHAnsi"/>
          <w:spacing w:val="-3"/>
        </w:rPr>
        <w:t>contracts have been succinctly summarized as follows:</w:t>
      </w:r>
      <w:r w:rsidRPr="004737C5">
        <w:rPr>
          <w:rStyle w:val="FootnoteReference"/>
          <w:rFonts w:cstheme="minorHAnsi"/>
          <w:spacing w:val="-3"/>
        </w:rPr>
        <w:footnoteReference w:id="7"/>
      </w:r>
    </w:p>
    <w:p w14:paraId="0C798A66" w14:textId="77777777" w:rsidR="00843222" w:rsidRPr="004737C5" w:rsidRDefault="00316EC0" w:rsidP="002473E9">
      <w:pPr>
        <w:pStyle w:val="ListParagraph"/>
        <w:numPr>
          <w:ilvl w:val="0"/>
          <w:numId w:val="92"/>
        </w:numPr>
        <w:tabs>
          <w:tab w:val="left" w:pos="-720"/>
          <w:tab w:val="left" w:pos="851"/>
        </w:tabs>
        <w:suppressAutoHyphens/>
        <w:spacing w:after="0"/>
        <w:ind w:left="992" w:right="567" w:hanging="425"/>
        <w:rPr>
          <w:rFonts w:cstheme="minorHAnsi"/>
          <w:spacing w:val="-3"/>
        </w:rPr>
      </w:pPr>
      <w:r w:rsidRPr="004737C5">
        <w:rPr>
          <w:rFonts w:cstheme="minorHAnsi"/>
          <w:spacing w:val="-3"/>
        </w:rPr>
        <w:t xml:space="preserve">   C</w:t>
      </w:r>
      <w:r w:rsidR="00843222" w:rsidRPr="004737C5">
        <w:rPr>
          <w:rFonts w:cstheme="minorHAnsi"/>
          <w:spacing w:val="-3"/>
        </w:rPr>
        <w:t>onsumer</w:t>
      </w:r>
      <w:r w:rsidRPr="004737C5">
        <w:rPr>
          <w:rFonts w:cstheme="minorHAnsi"/>
          <w:spacing w:val="-3"/>
        </w:rPr>
        <w:t>s</w:t>
      </w:r>
      <w:r w:rsidR="00843222" w:rsidRPr="004737C5">
        <w:rPr>
          <w:rFonts w:cstheme="minorHAnsi"/>
          <w:spacing w:val="-3"/>
        </w:rPr>
        <w:t xml:space="preserve"> </w:t>
      </w:r>
      <w:r w:rsidRPr="004737C5">
        <w:rPr>
          <w:rFonts w:cstheme="minorHAnsi"/>
          <w:spacing w:val="-3"/>
        </w:rPr>
        <w:t xml:space="preserve">will </w:t>
      </w:r>
      <w:r w:rsidR="00843222" w:rsidRPr="004737C5">
        <w:rPr>
          <w:rFonts w:cstheme="minorHAnsi"/>
          <w:spacing w:val="-3"/>
        </w:rPr>
        <w:t xml:space="preserve">usually not review standard contract terms which </w:t>
      </w:r>
      <w:r w:rsidR="005B2021" w:rsidRPr="004737C5">
        <w:rPr>
          <w:rFonts w:cstheme="minorHAnsi"/>
          <w:spacing w:val="-3"/>
        </w:rPr>
        <w:t>may be</w:t>
      </w:r>
      <w:r w:rsidR="00D27634" w:rsidRPr="004737C5">
        <w:rPr>
          <w:rFonts w:cstheme="minorHAnsi"/>
          <w:spacing w:val="-3"/>
        </w:rPr>
        <w:t xml:space="preserve"> lodged in a c</w:t>
      </w:r>
      <w:r w:rsidRPr="004737C5">
        <w:rPr>
          <w:rFonts w:cstheme="minorHAnsi"/>
          <w:spacing w:val="-3"/>
        </w:rPr>
        <w:t xml:space="preserve">hamber </w:t>
      </w:r>
      <w:r w:rsidR="00D27634" w:rsidRPr="004737C5">
        <w:rPr>
          <w:rFonts w:cstheme="minorHAnsi"/>
          <w:spacing w:val="-3"/>
        </w:rPr>
        <w:t>of c</w:t>
      </w:r>
      <w:r w:rsidR="00843222" w:rsidRPr="004737C5">
        <w:rPr>
          <w:rFonts w:cstheme="minorHAnsi"/>
          <w:spacing w:val="-3"/>
        </w:rPr>
        <w:t>ommerce or company headquarters (or</w:t>
      </w:r>
      <w:r w:rsidR="008309FB" w:rsidRPr="004737C5">
        <w:rPr>
          <w:rFonts w:cstheme="minorHAnsi"/>
          <w:spacing w:val="-3"/>
        </w:rPr>
        <w:t>,</w:t>
      </w:r>
      <w:r w:rsidR="00843222" w:rsidRPr="004737C5">
        <w:rPr>
          <w:rFonts w:cstheme="minorHAnsi"/>
          <w:spacing w:val="-3"/>
        </w:rPr>
        <w:t xml:space="preserve"> as required in some c</w:t>
      </w:r>
      <w:r w:rsidR="00D27634" w:rsidRPr="004737C5">
        <w:rPr>
          <w:rFonts w:cstheme="minorHAnsi"/>
          <w:spacing w:val="-3"/>
        </w:rPr>
        <w:t>ountries, with a c</w:t>
      </w:r>
      <w:r w:rsidR="00843222" w:rsidRPr="004737C5">
        <w:rPr>
          <w:rFonts w:cstheme="minorHAnsi"/>
          <w:spacing w:val="-3"/>
        </w:rPr>
        <w:t>ourt) and which have subsequently been incorporated</w:t>
      </w:r>
      <w:r w:rsidRPr="004737C5">
        <w:rPr>
          <w:rFonts w:cstheme="minorHAnsi"/>
          <w:spacing w:val="-3"/>
        </w:rPr>
        <w:t xml:space="preserve"> into the contract by reference.</w:t>
      </w:r>
    </w:p>
    <w:p w14:paraId="2DBF2187" w14:textId="77777777" w:rsidR="00843222" w:rsidRPr="004737C5" w:rsidRDefault="00843222" w:rsidP="006D3BE8">
      <w:pPr>
        <w:tabs>
          <w:tab w:val="left" w:pos="-720"/>
          <w:tab w:val="left" w:pos="851"/>
        </w:tabs>
        <w:suppressAutoHyphens/>
        <w:ind w:left="992" w:right="567" w:hanging="425"/>
        <w:contextualSpacing/>
        <w:rPr>
          <w:rFonts w:cstheme="minorHAnsi"/>
          <w:spacing w:val="-3"/>
        </w:rPr>
      </w:pPr>
      <w:r w:rsidRPr="004737C5">
        <w:rPr>
          <w:rFonts w:cstheme="minorHAnsi"/>
          <w:spacing w:val="-3"/>
        </w:rPr>
        <w:t>b)</w:t>
      </w:r>
      <w:r w:rsidRPr="004737C5">
        <w:rPr>
          <w:rFonts w:cstheme="minorHAnsi"/>
          <w:spacing w:val="-3"/>
        </w:rPr>
        <w:tab/>
      </w:r>
      <w:r w:rsidR="00316EC0" w:rsidRPr="004737C5">
        <w:rPr>
          <w:rFonts w:cstheme="minorHAnsi"/>
          <w:spacing w:val="-3"/>
        </w:rPr>
        <w:tab/>
      </w:r>
      <w:r w:rsidR="00E72D3F" w:rsidRPr="004737C5">
        <w:rPr>
          <w:rFonts w:cstheme="minorHAnsi"/>
          <w:spacing w:val="-3"/>
        </w:rPr>
        <w:t>I</w:t>
      </w:r>
      <w:r w:rsidR="005B2021" w:rsidRPr="004737C5">
        <w:rPr>
          <w:rFonts w:cstheme="minorHAnsi"/>
          <w:spacing w:val="-3"/>
        </w:rPr>
        <w:t>n any case, t</w:t>
      </w:r>
      <w:r w:rsidRPr="004737C5">
        <w:rPr>
          <w:rFonts w:cstheme="minorHAnsi"/>
          <w:spacing w:val="-3"/>
        </w:rPr>
        <w:t>he length and typography of the full text of gene</w:t>
      </w:r>
      <w:r w:rsidR="00316EC0" w:rsidRPr="004737C5">
        <w:rPr>
          <w:rFonts w:cstheme="minorHAnsi"/>
          <w:spacing w:val="-3"/>
        </w:rPr>
        <w:t>ral conditions does not invite</w:t>
      </w:r>
      <w:r w:rsidRPr="004737C5">
        <w:rPr>
          <w:rFonts w:cstheme="minorHAnsi"/>
          <w:spacing w:val="-3"/>
        </w:rPr>
        <w:t xml:space="preserve"> c</w:t>
      </w:r>
      <w:r w:rsidR="00FA1A36" w:rsidRPr="004737C5">
        <w:rPr>
          <w:rFonts w:cstheme="minorHAnsi"/>
          <w:spacing w:val="-3"/>
        </w:rPr>
        <w:t>onsumer</w:t>
      </w:r>
      <w:r w:rsidR="00316EC0" w:rsidRPr="004737C5">
        <w:rPr>
          <w:rFonts w:cstheme="minorHAnsi"/>
          <w:spacing w:val="-3"/>
        </w:rPr>
        <w:t>s</w:t>
      </w:r>
      <w:r w:rsidR="00FA1A36" w:rsidRPr="004737C5">
        <w:rPr>
          <w:rFonts w:cstheme="minorHAnsi"/>
          <w:spacing w:val="-3"/>
        </w:rPr>
        <w:t xml:space="preserve"> to read the small print.</w:t>
      </w:r>
    </w:p>
    <w:p w14:paraId="187613E8" w14:textId="77777777" w:rsidR="00843222" w:rsidRPr="004737C5" w:rsidRDefault="00843222" w:rsidP="006D3BE8">
      <w:pPr>
        <w:tabs>
          <w:tab w:val="left" w:pos="-720"/>
          <w:tab w:val="left" w:pos="851"/>
        </w:tabs>
        <w:suppressAutoHyphens/>
        <w:ind w:left="992" w:right="567" w:hanging="425"/>
        <w:contextualSpacing/>
        <w:rPr>
          <w:rFonts w:cstheme="minorHAnsi"/>
          <w:spacing w:val="-3"/>
        </w:rPr>
      </w:pPr>
      <w:r w:rsidRPr="004737C5">
        <w:rPr>
          <w:rFonts w:cstheme="minorHAnsi"/>
          <w:spacing w:val="-3"/>
        </w:rPr>
        <w:t xml:space="preserve">c) </w:t>
      </w:r>
      <w:r w:rsidRPr="004737C5">
        <w:rPr>
          <w:rFonts w:cstheme="minorHAnsi"/>
          <w:spacing w:val="-3"/>
        </w:rPr>
        <w:tab/>
      </w:r>
      <w:r w:rsidR="00316EC0" w:rsidRPr="004737C5">
        <w:rPr>
          <w:rFonts w:cstheme="minorHAnsi"/>
          <w:spacing w:val="-3"/>
        </w:rPr>
        <w:tab/>
        <w:t>C</w:t>
      </w:r>
      <w:r w:rsidRPr="004737C5">
        <w:rPr>
          <w:rFonts w:cstheme="minorHAnsi"/>
          <w:spacing w:val="-3"/>
        </w:rPr>
        <w:t>onsumer</w:t>
      </w:r>
      <w:r w:rsidR="00316EC0" w:rsidRPr="004737C5">
        <w:rPr>
          <w:rFonts w:cstheme="minorHAnsi"/>
          <w:spacing w:val="-3"/>
        </w:rPr>
        <w:t>s</w:t>
      </w:r>
      <w:r w:rsidRPr="004737C5">
        <w:rPr>
          <w:rFonts w:cstheme="minorHAnsi"/>
          <w:spacing w:val="-3"/>
        </w:rPr>
        <w:t xml:space="preserve"> will often not grasp the full meaning of the text of general conditions</w:t>
      </w:r>
      <w:r w:rsidR="005B2021" w:rsidRPr="004737C5">
        <w:rPr>
          <w:rFonts w:cstheme="minorHAnsi"/>
          <w:spacing w:val="-3"/>
        </w:rPr>
        <w:t xml:space="preserve"> even if they are read</w:t>
      </w:r>
      <w:r w:rsidR="00FA1A36" w:rsidRPr="004737C5">
        <w:rPr>
          <w:rFonts w:cstheme="minorHAnsi"/>
          <w:spacing w:val="-3"/>
        </w:rPr>
        <w:t>.</w:t>
      </w:r>
    </w:p>
    <w:p w14:paraId="04E67949" w14:textId="77777777" w:rsidR="00843222" w:rsidRPr="004737C5" w:rsidRDefault="00843222" w:rsidP="006D3BE8">
      <w:pPr>
        <w:tabs>
          <w:tab w:val="left" w:pos="-720"/>
          <w:tab w:val="left" w:pos="851"/>
        </w:tabs>
        <w:suppressAutoHyphens/>
        <w:ind w:left="992" w:right="567" w:hanging="425"/>
        <w:contextualSpacing/>
        <w:rPr>
          <w:rFonts w:cstheme="minorHAnsi"/>
          <w:spacing w:val="-3"/>
        </w:rPr>
      </w:pPr>
      <w:r w:rsidRPr="004737C5">
        <w:rPr>
          <w:rFonts w:cstheme="minorHAnsi"/>
          <w:spacing w:val="-3"/>
        </w:rPr>
        <w:t>d)</w:t>
      </w:r>
      <w:r w:rsidRPr="004737C5">
        <w:rPr>
          <w:rFonts w:cstheme="minorHAnsi"/>
          <w:spacing w:val="-3"/>
        </w:rPr>
        <w:tab/>
      </w:r>
      <w:r w:rsidR="00316EC0" w:rsidRPr="004737C5">
        <w:rPr>
          <w:rFonts w:cstheme="minorHAnsi"/>
          <w:spacing w:val="-3"/>
        </w:rPr>
        <w:tab/>
      </w:r>
      <w:r w:rsidR="005B2021" w:rsidRPr="004737C5">
        <w:rPr>
          <w:rFonts w:cstheme="minorHAnsi"/>
          <w:spacing w:val="-3"/>
        </w:rPr>
        <w:t>Even i</w:t>
      </w:r>
      <w:r w:rsidR="00316EC0" w:rsidRPr="004737C5">
        <w:rPr>
          <w:rFonts w:cstheme="minorHAnsi"/>
          <w:spacing w:val="-3"/>
        </w:rPr>
        <w:t xml:space="preserve">f </w:t>
      </w:r>
      <w:r w:rsidRPr="004737C5">
        <w:rPr>
          <w:rFonts w:cstheme="minorHAnsi"/>
          <w:spacing w:val="-3"/>
        </w:rPr>
        <w:t>consumer</w:t>
      </w:r>
      <w:r w:rsidR="00316EC0" w:rsidRPr="004737C5">
        <w:rPr>
          <w:rFonts w:cstheme="minorHAnsi"/>
          <w:spacing w:val="-3"/>
        </w:rPr>
        <w:t>s</w:t>
      </w:r>
      <w:r w:rsidRPr="004737C5">
        <w:rPr>
          <w:rFonts w:cstheme="minorHAnsi"/>
          <w:spacing w:val="-3"/>
        </w:rPr>
        <w:t xml:space="preserve"> grasp the full meaning of the text of general conditions, they may be</w:t>
      </w:r>
      <w:r w:rsidR="00316EC0" w:rsidRPr="004737C5">
        <w:rPr>
          <w:rFonts w:cstheme="minorHAnsi"/>
          <w:spacing w:val="-3"/>
        </w:rPr>
        <w:t xml:space="preserve">lieve that the event mentioned </w:t>
      </w:r>
      <w:r w:rsidRPr="004737C5">
        <w:rPr>
          <w:rFonts w:cstheme="minorHAnsi"/>
          <w:spacing w:val="-3"/>
        </w:rPr>
        <w:t>will not take place, nor will the supplier invok</w:t>
      </w:r>
      <w:r w:rsidR="00316EC0" w:rsidRPr="004737C5">
        <w:rPr>
          <w:rFonts w:cstheme="minorHAnsi"/>
          <w:spacing w:val="-3"/>
        </w:rPr>
        <w:t>e the terms in particular cases.</w:t>
      </w:r>
    </w:p>
    <w:p w14:paraId="18C79C5F" w14:textId="77777777" w:rsidR="00843222" w:rsidRPr="004737C5" w:rsidRDefault="00843222" w:rsidP="006D3BE8">
      <w:pPr>
        <w:tabs>
          <w:tab w:val="left" w:pos="-720"/>
          <w:tab w:val="left" w:pos="851"/>
        </w:tabs>
        <w:suppressAutoHyphens/>
        <w:ind w:left="992" w:right="567" w:hanging="425"/>
        <w:contextualSpacing/>
        <w:rPr>
          <w:rFonts w:cstheme="minorHAnsi"/>
          <w:spacing w:val="-3"/>
        </w:rPr>
      </w:pPr>
      <w:r w:rsidRPr="004737C5">
        <w:rPr>
          <w:rFonts w:cstheme="minorHAnsi"/>
          <w:spacing w:val="-3"/>
        </w:rPr>
        <w:t>e)</w:t>
      </w:r>
      <w:r w:rsidRPr="004737C5">
        <w:rPr>
          <w:rFonts w:cstheme="minorHAnsi"/>
          <w:spacing w:val="-3"/>
        </w:rPr>
        <w:tab/>
      </w:r>
      <w:r w:rsidR="00316EC0" w:rsidRPr="004737C5">
        <w:rPr>
          <w:rFonts w:cstheme="minorHAnsi"/>
          <w:spacing w:val="-3"/>
        </w:rPr>
        <w:tab/>
        <w:t>C</w:t>
      </w:r>
      <w:r w:rsidRPr="004737C5">
        <w:rPr>
          <w:rFonts w:cstheme="minorHAnsi"/>
          <w:spacing w:val="-3"/>
        </w:rPr>
        <w:t>onsumer</w:t>
      </w:r>
      <w:r w:rsidR="00316EC0" w:rsidRPr="004737C5">
        <w:rPr>
          <w:rFonts w:cstheme="minorHAnsi"/>
          <w:spacing w:val="-3"/>
        </w:rPr>
        <w:t>s</w:t>
      </w:r>
      <w:r w:rsidRPr="004737C5">
        <w:rPr>
          <w:rFonts w:cstheme="minorHAnsi"/>
          <w:spacing w:val="-3"/>
        </w:rPr>
        <w:t xml:space="preserve"> may be under the false impression that the contract terms have been officially endorsed or</w:t>
      </w:r>
      <w:r w:rsidR="00316EC0" w:rsidRPr="004737C5">
        <w:rPr>
          <w:rFonts w:cstheme="minorHAnsi"/>
          <w:spacing w:val="-3"/>
        </w:rPr>
        <w:t xml:space="preserve"> are in compliance with the law.</w:t>
      </w:r>
    </w:p>
    <w:p w14:paraId="3CC69A7D" w14:textId="77777777" w:rsidR="00843222" w:rsidRPr="004737C5" w:rsidRDefault="00316EC0" w:rsidP="006D3BE8">
      <w:pPr>
        <w:tabs>
          <w:tab w:val="left" w:pos="-720"/>
          <w:tab w:val="left" w:pos="851"/>
        </w:tabs>
        <w:suppressAutoHyphens/>
        <w:ind w:left="992" w:right="567" w:hanging="425"/>
        <w:rPr>
          <w:rFonts w:cstheme="minorHAnsi"/>
          <w:spacing w:val="-3"/>
        </w:rPr>
      </w:pPr>
      <w:r w:rsidRPr="004737C5">
        <w:rPr>
          <w:rFonts w:cstheme="minorHAnsi"/>
          <w:spacing w:val="-3"/>
        </w:rPr>
        <w:t>f)</w:t>
      </w:r>
      <w:r w:rsidRPr="004737C5">
        <w:rPr>
          <w:rFonts w:cstheme="minorHAnsi"/>
          <w:spacing w:val="-3"/>
        </w:rPr>
        <w:tab/>
      </w:r>
      <w:r w:rsidRPr="004737C5">
        <w:rPr>
          <w:rFonts w:cstheme="minorHAnsi"/>
          <w:spacing w:val="-3"/>
        </w:rPr>
        <w:tab/>
        <w:t>C</w:t>
      </w:r>
      <w:r w:rsidR="00843222" w:rsidRPr="004737C5">
        <w:rPr>
          <w:rFonts w:cstheme="minorHAnsi"/>
          <w:spacing w:val="-3"/>
        </w:rPr>
        <w:t>onsumer</w:t>
      </w:r>
      <w:r w:rsidRPr="004737C5">
        <w:rPr>
          <w:rFonts w:cstheme="minorHAnsi"/>
          <w:spacing w:val="-3"/>
        </w:rPr>
        <w:t>s</w:t>
      </w:r>
      <w:r w:rsidR="00843222" w:rsidRPr="004737C5">
        <w:rPr>
          <w:rFonts w:cstheme="minorHAnsi"/>
          <w:spacing w:val="-3"/>
        </w:rPr>
        <w:t xml:space="preserve"> will generally not succeed in altering the contract terms nor will the agent or employee of the supplier have the authority to do so.</w:t>
      </w:r>
    </w:p>
    <w:p w14:paraId="2A218D2C" w14:textId="7A78E1C6" w:rsidR="00316EC0" w:rsidRPr="004737C5" w:rsidRDefault="00E72D3F" w:rsidP="006D3BE8">
      <w:pPr>
        <w:autoSpaceDE w:val="0"/>
        <w:autoSpaceDN w:val="0"/>
        <w:adjustRightInd w:val="0"/>
        <w:rPr>
          <w:rFonts w:cstheme="minorHAnsi"/>
        </w:rPr>
      </w:pPr>
      <w:r w:rsidRPr="004737C5">
        <w:rPr>
          <w:rFonts w:cstheme="minorHAnsi"/>
        </w:rPr>
        <w:t xml:space="preserve">Although </w:t>
      </w:r>
      <w:r w:rsidR="00522C2A" w:rsidRPr="004737C5">
        <w:rPr>
          <w:rFonts w:cstheme="minorHAnsi"/>
        </w:rPr>
        <w:t>r</w:t>
      </w:r>
      <w:r w:rsidR="00843222" w:rsidRPr="004737C5">
        <w:rPr>
          <w:rFonts w:cstheme="minorHAnsi"/>
        </w:rPr>
        <w:t>ules on the disclosure of contract terms have</w:t>
      </w:r>
      <w:r w:rsidRPr="004737C5">
        <w:rPr>
          <w:rFonts w:cstheme="minorHAnsi"/>
        </w:rPr>
        <w:t xml:space="preserve"> become tighter over the years</w:t>
      </w:r>
      <w:r w:rsidR="00316EC0" w:rsidRPr="004737C5">
        <w:rPr>
          <w:rFonts w:cstheme="minorHAnsi"/>
        </w:rPr>
        <w:t>,</w:t>
      </w:r>
      <w:r w:rsidRPr="004737C5">
        <w:rPr>
          <w:rFonts w:cstheme="minorHAnsi"/>
        </w:rPr>
        <w:t xml:space="preserve"> </w:t>
      </w:r>
      <w:r w:rsidR="00522C2A" w:rsidRPr="004737C5">
        <w:rPr>
          <w:rFonts w:cstheme="minorHAnsi"/>
        </w:rPr>
        <w:t>t</w:t>
      </w:r>
      <w:r w:rsidR="00316EC0" w:rsidRPr="004737C5">
        <w:rPr>
          <w:rFonts w:cstheme="minorHAnsi"/>
        </w:rPr>
        <w:t xml:space="preserve">he development of </w:t>
      </w:r>
      <w:r w:rsidR="00843222" w:rsidRPr="004737C5">
        <w:rPr>
          <w:rFonts w:cstheme="minorHAnsi"/>
        </w:rPr>
        <w:t xml:space="preserve">standard </w:t>
      </w:r>
      <w:r w:rsidR="00316EC0" w:rsidRPr="004737C5">
        <w:rPr>
          <w:rFonts w:cstheme="minorHAnsi"/>
        </w:rPr>
        <w:t>“adhesion”</w:t>
      </w:r>
      <w:r w:rsidR="00522C2A" w:rsidRPr="004737C5">
        <w:rPr>
          <w:rFonts w:cstheme="minorHAnsi"/>
        </w:rPr>
        <w:t xml:space="preserve"> </w:t>
      </w:r>
      <w:r w:rsidR="00843222" w:rsidRPr="004737C5">
        <w:rPr>
          <w:rFonts w:cstheme="minorHAnsi"/>
        </w:rPr>
        <w:t xml:space="preserve">contracts, </w:t>
      </w:r>
      <w:r w:rsidR="00522C2A" w:rsidRPr="004737C5">
        <w:rPr>
          <w:rFonts w:cstheme="minorHAnsi"/>
        </w:rPr>
        <w:t>under which the consumer is meant to be protected by the principle of</w:t>
      </w:r>
      <w:r w:rsidR="00316EC0" w:rsidRPr="004737C5">
        <w:rPr>
          <w:rFonts w:cstheme="minorHAnsi"/>
        </w:rPr>
        <w:t xml:space="preserve"> “disclosure and consent”,</w:t>
      </w:r>
      <w:r w:rsidR="00522C2A" w:rsidRPr="004737C5">
        <w:rPr>
          <w:rFonts w:cstheme="minorHAnsi"/>
        </w:rPr>
        <w:t xml:space="preserve"> has been accelerated by </w:t>
      </w:r>
      <w:r w:rsidR="00061B8C" w:rsidRPr="004737C5">
        <w:rPr>
          <w:rFonts w:cstheme="minorHAnsi"/>
        </w:rPr>
        <w:t>electronic commerce (</w:t>
      </w:r>
      <w:r w:rsidR="00522C2A" w:rsidRPr="004737C5">
        <w:rPr>
          <w:rFonts w:cstheme="minorHAnsi"/>
        </w:rPr>
        <w:t>e-commerce</w:t>
      </w:r>
      <w:r w:rsidR="00061B8C" w:rsidRPr="004737C5">
        <w:rPr>
          <w:rFonts w:cstheme="minorHAnsi"/>
        </w:rPr>
        <w:t>)</w:t>
      </w:r>
      <w:r w:rsidR="00843222" w:rsidRPr="004737C5">
        <w:rPr>
          <w:rFonts w:cstheme="minorHAnsi"/>
        </w:rPr>
        <w:t xml:space="preserve"> </w:t>
      </w:r>
      <w:r w:rsidRPr="004737C5">
        <w:rPr>
          <w:rFonts w:cstheme="minorHAnsi"/>
        </w:rPr>
        <w:t>and may lead to less effective consumer understanding of contract terms</w:t>
      </w:r>
      <w:r w:rsidR="00843222" w:rsidRPr="004737C5">
        <w:rPr>
          <w:rFonts w:cstheme="minorHAnsi"/>
        </w:rPr>
        <w:t>. The President’s Council of Scientific Advisers</w:t>
      </w:r>
      <w:r w:rsidR="00061B8C" w:rsidRPr="004737C5">
        <w:rPr>
          <w:rFonts w:cstheme="minorHAnsi"/>
        </w:rPr>
        <w:t xml:space="preserve"> of the United States of America</w:t>
      </w:r>
      <w:r w:rsidR="00843222" w:rsidRPr="004737C5">
        <w:rPr>
          <w:rFonts w:cstheme="minorHAnsi"/>
        </w:rPr>
        <w:t xml:space="preserve"> has openly dismissed this approach as a form of consumer protection</w:t>
      </w:r>
      <w:r w:rsidR="00316EC0" w:rsidRPr="004737C5">
        <w:rPr>
          <w:rFonts w:cstheme="minorHAnsi"/>
        </w:rPr>
        <w:t>:</w:t>
      </w:r>
      <w:r w:rsidR="005B2021" w:rsidRPr="004737C5">
        <w:rPr>
          <w:rFonts w:cstheme="minorHAnsi"/>
        </w:rPr>
        <w:t xml:space="preserve"> </w:t>
      </w:r>
    </w:p>
    <w:p w14:paraId="643189B4" w14:textId="78986054" w:rsidR="00316EC0" w:rsidRPr="004737C5" w:rsidRDefault="00843222" w:rsidP="006D3BE8">
      <w:pPr>
        <w:autoSpaceDE w:val="0"/>
        <w:autoSpaceDN w:val="0"/>
        <w:adjustRightInd w:val="0"/>
        <w:ind w:left="567" w:right="567"/>
        <w:rPr>
          <w:rFonts w:cstheme="minorHAnsi"/>
          <w:iCs/>
        </w:rPr>
      </w:pPr>
      <w:r w:rsidRPr="004737C5">
        <w:rPr>
          <w:rFonts w:cstheme="minorHAnsi"/>
          <w:iCs/>
        </w:rPr>
        <w:t>When the user downloads a new app to his or her mobile device, or when he or she creates an account for a web service, a notice is displayed, to which the user must positively indicate consent before using the app or service. In some fantasy world, users actually read these notices, understand their legal implications (consulting their attorneys if necessary), negotiate with other providers of similar services to get better</w:t>
      </w:r>
      <w:r w:rsidR="00061B8C" w:rsidRPr="004737C5">
        <w:rPr>
          <w:rFonts w:cstheme="minorHAnsi"/>
          <w:iCs/>
        </w:rPr>
        <w:t xml:space="preserve"> </w:t>
      </w:r>
      <w:r w:rsidRPr="004737C5">
        <w:rPr>
          <w:rFonts w:cstheme="minorHAnsi"/>
          <w:iCs/>
        </w:rPr>
        <w:t>… treatment, and only then click to indicate their</w:t>
      </w:r>
      <w:r w:rsidR="00316EC0" w:rsidRPr="004737C5">
        <w:rPr>
          <w:rFonts w:cstheme="minorHAnsi"/>
          <w:iCs/>
        </w:rPr>
        <w:t xml:space="preserve"> consent. Reality is different.</w:t>
      </w:r>
      <w:r w:rsidRPr="004737C5">
        <w:rPr>
          <w:rStyle w:val="FootnoteReference"/>
          <w:rFonts w:cstheme="minorHAnsi"/>
          <w:i/>
        </w:rPr>
        <w:footnoteReference w:id="8"/>
      </w:r>
      <w:r w:rsidRPr="004737C5">
        <w:rPr>
          <w:rFonts w:cstheme="minorHAnsi"/>
          <w:iCs/>
        </w:rPr>
        <w:t xml:space="preserve"> </w:t>
      </w:r>
    </w:p>
    <w:p w14:paraId="5B7CAB7C" w14:textId="77777777" w:rsidR="00843222" w:rsidRPr="004737C5" w:rsidRDefault="00843222" w:rsidP="006D3BE8">
      <w:pPr>
        <w:autoSpaceDE w:val="0"/>
        <w:autoSpaceDN w:val="0"/>
        <w:adjustRightInd w:val="0"/>
        <w:rPr>
          <w:rFonts w:cstheme="minorHAnsi"/>
        </w:rPr>
      </w:pPr>
      <w:r w:rsidRPr="004737C5">
        <w:rPr>
          <w:rFonts w:cstheme="minorHAnsi"/>
        </w:rPr>
        <w:lastRenderedPageBreak/>
        <w:t>In the i</w:t>
      </w:r>
      <w:r w:rsidR="00316EC0" w:rsidRPr="004737C5">
        <w:rPr>
          <w:rFonts w:cstheme="minorHAnsi"/>
        </w:rPr>
        <w:t>nternet age, it is a matter of “</w:t>
      </w:r>
      <w:r w:rsidRPr="004737C5">
        <w:rPr>
          <w:rFonts w:cstheme="minorHAnsi"/>
        </w:rPr>
        <w:t>ti</w:t>
      </w:r>
      <w:r w:rsidR="00316EC0" w:rsidRPr="004737C5">
        <w:rPr>
          <w:rFonts w:cstheme="minorHAnsi"/>
        </w:rPr>
        <w:t>ck, click and hope for the best”</w:t>
      </w:r>
      <w:r w:rsidRPr="004737C5">
        <w:rPr>
          <w:rFonts w:cstheme="minorHAnsi"/>
        </w:rPr>
        <w:t>.</w:t>
      </w:r>
      <w:r w:rsidRPr="004737C5">
        <w:rPr>
          <w:rStyle w:val="FootnoteReference"/>
          <w:rFonts w:cstheme="minorHAnsi"/>
        </w:rPr>
        <w:footnoteReference w:id="9"/>
      </w:r>
    </w:p>
    <w:p w14:paraId="58CB9FDE" w14:textId="77777777" w:rsidR="00316EC0" w:rsidRPr="004737C5" w:rsidRDefault="00316EC0" w:rsidP="00A577C4">
      <w:pPr>
        <w:autoSpaceDE w:val="0"/>
        <w:autoSpaceDN w:val="0"/>
        <w:adjustRightInd w:val="0"/>
        <w:spacing w:before="200"/>
        <w:rPr>
          <w:rFonts w:cstheme="minorHAnsi"/>
        </w:rPr>
      </w:pPr>
      <w:r w:rsidRPr="004737C5">
        <w:rPr>
          <w:rFonts w:cstheme="minorHAnsi"/>
          <w:b/>
        </w:rPr>
        <w:t>3. Distributive j</w:t>
      </w:r>
      <w:r w:rsidR="00843222" w:rsidRPr="004737C5">
        <w:rPr>
          <w:rFonts w:cstheme="minorHAnsi"/>
          <w:b/>
        </w:rPr>
        <w:t>ustice</w:t>
      </w:r>
    </w:p>
    <w:p w14:paraId="16C0F01A" w14:textId="4B1E448C" w:rsidR="00843222" w:rsidRPr="004737C5" w:rsidRDefault="00316EC0" w:rsidP="006D3BE8">
      <w:pPr>
        <w:autoSpaceDE w:val="0"/>
        <w:autoSpaceDN w:val="0"/>
        <w:adjustRightInd w:val="0"/>
        <w:rPr>
          <w:rFonts w:cstheme="minorHAnsi"/>
        </w:rPr>
      </w:pPr>
      <w:r w:rsidRPr="004737C5">
        <w:rPr>
          <w:rFonts w:cstheme="minorHAnsi"/>
          <w:spacing w:val="-3"/>
        </w:rPr>
        <w:t>Many s</w:t>
      </w:r>
      <w:r w:rsidR="00843222" w:rsidRPr="004737C5">
        <w:rPr>
          <w:rFonts w:cstheme="minorHAnsi"/>
          <w:spacing w:val="-3"/>
        </w:rPr>
        <w:t>tates concerned with public welfare implement policies that aim at redistribution from the wealthy to the poor and guarantee access to basic goods and services. This apparently egalitarian</w:t>
      </w:r>
      <w:r w:rsidRPr="004737C5">
        <w:rPr>
          <w:rFonts w:cstheme="minorHAnsi"/>
          <w:spacing w:val="-3"/>
        </w:rPr>
        <w:t xml:space="preserve"> approach is endorsed by SDG 10</w:t>
      </w:r>
      <w:r w:rsidR="009B5CAD" w:rsidRPr="004737C5">
        <w:rPr>
          <w:rFonts w:cstheme="minorHAnsi"/>
          <w:spacing w:val="-3"/>
        </w:rPr>
        <w:t>,</w:t>
      </w:r>
      <w:r w:rsidRPr="004737C5">
        <w:rPr>
          <w:rFonts w:cstheme="minorHAnsi"/>
          <w:spacing w:val="-3"/>
        </w:rPr>
        <w:t xml:space="preserve"> “r</w:t>
      </w:r>
      <w:r w:rsidR="00843222" w:rsidRPr="004737C5">
        <w:rPr>
          <w:rFonts w:cstheme="minorHAnsi"/>
          <w:spacing w:val="-3"/>
        </w:rPr>
        <w:t>educe inequality within and among countrie</w:t>
      </w:r>
      <w:r w:rsidR="003F4B7F" w:rsidRPr="004737C5">
        <w:rPr>
          <w:rFonts w:cstheme="minorHAnsi"/>
          <w:spacing w:val="-3"/>
        </w:rPr>
        <w:t>s”</w:t>
      </w:r>
      <w:r w:rsidR="009B5CAD" w:rsidRPr="004737C5">
        <w:rPr>
          <w:rFonts w:cstheme="minorHAnsi"/>
          <w:spacing w:val="-3"/>
        </w:rPr>
        <w:t>,</w:t>
      </w:r>
      <w:r w:rsidR="003F4B7F" w:rsidRPr="004737C5">
        <w:rPr>
          <w:rFonts w:cstheme="minorHAnsi"/>
          <w:spacing w:val="-3"/>
        </w:rPr>
        <w:t xml:space="preserve"> and g</w:t>
      </w:r>
      <w:r w:rsidR="00843222" w:rsidRPr="004737C5">
        <w:rPr>
          <w:rFonts w:cstheme="minorHAnsi"/>
          <w:spacing w:val="-3"/>
        </w:rPr>
        <w:t xml:space="preserve">uideline 1 of </w:t>
      </w:r>
      <w:r w:rsidRPr="004737C5">
        <w:rPr>
          <w:rFonts w:cstheme="minorHAnsi"/>
          <w:spacing w:val="-3"/>
        </w:rPr>
        <w:t xml:space="preserve">the </w:t>
      </w:r>
      <w:r w:rsidR="00843222" w:rsidRPr="004737C5">
        <w:rPr>
          <w:rFonts w:cstheme="minorHAnsi"/>
          <w:spacing w:val="-3"/>
        </w:rPr>
        <w:t>UNG</w:t>
      </w:r>
      <w:r w:rsidRPr="004737C5">
        <w:rPr>
          <w:rFonts w:cstheme="minorHAnsi"/>
          <w:spacing w:val="-3"/>
        </w:rPr>
        <w:t>CP, which states that “c</w:t>
      </w:r>
      <w:r w:rsidR="00843222" w:rsidRPr="004737C5">
        <w:rPr>
          <w:rFonts w:cstheme="minorHAnsi"/>
          <w:spacing w:val="-3"/>
        </w:rPr>
        <w:t xml:space="preserve">onsumers should have </w:t>
      </w:r>
      <w:r w:rsidR="00843222" w:rsidRPr="004737C5">
        <w:rPr>
          <w:rFonts w:cstheme="minorHAnsi"/>
        </w:rPr>
        <w:t xml:space="preserve">the right to promote just, equitable and sustainable </w:t>
      </w:r>
      <w:r w:rsidRPr="004737C5">
        <w:rPr>
          <w:rFonts w:cstheme="minorHAnsi"/>
        </w:rPr>
        <w:t>economic and social development”</w:t>
      </w:r>
      <w:r w:rsidR="00843222" w:rsidRPr="004737C5">
        <w:rPr>
          <w:rFonts w:cstheme="minorHAnsi"/>
        </w:rPr>
        <w:t>.</w:t>
      </w:r>
      <w:r w:rsidR="00843222" w:rsidRPr="004737C5">
        <w:rPr>
          <w:rStyle w:val="FootnoteReference"/>
          <w:rFonts w:cstheme="minorHAnsi"/>
        </w:rPr>
        <w:footnoteReference w:id="10"/>
      </w:r>
      <w:r w:rsidR="00843222" w:rsidRPr="004737C5">
        <w:rPr>
          <w:rFonts w:cstheme="minorHAnsi"/>
        </w:rPr>
        <w:t xml:space="preserve"> </w:t>
      </w:r>
      <w:r w:rsidR="00843222" w:rsidRPr="004737C5">
        <w:rPr>
          <w:rFonts w:cstheme="minorHAnsi"/>
          <w:spacing w:val="-3"/>
        </w:rPr>
        <w:t xml:space="preserve">The relevant </w:t>
      </w:r>
      <w:r w:rsidR="007A792C" w:rsidRPr="004737C5">
        <w:rPr>
          <w:rFonts w:cstheme="minorHAnsi"/>
        </w:rPr>
        <w:t>t</w:t>
      </w:r>
      <w:r w:rsidR="00843222" w:rsidRPr="004737C5">
        <w:rPr>
          <w:rFonts w:cstheme="minorHAnsi"/>
        </w:rPr>
        <w:t xml:space="preserve">argets for </w:t>
      </w:r>
      <w:r w:rsidR="007A792C" w:rsidRPr="004737C5">
        <w:rPr>
          <w:rFonts w:cstheme="minorHAnsi"/>
        </w:rPr>
        <w:t>SDG 10 include the adoption of “social protection policies” and the aim to “</w:t>
      </w:r>
      <w:r w:rsidR="00843222" w:rsidRPr="004737C5">
        <w:rPr>
          <w:rFonts w:cstheme="minorHAnsi"/>
        </w:rPr>
        <w:t>improve the regulation of monitoring of global financial market</w:t>
      </w:r>
      <w:r w:rsidR="00DD5AC1" w:rsidRPr="004737C5">
        <w:rPr>
          <w:rFonts w:cstheme="minorHAnsi"/>
        </w:rPr>
        <w:t>s</w:t>
      </w:r>
      <w:r w:rsidR="00843222" w:rsidRPr="004737C5">
        <w:rPr>
          <w:rFonts w:cstheme="minorHAnsi"/>
        </w:rPr>
        <w:t xml:space="preserve"> and institutions and strengthen the implementation of such regulations</w:t>
      </w:r>
      <w:r w:rsidR="007A792C" w:rsidRPr="004737C5">
        <w:rPr>
          <w:rFonts w:cstheme="minorHAnsi"/>
        </w:rPr>
        <w:t>”.</w:t>
      </w:r>
    </w:p>
    <w:p w14:paraId="02C7D0DE" w14:textId="247A498E" w:rsidR="00843222" w:rsidRPr="004737C5" w:rsidRDefault="00843222" w:rsidP="006D3BE8">
      <w:pPr>
        <w:autoSpaceDE w:val="0"/>
        <w:autoSpaceDN w:val="0"/>
        <w:adjustRightInd w:val="0"/>
        <w:rPr>
          <w:rFonts w:cstheme="minorHAnsi"/>
          <w:i/>
        </w:rPr>
      </w:pPr>
      <w:r w:rsidRPr="004737C5">
        <w:rPr>
          <w:rFonts w:cstheme="minorHAnsi"/>
          <w:spacing w:val="-3"/>
        </w:rPr>
        <w:t xml:space="preserve">Subsidized health care, social insurance and education are features of most modern societies. Examples are given in </w:t>
      </w:r>
      <w:r w:rsidR="007A792C" w:rsidRPr="004737C5">
        <w:rPr>
          <w:rFonts w:cstheme="minorHAnsi"/>
          <w:spacing w:val="-3"/>
        </w:rPr>
        <w:t>c</w:t>
      </w:r>
      <w:r w:rsidR="001C5CB4" w:rsidRPr="004737C5">
        <w:rPr>
          <w:rFonts w:cstheme="minorHAnsi"/>
          <w:spacing w:val="-3"/>
        </w:rPr>
        <w:t>hapter XIV</w:t>
      </w:r>
      <w:r w:rsidR="007A792C" w:rsidRPr="004737C5">
        <w:rPr>
          <w:rFonts w:cstheme="minorHAnsi"/>
          <w:spacing w:val="-3"/>
        </w:rPr>
        <w:t xml:space="preserve"> on financial services</w:t>
      </w:r>
      <w:r w:rsidRPr="004737C5">
        <w:rPr>
          <w:rFonts w:cstheme="minorHAnsi"/>
          <w:spacing w:val="-3"/>
        </w:rPr>
        <w:t xml:space="preserve">. The development of rights to consumer protection, especially in the developing world, can now be seen as part of </w:t>
      </w:r>
      <w:r w:rsidR="007A792C" w:rsidRPr="004737C5">
        <w:rPr>
          <w:rFonts w:cstheme="minorHAnsi"/>
          <w:spacing w:val="-3"/>
        </w:rPr>
        <w:t>a</w:t>
      </w:r>
      <w:r w:rsidRPr="004737C5">
        <w:rPr>
          <w:rFonts w:cstheme="minorHAnsi"/>
          <w:spacing w:val="-3"/>
        </w:rPr>
        <w:t xml:space="preserve"> strategy to eradicate pove</w:t>
      </w:r>
      <w:r w:rsidR="009B5CAD" w:rsidRPr="004737C5">
        <w:rPr>
          <w:rFonts w:cstheme="minorHAnsi"/>
          <w:spacing w:val="-3"/>
        </w:rPr>
        <w:t>rty and to bring socio</w:t>
      </w:r>
      <w:r w:rsidRPr="004737C5">
        <w:rPr>
          <w:rFonts w:cstheme="minorHAnsi"/>
          <w:spacing w:val="-3"/>
        </w:rPr>
        <w:t xml:space="preserve">economic justice to the underprivileged. In this regard, one of the advantages of consumer protection is that it does not </w:t>
      </w:r>
      <w:r w:rsidR="00DD5AC1" w:rsidRPr="004737C5">
        <w:rPr>
          <w:rFonts w:cstheme="minorHAnsi"/>
          <w:spacing w:val="-3"/>
        </w:rPr>
        <w:t>on</w:t>
      </w:r>
      <w:r w:rsidRPr="004737C5">
        <w:rPr>
          <w:rFonts w:cstheme="minorHAnsi"/>
          <w:spacing w:val="-3"/>
        </w:rPr>
        <w:t>ly focus on the income of the poor, but also on their expenditure. In addition to trying</w:t>
      </w:r>
      <w:r w:rsidRPr="004737C5">
        <w:rPr>
          <w:rFonts w:cstheme="minorHAnsi"/>
          <w:color w:val="FF0000"/>
          <w:spacing w:val="-3"/>
        </w:rPr>
        <w:t xml:space="preserve"> </w:t>
      </w:r>
      <w:r w:rsidRPr="004737C5">
        <w:rPr>
          <w:rFonts w:cstheme="minorHAnsi"/>
          <w:spacing w:val="-3"/>
        </w:rPr>
        <w:t xml:space="preserve">to expand the earning power of the poor </w:t>
      </w:r>
      <w:r w:rsidR="007A792C" w:rsidRPr="004737C5">
        <w:rPr>
          <w:rFonts w:cstheme="minorHAnsi"/>
          <w:spacing w:val="-3"/>
        </w:rPr>
        <w:t>through education, job training</w:t>
      </w:r>
      <w:r w:rsidRPr="004737C5">
        <w:rPr>
          <w:rFonts w:cstheme="minorHAnsi"/>
          <w:spacing w:val="-3"/>
        </w:rPr>
        <w:t xml:space="preserve"> and the creation of new jobs, consumer protection takes account of how the poor spend the little income they have.</w:t>
      </w:r>
      <w:r w:rsidRPr="004737C5">
        <w:rPr>
          <w:rFonts w:cstheme="minorHAnsi"/>
        </w:rPr>
        <w:t xml:space="preserve"> For example, SDG 10 contains the highly specific </w:t>
      </w:r>
      <w:r w:rsidR="002D3793" w:rsidRPr="004737C5">
        <w:rPr>
          <w:rFonts w:cstheme="minorHAnsi"/>
        </w:rPr>
        <w:t>aim</w:t>
      </w:r>
      <w:r w:rsidR="007A792C" w:rsidRPr="004737C5">
        <w:rPr>
          <w:rFonts w:cstheme="minorHAnsi"/>
        </w:rPr>
        <w:t xml:space="preserve"> to “</w:t>
      </w:r>
      <w:r w:rsidRPr="004737C5">
        <w:rPr>
          <w:rFonts w:cstheme="minorHAnsi"/>
        </w:rPr>
        <w:t>reduce to 3</w:t>
      </w:r>
      <w:r w:rsidR="007A792C" w:rsidRPr="004737C5">
        <w:rPr>
          <w:rFonts w:cstheme="minorHAnsi"/>
        </w:rPr>
        <w:t xml:space="preserve"> percent </w:t>
      </w:r>
      <w:r w:rsidRPr="004737C5">
        <w:rPr>
          <w:rFonts w:cstheme="minorHAnsi"/>
        </w:rPr>
        <w:t>the transaction costs of migrant remittances and eliminate remittance corridors with costs higher than 5</w:t>
      </w:r>
      <w:r w:rsidR="007A792C" w:rsidRPr="004737C5">
        <w:rPr>
          <w:rFonts w:cstheme="minorHAnsi"/>
        </w:rPr>
        <w:t xml:space="preserve"> percent”.</w:t>
      </w:r>
    </w:p>
    <w:p w14:paraId="46A489B3" w14:textId="1438B62C" w:rsidR="00843222" w:rsidRPr="004737C5" w:rsidRDefault="00843222" w:rsidP="006D3BE8">
      <w:pPr>
        <w:tabs>
          <w:tab w:val="left" w:pos="-720"/>
        </w:tabs>
        <w:suppressAutoHyphens/>
        <w:rPr>
          <w:rFonts w:cstheme="minorHAnsi"/>
          <w:spacing w:val="-3"/>
        </w:rPr>
      </w:pPr>
      <w:r w:rsidRPr="004737C5">
        <w:rPr>
          <w:rFonts w:cstheme="minorHAnsi"/>
          <w:spacing w:val="-3"/>
        </w:rPr>
        <w:t xml:space="preserve">Consumer protection serves to highlight the fact that the poor often receive far inferior goods and services on more onerous terms than those who are better off. It </w:t>
      </w:r>
      <w:r w:rsidR="009B5CAD" w:rsidRPr="004737C5">
        <w:rPr>
          <w:rFonts w:cstheme="minorHAnsi"/>
          <w:spacing w:val="-3"/>
        </w:rPr>
        <w:t>can</w:t>
      </w:r>
      <w:r w:rsidRPr="004737C5">
        <w:rPr>
          <w:rFonts w:cstheme="minorHAnsi"/>
          <w:spacing w:val="-3"/>
        </w:rPr>
        <w:t xml:space="preserve"> highlight how the poor are denied the benefit of their earning power and how they are forced to live in a world of higher costs and greater scarcity</w:t>
      </w:r>
      <w:r w:rsidRPr="004737C5">
        <w:rPr>
          <w:rFonts w:cstheme="minorHAnsi"/>
          <w:color w:val="FF0000"/>
          <w:spacing w:val="-3"/>
        </w:rPr>
        <w:t xml:space="preserve"> </w:t>
      </w:r>
      <w:r w:rsidR="007A792C" w:rsidRPr="004737C5">
        <w:rPr>
          <w:rFonts w:cstheme="minorHAnsi"/>
          <w:spacing w:val="-3"/>
        </w:rPr>
        <w:t>than wealthier populations.</w:t>
      </w:r>
      <w:r w:rsidRPr="004737C5">
        <w:rPr>
          <w:rFonts w:cstheme="minorHAnsi"/>
          <w:spacing w:val="-3"/>
        </w:rPr>
        <w:t xml:space="preserve"> This</w:t>
      </w:r>
      <w:r w:rsidR="007A792C" w:rsidRPr="004737C5">
        <w:rPr>
          <w:rFonts w:cstheme="minorHAnsi"/>
          <w:spacing w:val="-3"/>
        </w:rPr>
        <w:t xml:space="preserve"> is a</w:t>
      </w:r>
      <w:r w:rsidRPr="004737C5">
        <w:rPr>
          <w:rFonts w:cstheme="minorHAnsi"/>
          <w:spacing w:val="-3"/>
        </w:rPr>
        <w:t xml:space="preserve"> </w:t>
      </w:r>
      <w:r w:rsidR="007A792C" w:rsidRPr="004737C5">
        <w:rPr>
          <w:rFonts w:cstheme="minorHAnsi"/>
          <w:spacing w:val="-3"/>
        </w:rPr>
        <w:t xml:space="preserve">recurrent </w:t>
      </w:r>
      <w:r w:rsidRPr="004737C5">
        <w:rPr>
          <w:rFonts w:cstheme="minorHAnsi"/>
          <w:spacing w:val="-3"/>
        </w:rPr>
        <w:t>theme in consumer protection literature</w:t>
      </w:r>
      <w:r w:rsidR="00571FE8" w:rsidRPr="004737C5">
        <w:rPr>
          <w:rFonts w:cstheme="minorHAnsi"/>
          <w:spacing w:val="-3"/>
        </w:rPr>
        <w:t>, including</w:t>
      </w:r>
      <w:r w:rsidRPr="004737C5">
        <w:rPr>
          <w:rFonts w:cstheme="minorHAnsi"/>
          <w:spacing w:val="-3"/>
        </w:rPr>
        <w:t xml:space="preserve"> the famous </w:t>
      </w:r>
      <w:r w:rsidR="00571FE8" w:rsidRPr="004737C5">
        <w:rPr>
          <w:rFonts w:cstheme="minorHAnsi"/>
          <w:spacing w:val="-3"/>
        </w:rPr>
        <w:t xml:space="preserve">Kennedy </w:t>
      </w:r>
      <w:r w:rsidRPr="004737C5">
        <w:rPr>
          <w:rFonts w:cstheme="minorHAnsi"/>
          <w:spacing w:val="-3"/>
        </w:rPr>
        <w:t xml:space="preserve">speech </w:t>
      </w:r>
      <w:r w:rsidR="00571FE8" w:rsidRPr="004737C5">
        <w:rPr>
          <w:rFonts w:cstheme="minorHAnsi"/>
          <w:spacing w:val="-3"/>
        </w:rPr>
        <w:t>cited</w:t>
      </w:r>
      <w:r w:rsidR="007A792C" w:rsidRPr="004737C5">
        <w:rPr>
          <w:rFonts w:cstheme="minorHAnsi"/>
          <w:spacing w:val="-3"/>
        </w:rPr>
        <w:t xml:space="preserve"> earlier</w:t>
      </w:r>
      <w:r w:rsidR="00571FE8" w:rsidRPr="004737C5">
        <w:rPr>
          <w:rFonts w:cstheme="minorHAnsi"/>
          <w:spacing w:val="-3"/>
        </w:rPr>
        <w:t>.</w:t>
      </w:r>
      <w:r w:rsidRPr="004737C5">
        <w:rPr>
          <w:rStyle w:val="FootnoteReference"/>
          <w:rFonts w:cstheme="minorHAnsi"/>
          <w:spacing w:val="-3"/>
        </w:rPr>
        <w:footnoteReference w:id="11"/>
      </w:r>
    </w:p>
    <w:p w14:paraId="31436296" w14:textId="350BBD1F" w:rsidR="00843222" w:rsidRPr="004737C5" w:rsidRDefault="00843222" w:rsidP="006D3BE8">
      <w:pPr>
        <w:tabs>
          <w:tab w:val="left" w:pos="-720"/>
        </w:tabs>
        <w:suppressAutoHyphens/>
        <w:rPr>
          <w:rFonts w:cstheme="minorHAnsi"/>
          <w:spacing w:val="-3"/>
        </w:rPr>
      </w:pPr>
      <w:r w:rsidRPr="004737C5">
        <w:rPr>
          <w:rFonts w:cstheme="minorHAnsi"/>
          <w:spacing w:val="-3"/>
        </w:rPr>
        <w:t xml:space="preserve">In 1968, the Federal Trade Commission </w:t>
      </w:r>
      <w:r w:rsidR="009B5CAD" w:rsidRPr="004737C5">
        <w:rPr>
          <w:rFonts w:cstheme="minorHAnsi"/>
          <w:spacing w:val="-3"/>
        </w:rPr>
        <w:t xml:space="preserve">of the United States of America </w:t>
      </w:r>
      <w:r w:rsidRPr="004737C5">
        <w:rPr>
          <w:rFonts w:cstheme="minorHAnsi"/>
          <w:spacing w:val="-3"/>
        </w:rPr>
        <w:t>documented the particular problems facing low-income families. Cons</w:t>
      </w:r>
      <w:r w:rsidR="007A792C" w:rsidRPr="004737C5">
        <w:rPr>
          <w:rFonts w:cstheme="minorHAnsi"/>
          <w:spacing w:val="-3"/>
        </w:rPr>
        <w:t xml:space="preserve">umers purchasing from retailers that cater </w:t>
      </w:r>
      <w:r w:rsidRPr="004737C5">
        <w:rPr>
          <w:rFonts w:cstheme="minorHAnsi"/>
          <w:spacing w:val="-3"/>
        </w:rPr>
        <w:t>mai</w:t>
      </w:r>
      <w:r w:rsidR="009B5CAD" w:rsidRPr="004737C5">
        <w:rPr>
          <w:rFonts w:cstheme="minorHAnsi"/>
          <w:spacing w:val="-3"/>
        </w:rPr>
        <w:t>nly to people</w:t>
      </w:r>
      <w:r w:rsidR="007A792C" w:rsidRPr="004737C5">
        <w:rPr>
          <w:rFonts w:cstheme="minorHAnsi"/>
          <w:spacing w:val="-3"/>
        </w:rPr>
        <w:t xml:space="preserve"> with low incomes</w:t>
      </w:r>
      <w:r w:rsidRPr="004737C5">
        <w:rPr>
          <w:rFonts w:cstheme="minorHAnsi"/>
          <w:spacing w:val="-3"/>
        </w:rPr>
        <w:t xml:space="preserve"> pay significantly higher prices than those charged </w:t>
      </w:r>
      <w:r w:rsidR="007A792C" w:rsidRPr="004737C5">
        <w:rPr>
          <w:rFonts w:cstheme="minorHAnsi"/>
          <w:spacing w:val="-3"/>
        </w:rPr>
        <w:t xml:space="preserve">to the rest of society </w:t>
      </w:r>
      <w:r w:rsidRPr="004737C5">
        <w:rPr>
          <w:rFonts w:cstheme="minorHAnsi"/>
          <w:spacing w:val="-3"/>
        </w:rPr>
        <w:t>for identical products</w:t>
      </w:r>
      <w:r w:rsidR="007A792C" w:rsidRPr="004737C5">
        <w:rPr>
          <w:rFonts w:cstheme="minorHAnsi"/>
          <w:spacing w:val="-3"/>
        </w:rPr>
        <w:t xml:space="preserve">. David Caplovitz’s often quoted study </w:t>
      </w:r>
      <w:r w:rsidRPr="004737C5">
        <w:rPr>
          <w:rFonts w:cstheme="minorHAnsi"/>
          <w:i/>
          <w:spacing w:val="-3"/>
        </w:rPr>
        <w:t>The Poor Pay More</w:t>
      </w:r>
      <w:r w:rsidRPr="004737C5">
        <w:rPr>
          <w:rStyle w:val="EndnoteReference"/>
          <w:rFonts w:cstheme="minorHAnsi"/>
          <w:spacing w:val="-3"/>
        </w:rPr>
        <w:t xml:space="preserve"> </w:t>
      </w:r>
      <w:r w:rsidR="007A792C" w:rsidRPr="004737C5">
        <w:rPr>
          <w:rFonts w:cstheme="minorHAnsi"/>
          <w:spacing w:val="-3"/>
        </w:rPr>
        <w:t xml:space="preserve">and Alan Adreasen’s </w:t>
      </w:r>
      <w:r w:rsidR="007A792C" w:rsidRPr="004737C5">
        <w:rPr>
          <w:rFonts w:cstheme="minorHAnsi"/>
          <w:i/>
          <w:spacing w:val="-3"/>
        </w:rPr>
        <w:t>Disadvantaged Consumer</w:t>
      </w:r>
      <w:r w:rsidRPr="004737C5">
        <w:rPr>
          <w:rFonts w:cstheme="minorHAnsi"/>
          <w:spacing w:val="-3"/>
        </w:rPr>
        <w:t xml:space="preserve"> confirmed decades ago that the poor indeed pay more.</w:t>
      </w:r>
      <w:r w:rsidRPr="004737C5">
        <w:rPr>
          <w:rStyle w:val="FootnoteReference"/>
          <w:rFonts w:cstheme="minorHAnsi"/>
          <w:spacing w:val="-3"/>
        </w:rPr>
        <w:footnoteReference w:id="12"/>
      </w:r>
      <w:r w:rsidRPr="004737C5">
        <w:rPr>
          <w:rFonts w:cstheme="minorHAnsi"/>
          <w:spacing w:val="-3"/>
        </w:rPr>
        <w:t xml:space="preserve"> In 2008</w:t>
      </w:r>
      <w:r w:rsidR="007A792C" w:rsidRPr="004737C5">
        <w:rPr>
          <w:rFonts w:cstheme="minorHAnsi"/>
          <w:spacing w:val="-3"/>
        </w:rPr>
        <w:t>, the consumer protection body Energywatch</w:t>
      </w:r>
      <w:r w:rsidRPr="004737C5">
        <w:rPr>
          <w:rFonts w:cstheme="minorHAnsi"/>
          <w:spacing w:val="-3"/>
        </w:rPr>
        <w:t xml:space="preserve"> of the United Kingdom </w:t>
      </w:r>
      <w:r w:rsidR="00D83497" w:rsidRPr="004737C5">
        <w:rPr>
          <w:rFonts w:cstheme="minorHAnsi"/>
          <w:spacing w:val="-3"/>
        </w:rPr>
        <w:t xml:space="preserve">of Great Britain and Northern Ireland </w:t>
      </w:r>
      <w:r w:rsidRPr="004737C5">
        <w:rPr>
          <w:rFonts w:cstheme="minorHAnsi"/>
          <w:spacing w:val="-3"/>
        </w:rPr>
        <w:t>published a study showing how the same patterns persisted for 40 years in that country.</w:t>
      </w:r>
      <w:r w:rsidRPr="004737C5">
        <w:rPr>
          <w:rStyle w:val="FootnoteReference"/>
          <w:rFonts w:cstheme="minorHAnsi"/>
          <w:spacing w:val="-3"/>
        </w:rPr>
        <w:footnoteReference w:id="13"/>
      </w:r>
      <w:r w:rsidRPr="004737C5">
        <w:rPr>
          <w:rFonts w:cstheme="minorHAnsi"/>
          <w:spacing w:val="-3"/>
        </w:rPr>
        <w:t xml:space="preserve"> Even more noteworthy are the large </w:t>
      </w:r>
      <w:r w:rsidR="007A792C" w:rsidRPr="004737C5">
        <w:rPr>
          <w:rFonts w:cstheme="minorHAnsi"/>
          <w:spacing w:val="-3"/>
        </w:rPr>
        <w:t>difference</w:t>
      </w:r>
      <w:r w:rsidRPr="004737C5">
        <w:rPr>
          <w:rFonts w:cstheme="minorHAnsi"/>
          <w:spacing w:val="-3"/>
        </w:rPr>
        <w:t xml:space="preserve">s in the unit prices </w:t>
      </w:r>
      <w:r w:rsidR="007A792C" w:rsidRPr="004737C5">
        <w:rPr>
          <w:rFonts w:cstheme="minorHAnsi"/>
          <w:spacing w:val="-3"/>
        </w:rPr>
        <w:t>paid for water and energy by</w:t>
      </w:r>
      <w:r w:rsidRPr="004737C5">
        <w:rPr>
          <w:rFonts w:cstheme="minorHAnsi"/>
          <w:spacing w:val="-3"/>
        </w:rPr>
        <w:t xml:space="preserve"> poor inhabitants of slum settlements in many developing countries beca</w:t>
      </w:r>
      <w:r w:rsidR="007A792C" w:rsidRPr="004737C5">
        <w:rPr>
          <w:rFonts w:cstheme="minorHAnsi"/>
          <w:spacing w:val="-3"/>
        </w:rPr>
        <w:t>use of their lack of access to official</w:t>
      </w:r>
      <w:r w:rsidRPr="004737C5">
        <w:rPr>
          <w:rFonts w:cstheme="minorHAnsi"/>
          <w:spacing w:val="-3"/>
        </w:rPr>
        <w:t xml:space="preserve"> network services, which are frequently subsidized.</w:t>
      </w:r>
      <w:r w:rsidRPr="004737C5">
        <w:rPr>
          <w:rStyle w:val="FootnoteReference"/>
          <w:rFonts w:cstheme="minorHAnsi"/>
          <w:spacing w:val="-3"/>
        </w:rPr>
        <w:footnoteReference w:id="14"/>
      </w:r>
      <w:r w:rsidRPr="004737C5">
        <w:rPr>
          <w:rFonts w:cstheme="minorHAnsi"/>
          <w:spacing w:val="-3"/>
        </w:rPr>
        <w:t xml:space="preserve"> Both of these </w:t>
      </w:r>
      <w:r w:rsidR="007A792C" w:rsidRPr="004737C5">
        <w:rPr>
          <w:rFonts w:cstheme="minorHAnsi"/>
          <w:spacing w:val="-3"/>
        </w:rPr>
        <w:t>issu</w:t>
      </w:r>
      <w:r w:rsidR="004749F9" w:rsidRPr="004737C5">
        <w:rPr>
          <w:rFonts w:cstheme="minorHAnsi"/>
          <w:spacing w:val="-3"/>
        </w:rPr>
        <w:t>es are discussed in chapter XV</w:t>
      </w:r>
      <w:r w:rsidRPr="004737C5">
        <w:rPr>
          <w:rFonts w:cstheme="minorHAnsi"/>
          <w:spacing w:val="-3"/>
        </w:rPr>
        <w:t xml:space="preserve"> on public utilities. These findings support the contention that consumer protecti</w:t>
      </w:r>
      <w:r w:rsidR="007A792C" w:rsidRPr="004737C5">
        <w:rPr>
          <w:rFonts w:cstheme="minorHAnsi"/>
          <w:spacing w:val="-3"/>
        </w:rPr>
        <w:t>on can and should be part of</w:t>
      </w:r>
      <w:r w:rsidRPr="004737C5">
        <w:rPr>
          <w:rFonts w:cstheme="minorHAnsi"/>
          <w:spacing w:val="-3"/>
        </w:rPr>
        <w:t xml:space="preserve"> </w:t>
      </w:r>
      <w:r w:rsidR="007A792C" w:rsidRPr="004737C5">
        <w:rPr>
          <w:rFonts w:cstheme="minorHAnsi"/>
          <w:spacing w:val="-3"/>
        </w:rPr>
        <w:t xml:space="preserve">the </w:t>
      </w:r>
      <w:r w:rsidRPr="004737C5">
        <w:rPr>
          <w:rFonts w:cstheme="minorHAnsi"/>
          <w:spacing w:val="-3"/>
        </w:rPr>
        <w:t xml:space="preserve">legitimate methods </w:t>
      </w:r>
      <w:r w:rsidR="007A792C" w:rsidRPr="004737C5">
        <w:rPr>
          <w:rFonts w:cstheme="minorHAnsi"/>
          <w:spacing w:val="-3"/>
        </w:rPr>
        <w:t>for</w:t>
      </w:r>
      <w:r w:rsidRPr="004737C5">
        <w:rPr>
          <w:rFonts w:cstheme="minorHAnsi"/>
          <w:spacing w:val="-3"/>
        </w:rPr>
        <w:t xml:space="preserve"> achieving the redistributive goals of any society.</w:t>
      </w:r>
    </w:p>
    <w:p w14:paraId="0129D4B6" w14:textId="77777777" w:rsidR="00843222" w:rsidRPr="004737C5" w:rsidRDefault="00843222" w:rsidP="006D3BE8">
      <w:pPr>
        <w:rPr>
          <w:rFonts w:cstheme="minorHAnsi"/>
          <w:b/>
          <w:i/>
        </w:rPr>
      </w:pPr>
      <w:r w:rsidRPr="004737C5">
        <w:rPr>
          <w:rFonts w:cstheme="minorHAnsi"/>
        </w:rPr>
        <w:lastRenderedPageBreak/>
        <w:t xml:space="preserve">Consumer protection is also premised on the right to participate in the process of making social and economic decisions. This right extends not only to </w:t>
      </w:r>
      <w:r w:rsidR="007A792C" w:rsidRPr="004737C5">
        <w:rPr>
          <w:rFonts w:cstheme="minorHAnsi"/>
        </w:rPr>
        <w:t>g</w:t>
      </w:r>
      <w:r w:rsidRPr="004737C5">
        <w:rPr>
          <w:rFonts w:cstheme="minorHAnsi"/>
        </w:rPr>
        <w:t>overnment decisions, but also to those from other centres of power, such as large enterp</w:t>
      </w:r>
      <w:r w:rsidR="001C5CB4" w:rsidRPr="004737C5">
        <w:rPr>
          <w:rFonts w:cstheme="minorHAnsi"/>
        </w:rPr>
        <w:t>rises. As observed in chapters II</w:t>
      </w:r>
      <w:r w:rsidRPr="004737C5">
        <w:rPr>
          <w:rFonts w:cstheme="minorHAnsi"/>
        </w:rPr>
        <w:t xml:space="preserve"> and </w:t>
      </w:r>
      <w:r w:rsidR="001C5CB4" w:rsidRPr="004737C5">
        <w:rPr>
          <w:rFonts w:cstheme="minorHAnsi"/>
        </w:rPr>
        <w:t>XV</w:t>
      </w:r>
      <w:r w:rsidRPr="004737C5">
        <w:rPr>
          <w:rFonts w:cstheme="minorHAnsi"/>
        </w:rPr>
        <w:t xml:space="preserve">, the UNGCP recommend consumer participation in the provision of essential services such as utilities. </w:t>
      </w:r>
    </w:p>
    <w:p w14:paraId="3CD1F0C8" w14:textId="77777777" w:rsidR="007A792C" w:rsidRPr="004737C5" w:rsidRDefault="007A792C" w:rsidP="00A577C4">
      <w:pPr>
        <w:spacing w:before="200"/>
        <w:rPr>
          <w:rFonts w:cstheme="minorHAnsi"/>
        </w:rPr>
      </w:pPr>
      <w:r w:rsidRPr="004737C5">
        <w:rPr>
          <w:rFonts w:cstheme="minorHAnsi"/>
          <w:b/>
        </w:rPr>
        <w:t xml:space="preserve">4. </w:t>
      </w:r>
      <w:r w:rsidR="00843222" w:rsidRPr="004737C5">
        <w:rPr>
          <w:rFonts w:cstheme="minorHAnsi"/>
          <w:b/>
        </w:rPr>
        <w:t>Right to development</w:t>
      </w:r>
    </w:p>
    <w:p w14:paraId="5D0EF801" w14:textId="77777777" w:rsidR="00843222" w:rsidRPr="004737C5" w:rsidRDefault="001C5CB4" w:rsidP="005646D5">
      <w:pPr>
        <w:rPr>
          <w:rFonts w:cstheme="minorHAnsi"/>
        </w:rPr>
      </w:pPr>
      <w:r w:rsidRPr="004737C5">
        <w:rPr>
          <w:rFonts w:cstheme="minorHAnsi"/>
        </w:rPr>
        <w:t>As discussed in chapter II</w:t>
      </w:r>
      <w:r w:rsidR="00843222" w:rsidRPr="004737C5">
        <w:rPr>
          <w:rFonts w:cstheme="minorHAnsi"/>
        </w:rPr>
        <w:t>, the MDGs and the SDGs are both referenced in the United Nations General Assembly resolution 70/186 of December 2015, which adopted the revised version of the UNGCP.</w:t>
      </w:r>
      <w:r w:rsidR="00843222" w:rsidRPr="004737C5">
        <w:rPr>
          <w:rStyle w:val="FootnoteReference"/>
          <w:rFonts w:cstheme="minorHAnsi"/>
        </w:rPr>
        <w:footnoteReference w:id="15"/>
      </w:r>
      <w:r w:rsidR="00843222" w:rsidRPr="004737C5">
        <w:rPr>
          <w:rFonts w:cstheme="minorHAnsi"/>
        </w:rPr>
        <w:t xml:space="preserve"> </w:t>
      </w:r>
      <w:r w:rsidRPr="004737C5">
        <w:rPr>
          <w:rFonts w:cstheme="minorHAnsi"/>
        </w:rPr>
        <w:t>T</w:t>
      </w:r>
      <w:r w:rsidR="00843222" w:rsidRPr="004737C5">
        <w:rPr>
          <w:rFonts w:cstheme="minorHAnsi"/>
        </w:rPr>
        <w:t>he reference to development in the opening paragraph of the UNGCP marks a unanimous acceptance that development and consumer protection are complementary.</w:t>
      </w:r>
    </w:p>
    <w:p w14:paraId="224D3161" w14:textId="77777777" w:rsidR="008D7331" w:rsidRPr="004737C5" w:rsidRDefault="007A792C" w:rsidP="005646D5">
      <w:pPr>
        <w:pStyle w:val="Heading2"/>
        <w:spacing w:after="160"/>
        <w:rPr>
          <w:rFonts w:cstheme="minorHAnsi"/>
          <w:color w:val="auto"/>
          <w:sz w:val="24"/>
          <w:szCs w:val="24"/>
        </w:rPr>
      </w:pPr>
      <w:bookmarkStart w:id="9" w:name="_Toc492649963"/>
      <w:r w:rsidRPr="004737C5">
        <w:rPr>
          <w:rFonts w:cstheme="minorHAnsi"/>
          <w:color w:val="auto"/>
          <w:sz w:val="24"/>
          <w:szCs w:val="24"/>
        </w:rPr>
        <w:t>B.</w:t>
      </w:r>
      <w:r w:rsidR="004D505A" w:rsidRPr="004737C5">
        <w:rPr>
          <w:rFonts w:cstheme="minorHAnsi"/>
          <w:color w:val="auto"/>
          <w:sz w:val="24"/>
          <w:szCs w:val="24"/>
        </w:rPr>
        <w:t xml:space="preserve"> The concept of consumer rights and consumer protection law</w:t>
      </w:r>
      <w:bookmarkEnd w:id="9"/>
    </w:p>
    <w:p w14:paraId="066C291D" w14:textId="77777777" w:rsidR="00843222" w:rsidRPr="004737C5" w:rsidRDefault="00843222" w:rsidP="006D3BE8">
      <w:pPr>
        <w:rPr>
          <w:rFonts w:cstheme="minorHAnsi"/>
          <w:b/>
          <w:i/>
          <w:color w:val="5B9BD5" w:themeColor="accent1"/>
          <w:sz w:val="24"/>
          <w:szCs w:val="24"/>
        </w:rPr>
      </w:pPr>
      <w:r w:rsidRPr="004737C5">
        <w:rPr>
          <w:rFonts w:cstheme="minorHAnsi"/>
        </w:rPr>
        <w:t xml:space="preserve">Consumer law, whether part of private or </w:t>
      </w:r>
      <w:r w:rsidR="007A792C" w:rsidRPr="004737C5">
        <w:rPr>
          <w:rFonts w:cstheme="minorHAnsi"/>
        </w:rPr>
        <w:t xml:space="preserve">public law, is meant to apply </w:t>
      </w:r>
      <w:r w:rsidRPr="004737C5">
        <w:rPr>
          <w:rFonts w:cstheme="minorHAnsi"/>
        </w:rPr>
        <w:t>measures that seek to:</w:t>
      </w:r>
    </w:p>
    <w:p w14:paraId="7E71ECF6" w14:textId="5E6BBEA7" w:rsidR="00843222" w:rsidRPr="004737C5" w:rsidRDefault="00843222" w:rsidP="005646D5">
      <w:pPr>
        <w:pStyle w:val="ListParagraph"/>
        <w:numPr>
          <w:ilvl w:val="0"/>
          <w:numId w:val="2"/>
        </w:numPr>
        <w:ind w:left="709" w:hanging="425"/>
        <w:rPr>
          <w:rFonts w:cstheme="minorHAnsi"/>
        </w:rPr>
      </w:pPr>
      <w:r w:rsidRPr="004737C5">
        <w:rPr>
          <w:rFonts w:cstheme="minorHAnsi"/>
        </w:rPr>
        <w:t>Impose certain</w:t>
      </w:r>
      <w:r w:rsidR="005646D5" w:rsidRPr="004737C5">
        <w:rPr>
          <w:rFonts w:cstheme="minorHAnsi"/>
        </w:rPr>
        <w:t xml:space="preserve"> rights and obligations on </w:t>
      </w:r>
      <w:r w:rsidRPr="004737C5">
        <w:rPr>
          <w:rFonts w:cstheme="minorHAnsi"/>
        </w:rPr>
        <w:t xml:space="preserve">parties </w:t>
      </w:r>
      <w:r w:rsidR="007A792C" w:rsidRPr="004737C5">
        <w:rPr>
          <w:rFonts w:cstheme="minorHAnsi"/>
        </w:rPr>
        <w:t>and secure their enforceability</w:t>
      </w:r>
      <w:r w:rsidRPr="004737C5">
        <w:rPr>
          <w:rFonts w:cstheme="minorHAnsi"/>
        </w:rPr>
        <w:t xml:space="preserve"> </w:t>
      </w:r>
    </w:p>
    <w:p w14:paraId="739C98BE" w14:textId="77777777" w:rsidR="00843222" w:rsidRPr="004737C5" w:rsidRDefault="00843222" w:rsidP="005646D5">
      <w:pPr>
        <w:pStyle w:val="ListParagraph"/>
        <w:numPr>
          <w:ilvl w:val="0"/>
          <w:numId w:val="2"/>
        </w:numPr>
        <w:ind w:left="709" w:hanging="425"/>
        <w:rPr>
          <w:rFonts w:cstheme="minorHAnsi"/>
        </w:rPr>
      </w:pPr>
      <w:r w:rsidRPr="004737C5">
        <w:rPr>
          <w:rFonts w:cstheme="minorHAnsi"/>
        </w:rPr>
        <w:t>Equalize an essentially unequal relationship between stronger and weaker parties, whether between large and small t</w:t>
      </w:r>
      <w:r w:rsidR="007A792C" w:rsidRPr="004737C5">
        <w:rPr>
          <w:rFonts w:cstheme="minorHAnsi"/>
        </w:rPr>
        <w:t>raders or traders and consumers</w:t>
      </w:r>
    </w:p>
    <w:p w14:paraId="599CA922" w14:textId="77777777" w:rsidR="00843222" w:rsidRPr="004737C5" w:rsidRDefault="007A792C" w:rsidP="005646D5">
      <w:pPr>
        <w:pStyle w:val="ListParagraph"/>
        <w:numPr>
          <w:ilvl w:val="0"/>
          <w:numId w:val="2"/>
        </w:numPr>
        <w:ind w:left="709" w:hanging="425"/>
        <w:rPr>
          <w:rFonts w:cstheme="minorHAnsi"/>
        </w:rPr>
      </w:pPr>
      <w:r w:rsidRPr="004737C5">
        <w:rPr>
          <w:rFonts w:cstheme="minorHAnsi"/>
        </w:rPr>
        <w:t>Allow s</w:t>
      </w:r>
      <w:r w:rsidR="00843222" w:rsidRPr="004737C5">
        <w:rPr>
          <w:rFonts w:cstheme="minorHAnsi"/>
        </w:rPr>
        <w:t>tate intervention to correct market failures in the public interest an</w:t>
      </w:r>
      <w:r w:rsidRPr="004737C5">
        <w:rPr>
          <w:rFonts w:cstheme="minorHAnsi"/>
        </w:rPr>
        <w:t>d to punish offending behaviour</w:t>
      </w:r>
    </w:p>
    <w:p w14:paraId="6A115DC8" w14:textId="77777777" w:rsidR="00843222" w:rsidRPr="004737C5" w:rsidRDefault="007A792C" w:rsidP="005646D5">
      <w:pPr>
        <w:pStyle w:val="ListParagraph"/>
        <w:numPr>
          <w:ilvl w:val="0"/>
          <w:numId w:val="2"/>
        </w:numPr>
        <w:ind w:left="709" w:hanging="425"/>
        <w:rPr>
          <w:rFonts w:cstheme="minorHAnsi"/>
        </w:rPr>
      </w:pPr>
      <w:r w:rsidRPr="004737C5">
        <w:rPr>
          <w:rFonts w:cstheme="minorHAnsi"/>
        </w:rPr>
        <w:t>Enable s</w:t>
      </w:r>
      <w:r w:rsidR="00843222" w:rsidRPr="004737C5">
        <w:rPr>
          <w:rFonts w:cstheme="minorHAnsi"/>
        </w:rPr>
        <w:t>tate control over suppliers entering the market through registration and licensing procedures, ensuring a degree of protection for consumers from unscrupulous and disreputable traders and from un</w:t>
      </w:r>
      <w:r w:rsidRPr="004737C5">
        <w:rPr>
          <w:rFonts w:cstheme="minorHAnsi"/>
        </w:rPr>
        <w:t>desirable products and services</w:t>
      </w:r>
    </w:p>
    <w:p w14:paraId="3747B918" w14:textId="77777777" w:rsidR="00843222" w:rsidRPr="004737C5" w:rsidRDefault="00843222" w:rsidP="005646D5">
      <w:pPr>
        <w:pStyle w:val="ListParagraph"/>
        <w:numPr>
          <w:ilvl w:val="0"/>
          <w:numId w:val="2"/>
        </w:numPr>
        <w:ind w:left="709" w:hanging="425"/>
        <w:rPr>
          <w:rFonts w:cstheme="minorHAnsi"/>
        </w:rPr>
      </w:pPr>
      <w:r w:rsidRPr="004737C5">
        <w:rPr>
          <w:rFonts w:cstheme="minorHAnsi"/>
        </w:rPr>
        <w:t xml:space="preserve">Ensure that products and services offered for sale are of a minimum standard of </w:t>
      </w:r>
      <w:r w:rsidR="007A792C" w:rsidRPr="004737C5">
        <w:rPr>
          <w:rFonts w:cstheme="minorHAnsi"/>
        </w:rPr>
        <w:t>safety and quality</w:t>
      </w:r>
    </w:p>
    <w:p w14:paraId="559495B9" w14:textId="77777777" w:rsidR="00843222" w:rsidRPr="004737C5" w:rsidRDefault="00843222" w:rsidP="005646D5">
      <w:pPr>
        <w:pStyle w:val="ListParagraph"/>
        <w:numPr>
          <w:ilvl w:val="0"/>
          <w:numId w:val="2"/>
        </w:numPr>
        <w:ind w:left="709" w:hanging="425"/>
        <w:rPr>
          <w:rFonts w:cstheme="minorHAnsi"/>
        </w:rPr>
      </w:pPr>
      <w:r w:rsidRPr="004737C5">
        <w:rPr>
          <w:rFonts w:cstheme="minorHAnsi"/>
        </w:rPr>
        <w:t xml:space="preserve">Ensure access to certain basic goods </w:t>
      </w:r>
      <w:r w:rsidR="007A792C" w:rsidRPr="004737C5">
        <w:rPr>
          <w:rFonts w:cstheme="minorHAnsi"/>
        </w:rPr>
        <w:t>and services essential for life</w:t>
      </w:r>
    </w:p>
    <w:p w14:paraId="4040C967" w14:textId="77777777" w:rsidR="00843222" w:rsidRPr="004737C5" w:rsidRDefault="00843222" w:rsidP="006D3BE8">
      <w:pPr>
        <w:rPr>
          <w:rFonts w:cstheme="minorHAnsi"/>
        </w:rPr>
      </w:pPr>
      <w:r w:rsidRPr="004737C5">
        <w:rPr>
          <w:rFonts w:cstheme="minorHAnsi"/>
        </w:rPr>
        <w:t xml:space="preserve">Private consumer protection law confers individual legal rights on consumers, frequently through </w:t>
      </w:r>
      <w:r w:rsidR="007A792C" w:rsidRPr="004737C5">
        <w:rPr>
          <w:rFonts w:cstheme="minorHAnsi"/>
        </w:rPr>
        <w:t>contract</w:t>
      </w:r>
      <w:r w:rsidRPr="004737C5">
        <w:rPr>
          <w:rFonts w:cstheme="minorHAnsi"/>
        </w:rPr>
        <w:t xml:space="preserve"> law. Contract law </w:t>
      </w:r>
      <w:r w:rsidR="007A792C" w:rsidRPr="004737C5">
        <w:rPr>
          <w:rFonts w:cstheme="minorHAnsi"/>
        </w:rPr>
        <w:t>is enacted by p</w:t>
      </w:r>
      <w:r w:rsidRPr="004737C5">
        <w:rPr>
          <w:rFonts w:cstheme="minorHAnsi"/>
        </w:rPr>
        <w:t>arliament</w:t>
      </w:r>
      <w:r w:rsidR="007A792C" w:rsidRPr="004737C5">
        <w:rPr>
          <w:rFonts w:cstheme="minorHAnsi"/>
        </w:rPr>
        <w:t xml:space="preserve"> in many countries</w:t>
      </w:r>
      <w:r w:rsidRPr="004737C5">
        <w:rPr>
          <w:rFonts w:cstheme="minorHAnsi"/>
        </w:rPr>
        <w:t xml:space="preserve">. In different jurisdictions, the scope of judicially created laws </w:t>
      </w:r>
      <w:r w:rsidR="007A792C" w:rsidRPr="004737C5">
        <w:rPr>
          <w:rFonts w:cstheme="minorHAnsi"/>
        </w:rPr>
        <w:t>varies</w:t>
      </w:r>
      <w:r w:rsidRPr="004737C5">
        <w:rPr>
          <w:rFonts w:cstheme="minorHAnsi"/>
        </w:rPr>
        <w:t>. In the common law tradition, judges have made contract law through interpret</w:t>
      </w:r>
      <w:r w:rsidR="007A792C" w:rsidRPr="004737C5">
        <w:rPr>
          <w:rFonts w:cstheme="minorHAnsi"/>
        </w:rPr>
        <w:t xml:space="preserve">ing </w:t>
      </w:r>
      <w:r w:rsidRPr="004737C5">
        <w:rPr>
          <w:rFonts w:cstheme="minorHAnsi"/>
        </w:rPr>
        <w:t>statutes or appl</w:t>
      </w:r>
      <w:r w:rsidR="007A792C" w:rsidRPr="004737C5">
        <w:rPr>
          <w:rFonts w:cstheme="minorHAnsi"/>
        </w:rPr>
        <w:t xml:space="preserve">ying </w:t>
      </w:r>
      <w:r w:rsidRPr="004737C5">
        <w:rPr>
          <w:rFonts w:cstheme="minorHAnsi"/>
        </w:rPr>
        <w:t>principles based on equity and good conscience.</w:t>
      </w:r>
    </w:p>
    <w:p w14:paraId="107B3D2D" w14:textId="08022455" w:rsidR="00843222" w:rsidRPr="004737C5" w:rsidRDefault="00843222" w:rsidP="006D3BE8">
      <w:pPr>
        <w:rPr>
          <w:rFonts w:cstheme="minorHAnsi"/>
        </w:rPr>
      </w:pPr>
      <w:r w:rsidRPr="004737C5">
        <w:rPr>
          <w:rFonts w:cstheme="minorHAnsi"/>
        </w:rPr>
        <w:t>Private law is dependent upon the aggrieved parties claim</w:t>
      </w:r>
      <w:r w:rsidR="007A792C" w:rsidRPr="004737C5">
        <w:rPr>
          <w:rFonts w:cstheme="minorHAnsi"/>
        </w:rPr>
        <w:t>ing or enforcing</w:t>
      </w:r>
      <w:r w:rsidRPr="004737C5">
        <w:rPr>
          <w:rFonts w:cstheme="minorHAnsi"/>
        </w:rPr>
        <w:t xml:space="preserve"> their rights through the cou</w:t>
      </w:r>
      <w:r w:rsidR="005646D5" w:rsidRPr="004737C5">
        <w:rPr>
          <w:rFonts w:cstheme="minorHAnsi"/>
        </w:rPr>
        <w:t xml:space="preserve">rts. Examples of such laws are Unfair Contract Terms Acts and </w:t>
      </w:r>
      <w:r w:rsidRPr="004737C5">
        <w:rPr>
          <w:rFonts w:cstheme="minorHAnsi"/>
        </w:rPr>
        <w:t>Sale of Goods Acts</w:t>
      </w:r>
      <w:r w:rsidR="00CB262F" w:rsidRPr="004737C5">
        <w:rPr>
          <w:rFonts w:cstheme="minorHAnsi"/>
        </w:rPr>
        <w:t>.</w:t>
      </w:r>
      <w:r w:rsidRPr="004737C5">
        <w:rPr>
          <w:rFonts w:cstheme="minorHAnsi"/>
        </w:rPr>
        <w:t xml:space="preserve"> The law of tort is another branch of private law which imposes certain duties or standards on producers and distributors of goods and services. Examples of such laws are those which deal with aspects of product safety and liability. Consumers therefore hold rights conferred by contract or tort law, which they can directly assert wi</w:t>
      </w:r>
      <w:r w:rsidR="007A792C" w:rsidRPr="004737C5">
        <w:rPr>
          <w:rFonts w:cstheme="minorHAnsi"/>
        </w:rPr>
        <w:t>thout having to resort to s</w:t>
      </w:r>
      <w:r w:rsidRPr="004737C5">
        <w:rPr>
          <w:rFonts w:cstheme="minorHAnsi"/>
        </w:rPr>
        <w:t>tate intervention. These is</w:t>
      </w:r>
      <w:r w:rsidR="001C5CB4" w:rsidRPr="004737C5">
        <w:rPr>
          <w:rFonts w:cstheme="minorHAnsi"/>
        </w:rPr>
        <w:t>sues are discussed in chapters III and IX</w:t>
      </w:r>
      <w:r w:rsidRPr="004737C5">
        <w:rPr>
          <w:rFonts w:cstheme="minorHAnsi"/>
        </w:rPr>
        <w:t xml:space="preserve">. </w:t>
      </w:r>
    </w:p>
    <w:p w14:paraId="62E6A922" w14:textId="4DC4A17E" w:rsidR="00843222" w:rsidRPr="004737C5" w:rsidRDefault="00843222" w:rsidP="006D3BE8">
      <w:pPr>
        <w:rPr>
          <w:rFonts w:cstheme="minorHAnsi"/>
        </w:rPr>
      </w:pPr>
      <w:r w:rsidRPr="004737C5">
        <w:rPr>
          <w:rFonts w:cstheme="minorHAnsi"/>
        </w:rPr>
        <w:t>While private law offers protection to consumers, there are challenges that may not be addressed by private enforcement of consumer rights. One such challenge is that consumers may not always pursue their legal rights. Public law</w:t>
      </w:r>
      <w:r w:rsidR="005646D5" w:rsidRPr="004737C5">
        <w:rPr>
          <w:rFonts w:cstheme="minorHAnsi"/>
        </w:rPr>
        <w:t xml:space="preserve"> may be used to</w:t>
      </w:r>
      <w:r w:rsidRPr="004737C5">
        <w:rPr>
          <w:rFonts w:cstheme="minorHAnsi"/>
        </w:rPr>
        <w:t xml:space="preserve"> protect consumers and to correct flaws in the </w:t>
      </w:r>
      <w:r w:rsidR="005646D5" w:rsidRPr="004737C5">
        <w:rPr>
          <w:rFonts w:cstheme="minorHAnsi"/>
        </w:rPr>
        <w:t>operation of the market</w:t>
      </w:r>
      <w:r w:rsidRPr="004737C5">
        <w:rPr>
          <w:rFonts w:cstheme="minorHAnsi"/>
        </w:rPr>
        <w:t xml:space="preserve"> to protect fair and honest trad</w:t>
      </w:r>
      <w:r w:rsidR="005646D5" w:rsidRPr="004737C5">
        <w:rPr>
          <w:rFonts w:cstheme="minorHAnsi"/>
        </w:rPr>
        <w:t>ers from unfair competitors,</w:t>
      </w:r>
      <w:r w:rsidR="007A792C" w:rsidRPr="004737C5">
        <w:rPr>
          <w:rFonts w:cstheme="minorHAnsi"/>
        </w:rPr>
        <w:t xml:space="preserve"> </w:t>
      </w:r>
      <w:r w:rsidRPr="004737C5">
        <w:rPr>
          <w:rFonts w:cstheme="minorHAnsi"/>
        </w:rPr>
        <w:t>punish traders for practices such as uns</w:t>
      </w:r>
      <w:r w:rsidR="005646D5" w:rsidRPr="004737C5">
        <w:rPr>
          <w:rFonts w:cstheme="minorHAnsi"/>
        </w:rPr>
        <w:t>crupulous sales tactics</w:t>
      </w:r>
      <w:r w:rsidR="007A792C" w:rsidRPr="004737C5">
        <w:rPr>
          <w:rFonts w:cstheme="minorHAnsi"/>
        </w:rPr>
        <w:t xml:space="preserve"> and </w:t>
      </w:r>
      <w:r w:rsidRPr="004737C5">
        <w:rPr>
          <w:rFonts w:cstheme="minorHAnsi"/>
        </w:rPr>
        <w:t>establish mechanisms for the operation of consumer protection institutions. Public law assigns responsibil</w:t>
      </w:r>
      <w:r w:rsidR="007A792C" w:rsidRPr="004737C5">
        <w:rPr>
          <w:rFonts w:cstheme="minorHAnsi"/>
        </w:rPr>
        <w:t>ities that are enforced by the s</w:t>
      </w:r>
      <w:r w:rsidRPr="004737C5">
        <w:rPr>
          <w:rFonts w:cstheme="minorHAnsi"/>
        </w:rPr>
        <w:t xml:space="preserve">tate. Examples of such laws include those relating to </w:t>
      </w:r>
      <w:r w:rsidR="007A792C" w:rsidRPr="004737C5">
        <w:rPr>
          <w:rFonts w:cstheme="minorHAnsi"/>
        </w:rPr>
        <w:t xml:space="preserve">the </w:t>
      </w:r>
      <w:r w:rsidRPr="004737C5">
        <w:rPr>
          <w:rFonts w:cstheme="minorHAnsi"/>
        </w:rPr>
        <w:t xml:space="preserve">regulation of competition, trade descriptions, certain aspects of product safety and liability, price control and laws that require the registration and licensing of traders and professionals. It must be noted that the distinction between private and public law can sometimes be artificial. For example, the distribution of unsafe products is a violation </w:t>
      </w:r>
      <w:r w:rsidRPr="004737C5">
        <w:rPr>
          <w:rFonts w:cstheme="minorHAnsi"/>
        </w:rPr>
        <w:lastRenderedPageBreak/>
        <w:t>of both private and public law, and the consumer has remedies in bo</w:t>
      </w:r>
      <w:r w:rsidR="007A792C" w:rsidRPr="004737C5">
        <w:rPr>
          <w:rFonts w:cstheme="minorHAnsi"/>
        </w:rPr>
        <w:t>th civil actions as well as in s</w:t>
      </w:r>
      <w:r w:rsidRPr="004737C5">
        <w:rPr>
          <w:rFonts w:cstheme="minorHAnsi"/>
        </w:rPr>
        <w:t xml:space="preserve">tate enforcement. </w:t>
      </w:r>
    </w:p>
    <w:p w14:paraId="45F3699F" w14:textId="77777777" w:rsidR="00843222" w:rsidRPr="004737C5" w:rsidRDefault="007A792C" w:rsidP="005646D5">
      <w:pPr>
        <w:pStyle w:val="Heading2"/>
        <w:spacing w:after="160"/>
        <w:rPr>
          <w:rFonts w:cstheme="minorHAnsi"/>
          <w:color w:val="auto"/>
          <w:sz w:val="24"/>
          <w:szCs w:val="24"/>
        </w:rPr>
      </w:pPr>
      <w:bookmarkStart w:id="10" w:name="_Toc492649964"/>
      <w:r w:rsidRPr="004737C5">
        <w:rPr>
          <w:rFonts w:cstheme="minorHAnsi"/>
          <w:color w:val="auto"/>
          <w:sz w:val="24"/>
          <w:szCs w:val="24"/>
        </w:rPr>
        <w:t>C.</w:t>
      </w:r>
      <w:r w:rsidR="00843222" w:rsidRPr="004737C5">
        <w:rPr>
          <w:rFonts w:cstheme="minorHAnsi"/>
          <w:color w:val="auto"/>
          <w:sz w:val="24"/>
          <w:szCs w:val="24"/>
        </w:rPr>
        <w:t xml:space="preserve"> Who is the consumer and what is </w:t>
      </w:r>
      <w:r w:rsidR="007838EC" w:rsidRPr="004737C5">
        <w:rPr>
          <w:rFonts w:cstheme="minorHAnsi"/>
          <w:color w:val="auto"/>
          <w:sz w:val="24"/>
          <w:szCs w:val="24"/>
        </w:rPr>
        <w:t xml:space="preserve">the </w:t>
      </w:r>
      <w:r w:rsidR="00843222" w:rsidRPr="004737C5">
        <w:rPr>
          <w:rFonts w:cstheme="minorHAnsi"/>
          <w:color w:val="auto"/>
          <w:sz w:val="24"/>
          <w:szCs w:val="24"/>
        </w:rPr>
        <w:t>consumer interest?</w:t>
      </w:r>
      <w:bookmarkEnd w:id="10"/>
    </w:p>
    <w:p w14:paraId="2627E4A9" w14:textId="77777777" w:rsidR="00843222" w:rsidRPr="004737C5" w:rsidRDefault="00843222" w:rsidP="006D3BE8">
      <w:pPr>
        <w:pStyle w:val="BodyText"/>
        <w:spacing w:after="160"/>
        <w:rPr>
          <w:rFonts w:asciiTheme="minorHAnsi" w:hAnsiTheme="minorHAnsi" w:cstheme="minorHAnsi"/>
          <w:bCs/>
          <w:iCs/>
          <w:sz w:val="22"/>
          <w:szCs w:val="22"/>
        </w:rPr>
      </w:pPr>
      <w:r w:rsidRPr="004737C5">
        <w:rPr>
          <w:rFonts w:asciiTheme="minorHAnsi" w:hAnsiTheme="minorHAnsi" w:cstheme="minorHAnsi"/>
          <w:sz w:val="22"/>
        </w:rPr>
        <w:t xml:space="preserve">Consumer protection laws are designed to protect and promote </w:t>
      </w:r>
      <w:r w:rsidR="007838EC" w:rsidRPr="004737C5">
        <w:rPr>
          <w:rFonts w:asciiTheme="minorHAnsi" w:hAnsiTheme="minorHAnsi" w:cstheme="minorHAnsi"/>
          <w:sz w:val="22"/>
        </w:rPr>
        <w:t xml:space="preserve">the </w:t>
      </w:r>
      <w:r w:rsidRPr="004737C5">
        <w:rPr>
          <w:rFonts w:asciiTheme="minorHAnsi" w:hAnsiTheme="minorHAnsi" w:cstheme="minorHAnsi"/>
          <w:sz w:val="22"/>
        </w:rPr>
        <w:t>consumer interest, but who is the consumer</w:t>
      </w:r>
      <w:r w:rsidR="00CB262F" w:rsidRPr="004737C5">
        <w:rPr>
          <w:rFonts w:asciiTheme="minorHAnsi" w:hAnsiTheme="minorHAnsi" w:cstheme="minorHAnsi"/>
          <w:sz w:val="22"/>
        </w:rPr>
        <w:t xml:space="preserve"> that</w:t>
      </w:r>
      <w:r w:rsidRPr="004737C5">
        <w:rPr>
          <w:rFonts w:asciiTheme="minorHAnsi" w:hAnsiTheme="minorHAnsi" w:cstheme="minorHAnsi"/>
          <w:sz w:val="22"/>
        </w:rPr>
        <w:t xml:space="preserve"> the law seeks to protect and what is </w:t>
      </w:r>
      <w:r w:rsidR="007838EC" w:rsidRPr="004737C5">
        <w:rPr>
          <w:rFonts w:asciiTheme="minorHAnsi" w:hAnsiTheme="minorHAnsi" w:cstheme="minorHAnsi"/>
          <w:sz w:val="22"/>
        </w:rPr>
        <w:t xml:space="preserve">the </w:t>
      </w:r>
      <w:r w:rsidRPr="004737C5">
        <w:rPr>
          <w:rFonts w:asciiTheme="minorHAnsi" w:hAnsiTheme="minorHAnsi" w:cstheme="minorHAnsi"/>
          <w:sz w:val="22"/>
        </w:rPr>
        <w:t xml:space="preserve">consumer interest? Guideline 3 </w:t>
      </w:r>
      <w:r w:rsidR="00CB262F" w:rsidRPr="004737C5">
        <w:rPr>
          <w:rFonts w:asciiTheme="minorHAnsi" w:hAnsiTheme="minorHAnsi" w:cstheme="minorHAnsi"/>
          <w:sz w:val="22"/>
        </w:rPr>
        <w:t xml:space="preserve">of </w:t>
      </w:r>
      <w:r w:rsidRPr="004737C5">
        <w:rPr>
          <w:rFonts w:asciiTheme="minorHAnsi" w:hAnsiTheme="minorHAnsi" w:cstheme="minorHAnsi"/>
          <w:sz w:val="22"/>
        </w:rPr>
        <w:t>the UNGCP set</w:t>
      </w:r>
      <w:r w:rsidR="00CB262F" w:rsidRPr="004737C5">
        <w:rPr>
          <w:rFonts w:asciiTheme="minorHAnsi" w:hAnsiTheme="minorHAnsi" w:cstheme="minorHAnsi"/>
          <w:sz w:val="22"/>
        </w:rPr>
        <w:t>s</w:t>
      </w:r>
      <w:r w:rsidRPr="004737C5">
        <w:rPr>
          <w:rFonts w:asciiTheme="minorHAnsi" w:hAnsiTheme="minorHAnsi" w:cstheme="minorHAnsi"/>
          <w:sz w:val="22"/>
        </w:rPr>
        <w:t xml:space="preserve"> out a conventional definition while</w:t>
      </w:r>
      <w:r w:rsidR="00CB262F" w:rsidRPr="004737C5">
        <w:rPr>
          <w:rFonts w:asciiTheme="minorHAnsi" w:hAnsiTheme="minorHAnsi" w:cstheme="minorHAnsi"/>
          <w:sz w:val="22"/>
        </w:rPr>
        <w:t xml:space="preserve"> recogniz</w:t>
      </w:r>
      <w:r w:rsidRPr="004737C5">
        <w:rPr>
          <w:rFonts w:asciiTheme="minorHAnsi" w:hAnsiTheme="minorHAnsi" w:cstheme="minorHAnsi"/>
          <w:sz w:val="22"/>
        </w:rPr>
        <w:t>ing the need for flexibility</w:t>
      </w:r>
      <w:r w:rsidR="00CB262F" w:rsidRPr="004737C5">
        <w:rPr>
          <w:rFonts w:asciiTheme="minorHAnsi" w:hAnsiTheme="minorHAnsi" w:cstheme="minorHAnsi"/>
          <w:iCs/>
          <w:sz w:val="22"/>
          <w:szCs w:val="22"/>
        </w:rPr>
        <w:t>: “</w:t>
      </w:r>
      <w:r w:rsidR="00CB262F" w:rsidRPr="004737C5">
        <w:rPr>
          <w:rFonts w:asciiTheme="minorHAnsi" w:hAnsiTheme="minorHAnsi" w:cstheme="minorHAnsi"/>
          <w:bCs/>
          <w:iCs/>
          <w:sz w:val="22"/>
          <w:szCs w:val="22"/>
        </w:rPr>
        <w:t>the term ‘consumer’</w:t>
      </w:r>
      <w:r w:rsidRPr="004737C5">
        <w:rPr>
          <w:rFonts w:asciiTheme="minorHAnsi" w:hAnsiTheme="minorHAnsi" w:cstheme="minorHAnsi"/>
          <w:bCs/>
          <w:iCs/>
          <w:sz w:val="22"/>
          <w:szCs w:val="22"/>
        </w:rPr>
        <w:t xml:space="preserve"> generally refers to a natural person, regardless of nationality, acting primarily for personal, family or household purposes, while recognizing that Member States may adopt differing definitions to address specific domestic needs</w:t>
      </w:r>
      <w:r w:rsidR="00CB262F" w:rsidRPr="004737C5">
        <w:rPr>
          <w:rFonts w:asciiTheme="minorHAnsi" w:hAnsiTheme="minorHAnsi" w:cstheme="minorHAnsi"/>
          <w:bCs/>
          <w:iCs/>
          <w:sz w:val="22"/>
          <w:szCs w:val="22"/>
        </w:rPr>
        <w:t>”.</w:t>
      </w:r>
    </w:p>
    <w:p w14:paraId="637BF073" w14:textId="5871F397" w:rsidR="00843222" w:rsidRPr="004737C5" w:rsidRDefault="00CB262F" w:rsidP="006D3BE8">
      <w:pPr>
        <w:pStyle w:val="BodyText"/>
        <w:spacing w:after="160"/>
        <w:rPr>
          <w:rFonts w:asciiTheme="minorHAnsi" w:hAnsiTheme="minorHAnsi" w:cstheme="minorHAnsi"/>
          <w:bCs/>
          <w:iCs/>
          <w:sz w:val="22"/>
          <w:szCs w:val="22"/>
        </w:rPr>
      </w:pPr>
      <w:r w:rsidRPr="004737C5">
        <w:rPr>
          <w:rFonts w:asciiTheme="minorHAnsi" w:hAnsiTheme="minorHAnsi" w:cstheme="minorHAnsi"/>
          <w:bCs/>
          <w:sz w:val="22"/>
          <w:szCs w:val="22"/>
        </w:rPr>
        <w:t>T</w:t>
      </w:r>
      <w:r w:rsidR="00843222" w:rsidRPr="004737C5">
        <w:rPr>
          <w:rFonts w:asciiTheme="minorHAnsi" w:hAnsiTheme="minorHAnsi" w:cstheme="minorHAnsi"/>
          <w:bCs/>
          <w:sz w:val="22"/>
          <w:szCs w:val="22"/>
        </w:rPr>
        <w:t>he Malaysian Consumer Protection Act of 1999</w:t>
      </w:r>
      <w:r w:rsidRPr="004737C5">
        <w:rPr>
          <w:rFonts w:asciiTheme="minorHAnsi" w:hAnsiTheme="minorHAnsi" w:cstheme="minorHAnsi"/>
          <w:bCs/>
          <w:sz w:val="22"/>
          <w:szCs w:val="22"/>
        </w:rPr>
        <w:t xml:space="preserve"> provides a typical definition of a </w:t>
      </w:r>
      <w:r w:rsidR="00843222" w:rsidRPr="004737C5">
        <w:rPr>
          <w:rFonts w:asciiTheme="minorHAnsi" w:hAnsiTheme="minorHAnsi" w:cstheme="minorHAnsi"/>
          <w:bCs/>
          <w:sz w:val="22"/>
          <w:szCs w:val="22"/>
        </w:rPr>
        <w:t xml:space="preserve">consumer as </w:t>
      </w:r>
      <w:r w:rsidRPr="004737C5">
        <w:rPr>
          <w:rFonts w:asciiTheme="minorHAnsi" w:hAnsiTheme="minorHAnsi" w:cstheme="minorHAnsi"/>
          <w:bCs/>
          <w:iCs/>
          <w:sz w:val="22"/>
          <w:szCs w:val="22"/>
        </w:rPr>
        <w:t>“</w:t>
      </w:r>
      <w:r w:rsidR="00843222" w:rsidRPr="004737C5">
        <w:rPr>
          <w:rFonts w:asciiTheme="minorHAnsi" w:hAnsiTheme="minorHAnsi" w:cstheme="minorHAnsi"/>
          <w:bCs/>
          <w:iCs/>
          <w:sz w:val="22"/>
          <w:szCs w:val="22"/>
        </w:rPr>
        <w:t>a person who acquires or uses goods or services of a kind ordinarily acquired for personal domestic o</w:t>
      </w:r>
      <w:r w:rsidRPr="004737C5">
        <w:rPr>
          <w:rFonts w:asciiTheme="minorHAnsi" w:hAnsiTheme="minorHAnsi" w:cstheme="minorHAnsi"/>
          <w:bCs/>
          <w:iCs/>
          <w:sz w:val="22"/>
          <w:szCs w:val="22"/>
        </w:rPr>
        <w:t>r household purpose”</w:t>
      </w:r>
      <w:r w:rsidR="005646D5" w:rsidRPr="004737C5">
        <w:rPr>
          <w:rFonts w:asciiTheme="minorHAnsi" w:hAnsiTheme="minorHAnsi" w:cstheme="minorHAnsi"/>
          <w:bCs/>
          <w:iCs/>
          <w:sz w:val="22"/>
          <w:szCs w:val="22"/>
        </w:rPr>
        <w:t>.</w:t>
      </w:r>
      <w:r w:rsidR="00843222" w:rsidRPr="004737C5">
        <w:rPr>
          <w:rFonts w:asciiTheme="minorHAnsi" w:hAnsiTheme="minorHAnsi" w:cstheme="minorHAnsi"/>
          <w:bCs/>
          <w:iCs/>
          <w:sz w:val="22"/>
          <w:szCs w:val="22"/>
        </w:rPr>
        <w:t xml:space="preserve"> </w:t>
      </w:r>
      <w:r w:rsidR="005646D5" w:rsidRPr="004737C5">
        <w:rPr>
          <w:rFonts w:asciiTheme="minorHAnsi" w:hAnsiTheme="minorHAnsi" w:cstheme="minorHAnsi"/>
          <w:bCs/>
          <w:iCs/>
          <w:sz w:val="22"/>
          <w:szCs w:val="22"/>
        </w:rPr>
        <w:t xml:space="preserve">It </w:t>
      </w:r>
      <w:r w:rsidR="00843222" w:rsidRPr="004737C5">
        <w:rPr>
          <w:rFonts w:asciiTheme="minorHAnsi" w:hAnsiTheme="minorHAnsi" w:cstheme="minorHAnsi"/>
          <w:bCs/>
          <w:iCs/>
          <w:sz w:val="22"/>
          <w:szCs w:val="22"/>
        </w:rPr>
        <w:t>actively rules out consumer protection law extending to sales or manufacturing. Legislat</w:t>
      </w:r>
      <w:r w:rsidR="005646D5" w:rsidRPr="004737C5">
        <w:rPr>
          <w:rFonts w:asciiTheme="minorHAnsi" w:hAnsiTheme="minorHAnsi" w:cstheme="minorHAnsi"/>
          <w:bCs/>
          <w:iCs/>
          <w:sz w:val="22"/>
          <w:szCs w:val="22"/>
        </w:rPr>
        <w:t>ion can</w:t>
      </w:r>
      <w:r w:rsidR="00843222" w:rsidRPr="004737C5">
        <w:rPr>
          <w:rFonts w:asciiTheme="minorHAnsi" w:hAnsiTheme="minorHAnsi" w:cstheme="minorHAnsi"/>
          <w:bCs/>
          <w:iCs/>
          <w:sz w:val="22"/>
          <w:szCs w:val="22"/>
        </w:rPr>
        <w:t xml:space="preserve"> also specify leasing or hiring, as in Fiji and Pakistan, but the </w:t>
      </w:r>
      <w:r w:rsidRPr="004737C5">
        <w:rPr>
          <w:rFonts w:asciiTheme="minorHAnsi" w:hAnsiTheme="minorHAnsi" w:cstheme="minorHAnsi"/>
          <w:bCs/>
          <w:iCs/>
          <w:sz w:val="22"/>
          <w:szCs w:val="22"/>
        </w:rPr>
        <w:t>phrase “acquires or uses”</w:t>
      </w:r>
      <w:r w:rsidR="00843222" w:rsidRPr="004737C5">
        <w:rPr>
          <w:rFonts w:asciiTheme="minorHAnsi" w:hAnsiTheme="minorHAnsi" w:cstheme="minorHAnsi"/>
          <w:bCs/>
          <w:iCs/>
          <w:sz w:val="22"/>
          <w:szCs w:val="22"/>
        </w:rPr>
        <w:t xml:space="preserve"> could also cover cases where there is no outright ownership.</w:t>
      </w:r>
      <w:r w:rsidR="00843222" w:rsidRPr="004737C5">
        <w:rPr>
          <w:rStyle w:val="FootnoteReference"/>
          <w:rFonts w:asciiTheme="minorHAnsi" w:hAnsiTheme="minorHAnsi" w:cstheme="minorHAnsi"/>
          <w:bCs/>
          <w:iCs/>
          <w:sz w:val="22"/>
          <w:szCs w:val="22"/>
        </w:rPr>
        <w:footnoteReference w:id="16"/>
      </w:r>
    </w:p>
    <w:p w14:paraId="24C44971" w14:textId="77777777" w:rsidR="00843222" w:rsidRPr="004737C5" w:rsidRDefault="00CB262F" w:rsidP="006D3BE8">
      <w:pPr>
        <w:pStyle w:val="BodyText"/>
        <w:spacing w:after="160"/>
        <w:rPr>
          <w:rFonts w:asciiTheme="minorHAnsi" w:hAnsiTheme="minorHAnsi" w:cstheme="minorHAnsi"/>
          <w:sz w:val="22"/>
          <w:szCs w:val="22"/>
        </w:rPr>
      </w:pPr>
      <w:r w:rsidRPr="004737C5">
        <w:rPr>
          <w:rFonts w:asciiTheme="minorHAnsi" w:hAnsiTheme="minorHAnsi" w:cstheme="minorHAnsi"/>
          <w:bCs/>
          <w:sz w:val="22"/>
          <w:szCs w:val="22"/>
        </w:rPr>
        <w:t>I</w:t>
      </w:r>
      <w:r w:rsidR="00843222" w:rsidRPr="004737C5">
        <w:rPr>
          <w:rFonts w:asciiTheme="minorHAnsi" w:hAnsiTheme="minorHAnsi" w:cstheme="minorHAnsi"/>
          <w:bCs/>
          <w:sz w:val="22"/>
          <w:szCs w:val="22"/>
        </w:rPr>
        <w:t>ndicators of the need for local variat</w:t>
      </w:r>
      <w:r w:rsidRPr="004737C5">
        <w:rPr>
          <w:rFonts w:asciiTheme="minorHAnsi" w:hAnsiTheme="minorHAnsi" w:cstheme="minorHAnsi"/>
          <w:bCs/>
          <w:sz w:val="22"/>
          <w:szCs w:val="22"/>
        </w:rPr>
        <w:t>ion are contained in the terms “primarily” and the “while recognizing”</w:t>
      </w:r>
      <w:r w:rsidR="003F4B7F" w:rsidRPr="004737C5">
        <w:rPr>
          <w:rFonts w:asciiTheme="minorHAnsi" w:hAnsiTheme="minorHAnsi" w:cstheme="minorHAnsi"/>
          <w:bCs/>
          <w:sz w:val="22"/>
          <w:szCs w:val="22"/>
        </w:rPr>
        <w:t xml:space="preserve"> sub-clause of g</w:t>
      </w:r>
      <w:r w:rsidR="00843222" w:rsidRPr="004737C5">
        <w:rPr>
          <w:rFonts w:asciiTheme="minorHAnsi" w:hAnsiTheme="minorHAnsi" w:cstheme="minorHAnsi"/>
          <w:bCs/>
          <w:sz w:val="22"/>
          <w:szCs w:val="22"/>
        </w:rPr>
        <w:t xml:space="preserve">uideline 3. In several jurisdictions </w:t>
      </w:r>
      <w:r w:rsidRPr="004737C5">
        <w:rPr>
          <w:rFonts w:asciiTheme="minorHAnsi" w:hAnsiTheme="minorHAnsi" w:cstheme="minorHAnsi"/>
          <w:bCs/>
          <w:sz w:val="22"/>
          <w:szCs w:val="22"/>
        </w:rPr>
        <w:t xml:space="preserve">it is recognized </w:t>
      </w:r>
      <w:r w:rsidR="00843222" w:rsidRPr="004737C5">
        <w:rPr>
          <w:rFonts w:asciiTheme="minorHAnsi" w:hAnsiTheme="minorHAnsi" w:cstheme="minorHAnsi"/>
          <w:bCs/>
          <w:sz w:val="22"/>
          <w:szCs w:val="22"/>
        </w:rPr>
        <w:t>that the distinction between use of products for work and household usag</w:t>
      </w:r>
      <w:r w:rsidRPr="004737C5">
        <w:rPr>
          <w:rFonts w:asciiTheme="minorHAnsi" w:hAnsiTheme="minorHAnsi" w:cstheme="minorHAnsi"/>
          <w:bCs/>
          <w:sz w:val="22"/>
          <w:szCs w:val="22"/>
        </w:rPr>
        <w:t>e can be very difficult to draw. M</w:t>
      </w:r>
      <w:r w:rsidR="00843222" w:rsidRPr="004737C5">
        <w:rPr>
          <w:rFonts w:asciiTheme="minorHAnsi" w:hAnsiTheme="minorHAnsi" w:cstheme="minorHAnsi"/>
          <w:bCs/>
          <w:sz w:val="22"/>
          <w:szCs w:val="22"/>
        </w:rPr>
        <w:t>obile phones are a pertinent modern example. The separation of work from home reflects</w:t>
      </w:r>
      <w:r w:rsidRPr="004737C5">
        <w:rPr>
          <w:rFonts w:asciiTheme="minorHAnsi" w:hAnsiTheme="minorHAnsi" w:cstheme="minorHAnsi"/>
          <w:bCs/>
          <w:sz w:val="22"/>
          <w:szCs w:val="22"/>
        </w:rPr>
        <w:t xml:space="preserve"> an era of</w:t>
      </w:r>
      <w:r w:rsidR="00843222" w:rsidRPr="004737C5">
        <w:rPr>
          <w:rFonts w:asciiTheme="minorHAnsi" w:hAnsiTheme="minorHAnsi" w:cstheme="minorHAnsi"/>
          <w:bCs/>
          <w:sz w:val="22"/>
          <w:szCs w:val="22"/>
        </w:rPr>
        <w:t xml:space="preserve"> mass manufacturing with factories </w:t>
      </w:r>
      <w:r w:rsidRPr="004737C5">
        <w:rPr>
          <w:rFonts w:asciiTheme="minorHAnsi" w:hAnsiTheme="minorHAnsi" w:cstheme="minorHAnsi"/>
          <w:bCs/>
          <w:sz w:val="22"/>
          <w:szCs w:val="22"/>
        </w:rPr>
        <w:t>and the development of large-</w:t>
      </w:r>
      <w:r w:rsidR="00843222" w:rsidRPr="004737C5">
        <w:rPr>
          <w:rFonts w:asciiTheme="minorHAnsi" w:hAnsiTheme="minorHAnsi" w:cstheme="minorHAnsi"/>
          <w:bCs/>
          <w:sz w:val="22"/>
          <w:szCs w:val="22"/>
        </w:rPr>
        <w:t>scale service industries (including public services) with offices. In developing countries, notably in agricultural and village stores, this d</w:t>
      </w:r>
      <w:r w:rsidRPr="004737C5">
        <w:rPr>
          <w:rFonts w:asciiTheme="minorHAnsi" w:hAnsiTheme="minorHAnsi" w:cstheme="minorHAnsi"/>
          <w:bCs/>
          <w:sz w:val="22"/>
          <w:szCs w:val="22"/>
        </w:rPr>
        <w:t>istinction was always less well-</w:t>
      </w:r>
      <w:r w:rsidR="00843222" w:rsidRPr="004737C5">
        <w:rPr>
          <w:rFonts w:asciiTheme="minorHAnsi" w:hAnsiTheme="minorHAnsi" w:cstheme="minorHAnsi"/>
          <w:bCs/>
          <w:sz w:val="22"/>
          <w:szCs w:val="22"/>
        </w:rPr>
        <w:t xml:space="preserve">defined. In developed countries, the </w:t>
      </w:r>
      <w:r w:rsidR="00522C2A" w:rsidRPr="004737C5">
        <w:rPr>
          <w:rFonts w:asciiTheme="minorHAnsi" w:hAnsiTheme="minorHAnsi" w:cstheme="minorHAnsi"/>
          <w:bCs/>
          <w:sz w:val="22"/>
          <w:szCs w:val="22"/>
        </w:rPr>
        <w:t xml:space="preserve">recent </w:t>
      </w:r>
      <w:r w:rsidR="00843222" w:rsidRPr="004737C5">
        <w:rPr>
          <w:rFonts w:asciiTheme="minorHAnsi" w:hAnsiTheme="minorHAnsi" w:cstheme="minorHAnsi"/>
          <w:bCs/>
          <w:sz w:val="22"/>
          <w:szCs w:val="22"/>
        </w:rPr>
        <w:t>emergence of distance-working from home results in the need for a certain amount of flexibility</w:t>
      </w:r>
      <w:r w:rsidR="00522C2A" w:rsidRPr="004737C5">
        <w:rPr>
          <w:rFonts w:asciiTheme="minorHAnsi" w:hAnsiTheme="minorHAnsi" w:cstheme="minorHAnsi"/>
          <w:bCs/>
          <w:sz w:val="22"/>
          <w:szCs w:val="22"/>
        </w:rPr>
        <w:t xml:space="preserve"> when distinguishing </w:t>
      </w:r>
      <w:r w:rsidR="000A4D1E" w:rsidRPr="004737C5">
        <w:rPr>
          <w:rFonts w:asciiTheme="minorHAnsi" w:hAnsiTheme="minorHAnsi" w:cstheme="minorHAnsi"/>
          <w:bCs/>
          <w:sz w:val="22"/>
          <w:szCs w:val="22"/>
        </w:rPr>
        <w:t>business from household consumers</w:t>
      </w:r>
      <w:r w:rsidR="00843222" w:rsidRPr="004737C5">
        <w:rPr>
          <w:rFonts w:asciiTheme="minorHAnsi" w:hAnsiTheme="minorHAnsi" w:cstheme="minorHAnsi"/>
          <w:bCs/>
          <w:sz w:val="22"/>
          <w:szCs w:val="22"/>
        </w:rPr>
        <w:t xml:space="preserve">. The Chinese Law on Protection of Consumer Rights and Interests of 1993 defined consumers </w:t>
      </w:r>
      <w:r w:rsidRPr="004737C5">
        <w:rPr>
          <w:rFonts w:asciiTheme="minorHAnsi" w:hAnsiTheme="minorHAnsi" w:cstheme="minorHAnsi"/>
          <w:bCs/>
          <w:sz w:val="22"/>
          <w:szCs w:val="22"/>
        </w:rPr>
        <w:t>widely as “</w:t>
      </w:r>
      <w:r w:rsidR="00843222" w:rsidRPr="004737C5">
        <w:rPr>
          <w:rFonts w:asciiTheme="minorHAnsi" w:hAnsiTheme="minorHAnsi" w:cstheme="minorHAnsi"/>
          <w:bCs/>
          <w:sz w:val="22"/>
          <w:szCs w:val="22"/>
        </w:rPr>
        <w:t xml:space="preserve">peasants who purchase means of production for direct </w:t>
      </w:r>
      <w:r w:rsidR="00EB2022" w:rsidRPr="004737C5">
        <w:rPr>
          <w:rFonts w:asciiTheme="minorHAnsi" w:hAnsiTheme="minorHAnsi" w:cstheme="minorHAnsi"/>
          <w:bCs/>
          <w:sz w:val="22"/>
          <w:szCs w:val="22"/>
        </w:rPr>
        <w:t>agriculture</w:t>
      </w:r>
      <w:r w:rsidRPr="004737C5">
        <w:rPr>
          <w:rFonts w:asciiTheme="minorHAnsi" w:hAnsiTheme="minorHAnsi" w:cstheme="minorHAnsi"/>
          <w:bCs/>
          <w:sz w:val="22"/>
          <w:szCs w:val="22"/>
        </w:rPr>
        <w:t>”.</w:t>
      </w:r>
      <w:r w:rsidR="00843222" w:rsidRPr="004737C5">
        <w:rPr>
          <w:rFonts w:asciiTheme="minorHAnsi" w:hAnsiTheme="minorHAnsi" w:cstheme="minorHAnsi"/>
          <w:bCs/>
          <w:sz w:val="22"/>
          <w:szCs w:val="22"/>
        </w:rPr>
        <w:t xml:space="preserve"> This clause is no</w:t>
      </w:r>
      <w:r w:rsidRPr="004737C5">
        <w:rPr>
          <w:rFonts w:asciiTheme="minorHAnsi" w:hAnsiTheme="minorHAnsi" w:cstheme="minorHAnsi"/>
          <w:bCs/>
          <w:sz w:val="22"/>
          <w:szCs w:val="22"/>
        </w:rPr>
        <w:t>t</w:t>
      </w:r>
      <w:r w:rsidR="00843222" w:rsidRPr="004737C5">
        <w:rPr>
          <w:rFonts w:asciiTheme="minorHAnsi" w:hAnsiTheme="minorHAnsi" w:cstheme="minorHAnsi"/>
          <w:bCs/>
          <w:sz w:val="22"/>
          <w:szCs w:val="22"/>
        </w:rPr>
        <w:t xml:space="preserve"> </w:t>
      </w:r>
      <w:r w:rsidRPr="004737C5">
        <w:rPr>
          <w:rFonts w:asciiTheme="minorHAnsi" w:hAnsiTheme="minorHAnsi" w:cstheme="minorHAnsi"/>
          <w:bCs/>
          <w:sz w:val="22"/>
          <w:szCs w:val="22"/>
        </w:rPr>
        <w:t xml:space="preserve">included </w:t>
      </w:r>
      <w:r w:rsidR="00843222" w:rsidRPr="004737C5">
        <w:rPr>
          <w:rFonts w:asciiTheme="minorHAnsi" w:hAnsiTheme="minorHAnsi" w:cstheme="minorHAnsi"/>
          <w:bCs/>
          <w:sz w:val="22"/>
          <w:szCs w:val="22"/>
        </w:rPr>
        <w:t xml:space="preserve">in the updated 2013 version, but the underlying concept that small producers are in a similar position to household consumers is widely applied. Other countries, including India, </w:t>
      </w:r>
      <w:r w:rsidR="00843222" w:rsidRPr="004737C5">
        <w:rPr>
          <w:rFonts w:asciiTheme="minorHAnsi" w:hAnsiTheme="minorHAnsi" w:cstheme="minorHAnsi"/>
          <w:sz w:val="22"/>
          <w:szCs w:val="22"/>
        </w:rPr>
        <w:t>Nepal,</w:t>
      </w:r>
      <w:r w:rsidRPr="004737C5">
        <w:rPr>
          <w:rFonts w:asciiTheme="minorHAnsi" w:hAnsiTheme="minorHAnsi" w:cstheme="minorHAnsi"/>
          <w:sz w:val="22"/>
          <w:szCs w:val="22"/>
        </w:rPr>
        <w:t xml:space="preserve"> Philippines, Republic of Korea</w:t>
      </w:r>
      <w:r w:rsidR="00843222" w:rsidRPr="004737C5">
        <w:rPr>
          <w:rFonts w:asciiTheme="minorHAnsi" w:hAnsiTheme="minorHAnsi" w:cstheme="minorHAnsi"/>
          <w:sz w:val="22"/>
          <w:szCs w:val="22"/>
        </w:rPr>
        <w:t xml:space="preserve"> and Viet Nam, have included peasant farmers, small fishermen, petty traders and even “organizations” purchasing for their own consumption</w:t>
      </w:r>
      <w:r w:rsidRPr="004737C5">
        <w:rPr>
          <w:rFonts w:asciiTheme="minorHAnsi" w:hAnsiTheme="minorHAnsi" w:cstheme="minorHAnsi"/>
          <w:sz w:val="22"/>
          <w:szCs w:val="22"/>
        </w:rPr>
        <w:t xml:space="preserve"> in their legislation</w:t>
      </w:r>
      <w:r w:rsidR="00843222" w:rsidRPr="004737C5">
        <w:rPr>
          <w:rFonts w:asciiTheme="minorHAnsi" w:hAnsiTheme="minorHAnsi" w:cstheme="minorHAnsi"/>
          <w:sz w:val="22"/>
          <w:szCs w:val="22"/>
        </w:rPr>
        <w:t>.</w:t>
      </w:r>
      <w:r w:rsidR="00843222" w:rsidRPr="004737C5">
        <w:rPr>
          <w:rStyle w:val="FootnoteReference"/>
          <w:rFonts w:asciiTheme="minorHAnsi" w:hAnsiTheme="minorHAnsi" w:cstheme="minorHAnsi"/>
          <w:sz w:val="22"/>
          <w:szCs w:val="22"/>
        </w:rPr>
        <w:footnoteReference w:id="17"/>
      </w:r>
    </w:p>
    <w:p w14:paraId="1942297A" w14:textId="113ED741" w:rsidR="00843222" w:rsidRPr="004737C5" w:rsidRDefault="00843222" w:rsidP="006D3BE8">
      <w:pPr>
        <w:pStyle w:val="BodyText"/>
        <w:spacing w:after="160"/>
        <w:rPr>
          <w:rFonts w:asciiTheme="minorHAnsi" w:hAnsiTheme="minorHAnsi" w:cstheme="minorHAnsi"/>
          <w:bCs/>
          <w:sz w:val="22"/>
          <w:szCs w:val="22"/>
        </w:rPr>
      </w:pPr>
      <w:r w:rsidRPr="004737C5">
        <w:rPr>
          <w:rFonts w:asciiTheme="minorHAnsi" w:hAnsiTheme="minorHAnsi" w:cstheme="minorHAnsi"/>
          <w:bCs/>
          <w:sz w:val="22"/>
          <w:szCs w:val="22"/>
        </w:rPr>
        <w:t>A 2013 survey by Consumers International of so</w:t>
      </w:r>
      <w:r w:rsidR="00CB262F" w:rsidRPr="004737C5">
        <w:rPr>
          <w:rFonts w:asciiTheme="minorHAnsi" w:hAnsiTheme="minorHAnsi" w:cstheme="minorHAnsi"/>
          <w:bCs/>
          <w:sz w:val="22"/>
          <w:szCs w:val="22"/>
        </w:rPr>
        <w:t>me 60 jurisdictions found that “</w:t>
      </w:r>
      <w:r w:rsidRPr="004737C5">
        <w:rPr>
          <w:rFonts w:asciiTheme="minorHAnsi" w:hAnsiTheme="minorHAnsi" w:cstheme="minorHAnsi"/>
          <w:sz w:val="22"/>
          <w:szCs w:val="22"/>
        </w:rPr>
        <w:t>the great majority of countries clearly draw the line at household use of goods and services</w:t>
      </w:r>
      <w:r w:rsidR="00CB262F" w:rsidRPr="004737C5">
        <w:rPr>
          <w:rFonts w:asciiTheme="minorHAnsi" w:hAnsiTheme="minorHAnsi" w:cstheme="minorHAnsi"/>
          <w:sz w:val="22"/>
          <w:szCs w:val="22"/>
        </w:rPr>
        <w:t>”</w:t>
      </w:r>
      <w:r w:rsidR="00CB262F" w:rsidRPr="004737C5">
        <w:rPr>
          <w:rFonts w:asciiTheme="minorHAnsi" w:hAnsiTheme="minorHAnsi" w:cstheme="minorHAnsi"/>
          <w:i/>
          <w:sz w:val="22"/>
          <w:szCs w:val="22"/>
        </w:rPr>
        <w:t>.</w:t>
      </w:r>
      <w:r w:rsidRPr="004737C5">
        <w:rPr>
          <w:rStyle w:val="FootnoteReference"/>
          <w:rFonts w:asciiTheme="minorHAnsi" w:hAnsiTheme="minorHAnsi" w:cstheme="minorHAnsi"/>
          <w:sz w:val="22"/>
          <w:szCs w:val="22"/>
        </w:rPr>
        <w:footnoteReference w:id="18"/>
      </w:r>
      <w:r w:rsidR="00CB262F" w:rsidRPr="004737C5">
        <w:rPr>
          <w:rFonts w:asciiTheme="minorHAnsi" w:hAnsiTheme="minorHAnsi" w:cstheme="minorHAnsi"/>
          <w:i/>
          <w:sz w:val="22"/>
          <w:szCs w:val="22"/>
        </w:rPr>
        <w:t xml:space="preserve"> </w:t>
      </w:r>
      <w:r w:rsidRPr="004737C5">
        <w:rPr>
          <w:rFonts w:asciiTheme="minorHAnsi" w:hAnsiTheme="minorHAnsi" w:cstheme="minorHAnsi"/>
          <w:sz w:val="22"/>
          <w:szCs w:val="22"/>
        </w:rPr>
        <w:t xml:space="preserve">Australia, France and </w:t>
      </w:r>
      <w:r w:rsidR="005646D5" w:rsidRPr="004737C5">
        <w:rPr>
          <w:rFonts w:asciiTheme="minorHAnsi" w:hAnsiTheme="minorHAnsi" w:cstheme="minorHAnsi"/>
          <w:sz w:val="22"/>
          <w:szCs w:val="22"/>
        </w:rPr>
        <w:t xml:space="preserve">the </w:t>
      </w:r>
      <w:r w:rsidRPr="004737C5">
        <w:rPr>
          <w:rFonts w:asciiTheme="minorHAnsi" w:hAnsiTheme="minorHAnsi" w:cstheme="minorHAnsi"/>
          <w:sz w:val="22"/>
          <w:szCs w:val="22"/>
        </w:rPr>
        <w:t xml:space="preserve">United Kingdom </w:t>
      </w:r>
      <w:r w:rsidR="00CB262F" w:rsidRPr="004737C5">
        <w:rPr>
          <w:rFonts w:asciiTheme="minorHAnsi" w:hAnsiTheme="minorHAnsi" w:cstheme="minorHAnsi"/>
          <w:sz w:val="22"/>
          <w:szCs w:val="22"/>
        </w:rPr>
        <w:t xml:space="preserve">of Great Britain and Northern Ireland </w:t>
      </w:r>
      <w:r w:rsidRPr="004737C5">
        <w:rPr>
          <w:rFonts w:asciiTheme="minorHAnsi" w:hAnsiTheme="minorHAnsi" w:cstheme="minorHAnsi"/>
          <w:sz w:val="22"/>
          <w:szCs w:val="22"/>
        </w:rPr>
        <w:t>did not have single definitions. Belgium, Quebec and Uruguay explicitly excluded all professional use of products in the definition of a consumer.</w:t>
      </w:r>
      <w:r w:rsidRPr="004737C5">
        <w:rPr>
          <w:rStyle w:val="FootnoteReference"/>
          <w:rFonts w:asciiTheme="minorHAnsi" w:hAnsiTheme="minorHAnsi" w:cstheme="minorHAnsi"/>
          <w:sz w:val="22"/>
          <w:szCs w:val="22"/>
        </w:rPr>
        <w:footnoteReference w:id="19"/>
      </w:r>
      <w:r w:rsidRPr="004737C5">
        <w:rPr>
          <w:rFonts w:asciiTheme="minorHAnsi" w:hAnsiTheme="minorHAnsi" w:cstheme="minorHAnsi"/>
          <w:sz w:val="22"/>
          <w:szCs w:val="22"/>
        </w:rPr>
        <w:t xml:space="preserve"> </w:t>
      </w:r>
    </w:p>
    <w:p w14:paraId="1A3DF45B" w14:textId="77777777" w:rsidR="00843222" w:rsidRPr="004737C5" w:rsidRDefault="00843222" w:rsidP="00A577C4">
      <w:pPr>
        <w:pStyle w:val="CM1"/>
        <w:spacing w:after="160"/>
        <w:rPr>
          <w:rFonts w:asciiTheme="minorHAnsi" w:hAnsiTheme="minorHAnsi" w:cstheme="minorHAnsi"/>
          <w:sz w:val="22"/>
          <w:szCs w:val="22"/>
        </w:rPr>
      </w:pPr>
      <w:r w:rsidRPr="004737C5">
        <w:rPr>
          <w:rFonts w:asciiTheme="minorHAnsi" w:hAnsiTheme="minorHAnsi" w:cstheme="minorHAnsi"/>
          <w:sz w:val="22"/>
          <w:szCs w:val="22"/>
        </w:rPr>
        <w:t>However, a degree</w:t>
      </w:r>
      <w:r w:rsidRPr="004737C5">
        <w:rPr>
          <w:rFonts w:asciiTheme="minorHAnsi" w:hAnsiTheme="minorHAnsi" w:cstheme="minorHAnsi"/>
          <w:color w:val="000000"/>
          <w:sz w:val="22"/>
          <w:szCs w:val="22"/>
        </w:rPr>
        <w:t xml:space="preserve"> of flexibility is demonstrated in some jurisdictions, particularly in Latin America, where the possibility of extending the concept of consumer beyond the realms of the persona</w:t>
      </w:r>
      <w:r w:rsidR="00CB262F" w:rsidRPr="004737C5">
        <w:rPr>
          <w:rFonts w:asciiTheme="minorHAnsi" w:hAnsiTheme="minorHAnsi" w:cstheme="minorHAnsi"/>
          <w:color w:val="000000"/>
          <w:sz w:val="22"/>
          <w:szCs w:val="22"/>
        </w:rPr>
        <w:t xml:space="preserve">l is </w:t>
      </w:r>
      <w:r w:rsidR="00CB262F" w:rsidRPr="004737C5">
        <w:rPr>
          <w:rFonts w:asciiTheme="minorHAnsi" w:hAnsiTheme="minorHAnsi" w:cstheme="minorHAnsi"/>
          <w:color w:val="000000"/>
          <w:sz w:val="22"/>
          <w:szCs w:val="22"/>
        </w:rPr>
        <w:lastRenderedPageBreak/>
        <w:t>found in several countries:</w:t>
      </w:r>
      <w:r w:rsidRPr="004737C5">
        <w:rPr>
          <w:rFonts w:asciiTheme="minorHAnsi" w:hAnsiTheme="minorHAnsi" w:cstheme="minorHAnsi"/>
          <w:color w:val="000000"/>
          <w:sz w:val="22"/>
          <w:szCs w:val="22"/>
        </w:rPr>
        <w:t xml:space="preserve"> Chile, Panama, Peru and Guatemala.</w:t>
      </w:r>
      <w:r w:rsidRPr="004737C5">
        <w:rPr>
          <w:rStyle w:val="FootnoteReference"/>
          <w:rFonts w:asciiTheme="minorHAnsi" w:hAnsiTheme="minorHAnsi" w:cstheme="minorHAnsi"/>
          <w:color w:val="000000"/>
          <w:sz w:val="22"/>
          <w:szCs w:val="22"/>
        </w:rPr>
        <w:footnoteReference w:id="20"/>
      </w:r>
      <w:r w:rsidRPr="004737C5">
        <w:rPr>
          <w:rFonts w:asciiTheme="minorHAnsi" w:hAnsiTheme="minorHAnsi" w:cstheme="minorHAnsi"/>
          <w:color w:val="000000"/>
          <w:sz w:val="22"/>
          <w:szCs w:val="22"/>
        </w:rPr>
        <w:t xml:space="preserve"> Some Latin American jurisdictions also extend consumer protection to small artisans (Costa Rica) or micro-enterprises (Mexico).</w:t>
      </w:r>
      <w:r w:rsidRPr="004737C5">
        <w:rPr>
          <w:rStyle w:val="FootnoteReference"/>
          <w:rFonts w:asciiTheme="minorHAnsi" w:hAnsiTheme="minorHAnsi" w:cstheme="minorHAnsi"/>
          <w:color w:val="000000"/>
          <w:sz w:val="22"/>
          <w:szCs w:val="22"/>
        </w:rPr>
        <w:footnoteReference w:id="21"/>
      </w:r>
    </w:p>
    <w:p w14:paraId="55D40207" w14:textId="77777777" w:rsidR="00843222" w:rsidRPr="004737C5" w:rsidRDefault="00843222" w:rsidP="00A577C4">
      <w:pPr>
        <w:pStyle w:val="CM1"/>
        <w:spacing w:after="160"/>
        <w:rPr>
          <w:rFonts w:asciiTheme="minorHAnsi" w:hAnsiTheme="minorHAnsi" w:cstheme="minorHAnsi"/>
          <w:color w:val="000000"/>
          <w:sz w:val="22"/>
          <w:szCs w:val="22"/>
        </w:rPr>
      </w:pPr>
      <w:r w:rsidRPr="004737C5">
        <w:rPr>
          <w:rFonts w:asciiTheme="minorHAnsi" w:hAnsiTheme="minorHAnsi" w:cstheme="minorHAnsi"/>
          <w:sz w:val="22"/>
          <w:szCs w:val="22"/>
        </w:rPr>
        <w:t xml:space="preserve">The most recent </w:t>
      </w:r>
      <w:r w:rsidR="0084791E" w:rsidRPr="004737C5">
        <w:rPr>
          <w:rFonts w:asciiTheme="minorHAnsi" w:hAnsiTheme="minorHAnsi" w:cstheme="minorHAnsi"/>
          <w:sz w:val="22"/>
          <w:szCs w:val="22"/>
        </w:rPr>
        <w:t xml:space="preserve">European Union </w:t>
      </w:r>
      <w:r w:rsidRPr="004737C5">
        <w:rPr>
          <w:rFonts w:asciiTheme="minorHAnsi" w:hAnsiTheme="minorHAnsi" w:cstheme="minorHAnsi"/>
          <w:sz w:val="22"/>
          <w:szCs w:val="22"/>
        </w:rPr>
        <w:t>Consumer Rights Directive (effective June 2014)</w:t>
      </w:r>
      <w:r w:rsidRPr="004737C5">
        <w:rPr>
          <w:rFonts w:asciiTheme="minorHAnsi" w:hAnsiTheme="minorHAnsi" w:cstheme="minorHAnsi"/>
          <w:color w:val="FF0000"/>
        </w:rPr>
        <w:t xml:space="preserve"> </w:t>
      </w:r>
      <w:r w:rsidR="00CB262F" w:rsidRPr="004737C5">
        <w:rPr>
          <w:rFonts w:asciiTheme="minorHAnsi" w:hAnsiTheme="minorHAnsi" w:cstheme="minorHAnsi"/>
          <w:sz w:val="22"/>
          <w:szCs w:val="22"/>
        </w:rPr>
        <w:t>defines the</w:t>
      </w:r>
      <w:r w:rsidR="001142AA" w:rsidRPr="004737C5">
        <w:rPr>
          <w:rFonts w:asciiTheme="minorHAnsi" w:hAnsiTheme="minorHAnsi" w:cstheme="minorHAnsi"/>
          <w:sz w:val="22"/>
          <w:szCs w:val="22"/>
        </w:rPr>
        <w:t xml:space="preserve"> consumer</w:t>
      </w:r>
      <w:r w:rsidRPr="004737C5">
        <w:rPr>
          <w:rFonts w:asciiTheme="minorHAnsi" w:hAnsiTheme="minorHAnsi" w:cstheme="minorHAnsi"/>
          <w:sz w:val="22"/>
          <w:szCs w:val="22"/>
        </w:rPr>
        <w:t xml:space="preserve"> </w:t>
      </w:r>
      <w:r w:rsidR="001142AA" w:rsidRPr="004737C5">
        <w:rPr>
          <w:rFonts w:asciiTheme="minorHAnsi" w:hAnsiTheme="minorHAnsi" w:cstheme="minorHAnsi"/>
          <w:sz w:val="22"/>
          <w:szCs w:val="22"/>
        </w:rPr>
        <w:t>as</w:t>
      </w:r>
      <w:r w:rsidRPr="004737C5">
        <w:rPr>
          <w:rFonts w:asciiTheme="minorHAnsi" w:hAnsiTheme="minorHAnsi" w:cstheme="minorHAnsi"/>
          <w:sz w:val="22"/>
          <w:szCs w:val="22"/>
        </w:rPr>
        <w:t xml:space="preserve"> </w:t>
      </w:r>
      <w:r w:rsidR="001142AA" w:rsidRPr="004737C5">
        <w:rPr>
          <w:rFonts w:asciiTheme="minorHAnsi" w:hAnsiTheme="minorHAnsi" w:cstheme="minorHAnsi"/>
          <w:color w:val="000000"/>
          <w:sz w:val="22"/>
          <w:szCs w:val="22"/>
        </w:rPr>
        <w:t>“</w:t>
      </w:r>
      <w:r w:rsidRPr="004737C5">
        <w:rPr>
          <w:rFonts w:asciiTheme="minorHAnsi" w:hAnsiTheme="minorHAnsi" w:cstheme="minorHAnsi"/>
          <w:color w:val="000000"/>
          <w:sz w:val="22"/>
          <w:szCs w:val="22"/>
        </w:rPr>
        <w:t>any natural person who is acting for purposes which are outside his trade, business, craft or profession</w:t>
      </w:r>
      <w:r w:rsidR="001142AA" w:rsidRPr="004737C5">
        <w:rPr>
          <w:rFonts w:asciiTheme="minorHAnsi" w:hAnsiTheme="minorHAnsi" w:cstheme="minorHAnsi"/>
          <w:color w:val="000000"/>
          <w:sz w:val="22"/>
          <w:szCs w:val="22"/>
        </w:rPr>
        <w:t>”. However, the d</w:t>
      </w:r>
      <w:r w:rsidRPr="004737C5">
        <w:rPr>
          <w:rFonts w:asciiTheme="minorHAnsi" w:hAnsiTheme="minorHAnsi" w:cstheme="minorHAnsi"/>
          <w:color w:val="000000"/>
          <w:sz w:val="22"/>
          <w:szCs w:val="22"/>
        </w:rPr>
        <w:t>irective also</w:t>
      </w:r>
      <w:r w:rsidR="001142AA" w:rsidRPr="004737C5">
        <w:rPr>
          <w:rFonts w:asciiTheme="minorHAnsi" w:hAnsiTheme="minorHAnsi" w:cstheme="minorHAnsi"/>
          <w:color w:val="000000"/>
          <w:sz w:val="22"/>
          <w:szCs w:val="22"/>
        </w:rPr>
        <w:t xml:space="preserve"> mentions that “</w:t>
      </w:r>
      <w:r w:rsidRPr="004737C5">
        <w:rPr>
          <w:rFonts w:asciiTheme="minorHAnsi" w:hAnsiTheme="minorHAnsi" w:cstheme="minorHAnsi"/>
          <w:color w:val="000000"/>
          <w:sz w:val="22"/>
          <w:szCs w:val="22"/>
        </w:rPr>
        <w:t>where the contract is concluded for purposes partly within and partly outside the person’s trade and the trade purpose is so limited as not to be predominant in the overall context of the contract, that person should also be considered as a consumer</w:t>
      </w:r>
      <w:r w:rsidR="001142AA" w:rsidRPr="004737C5">
        <w:rPr>
          <w:rFonts w:asciiTheme="minorHAnsi" w:hAnsiTheme="minorHAnsi" w:cstheme="minorHAnsi"/>
          <w:color w:val="000000"/>
          <w:sz w:val="22"/>
          <w:szCs w:val="22"/>
        </w:rPr>
        <w:t>”.</w:t>
      </w:r>
      <w:r w:rsidRPr="004737C5">
        <w:rPr>
          <w:rFonts w:asciiTheme="minorHAnsi" w:hAnsiTheme="minorHAnsi" w:cstheme="minorHAnsi"/>
          <w:color w:val="000000"/>
          <w:sz w:val="22"/>
          <w:szCs w:val="22"/>
        </w:rPr>
        <w:t xml:space="preserve">  </w:t>
      </w:r>
    </w:p>
    <w:p w14:paraId="415E9E82" w14:textId="77777777" w:rsidR="00843222" w:rsidRPr="004737C5" w:rsidRDefault="001142AA" w:rsidP="00633B73">
      <w:pPr>
        <w:pStyle w:val="Heading2"/>
        <w:spacing w:after="160"/>
        <w:rPr>
          <w:rFonts w:cstheme="minorHAnsi"/>
          <w:sz w:val="24"/>
          <w:szCs w:val="24"/>
        </w:rPr>
      </w:pPr>
      <w:bookmarkStart w:id="11" w:name="_Toc492649965"/>
      <w:r w:rsidRPr="004737C5">
        <w:rPr>
          <w:rFonts w:cstheme="minorHAnsi"/>
          <w:color w:val="auto"/>
          <w:sz w:val="24"/>
          <w:szCs w:val="24"/>
        </w:rPr>
        <w:t>D.</w:t>
      </w:r>
      <w:r w:rsidR="00843222" w:rsidRPr="004737C5">
        <w:rPr>
          <w:rFonts w:cstheme="minorHAnsi"/>
          <w:color w:val="auto"/>
          <w:sz w:val="24"/>
          <w:szCs w:val="24"/>
        </w:rPr>
        <w:t xml:space="preserve"> Who is responsible for consumer protection?</w:t>
      </w:r>
      <w:bookmarkEnd w:id="11"/>
    </w:p>
    <w:p w14:paraId="65F3C481" w14:textId="5535C124" w:rsidR="00843222" w:rsidRPr="004737C5" w:rsidRDefault="00843222" w:rsidP="006D3BE8">
      <w:pPr>
        <w:rPr>
          <w:rFonts w:cstheme="minorHAnsi"/>
        </w:rPr>
      </w:pPr>
      <w:r w:rsidRPr="004737C5">
        <w:rPr>
          <w:rFonts w:cstheme="minorHAnsi"/>
        </w:rPr>
        <w:t>The function of consumer protection falls within the purview of both public and private bodies and may be conferred by specific laws or assumed by them through virtue of their status. The following bodies play a role in consumer protection:</w:t>
      </w:r>
      <w:r w:rsidR="001142AA" w:rsidRPr="004737C5">
        <w:rPr>
          <w:rFonts w:cstheme="minorHAnsi"/>
        </w:rPr>
        <w:t xml:space="preserve"> government agencies, statutory and non-statutory standards bodies, ombudsmen, professional and industry associations, self</w:t>
      </w:r>
      <w:r w:rsidR="005646D5" w:rsidRPr="004737C5">
        <w:rPr>
          <w:rFonts w:cstheme="minorHAnsi"/>
        </w:rPr>
        <w:t>-</w:t>
      </w:r>
      <w:r w:rsidR="001142AA" w:rsidRPr="004737C5">
        <w:rPr>
          <w:rFonts w:cstheme="minorHAnsi"/>
        </w:rPr>
        <w:t xml:space="preserve"> and co-regulation and consumer associations.</w:t>
      </w:r>
    </w:p>
    <w:p w14:paraId="53C67C8D" w14:textId="77777777" w:rsidR="00843222" w:rsidRPr="004737C5" w:rsidRDefault="001142AA" w:rsidP="00A577C4">
      <w:pPr>
        <w:pStyle w:val="H5"/>
        <w:keepNext w:val="0"/>
        <w:spacing w:before="200" w:after="160"/>
        <w:outlineLvl w:val="9"/>
        <w:rPr>
          <w:rFonts w:asciiTheme="minorHAnsi" w:hAnsiTheme="minorHAnsi" w:cstheme="minorHAnsi"/>
          <w:bCs/>
          <w:snapToGrid/>
        </w:rPr>
      </w:pPr>
      <w:r w:rsidRPr="004737C5">
        <w:rPr>
          <w:rFonts w:asciiTheme="minorHAnsi" w:hAnsiTheme="minorHAnsi" w:cstheme="minorHAnsi"/>
          <w:bCs/>
          <w:iCs/>
          <w:snapToGrid/>
        </w:rPr>
        <w:t xml:space="preserve">1. </w:t>
      </w:r>
      <w:r w:rsidR="00843222" w:rsidRPr="004737C5">
        <w:rPr>
          <w:rFonts w:asciiTheme="minorHAnsi" w:hAnsiTheme="minorHAnsi" w:cstheme="minorHAnsi"/>
          <w:bCs/>
          <w:iCs/>
          <w:snapToGrid/>
        </w:rPr>
        <w:t>Government agencies</w:t>
      </w:r>
      <w:r w:rsidR="00843222" w:rsidRPr="004737C5">
        <w:rPr>
          <w:rFonts w:asciiTheme="minorHAnsi" w:hAnsiTheme="minorHAnsi" w:cstheme="minorHAnsi"/>
          <w:bCs/>
          <w:snapToGrid/>
        </w:rPr>
        <w:t xml:space="preserve"> </w:t>
      </w:r>
    </w:p>
    <w:p w14:paraId="58A7A47B" w14:textId="4517BD09" w:rsidR="00843222" w:rsidRPr="004737C5" w:rsidRDefault="00843222" w:rsidP="00633B73">
      <w:pPr>
        <w:pStyle w:val="BodyText"/>
        <w:spacing w:after="160"/>
        <w:rPr>
          <w:rFonts w:asciiTheme="minorHAnsi" w:hAnsiTheme="minorHAnsi" w:cstheme="minorHAnsi"/>
          <w:sz w:val="22"/>
        </w:rPr>
      </w:pPr>
      <w:r w:rsidRPr="004737C5">
        <w:rPr>
          <w:rFonts w:asciiTheme="minorHAnsi" w:hAnsiTheme="minorHAnsi" w:cstheme="minorHAnsi"/>
          <w:sz w:val="22"/>
        </w:rPr>
        <w:t>These may be Ministries or Departments of Consumer Affairs set up specifically to administer and e</w:t>
      </w:r>
      <w:r w:rsidR="001142AA" w:rsidRPr="004737C5">
        <w:rPr>
          <w:rFonts w:asciiTheme="minorHAnsi" w:hAnsiTheme="minorHAnsi" w:cstheme="minorHAnsi"/>
          <w:sz w:val="22"/>
        </w:rPr>
        <w:t>nforce consumer protection laws. These</w:t>
      </w:r>
      <w:r w:rsidR="001C5CB4" w:rsidRPr="004737C5">
        <w:rPr>
          <w:rFonts w:asciiTheme="minorHAnsi" w:hAnsiTheme="minorHAnsi" w:cstheme="minorHAnsi"/>
          <w:sz w:val="22"/>
        </w:rPr>
        <w:t xml:space="preserve"> are discussed in chapter IV</w:t>
      </w:r>
      <w:r w:rsidRPr="004737C5">
        <w:rPr>
          <w:rFonts w:asciiTheme="minorHAnsi" w:hAnsiTheme="minorHAnsi" w:cstheme="minorHAnsi"/>
          <w:sz w:val="22"/>
        </w:rPr>
        <w:t xml:space="preserve">. In </w:t>
      </w:r>
      <w:r w:rsidR="005646D5" w:rsidRPr="004737C5">
        <w:rPr>
          <w:rFonts w:asciiTheme="minorHAnsi" w:hAnsiTheme="minorHAnsi" w:cstheme="minorHAnsi"/>
          <w:sz w:val="22"/>
        </w:rPr>
        <w:t>some countries, there are also consumer advisory councils or c</w:t>
      </w:r>
      <w:r w:rsidRPr="004737C5">
        <w:rPr>
          <w:rFonts w:asciiTheme="minorHAnsi" w:hAnsiTheme="minorHAnsi" w:cstheme="minorHAnsi"/>
          <w:sz w:val="22"/>
        </w:rPr>
        <w:t>ommittees, which have broad-based representation and serve as a consul</w:t>
      </w:r>
      <w:r w:rsidR="001142AA" w:rsidRPr="004737C5">
        <w:rPr>
          <w:rFonts w:asciiTheme="minorHAnsi" w:hAnsiTheme="minorHAnsi" w:cstheme="minorHAnsi"/>
          <w:sz w:val="22"/>
        </w:rPr>
        <w:t>tative mechanism to advise the g</w:t>
      </w:r>
      <w:r w:rsidRPr="004737C5">
        <w:rPr>
          <w:rFonts w:asciiTheme="minorHAnsi" w:hAnsiTheme="minorHAnsi" w:cstheme="minorHAnsi"/>
          <w:sz w:val="22"/>
        </w:rPr>
        <w:t>overnment on consumer protection policies</w:t>
      </w:r>
      <w:r w:rsidR="001142AA" w:rsidRPr="004737C5">
        <w:rPr>
          <w:rFonts w:asciiTheme="minorHAnsi" w:hAnsiTheme="minorHAnsi" w:cstheme="minorHAnsi"/>
          <w:sz w:val="22"/>
        </w:rPr>
        <w:t>.</w:t>
      </w:r>
    </w:p>
    <w:p w14:paraId="325DDF13" w14:textId="77777777" w:rsidR="00843222" w:rsidRPr="004737C5" w:rsidRDefault="001142AA" w:rsidP="00A577C4">
      <w:pPr>
        <w:spacing w:before="200"/>
        <w:rPr>
          <w:rFonts w:cstheme="minorHAnsi"/>
        </w:rPr>
      </w:pPr>
      <w:r w:rsidRPr="004737C5">
        <w:rPr>
          <w:rFonts w:cstheme="minorHAnsi"/>
          <w:b/>
          <w:bCs/>
          <w:iCs/>
        </w:rPr>
        <w:t xml:space="preserve">2. Statutory and </w:t>
      </w:r>
      <w:r w:rsidR="00843222" w:rsidRPr="004737C5">
        <w:rPr>
          <w:rFonts w:cstheme="minorHAnsi"/>
          <w:b/>
          <w:bCs/>
          <w:iCs/>
        </w:rPr>
        <w:t>non-statutory standards bodies</w:t>
      </w:r>
    </w:p>
    <w:p w14:paraId="7A617C94" w14:textId="6FCAC356" w:rsidR="00843222" w:rsidRPr="004737C5" w:rsidRDefault="001142AA" w:rsidP="005646D5">
      <w:pPr>
        <w:rPr>
          <w:rFonts w:cstheme="minorHAnsi"/>
          <w:bCs/>
        </w:rPr>
      </w:pPr>
      <w:r w:rsidRPr="004737C5">
        <w:rPr>
          <w:rFonts w:cstheme="minorHAnsi"/>
          <w:bCs/>
        </w:rPr>
        <w:t>G</w:t>
      </w:r>
      <w:r w:rsidR="00843222" w:rsidRPr="004737C5">
        <w:rPr>
          <w:rFonts w:cstheme="minorHAnsi"/>
          <w:bCs/>
        </w:rPr>
        <w:t>overnment</w:t>
      </w:r>
      <w:r w:rsidRPr="004737C5">
        <w:rPr>
          <w:rFonts w:cstheme="minorHAnsi"/>
          <w:bCs/>
        </w:rPr>
        <w:t>al</w:t>
      </w:r>
      <w:r w:rsidR="00843222" w:rsidRPr="004737C5">
        <w:rPr>
          <w:rFonts w:cstheme="minorHAnsi"/>
          <w:bCs/>
        </w:rPr>
        <w:t xml:space="preserve"> and non-governmental bodies </w:t>
      </w:r>
      <w:r w:rsidRPr="004737C5">
        <w:rPr>
          <w:rFonts w:cstheme="minorHAnsi"/>
          <w:bCs/>
        </w:rPr>
        <w:t xml:space="preserve">have been </w:t>
      </w:r>
      <w:r w:rsidR="00843222" w:rsidRPr="004737C5">
        <w:rPr>
          <w:rFonts w:cstheme="minorHAnsi"/>
          <w:bCs/>
        </w:rPr>
        <w:t>established to set standards for product safety and quality control</w:t>
      </w:r>
      <w:r w:rsidR="005646D5" w:rsidRPr="004737C5">
        <w:rPr>
          <w:rFonts w:cstheme="minorHAnsi"/>
          <w:bCs/>
        </w:rPr>
        <w:t>,</w:t>
      </w:r>
      <w:r w:rsidR="00843222" w:rsidRPr="004737C5">
        <w:rPr>
          <w:rFonts w:cstheme="minorHAnsi"/>
          <w:bCs/>
        </w:rPr>
        <w:t xml:space="preserve"> and</w:t>
      </w:r>
      <w:r w:rsidR="005646D5" w:rsidRPr="004737C5">
        <w:rPr>
          <w:rFonts w:cstheme="minorHAnsi"/>
          <w:bCs/>
        </w:rPr>
        <w:t xml:space="preserve"> to</w:t>
      </w:r>
      <w:r w:rsidR="00843222" w:rsidRPr="004737C5">
        <w:rPr>
          <w:rFonts w:cstheme="minorHAnsi"/>
          <w:bCs/>
        </w:rPr>
        <w:t xml:space="preserve"> issue certification marks. Most countries have national standards bodies with an autonomous status, usually affiliated to the Internati</w:t>
      </w:r>
      <w:r w:rsidR="003F08AB" w:rsidRPr="004737C5">
        <w:rPr>
          <w:rFonts w:cstheme="minorHAnsi"/>
          <w:bCs/>
        </w:rPr>
        <w:t>onal Organization for Standardiz</w:t>
      </w:r>
      <w:r w:rsidR="00843222" w:rsidRPr="004737C5">
        <w:rPr>
          <w:rFonts w:cstheme="minorHAnsi"/>
          <w:bCs/>
        </w:rPr>
        <w:t>ation (ISO), which negotiates standards between representatives of industry and other stakeholders, including consumers. National standards often transpose international standards, whose importance has been increasing since th</w:t>
      </w:r>
      <w:r w:rsidRPr="004737C5">
        <w:rPr>
          <w:rFonts w:cstheme="minorHAnsi"/>
          <w:bCs/>
        </w:rPr>
        <w:t xml:space="preserve">eir recognition </w:t>
      </w:r>
      <w:r w:rsidR="00843222" w:rsidRPr="004737C5">
        <w:rPr>
          <w:rFonts w:cstheme="minorHAnsi"/>
          <w:bCs/>
        </w:rPr>
        <w:t xml:space="preserve">in the 1995 treaty </w:t>
      </w:r>
      <w:r w:rsidRPr="004737C5">
        <w:rPr>
          <w:rFonts w:cstheme="minorHAnsi"/>
          <w:bCs/>
        </w:rPr>
        <w:t>establishing</w:t>
      </w:r>
      <w:r w:rsidR="00843222" w:rsidRPr="004737C5">
        <w:rPr>
          <w:rFonts w:cstheme="minorHAnsi"/>
          <w:bCs/>
        </w:rPr>
        <w:t xml:space="preserve"> the World Trade Organizati</w:t>
      </w:r>
      <w:r w:rsidR="001C5CB4" w:rsidRPr="004737C5">
        <w:rPr>
          <w:rFonts w:cstheme="minorHAnsi"/>
          <w:bCs/>
        </w:rPr>
        <w:t>on (WTO) (discussed in chapter III</w:t>
      </w:r>
      <w:r w:rsidR="00843222" w:rsidRPr="004737C5">
        <w:rPr>
          <w:rFonts w:cstheme="minorHAnsi"/>
          <w:bCs/>
        </w:rPr>
        <w:t xml:space="preserve">). Governments still developing consumer protection legislation may choose to adopt ISO standards in the meantime. The role of standards in </w:t>
      </w:r>
      <w:r w:rsidR="001C5CB4" w:rsidRPr="004737C5">
        <w:rPr>
          <w:rFonts w:cstheme="minorHAnsi"/>
          <w:bCs/>
        </w:rPr>
        <w:t>safety is discussed in chapter IX</w:t>
      </w:r>
      <w:r w:rsidR="00843222" w:rsidRPr="004737C5">
        <w:rPr>
          <w:rFonts w:cstheme="minorHAnsi"/>
          <w:bCs/>
        </w:rPr>
        <w:t xml:space="preserve"> and the role of business in n</w:t>
      </w:r>
      <w:r w:rsidRPr="004737C5">
        <w:rPr>
          <w:rFonts w:cstheme="minorHAnsi"/>
          <w:bCs/>
        </w:rPr>
        <w:t>egotiations in ch</w:t>
      </w:r>
      <w:r w:rsidR="001C5CB4" w:rsidRPr="004737C5">
        <w:rPr>
          <w:rFonts w:cstheme="minorHAnsi"/>
          <w:bCs/>
        </w:rPr>
        <w:t>apter VI</w:t>
      </w:r>
      <w:r w:rsidRPr="004737C5">
        <w:rPr>
          <w:rFonts w:cstheme="minorHAnsi"/>
          <w:bCs/>
        </w:rPr>
        <w:t>.</w:t>
      </w:r>
    </w:p>
    <w:p w14:paraId="08F52A63" w14:textId="77777777" w:rsidR="00843222" w:rsidRPr="004737C5" w:rsidRDefault="001142AA" w:rsidP="00A577C4">
      <w:pPr>
        <w:spacing w:before="200"/>
        <w:rPr>
          <w:rFonts w:cstheme="minorHAnsi"/>
          <w:bCs/>
        </w:rPr>
      </w:pPr>
      <w:r w:rsidRPr="004737C5">
        <w:rPr>
          <w:rFonts w:cstheme="minorHAnsi"/>
          <w:b/>
          <w:bCs/>
          <w:iCs/>
        </w:rPr>
        <w:t xml:space="preserve">3. </w:t>
      </w:r>
      <w:r w:rsidR="00843222" w:rsidRPr="004737C5">
        <w:rPr>
          <w:rFonts w:cstheme="minorHAnsi"/>
          <w:b/>
          <w:bCs/>
          <w:iCs/>
        </w:rPr>
        <w:t>Ombudsmen</w:t>
      </w:r>
    </w:p>
    <w:p w14:paraId="68FFFF34" w14:textId="3AE416CF" w:rsidR="00843222" w:rsidRPr="004737C5" w:rsidRDefault="00843222" w:rsidP="00633B73">
      <w:pPr>
        <w:rPr>
          <w:rFonts w:cstheme="minorHAnsi"/>
          <w:bCs/>
        </w:rPr>
      </w:pPr>
      <w:r w:rsidRPr="004737C5">
        <w:rPr>
          <w:rFonts w:cstheme="minorHAnsi"/>
          <w:bCs/>
        </w:rPr>
        <w:t>A term of art</w:t>
      </w:r>
      <w:r w:rsidR="005646D5" w:rsidRPr="004737C5">
        <w:rPr>
          <w:rFonts w:cstheme="minorHAnsi"/>
          <w:bCs/>
        </w:rPr>
        <w:t xml:space="preserve"> developed in Scandinavia, the o</w:t>
      </w:r>
      <w:r w:rsidRPr="004737C5">
        <w:rPr>
          <w:rFonts w:cstheme="minorHAnsi"/>
          <w:bCs/>
        </w:rPr>
        <w:t>mbudsman (also known in Ibero</w:t>
      </w:r>
      <w:r w:rsidR="00633B73" w:rsidRPr="004737C5">
        <w:rPr>
          <w:rFonts w:cstheme="minorHAnsi"/>
          <w:bCs/>
        </w:rPr>
        <w:t>-A</w:t>
      </w:r>
      <w:r w:rsidRPr="004737C5">
        <w:rPr>
          <w:rFonts w:cstheme="minorHAnsi"/>
          <w:bCs/>
        </w:rPr>
        <w:t xml:space="preserve">merica as </w:t>
      </w:r>
      <w:r w:rsidRPr="004737C5">
        <w:rPr>
          <w:rFonts w:cstheme="minorHAnsi"/>
          <w:bCs/>
          <w:i/>
        </w:rPr>
        <w:t>El Defensor del Pueblo</w:t>
      </w:r>
      <w:r w:rsidRPr="004737C5">
        <w:rPr>
          <w:rFonts w:cstheme="minorHAnsi"/>
          <w:bCs/>
        </w:rPr>
        <w:t>) provides the public with information and advice on consumer rights and assists with the settlement of disputes through mediation and arbitration. Initially developed to deal with maladmi</w:t>
      </w:r>
      <w:r w:rsidR="001142AA" w:rsidRPr="004737C5">
        <w:rPr>
          <w:rFonts w:cstheme="minorHAnsi"/>
          <w:bCs/>
        </w:rPr>
        <w:t>nistration in public services, o</w:t>
      </w:r>
      <w:r w:rsidRPr="004737C5">
        <w:rPr>
          <w:rFonts w:cstheme="minorHAnsi"/>
          <w:bCs/>
        </w:rPr>
        <w:t xml:space="preserve">mbudsmen have spread to the private sector and may sometimes have a generic consumer protection remit in a given locality. They are </w:t>
      </w:r>
      <w:r w:rsidR="00981AAF" w:rsidRPr="004737C5">
        <w:rPr>
          <w:rFonts w:cstheme="minorHAnsi"/>
          <w:bCs/>
        </w:rPr>
        <w:t xml:space="preserve">discussed </w:t>
      </w:r>
      <w:r w:rsidR="001142AA" w:rsidRPr="004737C5">
        <w:rPr>
          <w:rFonts w:cstheme="minorHAnsi"/>
          <w:bCs/>
        </w:rPr>
        <w:t xml:space="preserve">further </w:t>
      </w:r>
      <w:r w:rsidR="001C5CB4" w:rsidRPr="004737C5">
        <w:rPr>
          <w:rFonts w:cstheme="minorHAnsi"/>
          <w:bCs/>
        </w:rPr>
        <w:t>in chapter XI</w:t>
      </w:r>
      <w:r w:rsidR="001142AA" w:rsidRPr="004737C5">
        <w:rPr>
          <w:rFonts w:cstheme="minorHAnsi"/>
          <w:bCs/>
        </w:rPr>
        <w:t>.</w:t>
      </w:r>
    </w:p>
    <w:p w14:paraId="3FEE5D29" w14:textId="77777777" w:rsidR="00843222" w:rsidRPr="004737C5" w:rsidRDefault="001142AA" w:rsidP="00A577C4">
      <w:pPr>
        <w:spacing w:before="200"/>
        <w:rPr>
          <w:rFonts w:cstheme="minorHAnsi"/>
        </w:rPr>
      </w:pPr>
      <w:r w:rsidRPr="004737C5">
        <w:rPr>
          <w:rFonts w:cstheme="minorHAnsi"/>
          <w:b/>
        </w:rPr>
        <w:t xml:space="preserve">4. </w:t>
      </w:r>
      <w:r w:rsidR="00843222" w:rsidRPr="004737C5">
        <w:rPr>
          <w:rFonts w:cstheme="minorHAnsi"/>
          <w:b/>
        </w:rPr>
        <w:t>Professional and industry associations</w:t>
      </w:r>
    </w:p>
    <w:p w14:paraId="510F3A6D" w14:textId="45A85154" w:rsidR="000A4D1E" w:rsidRPr="004737C5" w:rsidRDefault="00843222" w:rsidP="00633B73">
      <w:pPr>
        <w:rPr>
          <w:rFonts w:cstheme="minorHAnsi"/>
        </w:rPr>
      </w:pPr>
      <w:r w:rsidRPr="004737C5">
        <w:rPr>
          <w:rFonts w:cstheme="minorHAnsi"/>
        </w:rPr>
        <w:lastRenderedPageBreak/>
        <w:t>Professional and industry associations may conduct their own complaints handling and disciplinary proceedings against their members and deve</w:t>
      </w:r>
      <w:r w:rsidR="001142AA" w:rsidRPr="004737C5">
        <w:rPr>
          <w:rFonts w:cstheme="minorHAnsi"/>
        </w:rPr>
        <w:t>lop codes of c</w:t>
      </w:r>
      <w:r w:rsidRPr="004737C5">
        <w:rPr>
          <w:rFonts w:cstheme="minorHAnsi"/>
        </w:rPr>
        <w:t>onduct, often in negotiation with consumer protection agencies. Aggrieved consumers may refer their problems to these mechanisms for settlement. Alternatively, some companies have set up their own complaints handling mechanisms</w:t>
      </w:r>
      <w:r w:rsidR="001142AA" w:rsidRPr="004737C5">
        <w:rPr>
          <w:rFonts w:cstheme="minorHAnsi"/>
        </w:rPr>
        <w:t>.</w:t>
      </w:r>
      <w:r w:rsidRPr="004737C5">
        <w:rPr>
          <w:rFonts w:cstheme="minorHAnsi"/>
        </w:rPr>
        <w:t xml:space="preserve"> These are</w:t>
      </w:r>
      <w:r w:rsidR="001C5CB4" w:rsidRPr="004737C5">
        <w:rPr>
          <w:rFonts w:cstheme="minorHAnsi"/>
        </w:rPr>
        <w:t xml:space="preserve"> discussed in chapters VI</w:t>
      </w:r>
      <w:r w:rsidR="00981AAF" w:rsidRPr="004737C5">
        <w:rPr>
          <w:rFonts w:cstheme="minorHAnsi"/>
        </w:rPr>
        <w:t xml:space="preserve"> and </w:t>
      </w:r>
      <w:r w:rsidR="001C5CB4" w:rsidRPr="004737C5">
        <w:rPr>
          <w:rFonts w:cstheme="minorHAnsi"/>
        </w:rPr>
        <w:t>XI</w:t>
      </w:r>
      <w:r w:rsidR="000A4D1E" w:rsidRPr="004737C5">
        <w:rPr>
          <w:rFonts w:cstheme="minorHAnsi"/>
        </w:rPr>
        <w:t>.</w:t>
      </w:r>
    </w:p>
    <w:p w14:paraId="5041543E" w14:textId="77777777" w:rsidR="000A4D1E" w:rsidRPr="004737C5" w:rsidRDefault="001142AA" w:rsidP="00A577C4">
      <w:pPr>
        <w:spacing w:before="200"/>
        <w:rPr>
          <w:rFonts w:cstheme="minorHAnsi"/>
          <w:b/>
        </w:rPr>
      </w:pPr>
      <w:r w:rsidRPr="004737C5">
        <w:rPr>
          <w:rFonts w:cstheme="minorHAnsi"/>
          <w:b/>
        </w:rPr>
        <w:t xml:space="preserve">5. </w:t>
      </w:r>
      <w:r w:rsidR="000A4D1E" w:rsidRPr="004737C5">
        <w:rPr>
          <w:rFonts w:cstheme="minorHAnsi"/>
          <w:b/>
        </w:rPr>
        <w:t>Self</w:t>
      </w:r>
      <w:r w:rsidRPr="004737C5">
        <w:rPr>
          <w:rFonts w:cstheme="minorHAnsi"/>
          <w:b/>
        </w:rPr>
        <w:t>-</w:t>
      </w:r>
      <w:r w:rsidR="008872DB" w:rsidRPr="004737C5">
        <w:rPr>
          <w:rFonts w:cstheme="minorHAnsi"/>
          <w:b/>
        </w:rPr>
        <w:t xml:space="preserve"> and co</w:t>
      </w:r>
      <w:r w:rsidR="003E47E8" w:rsidRPr="004737C5">
        <w:rPr>
          <w:rFonts w:cstheme="minorHAnsi"/>
          <w:b/>
        </w:rPr>
        <w:t>-</w:t>
      </w:r>
      <w:r w:rsidR="000A4D1E" w:rsidRPr="004737C5">
        <w:rPr>
          <w:rFonts w:cstheme="minorHAnsi"/>
          <w:b/>
        </w:rPr>
        <w:t>regulation</w:t>
      </w:r>
    </w:p>
    <w:p w14:paraId="27FA705F" w14:textId="31B198AD" w:rsidR="00843222" w:rsidRPr="004737C5" w:rsidRDefault="000A4D1E" w:rsidP="00633B73">
      <w:pPr>
        <w:rPr>
          <w:rFonts w:cstheme="minorHAnsi"/>
        </w:rPr>
      </w:pPr>
      <w:r w:rsidRPr="004737C5">
        <w:rPr>
          <w:rFonts w:cstheme="minorHAnsi"/>
        </w:rPr>
        <w:t>The role of self-regulation</w:t>
      </w:r>
      <w:r w:rsidR="001142AA" w:rsidRPr="004737C5">
        <w:rPr>
          <w:rFonts w:cstheme="minorHAnsi"/>
        </w:rPr>
        <w:t xml:space="preserve"> incorporates some of the functions mentioned above and</w:t>
      </w:r>
      <w:r w:rsidR="001C5CB4" w:rsidRPr="004737C5">
        <w:rPr>
          <w:rFonts w:cstheme="minorHAnsi"/>
        </w:rPr>
        <w:t xml:space="preserve"> is discussed in chapter VI</w:t>
      </w:r>
      <w:r w:rsidR="00633B73" w:rsidRPr="004737C5">
        <w:rPr>
          <w:rFonts w:cstheme="minorHAnsi"/>
        </w:rPr>
        <w:t>,</w:t>
      </w:r>
      <w:r w:rsidRPr="004737C5">
        <w:rPr>
          <w:rFonts w:cstheme="minorHAnsi"/>
        </w:rPr>
        <w:t xml:space="preserve"> along with corporate social responsibility</w:t>
      </w:r>
      <w:r w:rsidR="001142AA" w:rsidRPr="004737C5">
        <w:rPr>
          <w:rFonts w:cstheme="minorHAnsi"/>
        </w:rPr>
        <w:t>.</w:t>
      </w:r>
      <w:r w:rsidR="008872DB" w:rsidRPr="004737C5">
        <w:rPr>
          <w:rFonts w:cstheme="minorHAnsi"/>
        </w:rPr>
        <w:t xml:space="preserve"> </w:t>
      </w:r>
      <w:r w:rsidR="001142AA" w:rsidRPr="004737C5">
        <w:rPr>
          <w:rFonts w:cstheme="minorHAnsi"/>
        </w:rPr>
        <w:t xml:space="preserve">A </w:t>
      </w:r>
      <w:r w:rsidR="001C5CB4" w:rsidRPr="004737C5">
        <w:rPr>
          <w:rFonts w:cstheme="minorHAnsi"/>
        </w:rPr>
        <w:t>process of “registration”</w:t>
      </w:r>
      <w:r w:rsidRPr="004737C5">
        <w:rPr>
          <w:rFonts w:cstheme="minorHAnsi"/>
        </w:rPr>
        <w:t xml:space="preserve"> for liberal professions has </w:t>
      </w:r>
      <w:r w:rsidR="00E87503" w:rsidRPr="004737C5">
        <w:rPr>
          <w:rFonts w:cstheme="minorHAnsi"/>
        </w:rPr>
        <w:t xml:space="preserve">long </w:t>
      </w:r>
      <w:r w:rsidRPr="004737C5">
        <w:rPr>
          <w:rFonts w:cstheme="minorHAnsi"/>
        </w:rPr>
        <w:t>existed, with controls</w:t>
      </w:r>
      <w:r w:rsidR="00E87503" w:rsidRPr="004737C5">
        <w:rPr>
          <w:rFonts w:cstheme="minorHAnsi"/>
        </w:rPr>
        <w:t xml:space="preserve"> limit</w:t>
      </w:r>
      <w:r w:rsidRPr="004737C5">
        <w:rPr>
          <w:rFonts w:cstheme="minorHAnsi"/>
        </w:rPr>
        <w:t>ing entry into particular professions. However, this concept has evolved as a branch of public policy as well as a form of corporate governance, no</w:t>
      </w:r>
      <w:r w:rsidR="00E87503" w:rsidRPr="004737C5">
        <w:rPr>
          <w:rFonts w:cstheme="minorHAnsi"/>
        </w:rPr>
        <w:t xml:space="preserve"> longer</w:t>
      </w:r>
      <w:r w:rsidRPr="004737C5">
        <w:rPr>
          <w:rFonts w:cstheme="minorHAnsi"/>
        </w:rPr>
        <w:t xml:space="preserve"> simply relating to the regulation of products and services </w:t>
      </w:r>
      <w:r w:rsidR="00E87503" w:rsidRPr="004737C5">
        <w:rPr>
          <w:rFonts w:cstheme="minorHAnsi"/>
        </w:rPr>
        <w:t xml:space="preserve">or </w:t>
      </w:r>
      <w:r w:rsidR="008872DB" w:rsidRPr="004737C5">
        <w:rPr>
          <w:rFonts w:cstheme="minorHAnsi"/>
        </w:rPr>
        <w:t>to complaints</w:t>
      </w:r>
      <w:r w:rsidRPr="004737C5">
        <w:rPr>
          <w:rFonts w:cstheme="minorHAnsi"/>
        </w:rPr>
        <w:t xml:space="preserve">. </w:t>
      </w:r>
      <w:r w:rsidR="001142AA" w:rsidRPr="004737C5">
        <w:rPr>
          <w:rFonts w:cstheme="minorHAnsi"/>
        </w:rPr>
        <w:t xml:space="preserve">Encompassing </w:t>
      </w:r>
      <w:r w:rsidR="008872DB" w:rsidRPr="004737C5">
        <w:rPr>
          <w:rFonts w:cstheme="minorHAnsi"/>
        </w:rPr>
        <w:t>a wider range of stakeholders than companies themselves, g</w:t>
      </w:r>
      <w:r w:rsidRPr="004737C5">
        <w:rPr>
          <w:rFonts w:cstheme="minorHAnsi"/>
        </w:rPr>
        <w:t>overnment</w:t>
      </w:r>
      <w:r w:rsidR="008872DB" w:rsidRPr="004737C5">
        <w:rPr>
          <w:rFonts w:cstheme="minorHAnsi"/>
        </w:rPr>
        <w:t>s</w:t>
      </w:r>
      <w:r w:rsidRPr="004737C5">
        <w:rPr>
          <w:rFonts w:cstheme="minorHAnsi"/>
        </w:rPr>
        <w:t xml:space="preserve"> may choose to rely on s</w:t>
      </w:r>
      <w:r w:rsidR="008872DB" w:rsidRPr="004737C5">
        <w:rPr>
          <w:rFonts w:cstheme="minorHAnsi"/>
        </w:rPr>
        <w:t>uch co-</w:t>
      </w:r>
      <w:r w:rsidRPr="004737C5">
        <w:rPr>
          <w:rFonts w:cstheme="minorHAnsi"/>
        </w:rPr>
        <w:t xml:space="preserve">regulatory schemes to </w:t>
      </w:r>
      <w:r w:rsidR="008779A7" w:rsidRPr="004737C5">
        <w:rPr>
          <w:rFonts w:cstheme="minorHAnsi"/>
        </w:rPr>
        <w:t>enforce</w:t>
      </w:r>
      <w:r w:rsidRPr="004737C5">
        <w:rPr>
          <w:rFonts w:cstheme="minorHAnsi"/>
        </w:rPr>
        <w:t xml:space="preserve"> regulations which would othe</w:t>
      </w:r>
      <w:r w:rsidR="001142AA" w:rsidRPr="004737C5">
        <w:rPr>
          <w:rFonts w:cstheme="minorHAnsi"/>
        </w:rPr>
        <w:t>rwise be promulgated by the s</w:t>
      </w:r>
      <w:r w:rsidRPr="004737C5">
        <w:rPr>
          <w:rFonts w:cstheme="minorHAnsi"/>
        </w:rPr>
        <w:t>tate</w:t>
      </w:r>
      <w:r w:rsidR="008779A7" w:rsidRPr="004737C5">
        <w:rPr>
          <w:rFonts w:cstheme="minorHAnsi"/>
        </w:rPr>
        <w:t>. Such schemes</w:t>
      </w:r>
      <w:r w:rsidRPr="004737C5">
        <w:rPr>
          <w:rFonts w:cstheme="minorHAnsi"/>
        </w:rPr>
        <w:t xml:space="preserve"> </w:t>
      </w:r>
      <w:r w:rsidR="008779A7" w:rsidRPr="004737C5">
        <w:rPr>
          <w:rFonts w:cstheme="minorHAnsi"/>
        </w:rPr>
        <w:t xml:space="preserve">may have the </w:t>
      </w:r>
      <w:r w:rsidRPr="004737C5">
        <w:rPr>
          <w:rFonts w:cstheme="minorHAnsi"/>
        </w:rPr>
        <w:t>power</w:t>
      </w:r>
      <w:r w:rsidR="008779A7" w:rsidRPr="004737C5">
        <w:rPr>
          <w:rFonts w:cstheme="minorHAnsi"/>
        </w:rPr>
        <w:t xml:space="preserve"> </w:t>
      </w:r>
      <w:r w:rsidRPr="004737C5">
        <w:rPr>
          <w:rFonts w:cstheme="minorHAnsi"/>
        </w:rPr>
        <w:t>to</w:t>
      </w:r>
      <w:r w:rsidR="008779A7" w:rsidRPr="004737C5">
        <w:rPr>
          <w:rFonts w:cstheme="minorHAnsi"/>
        </w:rPr>
        <w:t xml:space="preserve"> make voluntary codes compulsory, require industry to have codes or</w:t>
      </w:r>
      <w:r w:rsidRPr="004737C5">
        <w:rPr>
          <w:rFonts w:cstheme="minorHAnsi"/>
        </w:rPr>
        <w:t xml:space="preserve"> impose or prescribe mandatory codes, with the clarification that observance of codes is </w:t>
      </w:r>
      <w:r w:rsidR="00633B73" w:rsidRPr="004737C5">
        <w:rPr>
          <w:rFonts w:cstheme="minorHAnsi"/>
        </w:rPr>
        <w:t>tantamount to legal compliance.</w:t>
      </w:r>
    </w:p>
    <w:p w14:paraId="4DB5A5AE" w14:textId="77777777" w:rsidR="00843222" w:rsidRPr="004737C5" w:rsidRDefault="008779A7" w:rsidP="00A577C4">
      <w:pPr>
        <w:spacing w:before="200"/>
        <w:rPr>
          <w:rFonts w:cstheme="minorHAnsi"/>
          <w:b/>
        </w:rPr>
      </w:pPr>
      <w:r w:rsidRPr="004737C5">
        <w:rPr>
          <w:rFonts w:cstheme="minorHAnsi"/>
          <w:b/>
        </w:rPr>
        <w:t xml:space="preserve">6. </w:t>
      </w:r>
      <w:r w:rsidR="00843222" w:rsidRPr="004737C5">
        <w:rPr>
          <w:rFonts w:cstheme="minorHAnsi"/>
          <w:b/>
        </w:rPr>
        <w:t>Consumer associations</w:t>
      </w:r>
    </w:p>
    <w:p w14:paraId="4CA1F4C1" w14:textId="3972D4D7" w:rsidR="00843222" w:rsidRPr="004737C5" w:rsidRDefault="00843222" w:rsidP="006D3BE8">
      <w:pPr>
        <w:pStyle w:val="BodyText"/>
        <w:rPr>
          <w:rFonts w:asciiTheme="minorHAnsi" w:hAnsiTheme="minorHAnsi" w:cstheme="minorHAnsi"/>
          <w:sz w:val="22"/>
        </w:rPr>
      </w:pPr>
      <w:r w:rsidRPr="004737C5">
        <w:rPr>
          <w:rFonts w:asciiTheme="minorHAnsi" w:hAnsiTheme="minorHAnsi" w:cstheme="minorHAnsi"/>
          <w:sz w:val="22"/>
        </w:rPr>
        <w:t>A well-organized and widely representative group of individual consumers can become a strong force. The independent consum</w:t>
      </w:r>
      <w:r w:rsidR="001A0359" w:rsidRPr="004737C5">
        <w:rPr>
          <w:rFonts w:asciiTheme="minorHAnsi" w:hAnsiTheme="minorHAnsi" w:cstheme="minorHAnsi"/>
          <w:sz w:val="22"/>
        </w:rPr>
        <w:t>er movement is now recogniz</w:t>
      </w:r>
      <w:r w:rsidRPr="004737C5">
        <w:rPr>
          <w:rFonts w:asciiTheme="minorHAnsi" w:hAnsiTheme="minorHAnsi" w:cstheme="minorHAnsi"/>
          <w:sz w:val="22"/>
        </w:rPr>
        <w:t>ed in many consumer protection regimes</w:t>
      </w:r>
      <w:r w:rsidRPr="004737C5">
        <w:rPr>
          <w:rFonts w:asciiTheme="minorHAnsi" w:hAnsiTheme="minorHAnsi" w:cstheme="minorHAnsi"/>
          <w:color w:val="FF0000"/>
          <w:sz w:val="22"/>
        </w:rPr>
        <w:t xml:space="preserve"> </w:t>
      </w:r>
      <w:r w:rsidRPr="004737C5">
        <w:rPr>
          <w:rFonts w:asciiTheme="minorHAnsi" w:hAnsiTheme="minorHAnsi" w:cstheme="minorHAnsi"/>
          <w:sz w:val="22"/>
        </w:rPr>
        <w:t>as a legitimate representative of the interests of consumers and consumer representat</w:t>
      </w:r>
      <w:r w:rsidR="008779A7" w:rsidRPr="004737C5">
        <w:rPr>
          <w:rFonts w:asciiTheme="minorHAnsi" w:hAnsiTheme="minorHAnsi" w:cstheme="minorHAnsi"/>
          <w:sz w:val="22"/>
        </w:rPr>
        <w:t>ives are called upon to sit in g</w:t>
      </w:r>
      <w:r w:rsidR="001A0359" w:rsidRPr="004737C5">
        <w:rPr>
          <w:rFonts w:asciiTheme="minorHAnsi" w:hAnsiTheme="minorHAnsi" w:cstheme="minorHAnsi"/>
          <w:sz w:val="22"/>
        </w:rPr>
        <w:t>overnment-recogniz</w:t>
      </w:r>
      <w:r w:rsidRPr="004737C5">
        <w:rPr>
          <w:rFonts w:asciiTheme="minorHAnsi" w:hAnsiTheme="minorHAnsi" w:cstheme="minorHAnsi"/>
          <w:sz w:val="22"/>
        </w:rPr>
        <w:t xml:space="preserve">ed committees to voice the views of consumers. </w:t>
      </w:r>
      <w:r w:rsidR="000A4D1E" w:rsidRPr="004737C5">
        <w:rPr>
          <w:rFonts w:asciiTheme="minorHAnsi" w:hAnsiTheme="minorHAnsi" w:cstheme="minorHAnsi"/>
          <w:sz w:val="22"/>
        </w:rPr>
        <w:t>In more and more jurisdictions, c</w:t>
      </w:r>
      <w:r w:rsidRPr="004737C5">
        <w:rPr>
          <w:rFonts w:asciiTheme="minorHAnsi" w:hAnsiTheme="minorHAnsi" w:cstheme="minorHAnsi"/>
          <w:sz w:val="22"/>
        </w:rPr>
        <w:t xml:space="preserve">onsumer associations </w:t>
      </w:r>
      <w:r w:rsidR="000A4D1E" w:rsidRPr="004737C5">
        <w:rPr>
          <w:rFonts w:asciiTheme="minorHAnsi" w:hAnsiTheme="minorHAnsi" w:cstheme="minorHAnsi"/>
          <w:sz w:val="22"/>
        </w:rPr>
        <w:t xml:space="preserve">are being granted legal standing to bring legal cases on behalf of consumers. They </w:t>
      </w:r>
      <w:r w:rsidRPr="004737C5">
        <w:rPr>
          <w:rFonts w:asciiTheme="minorHAnsi" w:hAnsiTheme="minorHAnsi" w:cstheme="minorHAnsi"/>
          <w:sz w:val="22"/>
        </w:rPr>
        <w:t>can also provide consumers with independent and objective advice on products and services based on tests and surveys they have conducted. The history and evolution of consumer associa</w:t>
      </w:r>
      <w:r w:rsidR="00633B73" w:rsidRPr="004737C5">
        <w:rPr>
          <w:rFonts w:asciiTheme="minorHAnsi" w:hAnsiTheme="minorHAnsi" w:cstheme="minorHAnsi"/>
          <w:sz w:val="22"/>
        </w:rPr>
        <w:t>tions are</w:t>
      </w:r>
      <w:r w:rsidR="00981AAF" w:rsidRPr="004737C5">
        <w:rPr>
          <w:rFonts w:asciiTheme="minorHAnsi" w:hAnsiTheme="minorHAnsi" w:cstheme="minorHAnsi"/>
          <w:sz w:val="22"/>
        </w:rPr>
        <w:t xml:space="preserve"> discussed in </w:t>
      </w:r>
      <w:r w:rsidR="000A4D1E" w:rsidRPr="004737C5">
        <w:rPr>
          <w:rFonts w:asciiTheme="minorHAnsi" w:hAnsiTheme="minorHAnsi" w:cstheme="minorHAnsi"/>
          <w:sz w:val="22"/>
        </w:rPr>
        <w:t xml:space="preserve">greater detail in </w:t>
      </w:r>
      <w:r w:rsidR="001C5CB4" w:rsidRPr="004737C5">
        <w:rPr>
          <w:rFonts w:asciiTheme="minorHAnsi" w:hAnsiTheme="minorHAnsi" w:cstheme="minorHAnsi"/>
          <w:sz w:val="22"/>
        </w:rPr>
        <w:t>chapter V</w:t>
      </w:r>
      <w:r w:rsidR="000A4D1E" w:rsidRPr="004737C5">
        <w:rPr>
          <w:rFonts w:asciiTheme="minorHAnsi" w:hAnsiTheme="minorHAnsi" w:cstheme="minorHAnsi"/>
          <w:sz w:val="22"/>
        </w:rPr>
        <w:t xml:space="preserve">. </w:t>
      </w:r>
    </w:p>
    <w:p w14:paraId="7C376335" w14:textId="77777777" w:rsidR="00843222" w:rsidRPr="004737C5" w:rsidRDefault="008779A7" w:rsidP="00633B73">
      <w:pPr>
        <w:pStyle w:val="Heading2"/>
        <w:spacing w:after="160"/>
        <w:rPr>
          <w:rFonts w:cstheme="minorHAnsi"/>
          <w:color w:val="auto"/>
          <w:sz w:val="24"/>
          <w:szCs w:val="24"/>
        </w:rPr>
      </w:pPr>
      <w:bookmarkStart w:id="12" w:name="_Toc492649966"/>
      <w:r w:rsidRPr="004737C5">
        <w:rPr>
          <w:rFonts w:cstheme="minorHAnsi"/>
          <w:color w:val="auto"/>
          <w:sz w:val="24"/>
          <w:szCs w:val="24"/>
        </w:rPr>
        <w:t>E.</w:t>
      </w:r>
      <w:r w:rsidR="00843222" w:rsidRPr="004737C5">
        <w:rPr>
          <w:rFonts w:cstheme="minorHAnsi"/>
          <w:color w:val="auto"/>
          <w:sz w:val="24"/>
          <w:szCs w:val="24"/>
        </w:rPr>
        <w:t xml:space="preserve"> A framework for consumer protection</w:t>
      </w:r>
      <w:bookmarkEnd w:id="12"/>
    </w:p>
    <w:p w14:paraId="73E5D2F3" w14:textId="77777777" w:rsidR="00843222" w:rsidRPr="004737C5" w:rsidRDefault="00843222" w:rsidP="00633B73">
      <w:pPr>
        <w:pStyle w:val="BodyText"/>
        <w:spacing w:after="160"/>
        <w:rPr>
          <w:rFonts w:asciiTheme="minorHAnsi" w:hAnsiTheme="minorHAnsi" w:cstheme="minorHAnsi"/>
          <w:sz w:val="22"/>
          <w:szCs w:val="22"/>
        </w:rPr>
      </w:pPr>
      <w:r w:rsidRPr="004737C5">
        <w:rPr>
          <w:rFonts w:asciiTheme="minorHAnsi" w:hAnsiTheme="minorHAnsi" w:cstheme="minorHAnsi"/>
          <w:sz w:val="22"/>
        </w:rPr>
        <w:t>A consumer protection framework covers a range of</w:t>
      </w:r>
      <w:r w:rsidR="008779A7" w:rsidRPr="004737C5">
        <w:rPr>
          <w:rFonts w:asciiTheme="minorHAnsi" w:hAnsiTheme="minorHAnsi" w:cstheme="minorHAnsi"/>
          <w:sz w:val="22"/>
        </w:rPr>
        <w:t xml:space="preserve"> institutional mechanisms. The s</w:t>
      </w:r>
      <w:r w:rsidRPr="004737C5">
        <w:rPr>
          <w:rFonts w:asciiTheme="minorHAnsi" w:hAnsiTheme="minorHAnsi" w:cstheme="minorHAnsi"/>
          <w:sz w:val="22"/>
        </w:rPr>
        <w:t xml:space="preserve">tate has an important role to play in ensuring that the mechanisms put in place do not unduly shackle the freedom of business to operate legitimately or stifle the freedom of consumers in exercising individual choice. </w:t>
      </w:r>
      <w:r w:rsidRPr="004737C5">
        <w:rPr>
          <w:rFonts w:asciiTheme="minorHAnsi" w:hAnsiTheme="minorHAnsi" w:cstheme="minorHAnsi"/>
          <w:sz w:val="22"/>
          <w:szCs w:val="22"/>
        </w:rPr>
        <w:t>The essential elements of a consumer protection framework are</w:t>
      </w:r>
      <w:r w:rsidR="00A83695" w:rsidRPr="004737C5">
        <w:rPr>
          <w:rFonts w:asciiTheme="minorHAnsi" w:hAnsiTheme="minorHAnsi" w:cstheme="minorHAnsi"/>
          <w:sz w:val="22"/>
          <w:szCs w:val="22"/>
        </w:rPr>
        <w:t xml:space="preserve"> set out </w:t>
      </w:r>
      <w:r w:rsidR="008779A7" w:rsidRPr="004737C5">
        <w:rPr>
          <w:rFonts w:asciiTheme="minorHAnsi" w:hAnsiTheme="minorHAnsi" w:cstheme="minorHAnsi"/>
          <w:sz w:val="22"/>
          <w:szCs w:val="22"/>
        </w:rPr>
        <w:t>below. Some of them overlap as “terms of art”.</w:t>
      </w:r>
    </w:p>
    <w:p w14:paraId="52DAA74B" w14:textId="77777777" w:rsidR="008779A7" w:rsidRPr="004737C5" w:rsidRDefault="008779A7" w:rsidP="00A577C4">
      <w:pPr>
        <w:spacing w:before="200"/>
        <w:rPr>
          <w:rFonts w:cstheme="minorHAnsi"/>
          <w:b/>
          <w:snapToGrid w:val="0"/>
        </w:rPr>
      </w:pPr>
      <w:r w:rsidRPr="004737C5">
        <w:rPr>
          <w:rFonts w:cstheme="minorHAnsi"/>
          <w:b/>
          <w:snapToGrid w:val="0"/>
        </w:rPr>
        <w:t>1. National consumer policy</w:t>
      </w:r>
    </w:p>
    <w:p w14:paraId="2950BB32" w14:textId="1BBF8B0B" w:rsidR="00843222" w:rsidRPr="004737C5" w:rsidRDefault="00633B73" w:rsidP="00633B73">
      <w:pPr>
        <w:rPr>
          <w:rFonts w:cstheme="minorHAnsi"/>
          <w:snapToGrid w:val="0"/>
        </w:rPr>
      </w:pPr>
      <w:r w:rsidRPr="004737C5">
        <w:rPr>
          <w:rFonts w:cstheme="minorHAnsi"/>
          <w:snapToGrid w:val="0"/>
        </w:rPr>
        <w:t>N</w:t>
      </w:r>
      <w:r w:rsidR="008779A7" w:rsidRPr="004737C5">
        <w:rPr>
          <w:rFonts w:cstheme="minorHAnsi"/>
          <w:snapToGrid w:val="0"/>
        </w:rPr>
        <w:t>ational consumer policy sets</w:t>
      </w:r>
      <w:r w:rsidR="00843222" w:rsidRPr="004737C5">
        <w:rPr>
          <w:rFonts w:cstheme="minorHAnsi"/>
          <w:snapToGrid w:val="0"/>
        </w:rPr>
        <w:t xml:space="preserve"> out the </w:t>
      </w:r>
      <w:r w:rsidR="008779A7" w:rsidRPr="004737C5">
        <w:rPr>
          <w:rFonts w:cstheme="minorHAnsi"/>
          <w:snapToGrid w:val="0"/>
        </w:rPr>
        <w:t xml:space="preserve">state’s </w:t>
      </w:r>
      <w:r w:rsidR="00843222" w:rsidRPr="004737C5">
        <w:rPr>
          <w:rFonts w:cstheme="minorHAnsi"/>
          <w:snapToGrid w:val="0"/>
        </w:rPr>
        <w:t>approach to</w:t>
      </w:r>
      <w:r w:rsidR="008779A7" w:rsidRPr="004737C5">
        <w:rPr>
          <w:rFonts w:cstheme="minorHAnsi"/>
          <w:snapToGrid w:val="0"/>
        </w:rPr>
        <w:t xml:space="preserve"> consumer protection, enumerate</w:t>
      </w:r>
      <w:r w:rsidRPr="004737C5">
        <w:rPr>
          <w:rFonts w:cstheme="minorHAnsi"/>
          <w:snapToGrid w:val="0"/>
        </w:rPr>
        <w:t>s</w:t>
      </w:r>
      <w:r w:rsidR="00843222" w:rsidRPr="004737C5">
        <w:rPr>
          <w:rFonts w:cstheme="minorHAnsi"/>
          <w:snapToGrid w:val="0"/>
        </w:rPr>
        <w:t xml:space="preserve"> the rig</w:t>
      </w:r>
      <w:r w:rsidRPr="004737C5">
        <w:rPr>
          <w:rFonts w:cstheme="minorHAnsi"/>
          <w:snapToGrid w:val="0"/>
        </w:rPr>
        <w:t>hts of consumers</w:t>
      </w:r>
      <w:r w:rsidR="008779A7" w:rsidRPr="004737C5">
        <w:rPr>
          <w:rFonts w:cstheme="minorHAnsi"/>
          <w:snapToGrid w:val="0"/>
        </w:rPr>
        <w:t xml:space="preserve"> and apportion</w:t>
      </w:r>
      <w:r w:rsidRPr="004737C5">
        <w:rPr>
          <w:rFonts w:cstheme="minorHAnsi"/>
          <w:snapToGrid w:val="0"/>
        </w:rPr>
        <w:t>s</w:t>
      </w:r>
      <w:r w:rsidR="00843222" w:rsidRPr="004737C5">
        <w:rPr>
          <w:rFonts w:cstheme="minorHAnsi"/>
          <w:snapToGrid w:val="0"/>
        </w:rPr>
        <w:t xml:space="preserve"> responsibility for consumer protectio</w:t>
      </w:r>
      <w:r w:rsidR="008779A7" w:rsidRPr="004737C5">
        <w:rPr>
          <w:rFonts w:cstheme="minorHAnsi"/>
          <w:snapToGrid w:val="0"/>
        </w:rPr>
        <w:t>n to appropriate organs of the s</w:t>
      </w:r>
      <w:r w:rsidR="00843222" w:rsidRPr="004737C5">
        <w:rPr>
          <w:rFonts w:cstheme="minorHAnsi"/>
          <w:snapToGrid w:val="0"/>
        </w:rPr>
        <w:t>tate</w:t>
      </w:r>
      <w:r w:rsidR="008779A7" w:rsidRPr="004737C5">
        <w:rPr>
          <w:rFonts w:cstheme="minorHAnsi"/>
          <w:snapToGrid w:val="0"/>
        </w:rPr>
        <w:t>.</w:t>
      </w:r>
      <w:r w:rsidR="00843222" w:rsidRPr="004737C5">
        <w:rPr>
          <w:rFonts w:cstheme="minorHAnsi"/>
          <w:snapToGrid w:val="0"/>
        </w:rPr>
        <w:t xml:space="preserve"> </w:t>
      </w:r>
    </w:p>
    <w:p w14:paraId="192A2391" w14:textId="77777777" w:rsidR="008779A7" w:rsidRPr="004737C5" w:rsidRDefault="008779A7" w:rsidP="00A577C4">
      <w:pPr>
        <w:spacing w:before="200"/>
        <w:rPr>
          <w:rFonts w:cstheme="minorHAnsi"/>
          <w:b/>
          <w:snapToGrid w:val="0"/>
        </w:rPr>
      </w:pPr>
      <w:r w:rsidRPr="004737C5">
        <w:rPr>
          <w:rFonts w:cstheme="minorHAnsi"/>
          <w:b/>
          <w:snapToGrid w:val="0"/>
        </w:rPr>
        <w:t>2. Designated consumer protection agency</w:t>
      </w:r>
    </w:p>
    <w:p w14:paraId="00A32036" w14:textId="77777777" w:rsidR="00843222" w:rsidRPr="004737C5" w:rsidRDefault="00843222" w:rsidP="006D3BE8">
      <w:pPr>
        <w:rPr>
          <w:rFonts w:cstheme="minorHAnsi"/>
        </w:rPr>
      </w:pPr>
      <w:r w:rsidRPr="004737C5">
        <w:rPr>
          <w:rFonts w:cstheme="minorHAnsi"/>
          <w:snapToGrid w:val="0"/>
        </w:rPr>
        <w:t xml:space="preserve">A designated consumer protection agency could collaborate closely with </w:t>
      </w:r>
      <w:r w:rsidR="008779A7" w:rsidRPr="004737C5">
        <w:rPr>
          <w:rFonts w:cstheme="minorHAnsi"/>
          <w:snapToGrid w:val="0"/>
        </w:rPr>
        <w:t>relevant ministries</w:t>
      </w:r>
      <w:r w:rsidRPr="004737C5">
        <w:rPr>
          <w:rFonts w:cstheme="minorHAnsi"/>
          <w:snapToGrid w:val="0"/>
        </w:rPr>
        <w:t xml:space="preserve"> and consult with other stakeholders such as consumer organizations, industry, academics and the media. These b</w:t>
      </w:r>
      <w:r w:rsidR="001C5CB4" w:rsidRPr="004737C5">
        <w:rPr>
          <w:rFonts w:cstheme="minorHAnsi"/>
          <w:snapToGrid w:val="0"/>
        </w:rPr>
        <w:t>odies are discussed in chapter IV</w:t>
      </w:r>
      <w:r w:rsidR="002B41BC" w:rsidRPr="004737C5">
        <w:rPr>
          <w:rFonts w:cstheme="minorHAnsi"/>
          <w:snapToGrid w:val="0"/>
        </w:rPr>
        <w:t>.</w:t>
      </w:r>
    </w:p>
    <w:p w14:paraId="0D176361" w14:textId="3505E979" w:rsidR="00843222" w:rsidRPr="004737C5" w:rsidRDefault="00843222" w:rsidP="00633B73">
      <w:pPr>
        <w:rPr>
          <w:rFonts w:cstheme="minorHAnsi"/>
        </w:rPr>
      </w:pPr>
      <w:r w:rsidRPr="004737C5">
        <w:rPr>
          <w:rFonts w:cstheme="minorHAnsi"/>
          <w:snapToGrid w:val="0"/>
        </w:rPr>
        <w:t xml:space="preserve">It should be noted that not all matters of interest to consumers are administered by the designated consumer protection agency. It is common for other </w:t>
      </w:r>
      <w:r w:rsidR="008779A7" w:rsidRPr="004737C5">
        <w:rPr>
          <w:rFonts w:cstheme="minorHAnsi"/>
          <w:snapToGrid w:val="0"/>
        </w:rPr>
        <w:t>g</w:t>
      </w:r>
      <w:r w:rsidRPr="004737C5">
        <w:rPr>
          <w:rFonts w:cstheme="minorHAnsi"/>
          <w:snapToGrid w:val="0"/>
        </w:rPr>
        <w:t>overnment agencies to manage areas that are also of importance to consumer protection. Matters relating to food, health and nutrition may be managed by the Ministry of Health, consumer credit may come under the purview o</w:t>
      </w:r>
      <w:r w:rsidR="00633B73" w:rsidRPr="004737C5">
        <w:rPr>
          <w:rFonts w:cstheme="minorHAnsi"/>
          <w:snapToGrid w:val="0"/>
        </w:rPr>
        <w:t>f the Ministry of Finance or a c</w:t>
      </w:r>
      <w:r w:rsidRPr="004737C5">
        <w:rPr>
          <w:rFonts w:cstheme="minorHAnsi"/>
          <w:snapToGrid w:val="0"/>
        </w:rPr>
        <w:t xml:space="preserve">entral </w:t>
      </w:r>
      <w:r w:rsidR="00633B73" w:rsidRPr="004737C5">
        <w:rPr>
          <w:rFonts w:cstheme="minorHAnsi"/>
          <w:snapToGrid w:val="0"/>
        </w:rPr>
        <w:t>b</w:t>
      </w:r>
      <w:r w:rsidRPr="004737C5">
        <w:rPr>
          <w:rFonts w:cstheme="minorHAnsi"/>
          <w:snapToGrid w:val="0"/>
        </w:rPr>
        <w:t>ank, consumer education by the Ministry of Education, sustainability matters</w:t>
      </w:r>
      <w:r w:rsidR="008779A7" w:rsidRPr="004737C5">
        <w:rPr>
          <w:rFonts w:cstheme="minorHAnsi"/>
          <w:snapToGrid w:val="0"/>
        </w:rPr>
        <w:t xml:space="preserve"> </w:t>
      </w:r>
      <w:r w:rsidR="008779A7" w:rsidRPr="004737C5">
        <w:rPr>
          <w:rFonts w:cstheme="minorHAnsi"/>
          <w:snapToGrid w:val="0"/>
        </w:rPr>
        <w:lastRenderedPageBreak/>
        <w:t>by the Ministry of Environment and utilities by local, s</w:t>
      </w:r>
      <w:r w:rsidRPr="004737C5">
        <w:rPr>
          <w:rFonts w:cstheme="minorHAnsi"/>
          <w:snapToGrid w:val="0"/>
        </w:rPr>
        <w:t xml:space="preserve">tate or federal agencies. No matter which agency </w:t>
      </w:r>
      <w:r w:rsidR="00633B73" w:rsidRPr="004737C5">
        <w:rPr>
          <w:rFonts w:cstheme="minorHAnsi"/>
          <w:snapToGrid w:val="0"/>
        </w:rPr>
        <w:t>has</w:t>
      </w:r>
      <w:r w:rsidRPr="004737C5">
        <w:rPr>
          <w:rFonts w:cstheme="minorHAnsi"/>
          <w:snapToGrid w:val="0"/>
        </w:rPr>
        <w:t xml:space="preserve"> responsibility for </w:t>
      </w:r>
      <w:r w:rsidR="008779A7" w:rsidRPr="004737C5">
        <w:rPr>
          <w:rFonts w:cstheme="minorHAnsi"/>
          <w:snapToGrid w:val="0"/>
        </w:rPr>
        <w:t xml:space="preserve">managing </w:t>
      </w:r>
      <w:r w:rsidRPr="004737C5">
        <w:rPr>
          <w:rFonts w:cstheme="minorHAnsi"/>
          <w:snapToGrid w:val="0"/>
        </w:rPr>
        <w:t>areas of interest to consumers, it should be expected that there will be intergovernmental mechanisms for consultation and cooperation to ensure that consumer interests are t</w:t>
      </w:r>
      <w:r w:rsidR="008779A7" w:rsidRPr="004737C5">
        <w:rPr>
          <w:rFonts w:cstheme="minorHAnsi"/>
          <w:snapToGrid w:val="0"/>
        </w:rPr>
        <w:t>aken into account in the policy</w:t>
      </w:r>
      <w:r w:rsidRPr="004737C5">
        <w:rPr>
          <w:rFonts w:cstheme="minorHAnsi"/>
          <w:snapToGrid w:val="0"/>
        </w:rPr>
        <w:t>making process</w:t>
      </w:r>
      <w:r w:rsidR="008779A7" w:rsidRPr="004737C5">
        <w:rPr>
          <w:rFonts w:cstheme="minorHAnsi"/>
          <w:snapToGrid w:val="0"/>
        </w:rPr>
        <w:t>.</w:t>
      </w:r>
      <w:r w:rsidRPr="004737C5">
        <w:rPr>
          <w:rFonts w:cstheme="minorHAnsi"/>
          <w:snapToGrid w:val="0"/>
        </w:rPr>
        <w:t xml:space="preserve"> </w:t>
      </w:r>
    </w:p>
    <w:p w14:paraId="554C36B6" w14:textId="77777777" w:rsidR="008779A7" w:rsidRPr="004737C5" w:rsidRDefault="008779A7" w:rsidP="00A577C4">
      <w:pPr>
        <w:spacing w:before="200"/>
        <w:rPr>
          <w:rFonts w:cstheme="minorHAnsi"/>
          <w:b/>
          <w:snapToGrid w:val="0"/>
        </w:rPr>
      </w:pPr>
      <w:r w:rsidRPr="004737C5">
        <w:rPr>
          <w:rFonts w:cstheme="minorHAnsi"/>
          <w:b/>
          <w:snapToGrid w:val="0"/>
        </w:rPr>
        <w:t>3. Consumer laws</w:t>
      </w:r>
    </w:p>
    <w:p w14:paraId="67DBCB7B" w14:textId="77777777" w:rsidR="00843222" w:rsidRPr="004737C5" w:rsidRDefault="00843222" w:rsidP="006D3BE8">
      <w:pPr>
        <w:rPr>
          <w:rFonts w:cstheme="minorHAnsi"/>
        </w:rPr>
      </w:pPr>
      <w:r w:rsidRPr="004737C5">
        <w:rPr>
          <w:rFonts w:cstheme="minorHAnsi"/>
          <w:snapToGrid w:val="0"/>
        </w:rPr>
        <w:t>Consumer laws must ensure that consumer rights are protected and enforceable. Some countries have provided for consumer protection at the highest legal le</w:t>
      </w:r>
      <w:r w:rsidR="008779A7" w:rsidRPr="004737C5">
        <w:rPr>
          <w:rFonts w:cstheme="minorHAnsi"/>
          <w:snapToGrid w:val="0"/>
        </w:rPr>
        <w:t>vel:</w:t>
      </w:r>
      <w:r w:rsidRPr="004737C5">
        <w:rPr>
          <w:rFonts w:cstheme="minorHAnsi"/>
          <w:snapToGrid w:val="0"/>
        </w:rPr>
        <w:t xml:space="preserve"> </w:t>
      </w:r>
      <w:r w:rsidR="008779A7" w:rsidRPr="004737C5">
        <w:rPr>
          <w:rFonts w:cstheme="minorHAnsi"/>
          <w:snapToGrid w:val="0"/>
        </w:rPr>
        <w:t>in their c</w:t>
      </w:r>
      <w:r w:rsidRPr="004737C5">
        <w:rPr>
          <w:rFonts w:cstheme="minorHAnsi"/>
          <w:snapToGrid w:val="0"/>
        </w:rPr>
        <w:t>onstitution. Others have enacted a comprehensive legal framework on consumer protection followed by statutes dealing with particular areas. These different approa</w:t>
      </w:r>
      <w:r w:rsidR="001C5CB4" w:rsidRPr="004737C5">
        <w:rPr>
          <w:rFonts w:cstheme="minorHAnsi"/>
          <w:snapToGrid w:val="0"/>
        </w:rPr>
        <w:t>ches are set out in chapter III</w:t>
      </w:r>
      <w:r w:rsidRPr="004737C5">
        <w:rPr>
          <w:rFonts w:cstheme="minorHAnsi"/>
        </w:rPr>
        <w:t xml:space="preserve">. Critical areas that should be covered by consumer protection laws are: </w:t>
      </w:r>
    </w:p>
    <w:p w14:paraId="761A0A4B"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A compre</w:t>
      </w:r>
      <w:r w:rsidR="00EF1E1C" w:rsidRPr="004737C5">
        <w:rPr>
          <w:rFonts w:cstheme="minorHAnsi"/>
        </w:rPr>
        <w:t>hensive definition of “consumer</w:t>
      </w:r>
      <w:r w:rsidRPr="004737C5">
        <w:rPr>
          <w:rFonts w:cstheme="minorHAnsi"/>
        </w:rPr>
        <w:t>”</w:t>
      </w:r>
    </w:p>
    <w:p w14:paraId="6009CC91" w14:textId="77777777" w:rsidR="00843222" w:rsidRPr="004737C5" w:rsidRDefault="00EF1E1C" w:rsidP="002473E9">
      <w:pPr>
        <w:pStyle w:val="ListParagraph"/>
        <w:numPr>
          <w:ilvl w:val="0"/>
          <w:numId w:val="52"/>
        </w:numPr>
        <w:ind w:left="709" w:hanging="425"/>
        <w:rPr>
          <w:rFonts w:cstheme="minorHAnsi"/>
        </w:rPr>
      </w:pPr>
      <w:r w:rsidRPr="004737C5">
        <w:rPr>
          <w:rFonts w:cstheme="minorHAnsi"/>
        </w:rPr>
        <w:t>Rights of consumers</w:t>
      </w:r>
    </w:p>
    <w:p w14:paraId="72F9B11D"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S</w:t>
      </w:r>
      <w:r w:rsidR="00EF1E1C" w:rsidRPr="004737C5">
        <w:rPr>
          <w:rFonts w:cstheme="minorHAnsi"/>
        </w:rPr>
        <w:t>tandards for goods and services</w:t>
      </w:r>
    </w:p>
    <w:p w14:paraId="700C8896"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Prohibition of business conduct which prevents consumers from enjoying their consumer rights and regulation of conduct so that it do</w:t>
      </w:r>
      <w:r w:rsidR="00EF1E1C" w:rsidRPr="004737C5">
        <w:rPr>
          <w:rFonts w:cstheme="minorHAnsi"/>
        </w:rPr>
        <w:t>es not encroach on those rights</w:t>
      </w:r>
    </w:p>
    <w:p w14:paraId="2BE0E7CB"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 xml:space="preserve">Regulation of agreements entered into </w:t>
      </w:r>
      <w:r w:rsidR="00EF1E1C" w:rsidRPr="004737C5">
        <w:rPr>
          <w:rFonts w:cstheme="minorHAnsi"/>
        </w:rPr>
        <w:t>between consumers and suppliers</w:t>
      </w:r>
    </w:p>
    <w:p w14:paraId="6E290F9D"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Registration and licensing of suppliers of certain goods and services, including p</w:t>
      </w:r>
      <w:r w:rsidR="00EF1E1C" w:rsidRPr="004737C5">
        <w:rPr>
          <w:rFonts w:cstheme="minorHAnsi"/>
        </w:rPr>
        <w:t>ublicly owned providers</w:t>
      </w:r>
    </w:p>
    <w:p w14:paraId="3848F511"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Powers for the authorities to take pre-emptiv</w:t>
      </w:r>
      <w:r w:rsidR="00EF1E1C" w:rsidRPr="004737C5">
        <w:rPr>
          <w:rFonts w:cstheme="minorHAnsi"/>
        </w:rPr>
        <w:t>e measures to protect consumers</w:t>
      </w:r>
    </w:p>
    <w:p w14:paraId="61EE70E7"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 xml:space="preserve">Sanctions, compliance and enforcement mechanisms for </w:t>
      </w:r>
      <w:r w:rsidR="007838EC" w:rsidRPr="004737C5">
        <w:rPr>
          <w:rFonts w:cstheme="minorHAnsi"/>
        </w:rPr>
        <w:t xml:space="preserve">dealing with </w:t>
      </w:r>
      <w:r w:rsidR="00EF1E1C" w:rsidRPr="004737C5">
        <w:rPr>
          <w:rFonts w:cstheme="minorHAnsi"/>
        </w:rPr>
        <w:t>offences</w:t>
      </w:r>
      <w:r w:rsidRPr="004737C5">
        <w:rPr>
          <w:rFonts w:cstheme="minorHAnsi"/>
        </w:rPr>
        <w:t xml:space="preserve"> </w:t>
      </w:r>
    </w:p>
    <w:p w14:paraId="136E450F" w14:textId="77777777" w:rsidR="00843222" w:rsidRPr="004737C5" w:rsidRDefault="00843222" w:rsidP="002473E9">
      <w:pPr>
        <w:pStyle w:val="ListParagraph"/>
        <w:numPr>
          <w:ilvl w:val="0"/>
          <w:numId w:val="52"/>
        </w:numPr>
        <w:ind w:left="709" w:hanging="425"/>
        <w:rPr>
          <w:rFonts w:cstheme="minorHAnsi"/>
        </w:rPr>
      </w:pPr>
      <w:r w:rsidRPr="004737C5">
        <w:rPr>
          <w:rFonts w:cstheme="minorHAnsi"/>
        </w:rPr>
        <w:t>Designating an agency for consumer protecti</w:t>
      </w:r>
      <w:r w:rsidR="00EF1E1C" w:rsidRPr="004737C5">
        <w:rPr>
          <w:rFonts w:cstheme="minorHAnsi"/>
        </w:rPr>
        <w:t>on and prescribed roles for it</w:t>
      </w:r>
    </w:p>
    <w:p w14:paraId="085BFC96" w14:textId="50E827F7" w:rsidR="00843222" w:rsidRPr="004737C5" w:rsidRDefault="00843222" w:rsidP="002473E9">
      <w:pPr>
        <w:pStyle w:val="ListParagraph"/>
        <w:numPr>
          <w:ilvl w:val="0"/>
          <w:numId w:val="52"/>
        </w:numPr>
        <w:ind w:left="709" w:hanging="425"/>
        <w:rPr>
          <w:rFonts w:cstheme="minorHAnsi"/>
          <w:snapToGrid w:val="0"/>
        </w:rPr>
      </w:pPr>
      <w:r w:rsidRPr="004737C5">
        <w:rPr>
          <w:rFonts w:cstheme="minorHAnsi"/>
        </w:rPr>
        <w:t>Mechanism</w:t>
      </w:r>
      <w:r w:rsidR="00633B73" w:rsidRPr="004737C5">
        <w:rPr>
          <w:rFonts w:cstheme="minorHAnsi"/>
        </w:rPr>
        <w:t>s to receive, investigate</w:t>
      </w:r>
      <w:r w:rsidRPr="004737C5">
        <w:rPr>
          <w:rFonts w:cstheme="minorHAnsi"/>
        </w:rPr>
        <w:t xml:space="preserve"> and act upon complaints by consumers </w:t>
      </w:r>
      <w:r w:rsidR="00633B73" w:rsidRPr="004737C5">
        <w:rPr>
          <w:rFonts w:cstheme="minorHAnsi"/>
        </w:rPr>
        <w:t xml:space="preserve">and to </w:t>
      </w:r>
      <w:r w:rsidRPr="004737C5">
        <w:rPr>
          <w:rFonts w:cstheme="minorHAnsi"/>
        </w:rPr>
        <w:t>assist consumers i</w:t>
      </w:r>
      <w:r w:rsidR="00EF1E1C" w:rsidRPr="004737C5">
        <w:rPr>
          <w:rFonts w:cstheme="minorHAnsi"/>
        </w:rPr>
        <w:t>n making and pursing complaints</w:t>
      </w:r>
    </w:p>
    <w:p w14:paraId="4BF5B971" w14:textId="77777777" w:rsidR="00843222" w:rsidRPr="004737C5" w:rsidRDefault="00843222" w:rsidP="00633B73">
      <w:pPr>
        <w:rPr>
          <w:rFonts w:cstheme="minorHAnsi"/>
          <w:snapToGrid w:val="0"/>
          <w:color w:val="FF0000"/>
        </w:rPr>
      </w:pPr>
      <w:r w:rsidRPr="004737C5">
        <w:rPr>
          <w:rFonts w:cstheme="minorHAnsi"/>
          <w:snapToGrid w:val="0"/>
        </w:rPr>
        <w:t>Examples of consumer protection framework legislation are presented</w:t>
      </w:r>
      <w:r w:rsidR="001C5CB4" w:rsidRPr="004737C5">
        <w:rPr>
          <w:rFonts w:cstheme="minorHAnsi"/>
          <w:snapToGrid w:val="0"/>
        </w:rPr>
        <w:t xml:space="preserve"> in chapter III</w:t>
      </w:r>
      <w:r w:rsidR="00EF1E1C" w:rsidRPr="004737C5">
        <w:rPr>
          <w:rFonts w:cstheme="minorHAnsi"/>
          <w:snapToGrid w:val="0"/>
        </w:rPr>
        <w:t xml:space="preserve"> on consumer law.</w:t>
      </w:r>
    </w:p>
    <w:p w14:paraId="2CD811AC" w14:textId="77777777" w:rsidR="00EF1E1C" w:rsidRPr="004737C5" w:rsidRDefault="00EF1E1C" w:rsidP="00A577C4">
      <w:pPr>
        <w:spacing w:before="200"/>
        <w:rPr>
          <w:rFonts w:cstheme="minorHAnsi"/>
          <w:b/>
          <w:iCs/>
          <w:snapToGrid w:val="0"/>
        </w:rPr>
      </w:pPr>
      <w:r w:rsidRPr="004737C5">
        <w:rPr>
          <w:rFonts w:cstheme="minorHAnsi"/>
          <w:b/>
          <w:iCs/>
          <w:snapToGrid w:val="0"/>
        </w:rPr>
        <w:t>4. Codes or soft law</w:t>
      </w:r>
    </w:p>
    <w:p w14:paraId="782AC35B" w14:textId="3902351E" w:rsidR="00843222" w:rsidRPr="004737C5" w:rsidRDefault="00843222" w:rsidP="006D3BE8">
      <w:pPr>
        <w:rPr>
          <w:rFonts w:cstheme="minorHAnsi"/>
          <w:snapToGrid w:val="0"/>
        </w:rPr>
      </w:pPr>
      <w:r w:rsidRPr="004737C5">
        <w:rPr>
          <w:rFonts w:cstheme="minorHAnsi"/>
          <w:iCs/>
          <w:snapToGrid w:val="0"/>
        </w:rPr>
        <w:t>Codes or soft law</w:t>
      </w:r>
      <w:r w:rsidRPr="004737C5">
        <w:rPr>
          <w:rFonts w:cstheme="minorHAnsi"/>
          <w:bCs/>
          <w:snapToGrid w:val="0"/>
        </w:rPr>
        <w:t xml:space="preserve"> should be complementary to consumer protection laws and set out agreed principl</w:t>
      </w:r>
      <w:r w:rsidRPr="004737C5">
        <w:rPr>
          <w:rFonts w:cstheme="minorHAnsi"/>
          <w:snapToGrid w:val="0"/>
        </w:rPr>
        <w:t>es for consumer protection and responsible business behaviour by particular business sectors. This is an aspect of self-regulation by the industr</w:t>
      </w:r>
      <w:r w:rsidR="00EF1E1C" w:rsidRPr="004737C5">
        <w:rPr>
          <w:rFonts w:cstheme="minorHAnsi"/>
          <w:snapToGrid w:val="0"/>
        </w:rPr>
        <w:t>y or co-regulation between the s</w:t>
      </w:r>
      <w:r w:rsidRPr="004737C5">
        <w:rPr>
          <w:rFonts w:cstheme="minorHAnsi"/>
          <w:snapToGrid w:val="0"/>
        </w:rPr>
        <w:t xml:space="preserve">tate and industry. Though not legally enforceable, they have the force of moral authority over businesses and form part of the corporate governance structures by which businesses are expected to operate. Furthermore, </w:t>
      </w:r>
      <w:r w:rsidR="00EF1E1C" w:rsidRPr="004737C5">
        <w:rPr>
          <w:rFonts w:cstheme="minorHAnsi"/>
          <w:snapToGrid w:val="0"/>
        </w:rPr>
        <w:t>g</w:t>
      </w:r>
      <w:r w:rsidRPr="004737C5">
        <w:rPr>
          <w:rFonts w:cstheme="minorHAnsi"/>
          <w:snapToGrid w:val="0"/>
        </w:rPr>
        <w:t>overnments may delegate authority for co</w:t>
      </w:r>
      <w:r w:rsidR="00EF1E1C" w:rsidRPr="004737C5">
        <w:rPr>
          <w:rFonts w:cstheme="minorHAnsi"/>
          <w:snapToGrid w:val="0"/>
        </w:rPr>
        <w:t>des or co-regulatory mechanisms</w:t>
      </w:r>
      <w:r w:rsidRPr="004737C5">
        <w:rPr>
          <w:rFonts w:cstheme="minorHAnsi"/>
          <w:snapToGrid w:val="0"/>
        </w:rPr>
        <w:t xml:space="preserve"> while retaining the power to directly intervene in the event </w:t>
      </w:r>
      <w:r w:rsidR="00EF1E1C" w:rsidRPr="004737C5">
        <w:rPr>
          <w:rFonts w:cstheme="minorHAnsi"/>
          <w:snapToGrid w:val="0"/>
        </w:rPr>
        <w:t>that</w:t>
      </w:r>
      <w:r w:rsidRPr="004737C5">
        <w:rPr>
          <w:rFonts w:cstheme="minorHAnsi"/>
          <w:snapToGrid w:val="0"/>
        </w:rPr>
        <w:t xml:space="preserve"> codes are not honoured. The development of codes is discussed i</w:t>
      </w:r>
      <w:r w:rsidR="001C5CB4" w:rsidRPr="004737C5">
        <w:rPr>
          <w:rFonts w:cstheme="minorHAnsi"/>
          <w:snapToGrid w:val="0"/>
        </w:rPr>
        <w:t>n chapter VI</w:t>
      </w:r>
      <w:r w:rsidR="00EF1E1C" w:rsidRPr="004737C5">
        <w:rPr>
          <w:rFonts w:cstheme="minorHAnsi"/>
          <w:snapToGrid w:val="0"/>
        </w:rPr>
        <w:t xml:space="preserve"> on business conduct.</w:t>
      </w:r>
      <w:r w:rsidRPr="004737C5">
        <w:rPr>
          <w:rFonts w:cstheme="minorHAnsi"/>
          <w:snapToGrid w:val="0"/>
        </w:rPr>
        <w:t xml:space="preserve"> </w:t>
      </w:r>
    </w:p>
    <w:p w14:paraId="1B956C07" w14:textId="77777777" w:rsidR="00843222" w:rsidRPr="004737C5" w:rsidRDefault="00EF1E1C" w:rsidP="00A577C4">
      <w:pPr>
        <w:pStyle w:val="ListParagraph"/>
        <w:spacing w:before="200"/>
        <w:ind w:left="0"/>
        <w:rPr>
          <w:rFonts w:cstheme="minorHAnsi"/>
          <w:b/>
          <w:snapToGrid w:val="0"/>
        </w:rPr>
      </w:pPr>
      <w:r w:rsidRPr="004737C5">
        <w:rPr>
          <w:rFonts w:cstheme="minorHAnsi"/>
          <w:b/>
          <w:snapToGrid w:val="0"/>
        </w:rPr>
        <w:t>5. Consumer redress mechanisms</w:t>
      </w:r>
    </w:p>
    <w:p w14:paraId="4E5E06A8" w14:textId="77777777" w:rsidR="00843222" w:rsidRPr="004737C5" w:rsidRDefault="00843222" w:rsidP="006D3BE8">
      <w:pPr>
        <w:rPr>
          <w:rFonts w:cstheme="minorHAnsi"/>
          <w:snapToGrid w:val="0"/>
        </w:rPr>
      </w:pPr>
      <w:r w:rsidRPr="004737C5">
        <w:rPr>
          <w:rFonts w:cstheme="minorHAnsi"/>
          <w:iCs/>
          <w:snapToGrid w:val="0"/>
        </w:rPr>
        <w:t>Consumer redress mechanisms</w:t>
      </w:r>
      <w:r w:rsidRPr="004737C5">
        <w:rPr>
          <w:rFonts w:cstheme="minorHAnsi"/>
          <w:snapToGrid w:val="0"/>
        </w:rPr>
        <w:t xml:space="preserve"> </w:t>
      </w:r>
      <w:r w:rsidR="00EF1E1C" w:rsidRPr="004737C5">
        <w:rPr>
          <w:rFonts w:cstheme="minorHAnsi"/>
          <w:snapToGrid w:val="0"/>
        </w:rPr>
        <w:t xml:space="preserve">need to </w:t>
      </w:r>
      <w:r w:rsidRPr="004737C5">
        <w:rPr>
          <w:rFonts w:cstheme="minorHAnsi"/>
          <w:snapToGrid w:val="0"/>
        </w:rPr>
        <w:t xml:space="preserve">be affordable, accessible and independent and provide speedy redress to aggrieved consumers. Mechanisms for conciliation, mediation and arbitration are useful </w:t>
      </w:r>
      <w:r w:rsidR="00EF1E1C" w:rsidRPr="004737C5">
        <w:rPr>
          <w:rFonts w:cstheme="minorHAnsi"/>
          <w:snapToGrid w:val="0"/>
        </w:rPr>
        <w:t xml:space="preserve">for </w:t>
      </w:r>
      <w:r w:rsidRPr="004737C5">
        <w:rPr>
          <w:rFonts w:cstheme="minorHAnsi"/>
          <w:snapToGrid w:val="0"/>
        </w:rPr>
        <w:t>ensuring that consumer problems are handled effectively. These mechani</w:t>
      </w:r>
      <w:r w:rsidR="001C5CB4" w:rsidRPr="004737C5">
        <w:rPr>
          <w:rFonts w:cstheme="minorHAnsi"/>
          <w:snapToGrid w:val="0"/>
        </w:rPr>
        <w:t>sms are discussed in chapter XI</w:t>
      </w:r>
      <w:r w:rsidR="00EF1E1C" w:rsidRPr="004737C5">
        <w:rPr>
          <w:rFonts w:cstheme="minorHAnsi"/>
          <w:snapToGrid w:val="0"/>
        </w:rPr>
        <w:t>.</w:t>
      </w:r>
    </w:p>
    <w:p w14:paraId="08324B21" w14:textId="77777777" w:rsidR="00EF1E1C" w:rsidRPr="004737C5" w:rsidRDefault="00EF1E1C" w:rsidP="00A577C4">
      <w:pPr>
        <w:spacing w:before="200"/>
        <w:rPr>
          <w:rFonts w:cstheme="minorHAnsi"/>
          <w:b/>
          <w:snapToGrid w:val="0"/>
        </w:rPr>
      </w:pPr>
      <w:r w:rsidRPr="004737C5">
        <w:rPr>
          <w:rFonts w:cstheme="minorHAnsi"/>
          <w:b/>
          <w:snapToGrid w:val="0"/>
        </w:rPr>
        <w:t xml:space="preserve">6. </w:t>
      </w:r>
      <w:r w:rsidRPr="004737C5">
        <w:rPr>
          <w:rFonts w:cstheme="minorHAnsi"/>
          <w:b/>
          <w:iCs/>
          <w:snapToGrid w:val="0"/>
        </w:rPr>
        <w:t>Systems for monitoring and surveillance</w:t>
      </w:r>
    </w:p>
    <w:p w14:paraId="0C78DA47" w14:textId="77777777" w:rsidR="00843222" w:rsidRPr="004737C5" w:rsidRDefault="00843222" w:rsidP="006D3BE8">
      <w:pPr>
        <w:rPr>
          <w:rFonts w:cstheme="minorHAnsi"/>
          <w:snapToGrid w:val="0"/>
        </w:rPr>
      </w:pPr>
      <w:r w:rsidRPr="004737C5">
        <w:rPr>
          <w:rFonts w:cstheme="minorHAnsi"/>
          <w:iCs/>
          <w:snapToGrid w:val="0"/>
        </w:rPr>
        <w:t>Systems for monitoring and surveillance</w:t>
      </w:r>
      <w:r w:rsidRPr="004737C5">
        <w:rPr>
          <w:rFonts w:cstheme="minorHAnsi"/>
          <w:snapToGrid w:val="0"/>
        </w:rPr>
        <w:t xml:space="preserve"> should be in place regarding consumer problems in the marketplace</w:t>
      </w:r>
      <w:r w:rsidR="00EF1E1C" w:rsidRPr="004737C5">
        <w:rPr>
          <w:rFonts w:cstheme="minorHAnsi"/>
          <w:snapToGrid w:val="0"/>
        </w:rPr>
        <w:t>. These should handle</w:t>
      </w:r>
      <w:r w:rsidRPr="004737C5">
        <w:rPr>
          <w:rFonts w:cstheme="minorHAnsi"/>
          <w:snapToGrid w:val="0"/>
        </w:rPr>
        <w:t xml:space="preserve"> complaints</w:t>
      </w:r>
      <w:r w:rsidR="00EF1E1C" w:rsidRPr="004737C5">
        <w:rPr>
          <w:rFonts w:cstheme="minorHAnsi"/>
          <w:snapToGrid w:val="0"/>
        </w:rPr>
        <w:t>,</w:t>
      </w:r>
      <w:r w:rsidRPr="004737C5">
        <w:rPr>
          <w:rFonts w:cstheme="minorHAnsi"/>
          <w:snapToGrid w:val="0"/>
        </w:rPr>
        <w:t xml:space="preserve"> </w:t>
      </w:r>
      <w:r w:rsidR="00EF1E1C" w:rsidRPr="004737C5">
        <w:rPr>
          <w:rFonts w:cstheme="minorHAnsi"/>
          <w:snapToGrid w:val="0"/>
        </w:rPr>
        <w:t xml:space="preserve">monitor </w:t>
      </w:r>
      <w:r w:rsidRPr="004737C5">
        <w:rPr>
          <w:rFonts w:cstheme="minorHAnsi"/>
          <w:snapToGrid w:val="0"/>
        </w:rPr>
        <w:t>price</w:t>
      </w:r>
      <w:r w:rsidR="00EF1E1C" w:rsidRPr="004737C5">
        <w:rPr>
          <w:rFonts w:cstheme="minorHAnsi"/>
          <w:snapToGrid w:val="0"/>
        </w:rPr>
        <w:t>s</w:t>
      </w:r>
      <w:r w:rsidRPr="004737C5">
        <w:rPr>
          <w:rFonts w:cstheme="minorHAnsi"/>
          <w:snapToGrid w:val="0"/>
        </w:rPr>
        <w:t xml:space="preserve"> and </w:t>
      </w:r>
      <w:r w:rsidR="00EF1E1C" w:rsidRPr="004737C5">
        <w:rPr>
          <w:rFonts w:cstheme="minorHAnsi"/>
          <w:snapToGrid w:val="0"/>
        </w:rPr>
        <w:t xml:space="preserve">carry out </w:t>
      </w:r>
      <w:r w:rsidRPr="004737C5">
        <w:rPr>
          <w:rFonts w:cstheme="minorHAnsi"/>
          <w:snapToGrid w:val="0"/>
        </w:rPr>
        <w:t xml:space="preserve">market/household surveys </w:t>
      </w:r>
      <w:r w:rsidR="00EF1E1C" w:rsidRPr="004737C5">
        <w:rPr>
          <w:rFonts w:cstheme="minorHAnsi"/>
          <w:snapToGrid w:val="0"/>
        </w:rPr>
        <w:t>in order to identify</w:t>
      </w:r>
      <w:r w:rsidRPr="004737C5">
        <w:rPr>
          <w:rFonts w:cstheme="minorHAnsi"/>
          <w:snapToGrid w:val="0"/>
        </w:rPr>
        <w:t xml:space="preserve"> consumer problems. This can enable consumer protection authorities to take pre-emptive measures before problems become too widespread and dif</w:t>
      </w:r>
      <w:r w:rsidR="00EF1E1C" w:rsidRPr="004737C5">
        <w:rPr>
          <w:rFonts w:cstheme="minorHAnsi"/>
          <w:snapToGrid w:val="0"/>
        </w:rPr>
        <w:t>ficult to resolve.</w:t>
      </w:r>
    </w:p>
    <w:p w14:paraId="135A8C7E" w14:textId="77777777" w:rsidR="00EF1E1C" w:rsidRPr="004737C5" w:rsidRDefault="00EF1E1C" w:rsidP="00A577C4">
      <w:pPr>
        <w:spacing w:before="200"/>
        <w:rPr>
          <w:rFonts w:cstheme="minorHAnsi"/>
          <w:snapToGrid w:val="0"/>
        </w:rPr>
      </w:pPr>
      <w:r w:rsidRPr="004737C5">
        <w:rPr>
          <w:rFonts w:cstheme="minorHAnsi"/>
          <w:b/>
          <w:snapToGrid w:val="0"/>
        </w:rPr>
        <w:lastRenderedPageBreak/>
        <w:t>7.</w:t>
      </w:r>
      <w:r w:rsidRPr="004737C5">
        <w:rPr>
          <w:rFonts w:cstheme="minorHAnsi"/>
          <w:snapToGrid w:val="0"/>
        </w:rPr>
        <w:t xml:space="preserve"> </w:t>
      </w:r>
      <w:r w:rsidRPr="004737C5">
        <w:rPr>
          <w:rFonts w:cstheme="minorHAnsi"/>
          <w:b/>
          <w:iCs/>
          <w:snapToGrid w:val="0"/>
        </w:rPr>
        <w:t>Mechanisms for compliance or enforcement</w:t>
      </w:r>
    </w:p>
    <w:p w14:paraId="13CC882E" w14:textId="77777777" w:rsidR="00843222" w:rsidRPr="004737C5" w:rsidRDefault="00843222" w:rsidP="006D3BE8">
      <w:pPr>
        <w:rPr>
          <w:rFonts w:cstheme="minorHAnsi"/>
          <w:snapToGrid w:val="0"/>
        </w:rPr>
      </w:pPr>
      <w:bookmarkStart w:id="13" w:name="_Hlk495068632"/>
      <w:r w:rsidRPr="004737C5">
        <w:rPr>
          <w:rFonts w:cstheme="minorHAnsi"/>
          <w:iCs/>
          <w:snapToGrid w:val="0"/>
        </w:rPr>
        <w:t>Mechanisms for compliance or enforcement</w:t>
      </w:r>
      <w:r w:rsidRPr="004737C5">
        <w:rPr>
          <w:rFonts w:cstheme="minorHAnsi"/>
          <w:snapToGrid w:val="0"/>
        </w:rPr>
        <w:t xml:space="preserve"> </w:t>
      </w:r>
      <w:bookmarkEnd w:id="13"/>
      <w:r w:rsidRPr="004737C5">
        <w:rPr>
          <w:rFonts w:cstheme="minorHAnsi"/>
          <w:snapToGrid w:val="0"/>
        </w:rPr>
        <w:t xml:space="preserve">of consumer protection laws </w:t>
      </w:r>
      <w:r w:rsidR="00EF1E1C" w:rsidRPr="004737C5">
        <w:rPr>
          <w:rFonts w:cstheme="minorHAnsi"/>
          <w:snapToGrid w:val="0"/>
        </w:rPr>
        <w:t>need</w:t>
      </w:r>
      <w:r w:rsidRPr="004737C5">
        <w:rPr>
          <w:rFonts w:cstheme="minorHAnsi"/>
          <w:snapToGrid w:val="0"/>
        </w:rPr>
        <w:t xml:space="preserve"> to be cost-effective and</w:t>
      </w:r>
      <w:r w:rsidR="00EF1E1C" w:rsidRPr="004737C5">
        <w:rPr>
          <w:rFonts w:cstheme="minorHAnsi"/>
          <w:snapToGrid w:val="0"/>
        </w:rPr>
        <w:t xml:space="preserve"> to </w:t>
      </w:r>
      <w:r w:rsidRPr="004737C5">
        <w:rPr>
          <w:rFonts w:cstheme="minorHAnsi"/>
          <w:snapToGrid w:val="0"/>
        </w:rPr>
        <w:t xml:space="preserve">benefit the consumer. </w:t>
      </w:r>
      <w:r w:rsidR="007838EC" w:rsidRPr="004737C5">
        <w:rPr>
          <w:rFonts w:cstheme="minorHAnsi"/>
          <w:snapToGrid w:val="0"/>
        </w:rPr>
        <w:t>Mechanisms</w:t>
      </w:r>
      <w:r w:rsidRPr="004737C5">
        <w:rPr>
          <w:rFonts w:cstheme="minorHAnsi"/>
          <w:snapToGrid w:val="0"/>
        </w:rPr>
        <w:t xml:space="preserve"> </w:t>
      </w:r>
      <w:r w:rsidR="00EF1E1C" w:rsidRPr="004737C5">
        <w:rPr>
          <w:rFonts w:cstheme="minorHAnsi"/>
          <w:snapToGrid w:val="0"/>
        </w:rPr>
        <w:t>include</w:t>
      </w:r>
      <w:r w:rsidRPr="004737C5">
        <w:rPr>
          <w:rFonts w:cstheme="minorHAnsi"/>
          <w:snapToGrid w:val="0"/>
        </w:rPr>
        <w:t xml:space="preserve"> enforcement units, industry undertakings, imposition of licensing and registration fees, sec</w:t>
      </w:r>
      <w:r w:rsidR="00EF1E1C" w:rsidRPr="004737C5">
        <w:rPr>
          <w:rFonts w:cstheme="minorHAnsi"/>
          <w:snapToGrid w:val="0"/>
        </w:rPr>
        <w:t>urity deposits, product recalls</w:t>
      </w:r>
      <w:r w:rsidRPr="004737C5">
        <w:rPr>
          <w:rFonts w:cstheme="minorHAnsi"/>
          <w:snapToGrid w:val="0"/>
        </w:rPr>
        <w:t xml:space="preserve"> a</w:t>
      </w:r>
      <w:r w:rsidR="002B41BC" w:rsidRPr="004737C5">
        <w:rPr>
          <w:rFonts w:cstheme="minorHAnsi"/>
          <w:snapToGrid w:val="0"/>
        </w:rPr>
        <w:t xml:space="preserve">nd price controls, </w:t>
      </w:r>
      <w:r w:rsidR="007838EC" w:rsidRPr="004737C5">
        <w:rPr>
          <w:rFonts w:cstheme="minorHAnsi"/>
          <w:snapToGrid w:val="0"/>
        </w:rPr>
        <w:t>with resort to the courts as needed</w:t>
      </w:r>
      <w:r w:rsidR="00EF1E1C" w:rsidRPr="004737C5">
        <w:rPr>
          <w:rFonts w:cstheme="minorHAnsi"/>
          <w:snapToGrid w:val="0"/>
        </w:rPr>
        <w:t>.</w:t>
      </w:r>
    </w:p>
    <w:p w14:paraId="28910E5A" w14:textId="77777777" w:rsidR="00843222" w:rsidRPr="004737C5" w:rsidRDefault="00EF1E1C" w:rsidP="00A577C4">
      <w:pPr>
        <w:spacing w:before="200"/>
        <w:rPr>
          <w:rFonts w:cstheme="minorHAnsi"/>
          <w:snapToGrid w:val="0"/>
        </w:rPr>
      </w:pPr>
      <w:r w:rsidRPr="004737C5">
        <w:rPr>
          <w:rFonts w:cstheme="minorHAnsi"/>
          <w:b/>
          <w:snapToGrid w:val="0"/>
        </w:rPr>
        <w:t>8.</w:t>
      </w:r>
      <w:r w:rsidRPr="004737C5">
        <w:rPr>
          <w:rFonts w:cstheme="minorHAnsi"/>
          <w:snapToGrid w:val="0"/>
        </w:rPr>
        <w:t xml:space="preserve"> </w:t>
      </w:r>
      <w:r w:rsidRPr="004737C5">
        <w:rPr>
          <w:rFonts w:cstheme="minorHAnsi"/>
          <w:b/>
          <w:iCs/>
          <w:snapToGrid w:val="0"/>
        </w:rPr>
        <w:t>Consumer education and information programmes</w:t>
      </w:r>
    </w:p>
    <w:p w14:paraId="5FE04AAA" w14:textId="77777777" w:rsidR="00843222" w:rsidRPr="004737C5" w:rsidRDefault="00843222" w:rsidP="006D3BE8">
      <w:pPr>
        <w:rPr>
          <w:rFonts w:cstheme="minorHAnsi"/>
          <w:snapToGrid w:val="0"/>
        </w:rPr>
      </w:pPr>
      <w:r w:rsidRPr="004737C5">
        <w:rPr>
          <w:rFonts w:cstheme="minorHAnsi"/>
          <w:iCs/>
          <w:snapToGrid w:val="0"/>
        </w:rPr>
        <w:t>Consumer education and information programmes</w:t>
      </w:r>
      <w:r w:rsidRPr="004737C5">
        <w:rPr>
          <w:rFonts w:cstheme="minorHAnsi"/>
          <w:snapToGrid w:val="0"/>
        </w:rPr>
        <w:t xml:space="preserve"> should be made available to empower consumers with the knowledge to protect themselves and become responsible consumers. Consumer education may be incorporated into the school curriculum. Information programmes may be supported by national consumer protection programmes and can be conducted through the media and other community activities, often with the assistance of consumer organizations with experience in this area. This topic is </w:t>
      </w:r>
      <w:r w:rsidR="00EF1E1C" w:rsidRPr="004737C5">
        <w:rPr>
          <w:rFonts w:cstheme="minorHAnsi"/>
          <w:snapToGrid w:val="0"/>
        </w:rPr>
        <w:t>discussed f</w:t>
      </w:r>
      <w:r w:rsidR="001C5CB4" w:rsidRPr="004737C5">
        <w:rPr>
          <w:rFonts w:cstheme="minorHAnsi"/>
          <w:snapToGrid w:val="0"/>
        </w:rPr>
        <w:t>urther in chapter X</w:t>
      </w:r>
      <w:r w:rsidR="00EF1E1C" w:rsidRPr="004737C5">
        <w:rPr>
          <w:rFonts w:cstheme="minorHAnsi"/>
          <w:snapToGrid w:val="0"/>
        </w:rPr>
        <w:t>.</w:t>
      </w:r>
    </w:p>
    <w:p w14:paraId="3A9D4FE6" w14:textId="48723679" w:rsidR="00EF1E1C" w:rsidRPr="004737C5" w:rsidRDefault="00EF1E1C" w:rsidP="00A577C4">
      <w:pPr>
        <w:spacing w:before="200"/>
        <w:rPr>
          <w:rFonts w:cstheme="minorHAnsi"/>
          <w:snapToGrid w:val="0"/>
        </w:rPr>
      </w:pPr>
      <w:r w:rsidRPr="004737C5">
        <w:rPr>
          <w:rFonts w:cstheme="minorHAnsi"/>
          <w:b/>
          <w:snapToGrid w:val="0"/>
        </w:rPr>
        <w:t>9.</w:t>
      </w:r>
      <w:r w:rsidRPr="004737C5">
        <w:rPr>
          <w:rFonts w:cstheme="minorHAnsi"/>
          <w:snapToGrid w:val="0"/>
        </w:rPr>
        <w:t xml:space="preserve"> </w:t>
      </w:r>
      <w:r w:rsidR="00633B73" w:rsidRPr="004737C5">
        <w:rPr>
          <w:rFonts w:cstheme="minorHAnsi"/>
          <w:b/>
          <w:iCs/>
          <w:snapToGrid w:val="0"/>
        </w:rPr>
        <w:t>International co</w:t>
      </w:r>
      <w:r w:rsidR="00843222" w:rsidRPr="004737C5">
        <w:rPr>
          <w:rFonts w:cstheme="minorHAnsi"/>
          <w:b/>
          <w:iCs/>
          <w:snapToGrid w:val="0"/>
        </w:rPr>
        <w:t>operation and networking</w:t>
      </w:r>
      <w:r w:rsidR="00843222" w:rsidRPr="004737C5">
        <w:rPr>
          <w:rFonts w:cstheme="minorHAnsi"/>
          <w:snapToGrid w:val="0"/>
        </w:rPr>
        <w:t xml:space="preserve"> </w:t>
      </w:r>
    </w:p>
    <w:p w14:paraId="400EF2DC" w14:textId="41555C86" w:rsidR="00843222" w:rsidRPr="004737C5" w:rsidRDefault="00633B73" w:rsidP="006D3BE8">
      <w:pPr>
        <w:rPr>
          <w:rFonts w:cstheme="minorHAnsi"/>
        </w:rPr>
      </w:pPr>
      <w:r w:rsidRPr="004737C5">
        <w:rPr>
          <w:rFonts w:cstheme="minorHAnsi"/>
          <w:iCs/>
          <w:snapToGrid w:val="0"/>
        </w:rPr>
        <w:t>International co</w:t>
      </w:r>
      <w:r w:rsidR="00EF1E1C" w:rsidRPr="004737C5">
        <w:rPr>
          <w:rFonts w:cstheme="minorHAnsi"/>
          <w:iCs/>
          <w:snapToGrid w:val="0"/>
        </w:rPr>
        <w:t>operation and networking</w:t>
      </w:r>
      <w:r w:rsidR="00EF1E1C" w:rsidRPr="004737C5">
        <w:rPr>
          <w:rFonts w:cstheme="minorHAnsi"/>
          <w:snapToGrid w:val="0"/>
        </w:rPr>
        <w:t xml:space="preserve"> among consumer protection agencies in different countries </w:t>
      </w:r>
      <w:r w:rsidR="00843222" w:rsidRPr="004737C5">
        <w:rPr>
          <w:rFonts w:cstheme="minorHAnsi"/>
          <w:snapToGrid w:val="0"/>
        </w:rPr>
        <w:t>is essential to ensure regular exchange and sharing of information, technical training and capacity building for the implementation and reciprocal enforcement of multilateral agreements on consumer protection issues. Regional and international cooperation is also necessary to develop common positions when negotiating standards and other measures. International cooperation on consumer prot</w:t>
      </w:r>
      <w:r w:rsidR="001C5CB4" w:rsidRPr="004737C5">
        <w:rPr>
          <w:rFonts w:cstheme="minorHAnsi"/>
          <w:snapToGrid w:val="0"/>
        </w:rPr>
        <w:t>ection is discussed in chapter VIII</w:t>
      </w:r>
      <w:r w:rsidR="00843222" w:rsidRPr="004737C5">
        <w:rPr>
          <w:rFonts w:cstheme="minorHAnsi"/>
          <w:snapToGrid w:val="0"/>
        </w:rPr>
        <w:t>.</w:t>
      </w:r>
    </w:p>
    <w:p w14:paraId="1887C6A1" w14:textId="77777777" w:rsidR="00843222" w:rsidRPr="004737C5" w:rsidRDefault="00843222" w:rsidP="006D3BE8">
      <w:pPr>
        <w:rPr>
          <w:rFonts w:cstheme="minorHAnsi"/>
        </w:rPr>
      </w:pPr>
      <w:r w:rsidRPr="004737C5">
        <w:rPr>
          <w:rFonts w:cstheme="minorHAnsi"/>
        </w:rPr>
        <w:t>International cooperation is also needed in other related domains</w:t>
      </w:r>
      <w:r w:rsidR="00EF1E1C" w:rsidRPr="004737C5">
        <w:rPr>
          <w:rFonts w:cstheme="minorHAnsi"/>
        </w:rPr>
        <w:t>.</w:t>
      </w:r>
      <w:r w:rsidRPr="004737C5">
        <w:rPr>
          <w:rFonts w:cstheme="minorHAnsi"/>
        </w:rPr>
        <w:t xml:space="preserve"> While d</w:t>
      </w:r>
      <w:r w:rsidR="00EF1E1C" w:rsidRPr="004737C5">
        <w:rPr>
          <w:rFonts w:cstheme="minorHAnsi"/>
        </w:rPr>
        <w:t>ifferences exist between a demand-</w:t>
      </w:r>
      <w:r w:rsidRPr="004737C5">
        <w:rPr>
          <w:rFonts w:cstheme="minorHAnsi"/>
        </w:rPr>
        <w:t xml:space="preserve">side orientation in consumer protection work and </w:t>
      </w:r>
      <w:r w:rsidR="00EF1E1C" w:rsidRPr="004737C5">
        <w:rPr>
          <w:rFonts w:cstheme="minorHAnsi"/>
        </w:rPr>
        <w:t xml:space="preserve">a </w:t>
      </w:r>
      <w:r w:rsidRPr="004737C5">
        <w:rPr>
          <w:rFonts w:cstheme="minorHAnsi"/>
        </w:rPr>
        <w:t>s</w:t>
      </w:r>
      <w:r w:rsidR="00EF1E1C" w:rsidRPr="004737C5">
        <w:rPr>
          <w:rFonts w:cstheme="minorHAnsi"/>
        </w:rPr>
        <w:t>upply-</w:t>
      </w:r>
      <w:r w:rsidRPr="004737C5">
        <w:rPr>
          <w:rFonts w:cstheme="minorHAnsi"/>
        </w:rPr>
        <w:t xml:space="preserve">side orientation </w:t>
      </w:r>
      <w:r w:rsidR="00EF1E1C" w:rsidRPr="004737C5">
        <w:rPr>
          <w:rFonts w:cstheme="minorHAnsi"/>
        </w:rPr>
        <w:t xml:space="preserve">in </w:t>
      </w:r>
      <w:r w:rsidRPr="004737C5">
        <w:rPr>
          <w:rFonts w:cstheme="minorHAnsi"/>
        </w:rPr>
        <w:t xml:space="preserve">competition policy, </w:t>
      </w:r>
      <w:r w:rsidR="007838EC" w:rsidRPr="004737C5">
        <w:rPr>
          <w:rFonts w:cstheme="minorHAnsi"/>
        </w:rPr>
        <w:t xml:space="preserve">the </w:t>
      </w:r>
      <w:r w:rsidRPr="004737C5">
        <w:rPr>
          <w:rFonts w:cstheme="minorHAnsi"/>
        </w:rPr>
        <w:t xml:space="preserve">consumer interest is essential to both. There is a </w:t>
      </w:r>
      <w:r w:rsidR="00EF1E1C" w:rsidRPr="004737C5">
        <w:rPr>
          <w:rFonts w:cstheme="minorHAnsi"/>
        </w:rPr>
        <w:t>difference</w:t>
      </w:r>
      <w:r w:rsidRPr="004737C5">
        <w:rPr>
          <w:rFonts w:cstheme="minorHAnsi"/>
        </w:rPr>
        <w:t xml:space="preserve"> between national consumer protection agencies trying to operate with overseas colleagues on specific issues and international trade negotiators effectuating trade treaties. The latter is commonly a more adversarial process </w:t>
      </w:r>
      <w:r w:rsidR="000326CC" w:rsidRPr="004737C5">
        <w:rPr>
          <w:rFonts w:cstheme="minorHAnsi"/>
        </w:rPr>
        <w:t>with countries putting forward their “interests”</w:t>
      </w:r>
      <w:r w:rsidRPr="004737C5">
        <w:rPr>
          <w:rFonts w:cstheme="minorHAnsi"/>
        </w:rPr>
        <w:t xml:space="preserve">, which usually </w:t>
      </w:r>
      <w:r w:rsidR="000326CC" w:rsidRPr="004737C5">
        <w:rPr>
          <w:rFonts w:cstheme="minorHAnsi"/>
        </w:rPr>
        <w:t xml:space="preserve">coincide </w:t>
      </w:r>
      <w:r w:rsidRPr="004737C5">
        <w:rPr>
          <w:rFonts w:cstheme="minorHAnsi"/>
        </w:rPr>
        <w:t xml:space="preserve">with </w:t>
      </w:r>
      <w:r w:rsidR="000326CC" w:rsidRPr="004737C5">
        <w:rPr>
          <w:rFonts w:cstheme="minorHAnsi"/>
        </w:rPr>
        <w:t>producer</w:t>
      </w:r>
      <w:r w:rsidRPr="004737C5">
        <w:rPr>
          <w:rFonts w:cstheme="minorHAnsi"/>
        </w:rPr>
        <w:t>s</w:t>
      </w:r>
      <w:r w:rsidR="000326CC" w:rsidRPr="004737C5">
        <w:rPr>
          <w:rFonts w:cstheme="minorHAnsi"/>
        </w:rPr>
        <w:t>’</w:t>
      </w:r>
      <w:r w:rsidRPr="004737C5">
        <w:rPr>
          <w:rFonts w:cstheme="minorHAnsi"/>
        </w:rPr>
        <w:t xml:space="preserve"> perspective</w:t>
      </w:r>
      <w:r w:rsidR="000326CC" w:rsidRPr="004737C5">
        <w:rPr>
          <w:rFonts w:cstheme="minorHAnsi"/>
        </w:rPr>
        <w:t>s</w:t>
      </w:r>
      <w:r w:rsidRPr="004737C5">
        <w:rPr>
          <w:rFonts w:cstheme="minorHAnsi"/>
        </w:rPr>
        <w:t>. In such negotiations, the consumer interest may be at stake, but only as one of many interests around the table. This dimension is</w:t>
      </w:r>
      <w:r w:rsidR="001C5CB4" w:rsidRPr="004737C5">
        <w:rPr>
          <w:rFonts w:cstheme="minorHAnsi"/>
        </w:rPr>
        <w:t xml:space="preserve"> elaborated briefly in chapter III. Also discussed in chapter III</w:t>
      </w:r>
      <w:r w:rsidRPr="004737C5">
        <w:rPr>
          <w:rFonts w:cstheme="minorHAnsi"/>
        </w:rPr>
        <w:t xml:space="preserve"> is the emerging overlap and potential conflict between international trade rules in intellectual property and domestic consumer protection. </w:t>
      </w:r>
    </w:p>
    <w:p w14:paraId="2BDBC6C3" w14:textId="77777777" w:rsidR="00843222" w:rsidRPr="004737C5" w:rsidRDefault="000326CC" w:rsidP="00221002">
      <w:pPr>
        <w:pStyle w:val="Heading2"/>
        <w:spacing w:after="160"/>
        <w:rPr>
          <w:rFonts w:cstheme="minorHAnsi"/>
          <w:color w:val="auto"/>
          <w:sz w:val="24"/>
          <w:szCs w:val="24"/>
        </w:rPr>
      </w:pPr>
      <w:bookmarkStart w:id="14" w:name="_Toc492649967"/>
      <w:r w:rsidRPr="004737C5">
        <w:rPr>
          <w:rFonts w:cstheme="minorHAnsi"/>
          <w:color w:val="auto"/>
          <w:sz w:val="24"/>
          <w:szCs w:val="24"/>
        </w:rPr>
        <w:t>F.</w:t>
      </w:r>
      <w:r w:rsidR="00843222" w:rsidRPr="004737C5">
        <w:rPr>
          <w:rFonts w:cstheme="minorHAnsi"/>
          <w:color w:val="auto"/>
          <w:sz w:val="24"/>
          <w:szCs w:val="24"/>
        </w:rPr>
        <w:t xml:space="preserve"> Conclusion</w:t>
      </w:r>
      <w:bookmarkEnd w:id="14"/>
    </w:p>
    <w:p w14:paraId="2964EA21" w14:textId="20789439" w:rsidR="00716ECF" w:rsidRPr="004737C5" w:rsidRDefault="00843222" w:rsidP="006D3BE8">
      <w:pPr>
        <w:rPr>
          <w:rFonts w:eastAsia="Times New Roman" w:cstheme="minorHAnsi"/>
          <w:color w:val="FF0000"/>
          <w:szCs w:val="20"/>
        </w:rPr>
      </w:pPr>
      <w:r w:rsidRPr="004737C5">
        <w:rPr>
          <w:rFonts w:eastAsia="Times New Roman" w:cstheme="minorHAnsi"/>
          <w:szCs w:val="20"/>
        </w:rPr>
        <w:t xml:space="preserve">This manual takes an extensive approach to consumer protection by considering public services such as utilities </w:t>
      </w:r>
      <w:r w:rsidR="001C5CB4" w:rsidRPr="004737C5">
        <w:rPr>
          <w:rFonts w:eastAsia="Times New Roman" w:cstheme="minorHAnsi"/>
          <w:szCs w:val="20"/>
        </w:rPr>
        <w:t>(see chapter XV</w:t>
      </w:r>
      <w:r w:rsidRPr="004737C5">
        <w:rPr>
          <w:rFonts w:eastAsia="Times New Roman" w:cstheme="minorHAnsi"/>
          <w:szCs w:val="20"/>
        </w:rPr>
        <w:t>) as consumer issues. In doing so, it takes a broader view than some</w:t>
      </w:r>
      <w:r w:rsidRPr="004737C5">
        <w:rPr>
          <w:rFonts w:cstheme="minorHAnsi"/>
          <w:b/>
          <w:i/>
          <w:snapToGrid w:val="0"/>
          <w:color w:val="FF0000"/>
        </w:rPr>
        <w:t xml:space="preserve"> </w:t>
      </w:r>
      <w:r w:rsidRPr="004737C5">
        <w:rPr>
          <w:rFonts w:cstheme="minorHAnsi"/>
          <w:snapToGrid w:val="0"/>
        </w:rPr>
        <w:t>governmental or intergovernmental bodie</w:t>
      </w:r>
      <w:r w:rsidR="000326CC" w:rsidRPr="004737C5">
        <w:rPr>
          <w:rFonts w:cstheme="minorHAnsi"/>
          <w:snapToGrid w:val="0"/>
        </w:rPr>
        <w:t xml:space="preserve">s, which </w:t>
      </w:r>
      <w:r w:rsidRPr="004737C5">
        <w:rPr>
          <w:rFonts w:cstheme="minorHAnsi"/>
          <w:snapToGrid w:val="0"/>
        </w:rPr>
        <w:t>define consumer protection as restricted to shoppers’ rights. Such restrictions may gradually lead to the exclusion of the consumer dimension from sectors</w:t>
      </w:r>
      <w:r w:rsidR="00221002" w:rsidRPr="004737C5">
        <w:rPr>
          <w:rFonts w:cstheme="minorHAnsi"/>
          <w:snapToGrid w:val="0"/>
        </w:rPr>
        <w:t xml:space="preserve"> where it is needed. These include</w:t>
      </w:r>
      <w:r w:rsidR="000B6B3E" w:rsidRPr="004737C5">
        <w:rPr>
          <w:rFonts w:cstheme="minorHAnsi"/>
          <w:snapToGrid w:val="0"/>
        </w:rPr>
        <w:t xml:space="preserve"> commercial insurance systems (see chapter XIV on financial services) </w:t>
      </w:r>
      <w:r w:rsidR="00221002" w:rsidRPr="004737C5">
        <w:rPr>
          <w:rFonts w:cstheme="minorHAnsi"/>
          <w:snapToGrid w:val="0"/>
        </w:rPr>
        <w:t>and public and private pensions</w:t>
      </w:r>
      <w:r w:rsidRPr="004737C5">
        <w:rPr>
          <w:rFonts w:cstheme="minorHAnsi"/>
          <w:snapToGrid w:val="0"/>
        </w:rPr>
        <w:t xml:space="preserve">. </w:t>
      </w:r>
      <w:r w:rsidR="00716ECF" w:rsidRPr="004737C5">
        <w:rPr>
          <w:rFonts w:cstheme="minorHAnsi"/>
          <w:lang w:eastAsia="en-GB"/>
        </w:rPr>
        <w:t>The</w:t>
      </w:r>
      <w:r w:rsidRPr="004737C5">
        <w:rPr>
          <w:rFonts w:cstheme="minorHAnsi"/>
          <w:lang w:eastAsia="en-GB"/>
        </w:rPr>
        <w:t xml:space="preserve"> danger </w:t>
      </w:r>
      <w:r w:rsidR="00716ECF" w:rsidRPr="004737C5">
        <w:rPr>
          <w:rFonts w:cstheme="minorHAnsi"/>
          <w:lang w:eastAsia="en-GB"/>
        </w:rPr>
        <w:t>of</w:t>
      </w:r>
      <w:r w:rsidR="000326CC" w:rsidRPr="004737C5">
        <w:rPr>
          <w:rFonts w:cstheme="minorHAnsi"/>
          <w:lang w:eastAsia="en-GB"/>
        </w:rPr>
        <w:t xml:space="preserve"> applying </w:t>
      </w:r>
      <w:r w:rsidRPr="004737C5">
        <w:rPr>
          <w:rFonts w:cstheme="minorHAnsi"/>
          <w:lang w:eastAsia="en-GB"/>
        </w:rPr>
        <w:t xml:space="preserve">a restrictive </w:t>
      </w:r>
      <w:r w:rsidR="000326CC" w:rsidRPr="004737C5">
        <w:rPr>
          <w:rFonts w:cstheme="minorHAnsi"/>
          <w:lang w:eastAsia="en-GB"/>
        </w:rPr>
        <w:t xml:space="preserve">definition </w:t>
      </w:r>
      <w:r w:rsidRPr="004737C5">
        <w:rPr>
          <w:rFonts w:cstheme="minorHAnsi"/>
          <w:lang w:eastAsia="en-GB"/>
        </w:rPr>
        <w:t xml:space="preserve">of users of public services is that </w:t>
      </w:r>
      <w:r w:rsidR="000326CC" w:rsidRPr="004737C5">
        <w:rPr>
          <w:rFonts w:cstheme="minorHAnsi"/>
          <w:lang w:eastAsia="en-GB"/>
        </w:rPr>
        <w:t>this</w:t>
      </w:r>
      <w:r w:rsidRPr="004737C5">
        <w:rPr>
          <w:rFonts w:cstheme="minorHAnsi"/>
          <w:lang w:eastAsia="en-GB"/>
        </w:rPr>
        <w:t xml:space="preserve"> may perpetuate </w:t>
      </w:r>
      <w:r w:rsidR="000326CC" w:rsidRPr="004737C5">
        <w:rPr>
          <w:rFonts w:cstheme="minorHAnsi"/>
          <w:lang w:eastAsia="en-GB"/>
        </w:rPr>
        <w:t xml:space="preserve">a </w:t>
      </w:r>
      <w:r w:rsidRPr="004737C5">
        <w:rPr>
          <w:rFonts w:cstheme="minorHAnsi"/>
          <w:lang w:eastAsia="en-GB"/>
        </w:rPr>
        <w:t xml:space="preserve">perception that consumer protection is only about the freedom to spend. </w:t>
      </w:r>
    </w:p>
    <w:p w14:paraId="1F76ABD0" w14:textId="65E3376C" w:rsidR="00843222" w:rsidRPr="004737C5" w:rsidRDefault="00843222" w:rsidP="006D3BE8">
      <w:pPr>
        <w:rPr>
          <w:rFonts w:cstheme="minorHAnsi"/>
        </w:rPr>
      </w:pPr>
      <w:r w:rsidRPr="004737C5">
        <w:rPr>
          <w:rFonts w:cstheme="minorHAnsi"/>
          <w:lang w:eastAsia="en-GB"/>
        </w:rPr>
        <w:t>This chapter has suggested that a consensus is emerging among experts on the definition of the consumer. There remains intense debate in wider circles ref</w:t>
      </w:r>
      <w:r w:rsidR="000326CC" w:rsidRPr="004737C5">
        <w:rPr>
          <w:rFonts w:cstheme="minorHAnsi"/>
          <w:lang w:eastAsia="en-GB"/>
        </w:rPr>
        <w:t>lecting a dislike for the term “consumer”</w:t>
      </w:r>
      <w:r w:rsidRPr="004737C5">
        <w:rPr>
          <w:rFonts w:cstheme="minorHAnsi"/>
          <w:lang w:eastAsia="en-GB"/>
        </w:rPr>
        <w:t xml:space="preserve"> as emb</w:t>
      </w:r>
      <w:r w:rsidR="000326CC" w:rsidRPr="004737C5">
        <w:rPr>
          <w:rFonts w:cstheme="minorHAnsi"/>
          <w:lang w:eastAsia="en-GB"/>
        </w:rPr>
        <w:t>racing an ideology of “</w:t>
      </w:r>
      <w:r w:rsidRPr="004737C5">
        <w:rPr>
          <w:rFonts w:cstheme="minorHAnsi"/>
          <w:lang w:eastAsia="en-GB"/>
        </w:rPr>
        <w:t>consumerism</w:t>
      </w:r>
      <w:r w:rsidR="000326CC" w:rsidRPr="004737C5">
        <w:rPr>
          <w:rFonts w:cstheme="minorHAnsi"/>
          <w:lang w:eastAsia="en-GB"/>
        </w:rPr>
        <w:t>”</w:t>
      </w:r>
      <w:r w:rsidR="00716ECF" w:rsidRPr="004737C5">
        <w:rPr>
          <w:rFonts w:cstheme="minorHAnsi"/>
          <w:lang w:eastAsia="en-GB"/>
        </w:rPr>
        <w:t>,</w:t>
      </w:r>
      <w:r w:rsidRPr="004737C5">
        <w:rPr>
          <w:rFonts w:cstheme="minorHAnsi"/>
          <w:lang w:eastAsia="en-GB"/>
        </w:rPr>
        <w:t xml:space="preserve"> which is thought to be rather materialistic and, in environmental terms, possibly unsustainable. </w:t>
      </w:r>
      <w:r w:rsidRPr="004737C5">
        <w:rPr>
          <w:rFonts w:cstheme="minorHAnsi"/>
        </w:rPr>
        <w:t xml:space="preserve">It is </w:t>
      </w:r>
      <w:r w:rsidR="00716ECF" w:rsidRPr="004737C5">
        <w:rPr>
          <w:rFonts w:cstheme="minorHAnsi"/>
        </w:rPr>
        <w:t xml:space="preserve">sometimes </w:t>
      </w:r>
      <w:r w:rsidRPr="004737C5">
        <w:rPr>
          <w:rFonts w:cstheme="minorHAnsi"/>
        </w:rPr>
        <w:t xml:space="preserve">argued </w:t>
      </w:r>
      <w:r w:rsidR="00716ECF" w:rsidRPr="004737C5">
        <w:rPr>
          <w:rFonts w:cstheme="minorHAnsi"/>
        </w:rPr>
        <w:t>that the term “</w:t>
      </w:r>
      <w:r w:rsidR="00716ECF" w:rsidRPr="004737C5">
        <w:rPr>
          <w:rFonts w:cstheme="minorHAnsi"/>
          <w:bCs/>
          <w:iCs/>
        </w:rPr>
        <w:t>citizen”</w:t>
      </w:r>
      <w:r w:rsidRPr="004737C5">
        <w:rPr>
          <w:rFonts w:cstheme="minorHAnsi"/>
        </w:rPr>
        <w:t xml:space="preserve"> confers greater dignity on the recipient of a service and encompasses the concept of rights and responsibilities. It also suggests the possibility of participation in the p</w:t>
      </w:r>
      <w:r w:rsidR="00716ECF" w:rsidRPr="004737C5">
        <w:rPr>
          <w:rFonts w:cstheme="minorHAnsi"/>
        </w:rPr>
        <w:t>rocess of governance. However, “citizen”</w:t>
      </w:r>
      <w:r w:rsidRPr="004737C5">
        <w:rPr>
          <w:rFonts w:cstheme="minorHAnsi"/>
        </w:rPr>
        <w:t xml:space="preserve"> can also be too narrow as it could exclude migrants who are not citizens of the country and possibly does not apply to children, who are undoubtedly </w:t>
      </w:r>
      <w:r w:rsidR="00716ECF" w:rsidRPr="004737C5">
        <w:rPr>
          <w:rFonts w:cstheme="minorHAnsi"/>
        </w:rPr>
        <w:t xml:space="preserve">consumers. Furthermore, </w:t>
      </w:r>
      <w:r w:rsidR="00716ECF" w:rsidRPr="004737C5">
        <w:rPr>
          <w:rFonts w:cstheme="minorHAnsi"/>
        </w:rPr>
        <w:lastRenderedPageBreak/>
        <w:t>“citizen”</w:t>
      </w:r>
      <w:r w:rsidRPr="004737C5">
        <w:rPr>
          <w:rFonts w:cstheme="minorHAnsi"/>
        </w:rPr>
        <w:t xml:space="preserve"> is a term that does not describe </w:t>
      </w:r>
      <w:r w:rsidR="00221002" w:rsidRPr="004737C5">
        <w:rPr>
          <w:rFonts w:cstheme="minorHAnsi"/>
        </w:rPr>
        <w:t>the producer-</w:t>
      </w:r>
      <w:r w:rsidR="00716ECF" w:rsidRPr="004737C5">
        <w:rPr>
          <w:rFonts w:cstheme="minorHAnsi"/>
        </w:rPr>
        <w:t>consumer interface,</w:t>
      </w:r>
      <w:r w:rsidRPr="004737C5">
        <w:rPr>
          <w:rFonts w:cstheme="minorHAnsi"/>
        </w:rPr>
        <w:t xml:space="preserve"> the focal point of much con</w:t>
      </w:r>
      <w:r w:rsidR="00716ECF" w:rsidRPr="004737C5">
        <w:rPr>
          <w:rFonts w:cstheme="minorHAnsi"/>
        </w:rPr>
        <w:t>sumer law and policy. The term “citizen” could in theory apply equally to “</w:t>
      </w:r>
      <w:r w:rsidRPr="004737C5">
        <w:rPr>
          <w:rFonts w:cstheme="minorHAnsi"/>
        </w:rPr>
        <w:t>consumer</w:t>
      </w:r>
      <w:r w:rsidR="00716ECF" w:rsidRPr="004737C5">
        <w:rPr>
          <w:rFonts w:cstheme="minorHAnsi"/>
        </w:rPr>
        <w:t>”, “</w:t>
      </w:r>
      <w:r w:rsidRPr="004737C5">
        <w:rPr>
          <w:rFonts w:cstheme="minorHAnsi"/>
        </w:rPr>
        <w:t>worke</w:t>
      </w:r>
      <w:r w:rsidR="00716ECF" w:rsidRPr="004737C5">
        <w:rPr>
          <w:rFonts w:cstheme="minorHAnsi"/>
        </w:rPr>
        <w:t>r” or “</w:t>
      </w:r>
      <w:r w:rsidRPr="004737C5">
        <w:rPr>
          <w:rFonts w:cstheme="minorHAnsi"/>
        </w:rPr>
        <w:t>producer</w:t>
      </w:r>
      <w:r w:rsidR="00716ECF" w:rsidRPr="004737C5">
        <w:rPr>
          <w:rFonts w:cstheme="minorHAnsi"/>
        </w:rPr>
        <w:t>”.</w:t>
      </w:r>
      <w:r w:rsidRPr="004737C5">
        <w:rPr>
          <w:rFonts w:cstheme="minorHAnsi"/>
        </w:rPr>
        <w:t xml:space="preserve"> To equate these would </w:t>
      </w:r>
      <w:r w:rsidR="00716ECF" w:rsidRPr="004737C5">
        <w:rPr>
          <w:rFonts w:cstheme="minorHAnsi"/>
        </w:rPr>
        <w:t>neutralize the meaning of “citizen”</w:t>
      </w:r>
      <w:r w:rsidRPr="004737C5">
        <w:rPr>
          <w:rFonts w:cstheme="minorHAnsi"/>
        </w:rPr>
        <w:t xml:space="preserve">. </w:t>
      </w:r>
    </w:p>
    <w:p w14:paraId="26AA0A67" w14:textId="77777777" w:rsidR="00843222" w:rsidRPr="004737C5" w:rsidRDefault="00843222" w:rsidP="006D3BE8">
      <w:pPr>
        <w:rPr>
          <w:rFonts w:cstheme="minorHAnsi"/>
          <w:lang w:eastAsia="en-GB"/>
        </w:rPr>
      </w:pPr>
      <w:r w:rsidRPr="004737C5">
        <w:rPr>
          <w:rFonts w:cstheme="minorHAnsi"/>
          <w:lang w:eastAsia="en-GB"/>
        </w:rPr>
        <w:t xml:space="preserve">Consensus is </w:t>
      </w:r>
      <w:r w:rsidR="00716ECF" w:rsidRPr="004737C5">
        <w:rPr>
          <w:rFonts w:cstheme="minorHAnsi"/>
          <w:lang w:eastAsia="en-GB"/>
        </w:rPr>
        <w:t xml:space="preserve">also </w:t>
      </w:r>
      <w:r w:rsidRPr="004737C5">
        <w:rPr>
          <w:rFonts w:cstheme="minorHAnsi"/>
          <w:lang w:eastAsia="en-GB"/>
        </w:rPr>
        <w:t xml:space="preserve">emerging around </w:t>
      </w:r>
      <w:r w:rsidR="00716ECF" w:rsidRPr="004737C5">
        <w:rPr>
          <w:rFonts w:cstheme="minorHAnsi"/>
          <w:lang w:eastAsia="en-GB"/>
        </w:rPr>
        <w:t>a</w:t>
      </w:r>
      <w:r w:rsidRPr="004737C5">
        <w:rPr>
          <w:rFonts w:cstheme="minorHAnsi"/>
          <w:lang w:eastAsia="en-GB"/>
        </w:rPr>
        <w:t xml:space="preserve"> recognition that consumers have responsibilities to society at large. This is a trend that </w:t>
      </w:r>
      <w:r w:rsidR="00716ECF" w:rsidRPr="004737C5">
        <w:rPr>
          <w:rFonts w:cstheme="minorHAnsi"/>
          <w:lang w:eastAsia="en-GB"/>
        </w:rPr>
        <w:t>has intensified since the 1999 g</w:t>
      </w:r>
      <w:r w:rsidRPr="004737C5">
        <w:rPr>
          <w:rFonts w:cstheme="minorHAnsi"/>
          <w:lang w:eastAsia="en-GB"/>
        </w:rPr>
        <w:t>uidelines were expanded to include a section on sustainable consumption. Sixteen years later,</w:t>
      </w:r>
      <w:r w:rsidR="001A0359" w:rsidRPr="004737C5">
        <w:rPr>
          <w:rFonts w:cstheme="minorHAnsi"/>
          <w:lang w:eastAsia="en-GB"/>
        </w:rPr>
        <w:t xml:space="preserve"> the UNGCP have further recogniz</w:t>
      </w:r>
      <w:r w:rsidRPr="004737C5">
        <w:rPr>
          <w:rFonts w:cstheme="minorHAnsi"/>
          <w:lang w:eastAsia="en-GB"/>
        </w:rPr>
        <w:t xml:space="preserve">ed the SDGs, taking a further step in that direction. This adds the notion of consumer responsibilities to </w:t>
      </w:r>
      <w:r w:rsidR="00716ECF" w:rsidRPr="004737C5">
        <w:rPr>
          <w:rFonts w:cstheme="minorHAnsi"/>
          <w:lang w:eastAsia="en-GB"/>
        </w:rPr>
        <w:t>consumer</w:t>
      </w:r>
      <w:r w:rsidRPr="004737C5">
        <w:rPr>
          <w:rFonts w:cstheme="minorHAnsi"/>
          <w:lang w:eastAsia="en-GB"/>
        </w:rPr>
        <w:t xml:space="preserve"> rights. </w:t>
      </w:r>
      <w:r w:rsidRPr="004737C5">
        <w:rPr>
          <w:rFonts w:cstheme="minorHAnsi"/>
          <w:lang w:eastAsia="en-GB"/>
        </w:rPr>
        <w:br w:type="page"/>
      </w:r>
    </w:p>
    <w:p w14:paraId="645DE1F7" w14:textId="77777777" w:rsidR="00843222" w:rsidRPr="004737C5" w:rsidRDefault="00716ECF" w:rsidP="00221002">
      <w:pPr>
        <w:rPr>
          <w:b/>
          <w:sz w:val="28"/>
          <w:szCs w:val="28"/>
        </w:rPr>
      </w:pPr>
      <w:bookmarkStart w:id="15" w:name="_Toc492649968"/>
      <w:r w:rsidRPr="004737C5">
        <w:rPr>
          <w:b/>
          <w:sz w:val="28"/>
          <w:szCs w:val="28"/>
        </w:rPr>
        <w:lastRenderedPageBreak/>
        <w:t xml:space="preserve">II. </w:t>
      </w:r>
      <w:r w:rsidR="00843222" w:rsidRPr="004737C5">
        <w:rPr>
          <w:b/>
          <w:sz w:val="28"/>
          <w:szCs w:val="28"/>
        </w:rPr>
        <w:t>The United Nations Guidelines for Consumer Protection</w:t>
      </w:r>
      <w:bookmarkEnd w:id="15"/>
    </w:p>
    <w:p w14:paraId="00B2A4B0" w14:textId="77777777" w:rsidR="00843222" w:rsidRPr="004737C5" w:rsidRDefault="00716ECF" w:rsidP="00A577C4">
      <w:pPr>
        <w:pStyle w:val="Heading2"/>
        <w:spacing w:before="0" w:after="160"/>
        <w:rPr>
          <w:rFonts w:cstheme="minorHAnsi"/>
          <w:color w:val="auto"/>
          <w:sz w:val="24"/>
          <w:szCs w:val="24"/>
        </w:rPr>
      </w:pPr>
      <w:bookmarkStart w:id="16" w:name="_Toc492649969"/>
      <w:r w:rsidRPr="004737C5">
        <w:rPr>
          <w:rFonts w:cstheme="minorHAnsi"/>
          <w:color w:val="auto"/>
          <w:sz w:val="24"/>
          <w:szCs w:val="24"/>
        </w:rPr>
        <w:t>A</w:t>
      </w:r>
      <w:r w:rsidR="00843222" w:rsidRPr="004737C5">
        <w:rPr>
          <w:rFonts w:cstheme="minorHAnsi"/>
          <w:color w:val="auto"/>
          <w:sz w:val="24"/>
          <w:szCs w:val="24"/>
        </w:rPr>
        <w:t>. International instruments and consumer protection</w:t>
      </w:r>
      <w:bookmarkEnd w:id="16"/>
    </w:p>
    <w:p w14:paraId="6064B340" w14:textId="506797E4" w:rsidR="00843222" w:rsidRPr="004737C5" w:rsidRDefault="00843222" w:rsidP="006D3BE8">
      <w:pPr>
        <w:rPr>
          <w:rFonts w:cstheme="minorHAnsi"/>
        </w:rPr>
      </w:pPr>
      <w:r w:rsidRPr="004737C5">
        <w:rPr>
          <w:rFonts w:cstheme="minorHAnsi"/>
        </w:rPr>
        <w:t xml:space="preserve">The </w:t>
      </w:r>
      <w:r w:rsidR="00903B7A" w:rsidRPr="004737C5">
        <w:rPr>
          <w:rFonts w:cstheme="minorHAnsi"/>
        </w:rPr>
        <w:t xml:space="preserve">specialized agencies of the </w:t>
      </w:r>
      <w:r w:rsidRPr="004737C5">
        <w:rPr>
          <w:rFonts w:cstheme="minorHAnsi"/>
        </w:rPr>
        <w:t>United Nations</w:t>
      </w:r>
      <w:r w:rsidR="00903B7A" w:rsidRPr="004737C5">
        <w:rPr>
          <w:rFonts w:cstheme="minorHAnsi"/>
        </w:rPr>
        <w:t xml:space="preserve"> system</w:t>
      </w:r>
      <w:r w:rsidRPr="004737C5">
        <w:rPr>
          <w:rFonts w:cstheme="minorHAnsi"/>
        </w:rPr>
        <w:t>, the World Trade Organization (WTO), the Group of 20 (G20),</w:t>
      </w:r>
      <w:r w:rsidRPr="004737C5">
        <w:rPr>
          <w:rFonts w:cstheme="minorHAnsi"/>
          <w:color w:val="FF0000"/>
        </w:rPr>
        <w:t xml:space="preserve"> </w:t>
      </w:r>
      <w:r w:rsidR="00FE2E9D" w:rsidRPr="004737C5">
        <w:rPr>
          <w:rFonts w:cstheme="minorHAnsi"/>
        </w:rPr>
        <w:t>the Organis</w:t>
      </w:r>
      <w:r w:rsidRPr="004737C5">
        <w:rPr>
          <w:rFonts w:cstheme="minorHAnsi"/>
        </w:rPr>
        <w:t>ation for Economic Coo</w:t>
      </w:r>
      <w:r w:rsidR="00716ECF" w:rsidRPr="004737C5">
        <w:rPr>
          <w:rFonts w:cstheme="minorHAnsi"/>
        </w:rPr>
        <w:t>peration and Development (OECD)</w:t>
      </w:r>
      <w:r w:rsidRPr="004737C5">
        <w:rPr>
          <w:rFonts w:cstheme="minorHAnsi"/>
        </w:rPr>
        <w:t xml:space="preserve"> and regional bodies such as the</w:t>
      </w:r>
      <w:r w:rsidR="00221002" w:rsidRPr="004737C5">
        <w:rPr>
          <w:rFonts w:cstheme="minorHAnsi"/>
        </w:rPr>
        <w:t xml:space="preserve"> African Union, Asia-Pacific Economic Cooperation (APEC),</w:t>
      </w:r>
      <w:r w:rsidRPr="004737C5">
        <w:rPr>
          <w:rFonts w:cstheme="minorHAnsi"/>
        </w:rPr>
        <w:t xml:space="preserve"> </w:t>
      </w:r>
      <w:r w:rsidR="00221002" w:rsidRPr="004737C5">
        <w:rPr>
          <w:rFonts w:cstheme="minorHAnsi"/>
        </w:rPr>
        <w:t xml:space="preserve">the </w:t>
      </w:r>
      <w:r w:rsidRPr="004737C5">
        <w:rPr>
          <w:rFonts w:cstheme="minorHAnsi"/>
        </w:rPr>
        <w:t xml:space="preserve">Association of Southeast Asian Nations (ASEAN), </w:t>
      </w:r>
      <w:r w:rsidR="00221002" w:rsidRPr="004737C5">
        <w:rPr>
          <w:rFonts w:cstheme="minorHAnsi"/>
        </w:rPr>
        <w:t xml:space="preserve"> the European Union</w:t>
      </w:r>
      <w:r w:rsidRPr="004737C5">
        <w:rPr>
          <w:rFonts w:cstheme="minorHAnsi"/>
        </w:rPr>
        <w:t xml:space="preserve"> and the Organi</w:t>
      </w:r>
      <w:r w:rsidR="00716ECF" w:rsidRPr="004737C5">
        <w:rPr>
          <w:rFonts w:cstheme="minorHAnsi"/>
        </w:rPr>
        <w:t>zation of American States (OAS)</w:t>
      </w:r>
      <w:r w:rsidRPr="004737C5">
        <w:rPr>
          <w:rFonts w:cstheme="minorHAnsi"/>
        </w:rPr>
        <w:t xml:space="preserve"> are among </w:t>
      </w:r>
      <w:r w:rsidR="00716ECF" w:rsidRPr="004737C5">
        <w:rPr>
          <w:rFonts w:cstheme="minorHAnsi"/>
        </w:rPr>
        <w:t xml:space="preserve">those </w:t>
      </w:r>
      <w:r w:rsidRPr="004737C5">
        <w:rPr>
          <w:rFonts w:cstheme="minorHAnsi"/>
        </w:rPr>
        <w:t xml:space="preserve">intergovernmental organizations </w:t>
      </w:r>
      <w:r w:rsidR="00716ECF" w:rsidRPr="004737C5">
        <w:rPr>
          <w:rFonts w:cstheme="minorHAnsi"/>
        </w:rPr>
        <w:t xml:space="preserve">that </w:t>
      </w:r>
      <w:r w:rsidRPr="004737C5">
        <w:rPr>
          <w:rFonts w:cstheme="minorHAnsi"/>
        </w:rPr>
        <w:t>hav</w:t>
      </w:r>
      <w:r w:rsidR="00716ECF" w:rsidRPr="004737C5">
        <w:rPr>
          <w:rFonts w:cstheme="minorHAnsi"/>
        </w:rPr>
        <w:t xml:space="preserve">e </w:t>
      </w:r>
      <w:r w:rsidRPr="004737C5">
        <w:rPr>
          <w:rFonts w:cstheme="minorHAnsi"/>
        </w:rPr>
        <w:t>developed</w:t>
      </w:r>
      <w:r w:rsidR="00716ECF" w:rsidRPr="004737C5">
        <w:rPr>
          <w:rFonts w:cstheme="minorHAnsi"/>
        </w:rPr>
        <w:t xml:space="preserve"> </w:t>
      </w:r>
      <w:r w:rsidRPr="004737C5">
        <w:rPr>
          <w:rFonts w:cstheme="minorHAnsi"/>
        </w:rPr>
        <w:t>agreements, resolutions, directives and g</w:t>
      </w:r>
      <w:r w:rsidR="00716ECF" w:rsidRPr="004737C5">
        <w:rPr>
          <w:rFonts w:cstheme="minorHAnsi"/>
        </w:rPr>
        <w:t>uidelines</w:t>
      </w:r>
      <w:r w:rsidRPr="004737C5">
        <w:rPr>
          <w:rFonts w:cstheme="minorHAnsi"/>
        </w:rPr>
        <w:t xml:space="preserve"> that have a bearing on consumer protection. This section will </w:t>
      </w:r>
      <w:r w:rsidR="00716ECF" w:rsidRPr="004737C5">
        <w:rPr>
          <w:rFonts w:cstheme="minorHAnsi"/>
        </w:rPr>
        <w:t>focus</w:t>
      </w:r>
      <w:r w:rsidRPr="004737C5">
        <w:rPr>
          <w:rFonts w:cstheme="minorHAnsi"/>
        </w:rPr>
        <w:t xml:space="preserve"> specifically </w:t>
      </w:r>
      <w:r w:rsidR="00716ECF" w:rsidRPr="004737C5">
        <w:rPr>
          <w:rFonts w:cstheme="minorHAnsi"/>
        </w:rPr>
        <w:t>on</w:t>
      </w:r>
      <w:r w:rsidRPr="004737C5">
        <w:rPr>
          <w:rFonts w:cstheme="minorHAnsi"/>
        </w:rPr>
        <w:t xml:space="preserve"> the </w:t>
      </w:r>
      <w:r w:rsidR="00716ECF" w:rsidRPr="004737C5">
        <w:rPr>
          <w:rFonts w:cstheme="minorHAnsi"/>
        </w:rPr>
        <w:t xml:space="preserve">United Nations Guidelines for Consumer Protection (UNGCP) </w:t>
      </w:r>
      <w:r w:rsidRPr="004737C5">
        <w:rPr>
          <w:rFonts w:cstheme="minorHAnsi"/>
        </w:rPr>
        <w:t>adopted by the United Nation</w:t>
      </w:r>
      <w:r w:rsidR="00716ECF" w:rsidRPr="004737C5">
        <w:rPr>
          <w:rFonts w:cstheme="minorHAnsi"/>
        </w:rPr>
        <w:t>s General Assembly by consensus as a “valuable set of principles”</w:t>
      </w:r>
      <w:r w:rsidRPr="004737C5">
        <w:rPr>
          <w:rStyle w:val="FootnoteAnchor"/>
          <w:rFonts w:cstheme="minorHAnsi"/>
        </w:rPr>
        <w:footnoteReference w:id="22"/>
      </w:r>
      <w:r w:rsidRPr="004737C5">
        <w:rPr>
          <w:rFonts w:cstheme="minorHAnsi"/>
        </w:rPr>
        <w:t xml:space="preserve"> for consumer protection. There are a range of other international instruments that address the consumer interest by providing:</w:t>
      </w:r>
    </w:p>
    <w:p w14:paraId="123D8AC0" w14:textId="77777777" w:rsidR="004D505A" w:rsidRPr="004737C5" w:rsidRDefault="00843222" w:rsidP="00221002">
      <w:pPr>
        <w:pStyle w:val="ListParagraph"/>
        <w:numPr>
          <w:ilvl w:val="0"/>
          <w:numId w:val="93"/>
        </w:numPr>
        <w:spacing w:after="0"/>
        <w:ind w:left="709" w:hanging="425"/>
        <w:rPr>
          <w:rFonts w:cstheme="minorHAnsi"/>
        </w:rPr>
      </w:pPr>
      <w:r w:rsidRPr="004737C5">
        <w:rPr>
          <w:rFonts w:cstheme="minorHAnsi"/>
        </w:rPr>
        <w:t>Benchmarks and minimum levels of protection or standards for policies and regulations</w:t>
      </w:r>
      <w:r w:rsidR="003651D4" w:rsidRPr="004737C5">
        <w:rPr>
          <w:rFonts w:cstheme="minorHAnsi"/>
        </w:rPr>
        <w:t xml:space="preserve"> </w:t>
      </w:r>
      <w:r w:rsidRPr="004737C5">
        <w:rPr>
          <w:rFonts w:cstheme="minorHAnsi"/>
        </w:rPr>
        <w:t>for all countries within their competences, either globally or regional</w:t>
      </w:r>
      <w:r w:rsidR="000D0E2E" w:rsidRPr="004737C5">
        <w:rPr>
          <w:rFonts w:cstheme="minorHAnsi"/>
        </w:rPr>
        <w:t>ly</w:t>
      </w:r>
    </w:p>
    <w:p w14:paraId="5E00A74A" w14:textId="77777777" w:rsidR="00843222" w:rsidRPr="004737C5" w:rsidRDefault="00843222" w:rsidP="00221002">
      <w:pPr>
        <w:numPr>
          <w:ilvl w:val="0"/>
          <w:numId w:val="28"/>
        </w:numPr>
        <w:tabs>
          <w:tab w:val="clear" w:pos="360"/>
          <w:tab w:val="num" w:pos="1080"/>
        </w:tabs>
        <w:spacing w:after="0"/>
        <w:ind w:left="709" w:hanging="425"/>
        <w:rPr>
          <w:rFonts w:cstheme="minorHAnsi"/>
        </w:rPr>
      </w:pPr>
      <w:r w:rsidRPr="004737C5">
        <w:rPr>
          <w:rFonts w:cstheme="minorHAnsi"/>
        </w:rPr>
        <w:t>Mechanisms for intergovernmental coo</w:t>
      </w:r>
      <w:r w:rsidR="000D0E2E" w:rsidRPr="004737C5">
        <w:rPr>
          <w:rFonts w:cstheme="minorHAnsi"/>
        </w:rPr>
        <w:t>peration in the relevant areas</w:t>
      </w:r>
    </w:p>
    <w:p w14:paraId="5A1E9CEB" w14:textId="77777777" w:rsidR="00843222" w:rsidRPr="004737C5" w:rsidRDefault="00843222" w:rsidP="00221002">
      <w:pPr>
        <w:numPr>
          <w:ilvl w:val="0"/>
          <w:numId w:val="28"/>
        </w:numPr>
        <w:tabs>
          <w:tab w:val="clear" w:pos="360"/>
          <w:tab w:val="num" w:pos="1080"/>
        </w:tabs>
        <w:spacing w:after="0"/>
        <w:ind w:left="709" w:hanging="425"/>
        <w:rPr>
          <w:rFonts w:cstheme="minorHAnsi"/>
        </w:rPr>
      </w:pPr>
      <w:r w:rsidRPr="004737C5">
        <w:rPr>
          <w:rFonts w:cstheme="minorHAnsi"/>
        </w:rPr>
        <w:t>Mechanisms for implementation (</w:t>
      </w:r>
      <w:r w:rsidR="00760B61" w:rsidRPr="004737C5">
        <w:rPr>
          <w:rFonts w:cstheme="minorHAnsi"/>
        </w:rPr>
        <w:t>including</w:t>
      </w:r>
      <w:r w:rsidRPr="004737C5">
        <w:rPr>
          <w:rFonts w:cstheme="minorHAnsi"/>
        </w:rPr>
        <w:t xml:space="preserve"> enforcement) meas</w:t>
      </w:r>
      <w:r w:rsidR="000D0E2E" w:rsidRPr="004737C5">
        <w:rPr>
          <w:rFonts w:cstheme="minorHAnsi"/>
        </w:rPr>
        <w:t>ures that can be undertaken by g</w:t>
      </w:r>
      <w:r w:rsidRPr="004737C5">
        <w:rPr>
          <w:rFonts w:cstheme="minorHAnsi"/>
        </w:rPr>
        <w:t>overnments to protect consumers and apply</w:t>
      </w:r>
      <w:r w:rsidRPr="004737C5">
        <w:rPr>
          <w:rFonts w:cstheme="minorHAnsi"/>
          <w:color w:val="FF0000"/>
        </w:rPr>
        <w:t xml:space="preserve"> </w:t>
      </w:r>
      <w:r w:rsidR="000D0E2E" w:rsidRPr="004737C5">
        <w:rPr>
          <w:rFonts w:cstheme="minorHAnsi"/>
        </w:rPr>
        <w:t>agreed standards and principles</w:t>
      </w:r>
    </w:p>
    <w:p w14:paraId="6376D7CF" w14:textId="2B1721B3" w:rsidR="00843222" w:rsidRPr="004737C5" w:rsidRDefault="00843222" w:rsidP="00221002">
      <w:pPr>
        <w:numPr>
          <w:ilvl w:val="0"/>
          <w:numId w:val="28"/>
        </w:numPr>
        <w:tabs>
          <w:tab w:val="clear" w:pos="360"/>
          <w:tab w:val="num" w:pos="1080"/>
        </w:tabs>
        <w:ind w:left="709" w:hanging="425"/>
        <w:rPr>
          <w:rFonts w:cstheme="minorHAnsi"/>
        </w:rPr>
      </w:pPr>
      <w:r w:rsidRPr="004737C5">
        <w:rPr>
          <w:rFonts w:cstheme="minorHAnsi"/>
        </w:rPr>
        <w:t xml:space="preserve">Moral authority pointing to acceptable practice </w:t>
      </w:r>
      <w:r w:rsidR="000D0E2E" w:rsidRPr="004737C5">
        <w:rPr>
          <w:rFonts w:cstheme="minorHAnsi"/>
        </w:rPr>
        <w:t xml:space="preserve">and conduct, underpinned by </w:t>
      </w:r>
      <w:r w:rsidRPr="004737C5">
        <w:rPr>
          <w:rFonts w:cstheme="minorHAnsi"/>
        </w:rPr>
        <w:t>unanimo</w:t>
      </w:r>
      <w:r w:rsidR="00221002" w:rsidRPr="004737C5">
        <w:rPr>
          <w:rFonts w:cstheme="minorHAnsi"/>
        </w:rPr>
        <w:t>us endorsement by member s</w:t>
      </w:r>
      <w:r w:rsidR="000D0E2E" w:rsidRPr="004737C5">
        <w:rPr>
          <w:rFonts w:cstheme="minorHAnsi"/>
        </w:rPr>
        <w:t>tates</w:t>
      </w:r>
    </w:p>
    <w:p w14:paraId="61420460" w14:textId="77777777" w:rsidR="00843222" w:rsidRPr="004737C5" w:rsidRDefault="00843222" w:rsidP="006D3BE8">
      <w:pPr>
        <w:spacing w:after="0"/>
        <w:rPr>
          <w:rFonts w:cstheme="minorHAnsi"/>
        </w:rPr>
      </w:pPr>
      <w:r w:rsidRPr="004737C5">
        <w:rPr>
          <w:rFonts w:cstheme="minorHAnsi"/>
        </w:rPr>
        <w:t>This final point regarding moral authority has sometimes been underestimate</w:t>
      </w:r>
      <w:r w:rsidR="000D0E2E" w:rsidRPr="004737C5">
        <w:rPr>
          <w:rFonts w:cstheme="minorHAnsi"/>
        </w:rPr>
        <w:t>d, given the legal standing of “soft law”</w:t>
      </w:r>
      <w:r w:rsidRPr="004737C5">
        <w:rPr>
          <w:rFonts w:cstheme="minorHAnsi"/>
        </w:rPr>
        <w:t xml:space="preserve"> often encompassed by international guidelines. The argument t</w:t>
      </w:r>
      <w:r w:rsidR="000D0E2E" w:rsidRPr="004737C5">
        <w:rPr>
          <w:rFonts w:cstheme="minorHAnsi"/>
        </w:rPr>
        <w:t>hat guidelines are weaker than “hard law”</w:t>
      </w:r>
      <w:r w:rsidRPr="004737C5">
        <w:rPr>
          <w:rFonts w:cstheme="minorHAnsi"/>
        </w:rPr>
        <w:t xml:space="preserve"> in bi</w:t>
      </w:r>
      <w:r w:rsidR="000D0E2E" w:rsidRPr="004737C5">
        <w:rPr>
          <w:rFonts w:cstheme="minorHAnsi"/>
        </w:rPr>
        <w:t>nding international conventions</w:t>
      </w:r>
      <w:r w:rsidRPr="004737C5">
        <w:rPr>
          <w:rFonts w:cstheme="minorHAnsi"/>
        </w:rPr>
        <w:t xml:space="preserve"> sets aside the moral force of an undertaking made in the United Nations General Assembly by all Member States. In the case of the UNGCP, this has taken place three times: in 1985, 1999 and 2015. Informal evidence of the force of the commitments encompassed by the UNGCP is found in the manner in which they are negotiated with the same seriousness of purpose as if they were binding obligations. </w:t>
      </w:r>
    </w:p>
    <w:p w14:paraId="3CAED175" w14:textId="77777777" w:rsidR="00843222" w:rsidRPr="004737C5" w:rsidRDefault="000D0E2E" w:rsidP="00221002">
      <w:pPr>
        <w:pStyle w:val="Heading2"/>
        <w:spacing w:after="160"/>
        <w:rPr>
          <w:rFonts w:cstheme="minorHAnsi"/>
          <w:color w:val="auto"/>
          <w:sz w:val="24"/>
          <w:szCs w:val="24"/>
        </w:rPr>
      </w:pPr>
      <w:bookmarkStart w:id="17" w:name="_Toc492649970"/>
      <w:r w:rsidRPr="004737C5">
        <w:rPr>
          <w:rFonts w:cstheme="minorHAnsi"/>
          <w:color w:val="auto"/>
          <w:sz w:val="24"/>
          <w:szCs w:val="24"/>
        </w:rPr>
        <w:t>B.</w:t>
      </w:r>
      <w:r w:rsidR="00843222" w:rsidRPr="004737C5">
        <w:rPr>
          <w:rFonts w:cstheme="minorHAnsi"/>
          <w:color w:val="auto"/>
          <w:sz w:val="24"/>
          <w:szCs w:val="24"/>
        </w:rPr>
        <w:t xml:space="preserve"> The United Nations Guidelines for Consumer Protection</w:t>
      </w:r>
      <w:bookmarkEnd w:id="17"/>
    </w:p>
    <w:p w14:paraId="19A655A4" w14:textId="0341A0D9" w:rsidR="00843222" w:rsidRPr="004737C5" w:rsidRDefault="00843222" w:rsidP="006D3BE8">
      <w:pPr>
        <w:rPr>
          <w:rFonts w:cstheme="minorHAnsi"/>
        </w:rPr>
      </w:pPr>
      <w:r w:rsidRPr="004737C5">
        <w:rPr>
          <w:rFonts w:cstheme="minorHAnsi"/>
        </w:rPr>
        <w:t>The United Nations Guidelines for Consumer Protection were adopted by</w:t>
      </w:r>
      <w:r w:rsidR="00221002" w:rsidRPr="004737C5">
        <w:rPr>
          <w:rFonts w:cstheme="minorHAnsi"/>
        </w:rPr>
        <w:t xml:space="preserve"> the</w:t>
      </w:r>
      <w:r w:rsidRPr="004737C5">
        <w:rPr>
          <w:rFonts w:cstheme="minorHAnsi"/>
        </w:rPr>
        <w:t xml:space="preserve"> United Nations General Assembly </w:t>
      </w:r>
      <w:r w:rsidR="00221002" w:rsidRPr="004737C5">
        <w:rPr>
          <w:rFonts w:cstheme="minorHAnsi"/>
        </w:rPr>
        <w:t xml:space="preserve">by consensus </w:t>
      </w:r>
      <w:r w:rsidRPr="004737C5">
        <w:rPr>
          <w:rFonts w:cstheme="minorHAnsi"/>
        </w:rPr>
        <w:t>in resolution 39/248 of 16 April 1985. This followed a long campaign by consumer associations in many countries, with Consumers International (formerly known as the International Organization of Consumer Unions) having called upon t</w:t>
      </w:r>
      <w:r w:rsidR="000D0E2E" w:rsidRPr="004737C5">
        <w:rPr>
          <w:rFonts w:cstheme="minorHAnsi"/>
        </w:rPr>
        <w:t>he United Nations to prepare a “model code for consumer protection” at its world c</w:t>
      </w:r>
      <w:r w:rsidRPr="004737C5">
        <w:rPr>
          <w:rFonts w:cstheme="minorHAnsi"/>
        </w:rPr>
        <w:t xml:space="preserve">ongress in Sydney in 1975. In 1977, the </w:t>
      </w:r>
      <w:r w:rsidR="000D0E2E" w:rsidRPr="004737C5">
        <w:rPr>
          <w:rFonts w:cstheme="minorHAnsi"/>
        </w:rPr>
        <w:t xml:space="preserve">United Nations </w:t>
      </w:r>
      <w:r w:rsidRPr="004737C5">
        <w:rPr>
          <w:rFonts w:cstheme="minorHAnsi"/>
        </w:rPr>
        <w:t xml:space="preserve">Economic and Social Council (ECOSOC) directed the Secretary-General to prepare a survey of national institutions and legislation in the area of consumer protection. In 1981, ECOSOC </w:t>
      </w:r>
      <w:r w:rsidR="000D0E2E" w:rsidRPr="004737C5">
        <w:rPr>
          <w:rFonts w:cstheme="minorHAnsi"/>
        </w:rPr>
        <w:t>requested that the Secretary-General “</w:t>
      </w:r>
      <w:r w:rsidRPr="004737C5">
        <w:rPr>
          <w:rFonts w:cstheme="minorHAnsi"/>
        </w:rPr>
        <w:t>continue consultations on consumer protection with a view to elaborating a set of general guidelines for consumer protection, taking particularly into account the needs of the developing countries</w:t>
      </w:r>
      <w:r w:rsidR="000D0E2E" w:rsidRPr="004737C5">
        <w:rPr>
          <w:rFonts w:cstheme="minorHAnsi"/>
        </w:rPr>
        <w:t>”.</w:t>
      </w:r>
      <w:r w:rsidRPr="004737C5">
        <w:rPr>
          <w:rFonts w:cstheme="minorHAnsi"/>
        </w:rPr>
        <w:t xml:space="preserve"> Draft guidelines were circulated to Member </w:t>
      </w:r>
      <w:r w:rsidR="000D0E2E" w:rsidRPr="004737C5">
        <w:rPr>
          <w:rFonts w:cstheme="minorHAnsi"/>
        </w:rPr>
        <w:t>States for comments in 1982 and</w:t>
      </w:r>
      <w:r w:rsidRPr="004737C5">
        <w:rPr>
          <w:rFonts w:cstheme="minorHAnsi"/>
        </w:rPr>
        <w:t xml:space="preserve"> submitt</w:t>
      </w:r>
      <w:r w:rsidR="000D0E2E" w:rsidRPr="004737C5">
        <w:rPr>
          <w:rFonts w:cstheme="minorHAnsi"/>
        </w:rPr>
        <w:t>ed to ECOSOC in 1983. These drew</w:t>
      </w:r>
      <w:r w:rsidRPr="004737C5">
        <w:rPr>
          <w:rFonts w:cstheme="minorHAnsi"/>
        </w:rPr>
        <w:t xml:space="preserve"> on many sources including the OECD, the Consumer Bill of Rights</w:t>
      </w:r>
      <w:r w:rsidR="00221002" w:rsidRPr="004737C5">
        <w:rPr>
          <w:rFonts w:cstheme="minorHAnsi"/>
        </w:rPr>
        <w:t xml:space="preserve"> of the United States of America</w:t>
      </w:r>
      <w:r w:rsidRPr="004737C5">
        <w:rPr>
          <w:rStyle w:val="FootnoteReference"/>
          <w:rFonts w:cstheme="minorHAnsi"/>
        </w:rPr>
        <w:footnoteReference w:id="23"/>
      </w:r>
      <w:r w:rsidRPr="004737C5">
        <w:rPr>
          <w:rFonts w:cstheme="minorHAnsi"/>
        </w:rPr>
        <w:t xml:space="preserve"> and materials from national </w:t>
      </w:r>
      <w:r w:rsidRPr="004737C5">
        <w:rPr>
          <w:rFonts w:cstheme="minorHAnsi"/>
        </w:rPr>
        <w:lastRenderedPageBreak/>
        <w:t xml:space="preserve">consumer protection agencies and consumer associations. These guidelines </w:t>
      </w:r>
      <w:r w:rsidR="00AE69D5" w:rsidRPr="004737C5">
        <w:rPr>
          <w:rFonts w:cstheme="minorHAnsi"/>
        </w:rPr>
        <w:t xml:space="preserve">were adopted by </w:t>
      </w:r>
      <w:r w:rsidRPr="004737C5">
        <w:rPr>
          <w:rFonts w:cstheme="minorHAnsi"/>
        </w:rPr>
        <w:t xml:space="preserve">the General Assembly in 1985. </w:t>
      </w:r>
    </w:p>
    <w:p w14:paraId="1D3029C8" w14:textId="02EB6BFD" w:rsidR="00843222" w:rsidRPr="004737C5" w:rsidRDefault="00843222" w:rsidP="006D3BE8">
      <w:pPr>
        <w:rPr>
          <w:rFonts w:cstheme="minorHAnsi"/>
        </w:rPr>
      </w:pPr>
      <w:r w:rsidRPr="004737C5">
        <w:rPr>
          <w:rFonts w:cstheme="minorHAnsi"/>
        </w:rPr>
        <w:t>Fourteen years later, the UNGCP were expanded to include a new section on susta</w:t>
      </w:r>
      <w:r w:rsidR="00291489" w:rsidRPr="004737C5">
        <w:rPr>
          <w:rFonts w:cstheme="minorHAnsi"/>
        </w:rPr>
        <w:t>inable consumption (s</w:t>
      </w:r>
      <w:r w:rsidRPr="004737C5">
        <w:rPr>
          <w:rFonts w:cstheme="minorHAnsi"/>
        </w:rPr>
        <w:t>ection H of the current version) in resolution E/199</w:t>
      </w:r>
      <w:r w:rsidR="000D0E2E" w:rsidRPr="004737C5">
        <w:rPr>
          <w:rFonts w:cstheme="minorHAnsi"/>
        </w:rPr>
        <w:t xml:space="preserve">9/INF/2/Add.2 of 26 July 1999. </w:t>
      </w:r>
      <w:r w:rsidRPr="004737C5">
        <w:rPr>
          <w:rFonts w:cstheme="minorHAnsi"/>
        </w:rPr>
        <w:t>The revised UNGCP of 2015, annexed to resolution 70/186 and an integral part thereof, make specific reference to the needs of developing countries, including the setting of the Sustainable Development Goals (SDGs) and the preceding Millennium Development Goals (MDGs</w:t>
      </w:r>
      <w:r w:rsidR="00EB2022" w:rsidRPr="004737C5">
        <w:rPr>
          <w:rFonts w:cstheme="minorHAnsi"/>
        </w:rPr>
        <w:t xml:space="preserve">). </w:t>
      </w:r>
      <w:r w:rsidR="000D0E2E" w:rsidRPr="004737C5">
        <w:rPr>
          <w:rFonts w:cstheme="minorHAnsi"/>
        </w:rPr>
        <w:t>The Intergovernmental Group of E</w:t>
      </w:r>
      <w:r w:rsidRPr="004737C5">
        <w:rPr>
          <w:rFonts w:cstheme="minorHAnsi"/>
        </w:rPr>
        <w:t xml:space="preserve">xperts </w:t>
      </w:r>
      <w:r w:rsidR="007863B7" w:rsidRPr="004737C5">
        <w:rPr>
          <w:rFonts w:cstheme="minorHAnsi"/>
        </w:rPr>
        <w:t xml:space="preserve">(IGE) </w:t>
      </w:r>
      <w:r w:rsidRPr="004737C5">
        <w:rPr>
          <w:rFonts w:cstheme="minorHAnsi"/>
        </w:rPr>
        <w:t>on Consumer Pro</w:t>
      </w:r>
      <w:r w:rsidR="000D0E2E" w:rsidRPr="004737C5">
        <w:rPr>
          <w:rFonts w:cstheme="minorHAnsi"/>
        </w:rPr>
        <w:t>tection Law and Policy wa</w:t>
      </w:r>
      <w:r w:rsidRPr="004737C5">
        <w:rPr>
          <w:rFonts w:cstheme="minorHAnsi"/>
        </w:rPr>
        <w:t xml:space="preserve">s established to operate under the auspices of UNCTAD as the institutional machinery of the UNGCP. </w:t>
      </w:r>
    </w:p>
    <w:p w14:paraId="5BBF8FC8" w14:textId="390F0624" w:rsidR="00843222" w:rsidRPr="004737C5" w:rsidRDefault="00843222" w:rsidP="006D3BE8">
      <w:pPr>
        <w:rPr>
          <w:rFonts w:cstheme="minorHAnsi"/>
        </w:rPr>
      </w:pPr>
      <w:r w:rsidRPr="004737C5">
        <w:rPr>
          <w:rFonts w:cstheme="minorHAnsi"/>
        </w:rPr>
        <w:t>The revis</w:t>
      </w:r>
      <w:r w:rsidR="000D0E2E" w:rsidRPr="004737C5">
        <w:rPr>
          <w:rFonts w:cstheme="minorHAnsi"/>
        </w:rPr>
        <w:t>ed UNGCP extend their scope to s</w:t>
      </w:r>
      <w:r w:rsidR="003F4B7F" w:rsidRPr="004737C5">
        <w:rPr>
          <w:rFonts w:cstheme="minorHAnsi"/>
        </w:rPr>
        <w:t>tate-owned enterprises (g</w:t>
      </w:r>
      <w:r w:rsidRPr="004737C5">
        <w:rPr>
          <w:rFonts w:cstheme="minorHAnsi"/>
        </w:rPr>
        <w:t xml:space="preserve">uideline 2) and introduce four new </w:t>
      </w:r>
      <w:r w:rsidR="000D0E2E" w:rsidRPr="004737C5">
        <w:rPr>
          <w:rFonts w:cstheme="minorHAnsi"/>
          <w:iCs/>
        </w:rPr>
        <w:t>“legitimate needs”</w:t>
      </w:r>
      <w:r w:rsidR="00AE69D5" w:rsidRPr="004737C5">
        <w:rPr>
          <w:rFonts w:cstheme="minorHAnsi"/>
        </w:rPr>
        <w:t xml:space="preserve"> in</w:t>
      </w:r>
      <w:r w:rsidR="003F4B7F" w:rsidRPr="004737C5">
        <w:rPr>
          <w:rFonts w:cstheme="minorHAnsi"/>
        </w:rPr>
        <w:t xml:space="preserve"> g</w:t>
      </w:r>
      <w:r w:rsidRPr="004737C5">
        <w:rPr>
          <w:rFonts w:cstheme="minorHAnsi"/>
        </w:rPr>
        <w:t xml:space="preserve">uideline 5. Completely new sections </w:t>
      </w:r>
      <w:r w:rsidR="000D0E2E" w:rsidRPr="004737C5">
        <w:rPr>
          <w:rFonts w:cstheme="minorHAnsi"/>
        </w:rPr>
        <w:t>have been</w:t>
      </w:r>
      <w:r w:rsidRPr="004737C5">
        <w:rPr>
          <w:rFonts w:cstheme="minorHAnsi"/>
        </w:rPr>
        <w:t xml:space="preserve"> inserted on </w:t>
      </w:r>
      <w:r w:rsidR="000D0E2E" w:rsidRPr="004737C5">
        <w:rPr>
          <w:rFonts w:cstheme="minorHAnsi"/>
        </w:rPr>
        <w:t>“</w:t>
      </w:r>
      <w:r w:rsidRPr="004737C5">
        <w:rPr>
          <w:rFonts w:cstheme="minorHAnsi"/>
        </w:rPr>
        <w:t>principles for good business practices</w:t>
      </w:r>
      <w:r w:rsidR="000D0E2E" w:rsidRPr="004737C5">
        <w:rPr>
          <w:rFonts w:cstheme="minorHAnsi"/>
        </w:rPr>
        <w:t>”</w:t>
      </w:r>
      <w:r w:rsidR="003F4B7F" w:rsidRPr="004737C5">
        <w:rPr>
          <w:rFonts w:cstheme="minorHAnsi"/>
        </w:rPr>
        <w:t xml:space="preserve"> (g</w:t>
      </w:r>
      <w:r w:rsidRPr="004737C5">
        <w:rPr>
          <w:rFonts w:cstheme="minorHAnsi"/>
        </w:rPr>
        <w:t xml:space="preserve">uideline 11) and </w:t>
      </w:r>
      <w:r w:rsidR="000D0E2E" w:rsidRPr="004737C5">
        <w:rPr>
          <w:rFonts w:cstheme="minorHAnsi"/>
        </w:rPr>
        <w:t>“</w:t>
      </w:r>
      <w:r w:rsidRPr="004737C5">
        <w:rPr>
          <w:rFonts w:cstheme="minorHAnsi"/>
        </w:rPr>
        <w:t>national policies for consumer protection</w:t>
      </w:r>
      <w:r w:rsidR="000D0E2E" w:rsidRPr="004737C5">
        <w:rPr>
          <w:rFonts w:cstheme="minorHAnsi"/>
        </w:rPr>
        <w:t>”</w:t>
      </w:r>
      <w:r w:rsidR="003F4B7F" w:rsidRPr="004737C5">
        <w:rPr>
          <w:rFonts w:cstheme="minorHAnsi"/>
        </w:rPr>
        <w:t xml:space="preserve"> (guidelines 14‒</w:t>
      </w:r>
      <w:r w:rsidRPr="004737C5">
        <w:rPr>
          <w:rFonts w:cstheme="minorHAnsi"/>
        </w:rPr>
        <w:t>15), electro</w:t>
      </w:r>
      <w:r w:rsidR="003F4B7F" w:rsidRPr="004737C5">
        <w:rPr>
          <w:rFonts w:cstheme="minorHAnsi"/>
        </w:rPr>
        <w:t>nic commerce (guidelines 63‒</w:t>
      </w:r>
      <w:r w:rsidR="000D0E2E" w:rsidRPr="004737C5">
        <w:rPr>
          <w:rFonts w:cstheme="minorHAnsi"/>
        </w:rPr>
        <w:t>65)</w:t>
      </w:r>
      <w:r w:rsidR="003F4B7F" w:rsidRPr="004737C5">
        <w:rPr>
          <w:rFonts w:cstheme="minorHAnsi"/>
        </w:rPr>
        <w:t xml:space="preserve"> and financial services (guidelines 66‒</w:t>
      </w:r>
      <w:r w:rsidRPr="004737C5">
        <w:rPr>
          <w:rFonts w:cstheme="minorHAnsi"/>
        </w:rPr>
        <w:t xml:space="preserve">68). The pre-existing </w:t>
      </w:r>
      <w:r w:rsidR="00760B61" w:rsidRPr="004737C5">
        <w:rPr>
          <w:rFonts w:cstheme="minorHAnsi"/>
        </w:rPr>
        <w:t>s</w:t>
      </w:r>
      <w:r w:rsidRPr="004737C5">
        <w:rPr>
          <w:rFonts w:cstheme="minorHAnsi"/>
        </w:rPr>
        <w:t xml:space="preserve">ection on measures enabling consumers to obtain redress is renamed </w:t>
      </w:r>
      <w:r w:rsidR="000D0E2E" w:rsidRPr="004737C5">
        <w:rPr>
          <w:rFonts w:cstheme="minorHAnsi"/>
        </w:rPr>
        <w:t>“</w:t>
      </w:r>
      <w:r w:rsidRPr="004737C5">
        <w:rPr>
          <w:rFonts w:cstheme="minorHAnsi"/>
        </w:rPr>
        <w:t>dispute resolution and redress</w:t>
      </w:r>
      <w:r w:rsidR="000D0E2E" w:rsidRPr="004737C5">
        <w:rPr>
          <w:rFonts w:cstheme="minorHAnsi"/>
        </w:rPr>
        <w:t>”</w:t>
      </w:r>
      <w:r w:rsidRPr="004737C5">
        <w:rPr>
          <w:rFonts w:cstheme="minorHAnsi"/>
        </w:rPr>
        <w:t xml:space="preserve"> (</w:t>
      </w:r>
      <w:r w:rsidR="00924883" w:rsidRPr="004737C5">
        <w:rPr>
          <w:rFonts w:cstheme="minorHAnsi"/>
        </w:rPr>
        <w:t>s</w:t>
      </w:r>
      <w:r w:rsidRPr="004737C5">
        <w:rPr>
          <w:rFonts w:cstheme="minorHAnsi"/>
        </w:rPr>
        <w:t xml:space="preserve">ection </w:t>
      </w:r>
      <w:r w:rsidR="00760B61" w:rsidRPr="004737C5">
        <w:rPr>
          <w:rFonts w:cstheme="minorHAnsi"/>
        </w:rPr>
        <w:t>V.</w:t>
      </w:r>
      <w:r w:rsidR="00AE69D5" w:rsidRPr="004737C5">
        <w:rPr>
          <w:rFonts w:cstheme="minorHAnsi"/>
        </w:rPr>
        <w:t>F),</w:t>
      </w:r>
      <w:r w:rsidRPr="004737C5">
        <w:rPr>
          <w:rFonts w:cstheme="minorHAnsi"/>
        </w:rPr>
        <w:t xml:space="preserve"> is expanded to reflect the rapid evolution of such mechanisms and now includes references to debt and bankruptcy. The </w:t>
      </w:r>
      <w:r w:rsidR="000D0E2E" w:rsidRPr="004737C5">
        <w:rPr>
          <w:rFonts w:cstheme="minorHAnsi"/>
        </w:rPr>
        <w:t>“</w:t>
      </w:r>
      <w:r w:rsidRPr="004737C5">
        <w:rPr>
          <w:rFonts w:cstheme="minorHAnsi"/>
        </w:rPr>
        <w:t>specific areas</w:t>
      </w:r>
      <w:r w:rsidR="000D0E2E" w:rsidRPr="004737C5">
        <w:rPr>
          <w:rFonts w:cstheme="minorHAnsi"/>
        </w:rPr>
        <w:t>” section (</w:t>
      </w:r>
      <w:r w:rsidR="00924883" w:rsidRPr="004737C5">
        <w:rPr>
          <w:rFonts w:cstheme="minorHAnsi"/>
        </w:rPr>
        <w:t>V.</w:t>
      </w:r>
      <w:r w:rsidRPr="004737C5">
        <w:rPr>
          <w:rFonts w:cstheme="minorHAnsi"/>
        </w:rPr>
        <w:t>K</w:t>
      </w:r>
      <w:r w:rsidR="000D0E2E" w:rsidRPr="004737C5">
        <w:rPr>
          <w:rFonts w:cstheme="minorHAnsi"/>
        </w:rPr>
        <w:t>) is expanded to include energy</w:t>
      </w:r>
      <w:r w:rsidR="00924883" w:rsidRPr="004737C5">
        <w:rPr>
          <w:rFonts w:cstheme="minorHAnsi"/>
        </w:rPr>
        <w:t xml:space="preserve"> (g</w:t>
      </w:r>
      <w:r w:rsidRPr="004737C5">
        <w:rPr>
          <w:rFonts w:cstheme="minorHAnsi"/>
        </w:rPr>
        <w:t>uideline 76), public utilit</w:t>
      </w:r>
      <w:r w:rsidR="00924883" w:rsidRPr="004737C5">
        <w:rPr>
          <w:rFonts w:cstheme="minorHAnsi"/>
        </w:rPr>
        <w:t>ies (guideline 77) and tourism (guideline 78). Finally, s</w:t>
      </w:r>
      <w:r w:rsidRPr="004737C5">
        <w:rPr>
          <w:rFonts w:cstheme="minorHAnsi"/>
        </w:rPr>
        <w:t xml:space="preserve">ection VI on </w:t>
      </w:r>
      <w:r w:rsidR="00924883" w:rsidRPr="004737C5">
        <w:rPr>
          <w:rFonts w:cstheme="minorHAnsi"/>
        </w:rPr>
        <w:t>“</w:t>
      </w:r>
      <w:r w:rsidRPr="004737C5">
        <w:rPr>
          <w:rFonts w:cstheme="minorHAnsi"/>
        </w:rPr>
        <w:t>international cooperation</w:t>
      </w:r>
      <w:r w:rsidR="00924883" w:rsidRPr="004737C5">
        <w:rPr>
          <w:rFonts w:cstheme="minorHAnsi"/>
        </w:rPr>
        <w:t>”</w:t>
      </w:r>
      <w:r w:rsidRPr="004737C5">
        <w:rPr>
          <w:rFonts w:cstheme="minorHAnsi"/>
        </w:rPr>
        <w:t xml:space="preserve"> is significantly expanded by</w:t>
      </w:r>
      <w:r w:rsidR="00924883" w:rsidRPr="004737C5">
        <w:rPr>
          <w:rFonts w:cstheme="minorHAnsi"/>
        </w:rPr>
        <w:t xml:space="preserve"> the additions of g</w:t>
      </w:r>
      <w:r w:rsidR="000D0E2E" w:rsidRPr="004737C5">
        <w:rPr>
          <w:rFonts w:cstheme="minorHAnsi"/>
        </w:rPr>
        <w:t>uidelines 82</w:t>
      </w:r>
      <w:r w:rsidR="00DE0229" w:rsidRPr="004737C5">
        <w:rPr>
          <w:rFonts w:cstheme="minorHAnsi"/>
        </w:rPr>
        <w:softHyphen/>
      </w:r>
      <w:r w:rsidR="00DE0229" w:rsidRPr="004737C5">
        <w:rPr>
          <w:rFonts w:cstheme="minorHAnsi"/>
        </w:rPr>
        <w:softHyphen/>
        <w:t>‒</w:t>
      </w:r>
      <w:r w:rsidRPr="004737C5">
        <w:rPr>
          <w:rFonts w:cstheme="minorHAnsi"/>
        </w:rPr>
        <w:t xml:space="preserve">90, largely covering enforcement mechanisms at the international level, while </w:t>
      </w:r>
      <w:r w:rsidR="00DE0229" w:rsidRPr="004737C5">
        <w:rPr>
          <w:rFonts w:cstheme="minorHAnsi"/>
        </w:rPr>
        <w:t xml:space="preserve">a </w:t>
      </w:r>
      <w:r w:rsidRPr="004737C5">
        <w:rPr>
          <w:rFonts w:cstheme="minorHAnsi"/>
        </w:rPr>
        <w:t xml:space="preserve">new section VII, </w:t>
      </w:r>
      <w:r w:rsidR="00DE0229" w:rsidRPr="004737C5">
        <w:rPr>
          <w:rFonts w:cstheme="minorHAnsi"/>
        </w:rPr>
        <w:t>“</w:t>
      </w:r>
      <w:r w:rsidRPr="004737C5">
        <w:rPr>
          <w:rFonts w:cstheme="minorHAnsi"/>
        </w:rPr>
        <w:t>international institutional machinery</w:t>
      </w:r>
      <w:r w:rsidR="00DE0229" w:rsidRPr="004737C5">
        <w:rPr>
          <w:rFonts w:cstheme="minorHAnsi"/>
        </w:rPr>
        <w:t>”</w:t>
      </w:r>
      <w:r w:rsidRPr="004737C5">
        <w:rPr>
          <w:rFonts w:cstheme="minorHAnsi"/>
        </w:rPr>
        <w:t>, addresses the monitoring of implementation of the UNGCP at the international level. Further to a periodic and institutionalized rev</w:t>
      </w:r>
      <w:r w:rsidR="00DE0229" w:rsidRPr="004737C5">
        <w:rPr>
          <w:rFonts w:cstheme="minorHAnsi"/>
        </w:rPr>
        <w:t>iew of the g</w:t>
      </w:r>
      <w:r w:rsidR="00AE69D5" w:rsidRPr="004737C5">
        <w:rPr>
          <w:rFonts w:cstheme="minorHAnsi"/>
        </w:rPr>
        <w:t xml:space="preserve">uidelines, </w:t>
      </w:r>
      <w:r w:rsidR="007863B7" w:rsidRPr="004737C5">
        <w:rPr>
          <w:rFonts w:cstheme="minorHAnsi"/>
        </w:rPr>
        <w:t xml:space="preserve">IGE </w:t>
      </w:r>
      <w:r w:rsidRPr="004737C5">
        <w:rPr>
          <w:rFonts w:cstheme="minorHAnsi"/>
        </w:rPr>
        <w:t>provides an annual forum for the exchange of experiences, the pro</w:t>
      </w:r>
      <w:r w:rsidR="00DE0229" w:rsidRPr="004737C5">
        <w:rPr>
          <w:rFonts w:cstheme="minorHAnsi"/>
        </w:rPr>
        <w:t>duction of studies and research and the provision of capacity-</w:t>
      </w:r>
      <w:r w:rsidRPr="004737C5">
        <w:rPr>
          <w:rFonts w:cstheme="minorHAnsi"/>
        </w:rPr>
        <w:t>building at the intergovernmental level. This far-reaching revision, greater than that of 1999, re</w:t>
      </w:r>
      <w:r w:rsidR="00AE69D5" w:rsidRPr="004737C5">
        <w:rPr>
          <w:rFonts w:cstheme="minorHAnsi"/>
        </w:rPr>
        <w:t>flects the input of successive ad hoc expert g</w:t>
      </w:r>
      <w:r w:rsidR="00B67F51" w:rsidRPr="004737C5">
        <w:rPr>
          <w:rFonts w:cstheme="minorHAnsi"/>
        </w:rPr>
        <w:t>roup meetings on consumer p</w:t>
      </w:r>
      <w:r w:rsidRPr="004737C5">
        <w:rPr>
          <w:rFonts w:cstheme="minorHAnsi"/>
        </w:rPr>
        <w:t xml:space="preserve">rotection held under the </w:t>
      </w:r>
      <w:r w:rsidR="00DE0229" w:rsidRPr="004737C5">
        <w:rPr>
          <w:rFonts w:cstheme="minorHAnsi"/>
        </w:rPr>
        <w:t>auspices of UNCTAD. The French p</w:t>
      </w:r>
      <w:r w:rsidRPr="004737C5">
        <w:rPr>
          <w:rFonts w:cstheme="minorHAnsi"/>
        </w:rPr>
        <w:t>residency</w:t>
      </w:r>
      <w:r w:rsidRPr="004737C5">
        <w:rPr>
          <w:rStyle w:val="FootnoteReference"/>
          <w:rFonts w:cstheme="minorHAnsi"/>
        </w:rPr>
        <w:footnoteReference w:id="24"/>
      </w:r>
      <w:r w:rsidRPr="004737C5">
        <w:rPr>
          <w:rFonts w:cstheme="minorHAnsi"/>
        </w:rPr>
        <w:t xml:space="preserve"> of the group provided the leadership for this ambitious process to take hold.</w:t>
      </w:r>
    </w:p>
    <w:p w14:paraId="5EFBD95A" w14:textId="77777777" w:rsidR="00843222" w:rsidRPr="004737C5" w:rsidRDefault="00843222" w:rsidP="007863B7">
      <w:pPr>
        <w:pStyle w:val="Heading3"/>
        <w:spacing w:after="160" w:line="240" w:lineRule="auto"/>
        <w:rPr>
          <w:rFonts w:cstheme="minorHAnsi"/>
          <w:color w:val="auto"/>
        </w:rPr>
      </w:pPr>
      <w:bookmarkStart w:id="18" w:name="_Toc492649971"/>
      <w:r w:rsidRPr="004737C5">
        <w:rPr>
          <w:rFonts w:cstheme="minorHAnsi"/>
          <w:color w:val="auto"/>
        </w:rPr>
        <w:t>1</w:t>
      </w:r>
      <w:r w:rsidR="00DE0229" w:rsidRPr="004737C5">
        <w:rPr>
          <w:rFonts w:cstheme="minorHAnsi"/>
          <w:color w:val="auto"/>
        </w:rPr>
        <w:t>.</w:t>
      </w:r>
      <w:r w:rsidRPr="004737C5">
        <w:rPr>
          <w:rFonts w:cstheme="minorHAnsi"/>
          <w:color w:val="auto"/>
        </w:rPr>
        <w:t xml:space="preserve"> Objectives, scope of application and general principles</w:t>
      </w:r>
      <w:bookmarkEnd w:id="18"/>
    </w:p>
    <w:p w14:paraId="7ECE2889" w14:textId="77777777" w:rsidR="00843222" w:rsidRPr="004737C5" w:rsidRDefault="00843222" w:rsidP="006D3BE8">
      <w:pPr>
        <w:rPr>
          <w:rFonts w:cstheme="minorHAnsi"/>
          <w:b/>
          <w:i/>
          <w:color w:val="FF0000"/>
        </w:rPr>
      </w:pPr>
      <w:r w:rsidRPr="004737C5">
        <w:rPr>
          <w:rFonts w:cstheme="minorHAnsi"/>
        </w:rPr>
        <w:t xml:space="preserve">The first three sections of the UNGCP are dedicated to their objectives, scope of application and the </w:t>
      </w:r>
      <w:r w:rsidR="00954C26" w:rsidRPr="004737C5">
        <w:rPr>
          <w:rFonts w:cstheme="minorHAnsi"/>
        </w:rPr>
        <w:t xml:space="preserve">general </w:t>
      </w:r>
      <w:r w:rsidRPr="004737C5">
        <w:rPr>
          <w:rFonts w:cstheme="minorHAnsi"/>
        </w:rPr>
        <w:t xml:space="preserve">principles </w:t>
      </w:r>
      <w:r w:rsidR="00954C26" w:rsidRPr="004737C5">
        <w:rPr>
          <w:rFonts w:cstheme="minorHAnsi"/>
        </w:rPr>
        <w:t xml:space="preserve">applicable </w:t>
      </w:r>
      <w:r w:rsidRPr="004737C5">
        <w:rPr>
          <w:rFonts w:cstheme="minorHAnsi"/>
        </w:rPr>
        <w:t>to consumer pro</w:t>
      </w:r>
      <w:r w:rsidR="00EE72A7" w:rsidRPr="004737C5">
        <w:rPr>
          <w:rFonts w:cstheme="minorHAnsi"/>
        </w:rPr>
        <w:t>tection. The objectives of the g</w:t>
      </w:r>
      <w:r w:rsidR="00924883" w:rsidRPr="004737C5">
        <w:rPr>
          <w:rFonts w:cstheme="minorHAnsi"/>
        </w:rPr>
        <w:t>uidelines as set out in g</w:t>
      </w:r>
      <w:r w:rsidRPr="004737C5">
        <w:rPr>
          <w:rFonts w:cstheme="minorHAnsi"/>
        </w:rPr>
        <w:t>uideline 1</w:t>
      </w:r>
      <w:r w:rsidRPr="004737C5">
        <w:rPr>
          <w:rFonts w:cstheme="minorHAnsi"/>
          <w:color w:val="FF0000"/>
        </w:rPr>
        <w:t xml:space="preserve"> </w:t>
      </w:r>
      <w:r w:rsidR="00EE72A7" w:rsidRPr="004737C5">
        <w:rPr>
          <w:rFonts w:cstheme="minorHAnsi"/>
        </w:rPr>
        <w:t>are reaffirmed</w:t>
      </w:r>
      <w:r w:rsidRPr="004737C5">
        <w:rPr>
          <w:rFonts w:cstheme="minorHAnsi"/>
        </w:rPr>
        <w:t xml:space="preserve"> without amendment</w:t>
      </w:r>
      <w:r w:rsidR="00EE72A7" w:rsidRPr="004737C5">
        <w:rPr>
          <w:rFonts w:cstheme="minorHAnsi"/>
        </w:rPr>
        <w:t>. These are</w:t>
      </w:r>
      <w:r w:rsidRPr="004737C5">
        <w:rPr>
          <w:rFonts w:cstheme="minorHAnsi"/>
        </w:rPr>
        <w:t xml:space="preserve"> to: </w:t>
      </w:r>
    </w:p>
    <w:p w14:paraId="45F5FD9D" w14:textId="7269C7A5" w:rsidR="00843222" w:rsidRPr="004737C5" w:rsidRDefault="00843222" w:rsidP="007863B7">
      <w:pPr>
        <w:pStyle w:val="ListParagraph"/>
        <w:numPr>
          <w:ilvl w:val="0"/>
          <w:numId w:val="31"/>
        </w:numPr>
        <w:ind w:left="992" w:right="567" w:hanging="425"/>
        <w:rPr>
          <w:rFonts w:cstheme="minorHAnsi"/>
          <w:iCs/>
        </w:rPr>
      </w:pPr>
      <w:r w:rsidRPr="004737C5">
        <w:rPr>
          <w:rFonts w:cstheme="minorHAnsi"/>
          <w:iCs/>
        </w:rPr>
        <w:t>Assist countries in achieving or maintaining adequate protection for their population as</w:t>
      </w:r>
      <w:r w:rsidRPr="004737C5">
        <w:rPr>
          <w:rFonts w:cstheme="minorHAnsi"/>
          <w:iCs/>
          <w:color w:val="FF0000"/>
        </w:rPr>
        <w:t xml:space="preserve"> </w:t>
      </w:r>
      <w:r w:rsidR="00EE72A7" w:rsidRPr="004737C5">
        <w:rPr>
          <w:rFonts w:cstheme="minorHAnsi"/>
          <w:iCs/>
        </w:rPr>
        <w:t>consumers.</w:t>
      </w:r>
    </w:p>
    <w:p w14:paraId="090F54F8" w14:textId="77777777" w:rsidR="00843222" w:rsidRPr="004737C5" w:rsidRDefault="00843222" w:rsidP="002473E9">
      <w:pPr>
        <w:pStyle w:val="ListParagraph"/>
        <w:numPr>
          <w:ilvl w:val="0"/>
          <w:numId w:val="31"/>
        </w:numPr>
        <w:spacing w:after="0"/>
        <w:ind w:left="992" w:right="567" w:hanging="425"/>
        <w:rPr>
          <w:rFonts w:cstheme="minorHAnsi"/>
          <w:iCs/>
        </w:rPr>
      </w:pPr>
      <w:r w:rsidRPr="004737C5">
        <w:rPr>
          <w:rFonts w:cstheme="minorHAnsi"/>
          <w:iCs/>
        </w:rPr>
        <w:t>Facilitate production and distribution patterns responsive to the</w:t>
      </w:r>
      <w:r w:rsidR="00EE72A7" w:rsidRPr="004737C5">
        <w:rPr>
          <w:rFonts w:cstheme="minorHAnsi"/>
          <w:iCs/>
        </w:rPr>
        <w:t xml:space="preserve"> needs and desires of consumers.</w:t>
      </w:r>
    </w:p>
    <w:p w14:paraId="2C3B54E8" w14:textId="77777777" w:rsidR="00843222" w:rsidRPr="004737C5" w:rsidRDefault="00843222" w:rsidP="002473E9">
      <w:pPr>
        <w:numPr>
          <w:ilvl w:val="0"/>
          <w:numId w:val="31"/>
        </w:numPr>
        <w:spacing w:after="0"/>
        <w:ind w:left="992" w:right="567" w:hanging="425"/>
        <w:rPr>
          <w:rFonts w:cstheme="minorHAnsi"/>
          <w:iCs/>
        </w:rPr>
      </w:pPr>
      <w:r w:rsidRPr="004737C5">
        <w:rPr>
          <w:rFonts w:cstheme="minorHAnsi"/>
          <w:iCs/>
        </w:rPr>
        <w:t xml:space="preserve">Encourage high levels of ethical conduct for those engaged in the production and distribution of </w:t>
      </w:r>
      <w:r w:rsidR="00EE72A7" w:rsidRPr="004737C5">
        <w:rPr>
          <w:rFonts w:cstheme="minorHAnsi"/>
          <w:iCs/>
        </w:rPr>
        <w:t>goods and services to consumers.</w:t>
      </w:r>
    </w:p>
    <w:p w14:paraId="7B352590" w14:textId="77777777" w:rsidR="00843222" w:rsidRPr="004737C5" w:rsidRDefault="00843222" w:rsidP="002473E9">
      <w:pPr>
        <w:numPr>
          <w:ilvl w:val="0"/>
          <w:numId w:val="31"/>
        </w:numPr>
        <w:spacing w:after="0"/>
        <w:ind w:left="992" w:right="567" w:hanging="425"/>
        <w:rPr>
          <w:rFonts w:cstheme="minorHAnsi"/>
          <w:iCs/>
        </w:rPr>
      </w:pPr>
      <w:r w:rsidRPr="004737C5">
        <w:rPr>
          <w:rFonts w:cstheme="minorHAnsi"/>
          <w:iCs/>
        </w:rPr>
        <w:t>Assist countries in curbing abusive business practices by all enterprises at the national and international levels w</w:t>
      </w:r>
      <w:r w:rsidR="00EE72A7" w:rsidRPr="004737C5">
        <w:rPr>
          <w:rFonts w:cstheme="minorHAnsi"/>
          <w:iCs/>
        </w:rPr>
        <w:t>hich adversely affect consumers.</w:t>
      </w:r>
    </w:p>
    <w:p w14:paraId="40EF0AFC" w14:textId="77777777" w:rsidR="00843222" w:rsidRPr="004737C5" w:rsidRDefault="00843222" w:rsidP="002473E9">
      <w:pPr>
        <w:numPr>
          <w:ilvl w:val="0"/>
          <w:numId w:val="31"/>
        </w:numPr>
        <w:spacing w:after="0"/>
        <w:ind w:left="992" w:right="567" w:hanging="425"/>
        <w:rPr>
          <w:rFonts w:cstheme="minorHAnsi"/>
          <w:iCs/>
        </w:rPr>
      </w:pPr>
      <w:r w:rsidRPr="004737C5">
        <w:rPr>
          <w:rFonts w:cstheme="minorHAnsi"/>
          <w:iCs/>
        </w:rPr>
        <w:t>Facilitate the development</w:t>
      </w:r>
      <w:r w:rsidR="00EE72A7" w:rsidRPr="004737C5">
        <w:rPr>
          <w:rFonts w:cstheme="minorHAnsi"/>
          <w:iCs/>
        </w:rPr>
        <w:t xml:space="preserve"> of independent consumer groups.</w:t>
      </w:r>
    </w:p>
    <w:p w14:paraId="2D854130" w14:textId="77777777" w:rsidR="00843222" w:rsidRPr="004737C5" w:rsidRDefault="00843222" w:rsidP="002473E9">
      <w:pPr>
        <w:numPr>
          <w:ilvl w:val="0"/>
          <w:numId w:val="31"/>
        </w:numPr>
        <w:spacing w:after="0"/>
        <w:ind w:left="992" w:right="567" w:hanging="425"/>
        <w:rPr>
          <w:rFonts w:cstheme="minorHAnsi"/>
          <w:iCs/>
        </w:rPr>
      </w:pPr>
      <w:r w:rsidRPr="004737C5">
        <w:rPr>
          <w:rFonts w:cstheme="minorHAnsi"/>
          <w:iCs/>
        </w:rPr>
        <w:t>Further international cooperation in t</w:t>
      </w:r>
      <w:r w:rsidR="00EE72A7" w:rsidRPr="004737C5">
        <w:rPr>
          <w:rFonts w:cstheme="minorHAnsi"/>
          <w:iCs/>
        </w:rPr>
        <w:t>he field of consumer protection.</w:t>
      </w:r>
    </w:p>
    <w:p w14:paraId="6C228788" w14:textId="77777777" w:rsidR="00843222" w:rsidRPr="004737C5" w:rsidRDefault="00843222" w:rsidP="002473E9">
      <w:pPr>
        <w:numPr>
          <w:ilvl w:val="0"/>
          <w:numId w:val="31"/>
        </w:numPr>
        <w:spacing w:after="0"/>
        <w:ind w:left="992" w:right="567" w:hanging="425"/>
        <w:rPr>
          <w:rFonts w:cstheme="minorHAnsi"/>
          <w:iCs/>
        </w:rPr>
      </w:pPr>
      <w:r w:rsidRPr="004737C5">
        <w:rPr>
          <w:rFonts w:cstheme="minorHAnsi"/>
          <w:iCs/>
        </w:rPr>
        <w:t>Encourage the development of market conditions which provide consumers with</w:t>
      </w:r>
      <w:r w:rsidR="00EE72A7" w:rsidRPr="004737C5">
        <w:rPr>
          <w:rFonts w:cstheme="minorHAnsi"/>
          <w:iCs/>
        </w:rPr>
        <w:t xml:space="preserve"> greater choice at lower prices.</w:t>
      </w:r>
    </w:p>
    <w:p w14:paraId="03B655FC" w14:textId="6A1E743B" w:rsidR="00843222" w:rsidRPr="004737C5" w:rsidRDefault="00843222" w:rsidP="002473E9">
      <w:pPr>
        <w:numPr>
          <w:ilvl w:val="0"/>
          <w:numId w:val="31"/>
        </w:numPr>
        <w:spacing w:after="0"/>
        <w:ind w:left="992" w:right="567" w:hanging="425"/>
        <w:rPr>
          <w:rFonts w:cstheme="minorHAnsi"/>
          <w:iCs/>
        </w:rPr>
      </w:pPr>
      <w:r w:rsidRPr="004737C5">
        <w:rPr>
          <w:rFonts w:cstheme="minorHAnsi"/>
          <w:iCs/>
        </w:rPr>
        <w:t>Promote sustainable consumption</w:t>
      </w:r>
      <w:r w:rsidR="007863B7" w:rsidRPr="004737C5">
        <w:rPr>
          <w:rFonts w:cstheme="minorHAnsi"/>
          <w:iCs/>
        </w:rPr>
        <w:t>.</w:t>
      </w:r>
    </w:p>
    <w:p w14:paraId="050D557B" w14:textId="77777777" w:rsidR="00843222" w:rsidRPr="004737C5" w:rsidRDefault="00843222" w:rsidP="006D3BE8">
      <w:pPr>
        <w:spacing w:after="0"/>
        <w:ind w:left="720"/>
        <w:rPr>
          <w:rFonts w:cstheme="minorHAnsi"/>
          <w:iCs/>
        </w:rPr>
      </w:pPr>
    </w:p>
    <w:p w14:paraId="6B94F43F" w14:textId="03FCC685" w:rsidR="00843222" w:rsidRPr="004737C5" w:rsidRDefault="00843222" w:rsidP="006D3BE8">
      <w:pPr>
        <w:rPr>
          <w:rFonts w:cstheme="minorHAnsi"/>
        </w:rPr>
      </w:pPr>
      <w:r w:rsidRPr="004737C5">
        <w:rPr>
          <w:rFonts w:cstheme="minorHAnsi"/>
        </w:rPr>
        <w:lastRenderedPageBreak/>
        <w:t>It i</w:t>
      </w:r>
      <w:r w:rsidR="00EE72A7" w:rsidRPr="004737C5">
        <w:rPr>
          <w:rFonts w:cstheme="minorHAnsi"/>
        </w:rPr>
        <w:t>s wo</w:t>
      </w:r>
      <w:r w:rsidR="00A63174" w:rsidRPr="004737C5">
        <w:rPr>
          <w:rFonts w:cstheme="minorHAnsi"/>
        </w:rPr>
        <w:t>rth noting that sub</w:t>
      </w:r>
      <w:r w:rsidR="007863B7" w:rsidRPr="004737C5">
        <w:rPr>
          <w:rFonts w:cstheme="minorHAnsi"/>
        </w:rPr>
        <w:t>paragraph c</w:t>
      </w:r>
      <w:r w:rsidR="00EE72A7" w:rsidRPr="004737C5">
        <w:rPr>
          <w:rFonts w:cstheme="minorHAnsi"/>
        </w:rPr>
        <w:t>,</w:t>
      </w:r>
      <w:r w:rsidRPr="004737C5">
        <w:rPr>
          <w:rFonts w:cstheme="minorHAnsi"/>
        </w:rPr>
        <w:t xml:space="preserve"> while present in the previous UNGCP, was not matched to a relevant section until the latest rev</w:t>
      </w:r>
      <w:r w:rsidR="00291489" w:rsidRPr="004737C5">
        <w:rPr>
          <w:rFonts w:cstheme="minorHAnsi"/>
        </w:rPr>
        <w:t>ision, which became s</w:t>
      </w:r>
      <w:r w:rsidR="00EE72A7" w:rsidRPr="004737C5">
        <w:rPr>
          <w:rFonts w:cstheme="minorHAnsi"/>
        </w:rPr>
        <w:t>ection IV</w:t>
      </w:r>
      <w:r w:rsidR="007863B7" w:rsidRPr="004737C5">
        <w:rPr>
          <w:rFonts w:cstheme="minorHAnsi"/>
        </w:rPr>
        <w:t>,</w:t>
      </w:r>
      <w:r w:rsidR="00EE72A7" w:rsidRPr="004737C5">
        <w:rPr>
          <w:rFonts w:cstheme="minorHAnsi"/>
        </w:rPr>
        <w:t xml:space="preserve"> “</w:t>
      </w:r>
      <w:r w:rsidRPr="004737C5">
        <w:rPr>
          <w:rFonts w:cstheme="minorHAnsi"/>
        </w:rPr>
        <w:t>princip</w:t>
      </w:r>
      <w:r w:rsidR="00EE72A7" w:rsidRPr="004737C5">
        <w:rPr>
          <w:rFonts w:cstheme="minorHAnsi"/>
        </w:rPr>
        <w:t>les for good business practices”</w:t>
      </w:r>
      <w:r w:rsidRPr="004737C5">
        <w:rPr>
          <w:rFonts w:cstheme="minorHAnsi"/>
        </w:rPr>
        <w:t xml:space="preserve">. </w:t>
      </w:r>
    </w:p>
    <w:p w14:paraId="4C6B074D" w14:textId="77777777" w:rsidR="00843222" w:rsidRPr="004737C5" w:rsidRDefault="00843222" w:rsidP="006D3BE8">
      <w:pPr>
        <w:rPr>
          <w:rFonts w:cstheme="minorHAnsi"/>
        </w:rPr>
      </w:pPr>
      <w:r w:rsidRPr="004737C5">
        <w:rPr>
          <w:rFonts w:cstheme="minorHAnsi"/>
        </w:rPr>
        <w:t>Section II is dedicated to the scope of appli</w:t>
      </w:r>
      <w:r w:rsidR="00EE72A7" w:rsidRPr="004737C5">
        <w:rPr>
          <w:rFonts w:cstheme="minorHAnsi"/>
        </w:rPr>
        <w:t>cation of the g</w:t>
      </w:r>
      <w:r w:rsidRPr="004737C5">
        <w:rPr>
          <w:rFonts w:cstheme="minorHAnsi"/>
        </w:rPr>
        <w:t>uidelines. They apply to business-to-consumer transa</w:t>
      </w:r>
      <w:r w:rsidR="00EE72A7" w:rsidRPr="004737C5">
        <w:rPr>
          <w:rFonts w:cstheme="minorHAnsi"/>
        </w:rPr>
        <w:t>ctions and to the provision by s</w:t>
      </w:r>
      <w:r w:rsidRPr="004737C5">
        <w:rPr>
          <w:rFonts w:cstheme="minorHAnsi"/>
        </w:rPr>
        <w:t>tate-owned enterprises t</w:t>
      </w:r>
      <w:r w:rsidR="00924883" w:rsidRPr="004737C5">
        <w:rPr>
          <w:rFonts w:cstheme="minorHAnsi"/>
        </w:rPr>
        <w:t>o consumers. Guideline 3 include</w:t>
      </w:r>
      <w:r w:rsidRPr="004737C5">
        <w:rPr>
          <w:rFonts w:cstheme="minorHAnsi"/>
        </w:rPr>
        <w:t>s a f</w:t>
      </w:r>
      <w:r w:rsidR="00EE72A7" w:rsidRPr="004737C5">
        <w:rPr>
          <w:rFonts w:cstheme="minorHAnsi"/>
        </w:rPr>
        <w:t>lexible definition of the term “</w:t>
      </w:r>
      <w:r w:rsidRPr="004737C5">
        <w:rPr>
          <w:rFonts w:cstheme="minorHAnsi"/>
        </w:rPr>
        <w:t>consumer</w:t>
      </w:r>
      <w:r w:rsidR="00EE72A7" w:rsidRPr="004737C5">
        <w:rPr>
          <w:rFonts w:cstheme="minorHAnsi"/>
        </w:rPr>
        <w:t>”,</w:t>
      </w:r>
      <w:r w:rsidRPr="004737C5">
        <w:rPr>
          <w:rFonts w:cstheme="minorHAnsi"/>
        </w:rPr>
        <w:t xml:space="preserve"> </w:t>
      </w:r>
      <w:r w:rsidR="00954C26" w:rsidRPr="004737C5">
        <w:rPr>
          <w:rFonts w:cstheme="minorHAnsi"/>
        </w:rPr>
        <w:t>already</w:t>
      </w:r>
      <w:r w:rsidRPr="004737C5">
        <w:rPr>
          <w:rFonts w:cstheme="minorHAnsi"/>
        </w:rPr>
        <w:t xml:space="preserve"> discussed in chapter </w:t>
      </w:r>
      <w:r w:rsidR="001C5CB4" w:rsidRPr="004737C5">
        <w:rPr>
          <w:rFonts w:cstheme="minorHAnsi"/>
        </w:rPr>
        <w:t>I</w:t>
      </w:r>
      <w:r w:rsidR="00954C26" w:rsidRPr="004737C5">
        <w:rPr>
          <w:rFonts w:cstheme="minorHAnsi"/>
        </w:rPr>
        <w:t xml:space="preserve">. </w:t>
      </w:r>
      <w:r w:rsidRPr="004737C5">
        <w:rPr>
          <w:rFonts w:cstheme="minorHAnsi"/>
        </w:rPr>
        <w:t xml:space="preserve"> </w:t>
      </w:r>
    </w:p>
    <w:p w14:paraId="4103FCE6" w14:textId="7F9AD037" w:rsidR="00843222" w:rsidRPr="004737C5" w:rsidRDefault="00291489" w:rsidP="006D3BE8">
      <w:pPr>
        <w:rPr>
          <w:rFonts w:cstheme="minorHAnsi"/>
        </w:rPr>
      </w:pPr>
      <w:r w:rsidRPr="004737C5">
        <w:rPr>
          <w:rFonts w:cstheme="minorHAnsi"/>
        </w:rPr>
        <w:t>In s</w:t>
      </w:r>
      <w:r w:rsidR="00843222" w:rsidRPr="004737C5">
        <w:rPr>
          <w:rFonts w:cstheme="minorHAnsi"/>
        </w:rPr>
        <w:t>ect</w:t>
      </w:r>
      <w:r w:rsidR="00954C26" w:rsidRPr="004737C5">
        <w:rPr>
          <w:rFonts w:cstheme="minorHAnsi"/>
        </w:rPr>
        <w:t>ion</w:t>
      </w:r>
      <w:r w:rsidR="00EE72A7" w:rsidRPr="004737C5">
        <w:rPr>
          <w:rFonts w:cstheme="minorHAnsi"/>
        </w:rPr>
        <w:t xml:space="preserve"> III on g</w:t>
      </w:r>
      <w:r w:rsidR="00843222" w:rsidRPr="004737C5">
        <w:rPr>
          <w:rFonts w:cstheme="minorHAnsi"/>
        </w:rPr>
        <w:t xml:space="preserve">eneral principles, the </w:t>
      </w:r>
      <w:r w:rsidR="00EE72A7" w:rsidRPr="004737C5">
        <w:rPr>
          <w:rFonts w:cstheme="minorHAnsi"/>
          <w:iCs/>
        </w:rPr>
        <w:t>“legitimate needs”</w:t>
      </w:r>
      <w:r w:rsidR="00EE72A7" w:rsidRPr="004737C5">
        <w:rPr>
          <w:rFonts w:cstheme="minorHAnsi"/>
        </w:rPr>
        <w:t xml:space="preserve"> of consumers</w:t>
      </w:r>
      <w:r w:rsidR="00924883" w:rsidRPr="004737C5">
        <w:rPr>
          <w:rFonts w:cstheme="minorHAnsi"/>
        </w:rPr>
        <w:t xml:space="preserve"> (g</w:t>
      </w:r>
      <w:r w:rsidR="00843222" w:rsidRPr="004737C5">
        <w:rPr>
          <w:rFonts w:cstheme="minorHAnsi"/>
        </w:rPr>
        <w:t>uideline 5) have b</w:t>
      </w:r>
      <w:r w:rsidR="00A63174" w:rsidRPr="004737C5">
        <w:rPr>
          <w:rFonts w:cstheme="minorHAnsi"/>
        </w:rPr>
        <w:t>een significantly expanded. Sub</w:t>
      </w:r>
      <w:r w:rsidR="00843222" w:rsidRPr="004737C5">
        <w:rPr>
          <w:rFonts w:cstheme="minorHAnsi"/>
        </w:rPr>
        <w:t>paragraphs a, b</w:t>
      </w:r>
      <w:r w:rsidR="00A96172" w:rsidRPr="004737C5">
        <w:rPr>
          <w:rFonts w:cstheme="minorHAnsi"/>
        </w:rPr>
        <w:t>,</w:t>
      </w:r>
      <w:r w:rsidR="00843222" w:rsidRPr="004737C5">
        <w:rPr>
          <w:rFonts w:cstheme="minorHAnsi"/>
        </w:rPr>
        <w:t xml:space="preserve"> j and k are new, and g has been amended to introduce the term </w:t>
      </w:r>
      <w:r w:rsidR="00EE72A7" w:rsidRPr="004737C5">
        <w:rPr>
          <w:rFonts w:cstheme="minorHAnsi"/>
          <w:iCs/>
        </w:rPr>
        <w:t>“</w:t>
      </w:r>
      <w:r w:rsidR="00843222" w:rsidRPr="004737C5">
        <w:rPr>
          <w:rFonts w:cstheme="minorHAnsi"/>
          <w:iCs/>
        </w:rPr>
        <w:t>dispute resolution</w:t>
      </w:r>
      <w:r w:rsidR="00EE72A7" w:rsidRPr="004737C5">
        <w:rPr>
          <w:rFonts w:cstheme="minorHAnsi"/>
          <w:iCs/>
        </w:rPr>
        <w:t>”.</w:t>
      </w:r>
      <w:r w:rsidR="00843222" w:rsidRPr="004737C5">
        <w:rPr>
          <w:rFonts w:cstheme="minorHAnsi"/>
          <w:iCs/>
        </w:rPr>
        <w:t xml:space="preserve"> The</w:t>
      </w:r>
      <w:r w:rsidR="00EE72A7" w:rsidRPr="004737C5">
        <w:rPr>
          <w:rFonts w:cstheme="minorHAnsi"/>
          <w:iCs/>
        </w:rPr>
        <w:t xml:space="preserve"> “</w:t>
      </w:r>
      <w:r w:rsidR="00954C26" w:rsidRPr="004737C5">
        <w:rPr>
          <w:rFonts w:cstheme="minorHAnsi"/>
          <w:iCs/>
        </w:rPr>
        <w:t xml:space="preserve">legitimate </w:t>
      </w:r>
      <w:r w:rsidR="00EE72A7" w:rsidRPr="004737C5">
        <w:rPr>
          <w:rFonts w:cstheme="minorHAnsi"/>
          <w:iCs/>
        </w:rPr>
        <w:t>needs”</w:t>
      </w:r>
      <w:r w:rsidR="003E47E8" w:rsidRPr="004737C5">
        <w:rPr>
          <w:rFonts w:cstheme="minorHAnsi"/>
          <w:iCs/>
        </w:rPr>
        <w:t xml:space="preserve"> are</w:t>
      </w:r>
      <w:r w:rsidR="00EE72A7" w:rsidRPr="004737C5">
        <w:rPr>
          <w:rFonts w:cstheme="minorHAnsi"/>
          <w:iCs/>
        </w:rPr>
        <w:t>:</w:t>
      </w:r>
    </w:p>
    <w:p w14:paraId="5109DAEC" w14:textId="6D8F0B52" w:rsidR="00843222" w:rsidRPr="004737C5" w:rsidRDefault="00843222" w:rsidP="002473E9">
      <w:pPr>
        <w:pStyle w:val="ListParagraph"/>
        <w:numPr>
          <w:ilvl w:val="0"/>
          <w:numId w:val="29"/>
        </w:numPr>
        <w:tabs>
          <w:tab w:val="clear" w:pos="720"/>
          <w:tab w:val="num" w:pos="1134"/>
        </w:tabs>
        <w:spacing w:after="0"/>
        <w:ind w:left="992" w:right="567" w:hanging="425"/>
        <w:rPr>
          <w:rFonts w:cstheme="minorHAnsi"/>
          <w:bCs/>
          <w:iCs/>
        </w:rPr>
      </w:pPr>
      <w:r w:rsidRPr="004737C5">
        <w:rPr>
          <w:rFonts w:cstheme="minorHAnsi"/>
          <w:bCs/>
          <w:iCs/>
        </w:rPr>
        <w:t xml:space="preserve">Access by consumers </w:t>
      </w:r>
      <w:r w:rsidR="007863B7" w:rsidRPr="004737C5">
        <w:rPr>
          <w:rFonts w:cstheme="minorHAnsi"/>
          <w:bCs/>
          <w:iCs/>
        </w:rPr>
        <w:t>to essential goods and services.</w:t>
      </w:r>
    </w:p>
    <w:p w14:paraId="022061A3" w14:textId="77777777" w:rsidR="00843222" w:rsidRPr="004737C5" w:rsidRDefault="00843222" w:rsidP="002473E9">
      <w:pPr>
        <w:numPr>
          <w:ilvl w:val="0"/>
          <w:numId w:val="29"/>
        </w:numPr>
        <w:tabs>
          <w:tab w:val="clear" w:pos="720"/>
          <w:tab w:val="num" w:pos="1134"/>
        </w:tabs>
        <w:spacing w:after="0"/>
        <w:ind w:left="992" w:right="567" w:hanging="425"/>
        <w:rPr>
          <w:rFonts w:cstheme="minorHAnsi"/>
          <w:bCs/>
          <w:iCs/>
        </w:rPr>
      </w:pPr>
      <w:r w:rsidRPr="004737C5">
        <w:rPr>
          <w:rFonts w:cstheme="minorHAnsi"/>
          <w:bCs/>
          <w:iCs/>
        </w:rPr>
        <w:t>The protection of vulnera</w:t>
      </w:r>
      <w:r w:rsidR="00EE72A7" w:rsidRPr="004737C5">
        <w:rPr>
          <w:rFonts w:cstheme="minorHAnsi"/>
          <w:bCs/>
          <w:iCs/>
        </w:rPr>
        <w:t>ble and disadvantaged consumers.</w:t>
      </w:r>
    </w:p>
    <w:p w14:paraId="2F4E4BC9" w14:textId="77777777" w:rsidR="00843222" w:rsidRPr="004737C5" w:rsidRDefault="00843222" w:rsidP="002473E9">
      <w:pPr>
        <w:numPr>
          <w:ilvl w:val="0"/>
          <w:numId w:val="29"/>
        </w:numPr>
        <w:tabs>
          <w:tab w:val="clear" w:pos="720"/>
          <w:tab w:val="num" w:pos="1134"/>
        </w:tabs>
        <w:spacing w:after="0"/>
        <w:ind w:left="992" w:right="567" w:hanging="425"/>
        <w:rPr>
          <w:rFonts w:cstheme="minorHAnsi"/>
          <w:bCs/>
          <w:iCs/>
        </w:rPr>
      </w:pPr>
      <w:r w:rsidRPr="004737C5">
        <w:rPr>
          <w:rFonts w:cstheme="minorHAnsi"/>
          <w:bCs/>
          <w:iCs/>
        </w:rPr>
        <w:t>The protection of consumers fr</w:t>
      </w:r>
      <w:r w:rsidR="00EE72A7" w:rsidRPr="004737C5">
        <w:rPr>
          <w:rFonts w:cstheme="minorHAnsi"/>
          <w:bCs/>
          <w:iCs/>
        </w:rPr>
        <w:t>om hazards to health and safety.</w:t>
      </w:r>
    </w:p>
    <w:p w14:paraId="69BE1FE2" w14:textId="77777777" w:rsidR="00843222" w:rsidRPr="004737C5" w:rsidRDefault="00843222" w:rsidP="002473E9">
      <w:pPr>
        <w:numPr>
          <w:ilvl w:val="0"/>
          <w:numId w:val="29"/>
        </w:numPr>
        <w:tabs>
          <w:tab w:val="clear" w:pos="720"/>
          <w:tab w:val="num" w:pos="1134"/>
        </w:tabs>
        <w:spacing w:after="0"/>
        <w:ind w:left="992" w:right="567" w:hanging="425"/>
        <w:rPr>
          <w:rFonts w:cstheme="minorHAnsi"/>
          <w:iCs/>
        </w:rPr>
      </w:pPr>
      <w:r w:rsidRPr="004737C5">
        <w:rPr>
          <w:rFonts w:cstheme="minorHAnsi"/>
          <w:iCs/>
        </w:rPr>
        <w:t xml:space="preserve">The promotion and protection of the </w:t>
      </w:r>
      <w:r w:rsidR="00EE72A7" w:rsidRPr="004737C5">
        <w:rPr>
          <w:rFonts w:cstheme="minorHAnsi"/>
          <w:iCs/>
        </w:rPr>
        <w:t>economic interests of consumers.</w:t>
      </w:r>
    </w:p>
    <w:p w14:paraId="3DDA04FB" w14:textId="77777777" w:rsidR="00843222" w:rsidRPr="004737C5" w:rsidRDefault="00843222" w:rsidP="002473E9">
      <w:pPr>
        <w:numPr>
          <w:ilvl w:val="0"/>
          <w:numId w:val="29"/>
        </w:numPr>
        <w:tabs>
          <w:tab w:val="clear" w:pos="720"/>
          <w:tab w:val="num" w:pos="1134"/>
        </w:tabs>
        <w:spacing w:after="0"/>
        <w:ind w:left="992" w:right="567" w:hanging="425"/>
        <w:rPr>
          <w:rFonts w:cstheme="minorHAnsi"/>
          <w:iCs/>
        </w:rPr>
      </w:pPr>
      <w:r w:rsidRPr="004737C5">
        <w:rPr>
          <w:rFonts w:cstheme="minorHAnsi"/>
          <w:iCs/>
        </w:rPr>
        <w:t xml:space="preserve">Access </w:t>
      </w:r>
      <w:r w:rsidRPr="004737C5">
        <w:rPr>
          <w:rFonts w:cstheme="minorHAnsi"/>
          <w:bCs/>
          <w:iCs/>
        </w:rPr>
        <w:t xml:space="preserve">by </w:t>
      </w:r>
      <w:r w:rsidRPr="004737C5">
        <w:rPr>
          <w:rFonts w:cstheme="minorHAnsi"/>
          <w:iCs/>
        </w:rPr>
        <w:t>consumers</w:t>
      </w:r>
      <w:r w:rsidRPr="004737C5">
        <w:rPr>
          <w:rFonts w:cstheme="minorHAnsi"/>
          <w:iCs/>
          <w:color w:val="FF0000"/>
        </w:rPr>
        <w:t xml:space="preserve"> </w:t>
      </w:r>
      <w:r w:rsidRPr="004737C5">
        <w:rPr>
          <w:rFonts w:cstheme="minorHAnsi"/>
          <w:iCs/>
        </w:rPr>
        <w:t>to adequate information to enable them to make informed choices according</w:t>
      </w:r>
      <w:r w:rsidR="00424AAD" w:rsidRPr="004737C5">
        <w:rPr>
          <w:rFonts w:cstheme="minorHAnsi"/>
          <w:iCs/>
        </w:rPr>
        <w:t xml:space="preserve"> to individual wishes and needs.</w:t>
      </w:r>
    </w:p>
    <w:p w14:paraId="6FFDEFE4" w14:textId="77777777" w:rsidR="00843222" w:rsidRPr="004737C5" w:rsidRDefault="00843222" w:rsidP="002473E9">
      <w:pPr>
        <w:numPr>
          <w:ilvl w:val="0"/>
          <w:numId w:val="29"/>
        </w:numPr>
        <w:tabs>
          <w:tab w:val="clear" w:pos="720"/>
          <w:tab w:val="num" w:pos="1134"/>
        </w:tabs>
        <w:spacing w:after="0"/>
        <w:ind w:left="992" w:right="567" w:hanging="425"/>
        <w:rPr>
          <w:rFonts w:cstheme="minorHAnsi"/>
          <w:iCs/>
        </w:rPr>
      </w:pPr>
      <w:r w:rsidRPr="004737C5">
        <w:rPr>
          <w:rFonts w:cstheme="minorHAnsi"/>
          <w:iCs/>
        </w:rPr>
        <w:t xml:space="preserve">Consumer education on environmental, social and economic </w:t>
      </w:r>
      <w:r w:rsidR="00424AAD" w:rsidRPr="004737C5">
        <w:rPr>
          <w:rFonts w:cstheme="minorHAnsi"/>
          <w:iCs/>
        </w:rPr>
        <w:t>consequences of consumer choice.</w:t>
      </w:r>
    </w:p>
    <w:p w14:paraId="7BE8EE71" w14:textId="77777777" w:rsidR="00843222" w:rsidRPr="004737C5" w:rsidRDefault="00843222" w:rsidP="002473E9">
      <w:pPr>
        <w:numPr>
          <w:ilvl w:val="0"/>
          <w:numId w:val="29"/>
        </w:numPr>
        <w:tabs>
          <w:tab w:val="clear" w:pos="720"/>
          <w:tab w:val="num" w:pos="1134"/>
        </w:tabs>
        <w:spacing w:after="0"/>
        <w:ind w:left="992" w:right="567" w:hanging="425"/>
        <w:rPr>
          <w:rFonts w:cstheme="minorHAnsi"/>
          <w:iCs/>
        </w:rPr>
      </w:pPr>
      <w:r w:rsidRPr="004737C5">
        <w:rPr>
          <w:rFonts w:cstheme="minorHAnsi"/>
          <w:iCs/>
        </w:rPr>
        <w:t xml:space="preserve">Availability of effective consumer </w:t>
      </w:r>
      <w:r w:rsidRPr="004737C5">
        <w:rPr>
          <w:rFonts w:cstheme="minorHAnsi"/>
          <w:bCs/>
          <w:iCs/>
        </w:rPr>
        <w:t>dispute resolution</w:t>
      </w:r>
      <w:r w:rsidRPr="004737C5">
        <w:rPr>
          <w:rFonts w:cstheme="minorHAnsi"/>
          <w:b/>
          <w:iCs/>
        </w:rPr>
        <w:t xml:space="preserve"> </w:t>
      </w:r>
      <w:r w:rsidRPr="004737C5">
        <w:rPr>
          <w:rFonts w:cstheme="minorHAnsi"/>
          <w:bCs/>
          <w:iCs/>
        </w:rPr>
        <w:t>and</w:t>
      </w:r>
      <w:r w:rsidRPr="004737C5">
        <w:rPr>
          <w:rFonts w:cstheme="minorHAnsi"/>
          <w:iCs/>
          <w:color w:val="FF0000"/>
        </w:rPr>
        <w:t xml:space="preserve"> </w:t>
      </w:r>
      <w:r w:rsidR="00424AAD" w:rsidRPr="004737C5">
        <w:rPr>
          <w:rFonts w:cstheme="minorHAnsi"/>
          <w:iCs/>
        </w:rPr>
        <w:t>redress.</w:t>
      </w:r>
    </w:p>
    <w:p w14:paraId="3210658E" w14:textId="77777777" w:rsidR="00843222" w:rsidRPr="004737C5" w:rsidRDefault="00843222" w:rsidP="002473E9">
      <w:pPr>
        <w:numPr>
          <w:ilvl w:val="0"/>
          <w:numId w:val="29"/>
        </w:numPr>
        <w:tabs>
          <w:tab w:val="clear" w:pos="720"/>
          <w:tab w:val="num" w:pos="1134"/>
        </w:tabs>
        <w:spacing w:after="0"/>
        <w:ind w:left="992" w:right="567" w:hanging="425"/>
        <w:rPr>
          <w:rFonts w:cstheme="minorHAnsi"/>
          <w:iCs/>
        </w:rPr>
      </w:pPr>
      <w:r w:rsidRPr="004737C5">
        <w:rPr>
          <w:rFonts w:cstheme="minorHAnsi"/>
          <w:iCs/>
        </w:rPr>
        <w:t xml:space="preserve">Freedom to form consumer and other relevant groups/organizations </w:t>
      </w:r>
      <w:r w:rsidR="00954C26" w:rsidRPr="004737C5">
        <w:rPr>
          <w:rFonts w:cstheme="minorHAnsi"/>
          <w:iCs/>
        </w:rPr>
        <w:t>and</w:t>
      </w:r>
      <w:r w:rsidRPr="004737C5">
        <w:rPr>
          <w:rFonts w:cstheme="minorHAnsi"/>
          <w:iCs/>
        </w:rPr>
        <w:t xml:space="preserve"> the opportunity of such organizations to present their views in decision-</w:t>
      </w:r>
      <w:r w:rsidR="00424AAD" w:rsidRPr="004737C5">
        <w:rPr>
          <w:rFonts w:cstheme="minorHAnsi"/>
          <w:iCs/>
        </w:rPr>
        <w:t>making processes affecting them.</w:t>
      </w:r>
    </w:p>
    <w:p w14:paraId="3A14BFD8" w14:textId="77777777" w:rsidR="00843222" w:rsidRPr="004737C5" w:rsidRDefault="00843222" w:rsidP="002473E9">
      <w:pPr>
        <w:numPr>
          <w:ilvl w:val="0"/>
          <w:numId w:val="29"/>
        </w:numPr>
        <w:tabs>
          <w:tab w:val="clear" w:pos="720"/>
          <w:tab w:val="num" w:pos="1134"/>
        </w:tabs>
        <w:spacing w:after="0"/>
        <w:ind w:left="992" w:right="567" w:hanging="425"/>
        <w:rPr>
          <w:rFonts w:cstheme="minorHAnsi"/>
          <w:iCs/>
        </w:rPr>
      </w:pPr>
      <w:r w:rsidRPr="004737C5">
        <w:rPr>
          <w:rFonts w:cstheme="minorHAnsi"/>
          <w:iCs/>
        </w:rPr>
        <w:t>The promotion of s</w:t>
      </w:r>
      <w:r w:rsidR="00424AAD" w:rsidRPr="004737C5">
        <w:rPr>
          <w:rFonts w:cstheme="minorHAnsi"/>
          <w:iCs/>
        </w:rPr>
        <w:t>ustainable consumption patterns.</w:t>
      </w:r>
    </w:p>
    <w:p w14:paraId="49109158" w14:textId="77777777" w:rsidR="00843222" w:rsidRPr="004737C5" w:rsidRDefault="00843222" w:rsidP="002473E9">
      <w:pPr>
        <w:numPr>
          <w:ilvl w:val="0"/>
          <w:numId w:val="29"/>
        </w:numPr>
        <w:tabs>
          <w:tab w:val="clear" w:pos="720"/>
          <w:tab w:val="num" w:pos="1134"/>
        </w:tabs>
        <w:spacing w:after="0"/>
        <w:ind w:left="992" w:right="567" w:hanging="425"/>
        <w:rPr>
          <w:rFonts w:cstheme="minorHAnsi"/>
          <w:bCs/>
          <w:iCs/>
        </w:rPr>
      </w:pPr>
      <w:r w:rsidRPr="004737C5">
        <w:rPr>
          <w:rFonts w:cstheme="minorHAnsi"/>
          <w:bCs/>
          <w:iCs/>
        </w:rPr>
        <w:t>A level of protection for consumers using electronic commerce that is not less than that affo</w:t>
      </w:r>
      <w:r w:rsidR="00424AAD" w:rsidRPr="004737C5">
        <w:rPr>
          <w:rFonts w:cstheme="minorHAnsi"/>
          <w:bCs/>
          <w:iCs/>
        </w:rPr>
        <w:t>rded in other forms of commerce.</w:t>
      </w:r>
    </w:p>
    <w:p w14:paraId="1BA4A893" w14:textId="77777777" w:rsidR="00843222" w:rsidRPr="004737C5" w:rsidRDefault="00843222" w:rsidP="002473E9">
      <w:pPr>
        <w:numPr>
          <w:ilvl w:val="0"/>
          <w:numId w:val="29"/>
        </w:numPr>
        <w:tabs>
          <w:tab w:val="clear" w:pos="720"/>
          <w:tab w:val="num" w:pos="1134"/>
        </w:tabs>
        <w:ind w:left="992" w:right="567" w:hanging="425"/>
        <w:rPr>
          <w:rFonts w:cstheme="minorHAnsi"/>
          <w:bCs/>
          <w:iCs/>
        </w:rPr>
      </w:pPr>
      <w:r w:rsidRPr="004737C5">
        <w:rPr>
          <w:rFonts w:cstheme="minorHAnsi"/>
          <w:bCs/>
          <w:iCs/>
        </w:rPr>
        <w:t>The protection of consumer privacy and the global free flow of information</w:t>
      </w:r>
      <w:r w:rsidR="00424AAD" w:rsidRPr="004737C5">
        <w:rPr>
          <w:rFonts w:cstheme="minorHAnsi"/>
          <w:bCs/>
          <w:iCs/>
        </w:rPr>
        <w:t>.</w:t>
      </w:r>
    </w:p>
    <w:p w14:paraId="16E3CD72" w14:textId="130E3220" w:rsidR="00843222" w:rsidRPr="004737C5" w:rsidRDefault="00424AAD" w:rsidP="007863B7">
      <w:pPr>
        <w:rPr>
          <w:rFonts w:cstheme="minorHAnsi"/>
        </w:rPr>
      </w:pPr>
      <w:r w:rsidRPr="004737C5">
        <w:rPr>
          <w:rFonts w:cstheme="minorHAnsi"/>
        </w:rPr>
        <w:t xml:space="preserve">The first two new </w:t>
      </w:r>
      <w:r w:rsidR="007863B7" w:rsidRPr="004737C5">
        <w:rPr>
          <w:rFonts w:cstheme="minorHAnsi"/>
        </w:rPr>
        <w:t>“</w:t>
      </w:r>
      <w:r w:rsidRPr="004737C5">
        <w:rPr>
          <w:rFonts w:cstheme="minorHAnsi"/>
        </w:rPr>
        <w:t>legitimate</w:t>
      </w:r>
      <w:r w:rsidR="00924883" w:rsidRPr="004737C5">
        <w:rPr>
          <w:rFonts w:cstheme="minorHAnsi"/>
        </w:rPr>
        <w:t xml:space="preserve"> needs</w:t>
      </w:r>
      <w:r w:rsidR="007863B7" w:rsidRPr="004737C5">
        <w:rPr>
          <w:rFonts w:cstheme="minorHAnsi"/>
        </w:rPr>
        <w:t>”</w:t>
      </w:r>
      <w:r w:rsidR="00924883" w:rsidRPr="004737C5">
        <w:rPr>
          <w:rFonts w:cstheme="minorHAnsi"/>
        </w:rPr>
        <w:t xml:space="preserve"> of guideline 5a</w:t>
      </w:r>
      <w:r w:rsidRPr="004737C5">
        <w:rPr>
          <w:rFonts w:cstheme="minorHAnsi"/>
        </w:rPr>
        <w:t xml:space="preserve"> and </w:t>
      </w:r>
      <w:r w:rsidR="00924883" w:rsidRPr="004737C5">
        <w:rPr>
          <w:rFonts w:cstheme="minorHAnsi"/>
        </w:rPr>
        <w:t>5b</w:t>
      </w:r>
      <w:r w:rsidR="00954C26" w:rsidRPr="004737C5">
        <w:rPr>
          <w:rFonts w:cstheme="minorHAnsi"/>
        </w:rPr>
        <w:t xml:space="preserve"> </w:t>
      </w:r>
      <w:r w:rsidR="00843222" w:rsidRPr="004737C5">
        <w:rPr>
          <w:rFonts w:cstheme="minorHAnsi"/>
        </w:rPr>
        <w:t>were arguably prese</w:t>
      </w:r>
      <w:r w:rsidR="007863B7" w:rsidRPr="004737C5">
        <w:rPr>
          <w:rFonts w:cstheme="minorHAnsi"/>
        </w:rPr>
        <w:t xml:space="preserve">nt in the pre-existing UNGCP </w:t>
      </w:r>
      <w:r w:rsidR="00843222" w:rsidRPr="004737C5">
        <w:rPr>
          <w:rFonts w:cstheme="minorHAnsi"/>
        </w:rPr>
        <w:t>in spirit</w:t>
      </w:r>
      <w:r w:rsidRPr="004737C5">
        <w:rPr>
          <w:rFonts w:cstheme="minorHAnsi"/>
        </w:rPr>
        <w:t>,</w:t>
      </w:r>
      <w:r w:rsidR="00843222" w:rsidRPr="004737C5">
        <w:rPr>
          <w:rFonts w:cstheme="minorHAnsi"/>
        </w:rPr>
        <w:t xml:space="preserve"> albeit n</w:t>
      </w:r>
      <w:r w:rsidR="00A63174" w:rsidRPr="004737C5">
        <w:rPr>
          <w:rFonts w:cstheme="minorHAnsi"/>
        </w:rPr>
        <w:t>ot explicitly incorporated. Sub</w:t>
      </w:r>
      <w:r w:rsidR="00843222" w:rsidRPr="004737C5">
        <w:rPr>
          <w:rFonts w:cstheme="minorHAnsi"/>
        </w:rPr>
        <w:t>paragraphs j and k represent new principles that are clearly signalled in the resolution. A distinctive feature</w:t>
      </w:r>
      <w:r w:rsidR="00924883" w:rsidRPr="004737C5">
        <w:rPr>
          <w:rFonts w:cstheme="minorHAnsi"/>
        </w:rPr>
        <w:t xml:space="preserve"> of both the legitimate needs (g</w:t>
      </w:r>
      <w:r w:rsidR="00843222" w:rsidRPr="004737C5">
        <w:rPr>
          <w:rFonts w:cstheme="minorHAnsi"/>
        </w:rPr>
        <w:t xml:space="preserve">uideline 5) and the </w:t>
      </w:r>
      <w:r w:rsidRPr="004737C5">
        <w:rPr>
          <w:rFonts w:cstheme="minorHAnsi"/>
          <w:iCs/>
        </w:rPr>
        <w:t>o</w:t>
      </w:r>
      <w:r w:rsidR="00843222" w:rsidRPr="004737C5">
        <w:rPr>
          <w:rFonts w:cstheme="minorHAnsi"/>
          <w:iCs/>
        </w:rPr>
        <w:t>bjectives</w:t>
      </w:r>
      <w:r w:rsidR="00924883" w:rsidRPr="004737C5">
        <w:rPr>
          <w:rFonts w:cstheme="minorHAnsi"/>
        </w:rPr>
        <w:t xml:space="preserve"> (g</w:t>
      </w:r>
      <w:r w:rsidR="00843222" w:rsidRPr="004737C5">
        <w:rPr>
          <w:rFonts w:cstheme="minorHAnsi"/>
        </w:rPr>
        <w:t xml:space="preserve">uideline 1) is that no specific sectors are mentioned but the implied intention is horizontal, therefore applying to all sectors. </w:t>
      </w:r>
    </w:p>
    <w:p w14:paraId="3C4D512D" w14:textId="51480DA7" w:rsidR="00843222" w:rsidRPr="004737C5" w:rsidRDefault="00843222" w:rsidP="007863B7">
      <w:pPr>
        <w:pStyle w:val="Heading3"/>
        <w:spacing w:after="160" w:line="240" w:lineRule="auto"/>
        <w:rPr>
          <w:rFonts w:cstheme="minorHAnsi"/>
          <w:color w:val="auto"/>
        </w:rPr>
      </w:pPr>
      <w:bookmarkStart w:id="19" w:name="_Toc492649972"/>
      <w:r w:rsidRPr="004737C5">
        <w:rPr>
          <w:rFonts w:cstheme="minorHAnsi"/>
          <w:color w:val="auto"/>
        </w:rPr>
        <w:t>2</w:t>
      </w:r>
      <w:r w:rsidR="00424AAD" w:rsidRPr="004737C5">
        <w:rPr>
          <w:rFonts w:cstheme="minorHAnsi"/>
          <w:color w:val="auto"/>
        </w:rPr>
        <w:t>.</w:t>
      </w:r>
      <w:r w:rsidRPr="004737C5">
        <w:rPr>
          <w:rFonts w:cstheme="minorHAnsi"/>
          <w:color w:val="auto"/>
        </w:rPr>
        <w:t xml:space="preserve"> Principles for good business practice</w:t>
      </w:r>
      <w:bookmarkEnd w:id="19"/>
      <w:r w:rsidRPr="004737C5">
        <w:rPr>
          <w:rFonts w:cstheme="minorHAnsi"/>
          <w:color w:val="auto"/>
        </w:rPr>
        <w:t xml:space="preserve"> </w:t>
      </w:r>
    </w:p>
    <w:p w14:paraId="7D2FFF1D" w14:textId="77777777" w:rsidR="00843222" w:rsidRPr="004737C5" w:rsidRDefault="00843222" w:rsidP="006D3BE8">
      <w:pPr>
        <w:rPr>
          <w:rFonts w:cstheme="minorHAnsi"/>
        </w:rPr>
      </w:pPr>
      <w:r w:rsidRPr="004737C5">
        <w:rPr>
          <w:rFonts w:cstheme="minorHAnsi"/>
        </w:rPr>
        <w:t>A pertinent feature of the 2015 revision is that the UN</w:t>
      </w:r>
      <w:r w:rsidR="00775159" w:rsidRPr="004737C5">
        <w:rPr>
          <w:rFonts w:cstheme="minorHAnsi"/>
        </w:rPr>
        <w:t>GCP are not solely d</w:t>
      </w:r>
      <w:r w:rsidR="00424AAD" w:rsidRPr="004737C5">
        <w:rPr>
          <w:rFonts w:cstheme="minorHAnsi"/>
        </w:rPr>
        <w:t>irected to g</w:t>
      </w:r>
      <w:r w:rsidRPr="004737C5">
        <w:rPr>
          <w:rFonts w:cstheme="minorHAnsi"/>
        </w:rPr>
        <w:t>overnments, but also contain</w:t>
      </w:r>
      <w:r w:rsidR="00924883" w:rsidRPr="004737C5">
        <w:rPr>
          <w:rFonts w:cstheme="minorHAnsi"/>
        </w:rPr>
        <w:t>, in section IV, guideline 11, benchmark</w:t>
      </w:r>
      <w:r w:rsidR="00424AAD" w:rsidRPr="004737C5">
        <w:rPr>
          <w:rFonts w:cstheme="minorHAnsi"/>
        </w:rPr>
        <w:t xml:space="preserve"> “</w:t>
      </w:r>
      <w:r w:rsidR="00924883" w:rsidRPr="004737C5">
        <w:rPr>
          <w:rFonts w:cstheme="minorHAnsi"/>
        </w:rPr>
        <w:t>p</w:t>
      </w:r>
      <w:r w:rsidRPr="004737C5">
        <w:rPr>
          <w:rFonts w:cstheme="minorHAnsi"/>
        </w:rPr>
        <w:t>rinci</w:t>
      </w:r>
      <w:r w:rsidR="00924883" w:rsidRPr="004737C5">
        <w:rPr>
          <w:rFonts w:cstheme="minorHAnsi"/>
        </w:rPr>
        <w:t>ples for good business p</w:t>
      </w:r>
      <w:r w:rsidR="00424AAD" w:rsidRPr="004737C5">
        <w:rPr>
          <w:rFonts w:cstheme="minorHAnsi"/>
        </w:rPr>
        <w:t>ractice”</w:t>
      </w:r>
      <w:r w:rsidRPr="004737C5">
        <w:rPr>
          <w:rFonts w:cstheme="minorHAnsi"/>
        </w:rPr>
        <w:t>. These cover:</w:t>
      </w:r>
    </w:p>
    <w:p w14:paraId="355AFE96" w14:textId="77777777" w:rsidR="00843222" w:rsidRPr="004737C5" w:rsidRDefault="00424AAD" w:rsidP="002473E9">
      <w:pPr>
        <w:pStyle w:val="ListParagraph"/>
        <w:numPr>
          <w:ilvl w:val="0"/>
          <w:numId w:val="30"/>
        </w:numPr>
        <w:ind w:left="992" w:hanging="425"/>
        <w:rPr>
          <w:rFonts w:cstheme="minorHAnsi"/>
          <w:iCs/>
        </w:rPr>
      </w:pPr>
      <w:r w:rsidRPr="004737C5">
        <w:rPr>
          <w:rFonts w:cstheme="minorHAnsi"/>
          <w:iCs/>
        </w:rPr>
        <w:t>Fair and equitable treatment</w:t>
      </w:r>
    </w:p>
    <w:p w14:paraId="7EE58E7D" w14:textId="77777777" w:rsidR="00843222" w:rsidRPr="004737C5" w:rsidRDefault="00424AAD" w:rsidP="002473E9">
      <w:pPr>
        <w:pStyle w:val="ListParagraph"/>
        <w:numPr>
          <w:ilvl w:val="0"/>
          <w:numId w:val="30"/>
        </w:numPr>
        <w:ind w:left="992" w:hanging="425"/>
        <w:rPr>
          <w:rFonts w:cstheme="minorHAnsi"/>
          <w:iCs/>
        </w:rPr>
      </w:pPr>
      <w:r w:rsidRPr="004737C5">
        <w:rPr>
          <w:rFonts w:cstheme="minorHAnsi"/>
          <w:iCs/>
        </w:rPr>
        <w:t>Commercial behaviour</w:t>
      </w:r>
    </w:p>
    <w:p w14:paraId="479854FC" w14:textId="77777777" w:rsidR="00843222" w:rsidRPr="004737C5" w:rsidRDefault="00424AAD" w:rsidP="002473E9">
      <w:pPr>
        <w:pStyle w:val="ListParagraph"/>
        <w:numPr>
          <w:ilvl w:val="0"/>
          <w:numId w:val="30"/>
        </w:numPr>
        <w:ind w:left="992" w:hanging="425"/>
        <w:rPr>
          <w:rFonts w:cstheme="minorHAnsi"/>
          <w:iCs/>
        </w:rPr>
      </w:pPr>
      <w:r w:rsidRPr="004737C5">
        <w:rPr>
          <w:rFonts w:cstheme="minorHAnsi"/>
          <w:iCs/>
        </w:rPr>
        <w:t>Disclosure and transparency</w:t>
      </w:r>
    </w:p>
    <w:p w14:paraId="3A011FE3" w14:textId="77777777" w:rsidR="00843222" w:rsidRPr="004737C5" w:rsidRDefault="00424AAD" w:rsidP="002473E9">
      <w:pPr>
        <w:pStyle w:val="ListParagraph"/>
        <w:numPr>
          <w:ilvl w:val="0"/>
          <w:numId w:val="30"/>
        </w:numPr>
        <w:ind w:left="992" w:hanging="425"/>
        <w:rPr>
          <w:rFonts w:cstheme="minorHAnsi"/>
          <w:iCs/>
        </w:rPr>
      </w:pPr>
      <w:r w:rsidRPr="004737C5">
        <w:rPr>
          <w:rFonts w:cstheme="minorHAnsi"/>
          <w:iCs/>
        </w:rPr>
        <w:t>Education and awareness-raising</w:t>
      </w:r>
    </w:p>
    <w:p w14:paraId="58312739" w14:textId="77777777" w:rsidR="00843222" w:rsidRPr="004737C5" w:rsidRDefault="00843222" w:rsidP="002473E9">
      <w:pPr>
        <w:pStyle w:val="ListParagraph"/>
        <w:numPr>
          <w:ilvl w:val="0"/>
          <w:numId w:val="30"/>
        </w:numPr>
        <w:ind w:left="992" w:hanging="425"/>
        <w:rPr>
          <w:rFonts w:cstheme="minorHAnsi"/>
          <w:iCs/>
        </w:rPr>
      </w:pPr>
      <w:r w:rsidRPr="004737C5">
        <w:rPr>
          <w:rFonts w:cstheme="minorHAnsi"/>
          <w:iCs/>
        </w:rPr>
        <w:t>Prote</w:t>
      </w:r>
      <w:r w:rsidR="00424AAD" w:rsidRPr="004737C5">
        <w:rPr>
          <w:rFonts w:cstheme="minorHAnsi"/>
          <w:iCs/>
        </w:rPr>
        <w:t>ction of privacy</w:t>
      </w:r>
    </w:p>
    <w:p w14:paraId="70BA94CA" w14:textId="77777777" w:rsidR="00843222" w:rsidRPr="004737C5" w:rsidRDefault="00424AAD" w:rsidP="002473E9">
      <w:pPr>
        <w:pStyle w:val="ListParagraph"/>
        <w:numPr>
          <w:ilvl w:val="0"/>
          <w:numId w:val="30"/>
        </w:numPr>
        <w:ind w:left="992" w:hanging="425"/>
        <w:rPr>
          <w:rFonts w:cstheme="minorHAnsi"/>
          <w:iCs/>
        </w:rPr>
      </w:pPr>
      <w:r w:rsidRPr="004737C5">
        <w:rPr>
          <w:rFonts w:cstheme="minorHAnsi"/>
          <w:iCs/>
        </w:rPr>
        <w:t>Consumer complaints and disputes</w:t>
      </w:r>
    </w:p>
    <w:p w14:paraId="40EAF67B" w14:textId="77777777" w:rsidR="00843222" w:rsidRPr="004737C5" w:rsidRDefault="00843222" w:rsidP="006D3BE8">
      <w:pPr>
        <w:rPr>
          <w:rFonts w:cstheme="minorHAnsi"/>
        </w:rPr>
      </w:pPr>
      <w:r w:rsidRPr="004737C5">
        <w:rPr>
          <w:rFonts w:cstheme="minorHAnsi"/>
        </w:rPr>
        <w:t>These provisions have much in common with other parts of the text, both pre-and post-2015. They are listed separately in a new section, clearly suggesting that businesses will be expected to adopt good practices beyond enforcement or regulatory action. They reflect the development of social responsibility guidelines during the last decade, such as ISO 26000,</w:t>
      </w:r>
      <w:r w:rsidRPr="004737C5">
        <w:rPr>
          <w:rStyle w:val="FootnoteReference"/>
          <w:rFonts w:cstheme="minorHAnsi"/>
        </w:rPr>
        <w:footnoteReference w:id="25"/>
      </w:r>
      <w:r w:rsidRPr="004737C5">
        <w:rPr>
          <w:rFonts w:cstheme="minorHAnsi"/>
        </w:rPr>
        <w:t xml:space="preserve"> the OECD Guidelines</w:t>
      </w:r>
      <w:r w:rsidR="00424AAD" w:rsidRPr="004737C5">
        <w:rPr>
          <w:rFonts w:cstheme="minorHAnsi"/>
        </w:rPr>
        <w:t xml:space="preserve"> for Multi-</w:t>
      </w:r>
      <w:r w:rsidR="00424AAD" w:rsidRPr="004737C5">
        <w:rPr>
          <w:rFonts w:cstheme="minorHAnsi"/>
        </w:rPr>
        <w:lastRenderedPageBreak/>
        <w:t>National Enterprises</w:t>
      </w:r>
      <w:r w:rsidRPr="004737C5">
        <w:rPr>
          <w:rStyle w:val="FootnoteReference"/>
          <w:rFonts w:cstheme="minorHAnsi"/>
        </w:rPr>
        <w:footnoteReference w:id="26"/>
      </w:r>
      <w:r w:rsidRPr="004737C5">
        <w:rPr>
          <w:rFonts w:cstheme="minorHAnsi"/>
        </w:rPr>
        <w:t xml:space="preserve"> and the continued, widespread search for effective methods of business self-regulation and co-regulation. This newly inserted dimension of business </w:t>
      </w:r>
      <w:r w:rsidR="001C5CB4" w:rsidRPr="004737C5">
        <w:rPr>
          <w:rFonts w:cstheme="minorHAnsi"/>
        </w:rPr>
        <w:t>conduct is explored in chapter VI</w:t>
      </w:r>
      <w:r w:rsidRPr="004737C5">
        <w:rPr>
          <w:rFonts w:cstheme="minorHAnsi"/>
        </w:rPr>
        <w:t xml:space="preserve"> of this manual, while education and informat</w:t>
      </w:r>
      <w:r w:rsidR="001C5CB4" w:rsidRPr="004737C5">
        <w:rPr>
          <w:rFonts w:cstheme="minorHAnsi"/>
        </w:rPr>
        <w:t>ion are discussed in chapter X</w:t>
      </w:r>
      <w:r w:rsidR="00424AAD" w:rsidRPr="004737C5">
        <w:rPr>
          <w:rFonts w:cstheme="minorHAnsi"/>
        </w:rPr>
        <w:t>. C</w:t>
      </w:r>
      <w:r w:rsidRPr="004737C5">
        <w:rPr>
          <w:rFonts w:cstheme="minorHAnsi"/>
        </w:rPr>
        <w:t xml:space="preserve">omplaints and disputes are found </w:t>
      </w:r>
      <w:r w:rsidR="001C5CB4" w:rsidRPr="004737C5">
        <w:rPr>
          <w:rFonts w:cstheme="minorHAnsi"/>
        </w:rPr>
        <w:t>in chapter XI</w:t>
      </w:r>
      <w:r w:rsidRPr="004737C5">
        <w:rPr>
          <w:rFonts w:cstheme="minorHAnsi"/>
        </w:rPr>
        <w:t xml:space="preserve"> and p</w:t>
      </w:r>
      <w:r w:rsidR="001C5CB4" w:rsidRPr="004737C5">
        <w:rPr>
          <w:rFonts w:cstheme="minorHAnsi"/>
        </w:rPr>
        <w:t>rivacy is reviewed in chapter XIII</w:t>
      </w:r>
      <w:r w:rsidRPr="004737C5">
        <w:rPr>
          <w:rFonts w:cstheme="minorHAnsi"/>
        </w:rPr>
        <w:t>.</w:t>
      </w:r>
    </w:p>
    <w:p w14:paraId="10FE9225" w14:textId="77777777" w:rsidR="00843222" w:rsidRPr="004737C5" w:rsidRDefault="00843222" w:rsidP="007863B7">
      <w:pPr>
        <w:pStyle w:val="Heading3"/>
        <w:spacing w:after="160" w:line="240" w:lineRule="auto"/>
        <w:rPr>
          <w:rFonts w:cstheme="minorHAnsi"/>
          <w:color w:val="auto"/>
        </w:rPr>
      </w:pPr>
      <w:bookmarkStart w:id="20" w:name="_Toc492649973"/>
      <w:r w:rsidRPr="004737C5">
        <w:rPr>
          <w:rFonts w:cstheme="minorHAnsi"/>
          <w:color w:val="auto"/>
        </w:rPr>
        <w:t>3</w:t>
      </w:r>
      <w:r w:rsidR="00424AAD" w:rsidRPr="004737C5">
        <w:rPr>
          <w:rFonts w:cstheme="minorHAnsi"/>
          <w:color w:val="auto"/>
        </w:rPr>
        <w:t>.</w:t>
      </w:r>
      <w:r w:rsidRPr="004737C5">
        <w:rPr>
          <w:rFonts w:cstheme="minorHAnsi"/>
          <w:color w:val="auto"/>
        </w:rPr>
        <w:t xml:space="preserve"> Guidelines</w:t>
      </w:r>
      <w:bookmarkEnd w:id="20"/>
    </w:p>
    <w:p w14:paraId="11395788" w14:textId="77777777" w:rsidR="00843222" w:rsidRPr="004737C5" w:rsidRDefault="00843222" w:rsidP="006D3BE8">
      <w:pPr>
        <w:rPr>
          <w:rFonts w:cstheme="minorHAnsi"/>
        </w:rPr>
      </w:pPr>
      <w:r w:rsidRPr="004737C5">
        <w:rPr>
          <w:rFonts w:cstheme="minorHAnsi"/>
        </w:rPr>
        <w:t>The UNCGP contain a set of recommendations</w:t>
      </w:r>
      <w:r w:rsidRPr="004737C5">
        <w:rPr>
          <w:rFonts w:cstheme="minorHAnsi"/>
          <w:color w:val="FF0000"/>
        </w:rPr>
        <w:t xml:space="preserve"> </w:t>
      </w:r>
      <w:r w:rsidRPr="004737C5">
        <w:rPr>
          <w:rFonts w:cstheme="minorHAnsi"/>
        </w:rPr>
        <w:t xml:space="preserve">to Member States. </w:t>
      </w:r>
      <w:r w:rsidR="00424AAD" w:rsidRPr="004737C5">
        <w:rPr>
          <w:rFonts w:cstheme="minorHAnsi"/>
        </w:rPr>
        <w:t>Below is a summary of the core g</w:t>
      </w:r>
      <w:r w:rsidR="00291489" w:rsidRPr="004737C5">
        <w:rPr>
          <w:rFonts w:cstheme="minorHAnsi"/>
        </w:rPr>
        <w:t>uidelines, which comprise s</w:t>
      </w:r>
      <w:r w:rsidRPr="004737C5">
        <w:rPr>
          <w:rFonts w:cstheme="minorHAnsi"/>
        </w:rPr>
        <w:t>ection V</w:t>
      </w:r>
      <w:r w:rsidR="00424AAD" w:rsidRPr="004737C5">
        <w:rPr>
          <w:rFonts w:cstheme="minorHAnsi"/>
        </w:rPr>
        <w:t>,</w:t>
      </w:r>
      <w:r w:rsidR="00291489" w:rsidRPr="004737C5">
        <w:rPr>
          <w:rFonts w:cstheme="minorHAnsi"/>
        </w:rPr>
        <w:t xml:space="preserve"> sub-sections A‒</w:t>
      </w:r>
      <w:r w:rsidRPr="004737C5">
        <w:rPr>
          <w:rFonts w:cstheme="minorHAnsi"/>
        </w:rPr>
        <w:t xml:space="preserve">K, by which Member States should </w:t>
      </w:r>
      <w:r w:rsidR="00245A7E" w:rsidRPr="004737C5">
        <w:rPr>
          <w:rFonts w:cstheme="minorHAnsi"/>
        </w:rPr>
        <w:t>be guided</w:t>
      </w:r>
      <w:r w:rsidRPr="004737C5">
        <w:rPr>
          <w:rFonts w:cstheme="minorHAnsi"/>
        </w:rPr>
        <w:t>:</w:t>
      </w:r>
    </w:p>
    <w:p w14:paraId="5FDFB7D3" w14:textId="77777777" w:rsidR="00843222" w:rsidRPr="004737C5" w:rsidRDefault="00424AAD" w:rsidP="00A577C4">
      <w:pPr>
        <w:spacing w:before="200"/>
        <w:rPr>
          <w:rFonts w:cstheme="minorHAnsi"/>
          <w:b/>
        </w:rPr>
      </w:pPr>
      <w:r w:rsidRPr="004737C5">
        <w:rPr>
          <w:rFonts w:cstheme="minorHAnsi"/>
          <w:b/>
        </w:rPr>
        <w:t>(a)</w:t>
      </w:r>
      <w:r w:rsidR="00843222" w:rsidRPr="004737C5">
        <w:rPr>
          <w:rFonts w:cstheme="minorHAnsi"/>
          <w:b/>
        </w:rPr>
        <w:t xml:space="preserve"> National p</w:t>
      </w:r>
      <w:r w:rsidRPr="004737C5">
        <w:rPr>
          <w:rFonts w:cstheme="minorHAnsi"/>
          <w:b/>
        </w:rPr>
        <w:t>olicies for consumer protection</w:t>
      </w:r>
    </w:p>
    <w:p w14:paraId="249BF511" w14:textId="77777777" w:rsidR="00843222" w:rsidRPr="004737C5" w:rsidRDefault="00424AAD" w:rsidP="006D3BE8">
      <w:pPr>
        <w:rPr>
          <w:rFonts w:cstheme="minorHAnsi"/>
        </w:rPr>
      </w:pPr>
      <w:r w:rsidRPr="004737C5">
        <w:rPr>
          <w:rFonts w:cstheme="minorHAnsi"/>
        </w:rPr>
        <w:t>This section, comprising guidelines 14‒</w:t>
      </w:r>
      <w:r w:rsidR="00843222" w:rsidRPr="004737C5">
        <w:rPr>
          <w:rFonts w:cstheme="minorHAnsi"/>
        </w:rPr>
        <w:t>15, requires Member States to</w:t>
      </w:r>
      <w:r w:rsidR="00245A7E" w:rsidRPr="004737C5">
        <w:rPr>
          <w:rFonts w:cstheme="minorHAnsi"/>
        </w:rPr>
        <w:t xml:space="preserve"> encourage</w:t>
      </w:r>
      <w:r w:rsidR="00843222" w:rsidRPr="004737C5">
        <w:rPr>
          <w:rFonts w:cstheme="minorHAnsi"/>
        </w:rPr>
        <w:t>:</w:t>
      </w:r>
    </w:p>
    <w:p w14:paraId="0E1557BC" w14:textId="77777777" w:rsidR="00843222" w:rsidRPr="004737C5" w:rsidRDefault="00245A7E" w:rsidP="002473E9">
      <w:pPr>
        <w:pStyle w:val="ListParagraph"/>
        <w:numPr>
          <w:ilvl w:val="0"/>
          <w:numId w:val="32"/>
        </w:numPr>
        <w:tabs>
          <w:tab w:val="left" w:pos="709"/>
          <w:tab w:val="left" w:pos="1134"/>
        </w:tabs>
        <w:spacing w:after="0"/>
        <w:ind w:left="709" w:hanging="425"/>
        <w:rPr>
          <w:rFonts w:cstheme="minorHAnsi"/>
        </w:rPr>
      </w:pPr>
      <w:r w:rsidRPr="004737C5">
        <w:rPr>
          <w:rFonts w:cstheme="minorHAnsi"/>
        </w:rPr>
        <w:t>G</w:t>
      </w:r>
      <w:r w:rsidR="00424AAD" w:rsidRPr="004737C5">
        <w:rPr>
          <w:rFonts w:cstheme="minorHAnsi"/>
        </w:rPr>
        <w:t>ood business practices</w:t>
      </w:r>
    </w:p>
    <w:p w14:paraId="63D37081" w14:textId="77777777" w:rsidR="00843222" w:rsidRPr="004737C5" w:rsidRDefault="00424AAD" w:rsidP="002473E9">
      <w:pPr>
        <w:pStyle w:val="ListParagraph"/>
        <w:numPr>
          <w:ilvl w:val="0"/>
          <w:numId w:val="32"/>
        </w:numPr>
        <w:tabs>
          <w:tab w:val="left" w:pos="709"/>
          <w:tab w:val="left" w:pos="1134"/>
        </w:tabs>
        <w:spacing w:after="0"/>
        <w:ind w:left="709" w:hanging="425"/>
        <w:rPr>
          <w:rFonts w:cstheme="minorHAnsi"/>
        </w:rPr>
      </w:pPr>
      <w:r w:rsidRPr="004737C5">
        <w:rPr>
          <w:rFonts w:cstheme="minorHAnsi"/>
        </w:rPr>
        <w:t>C</w:t>
      </w:r>
      <w:r w:rsidR="00245A7E" w:rsidRPr="004737C5">
        <w:rPr>
          <w:rFonts w:cstheme="minorHAnsi"/>
        </w:rPr>
        <w:t xml:space="preserve">lear and timely </w:t>
      </w:r>
      <w:r w:rsidRPr="004737C5">
        <w:rPr>
          <w:rFonts w:cstheme="minorHAnsi"/>
        </w:rPr>
        <w:t>information</w:t>
      </w:r>
      <w:r w:rsidR="00843222" w:rsidRPr="004737C5">
        <w:rPr>
          <w:rFonts w:cstheme="minorHAnsi"/>
        </w:rPr>
        <w:t xml:space="preserve"> </w:t>
      </w:r>
    </w:p>
    <w:p w14:paraId="41900152" w14:textId="77777777" w:rsidR="00843222" w:rsidRPr="004737C5" w:rsidRDefault="00843222" w:rsidP="002473E9">
      <w:pPr>
        <w:pStyle w:val="ListParagraph"/>
        <w:numPr>
          <w:ilvl w:val="0"/>
          <w:numId w:val="32"/>
        </w:numPr>
        <w:tabs>
          <w:tab w:val="left" w:pos="709"/>
          <w:tab w:val="left" w:pos="1134"/>
        </w:tabs>
        <w:spacing w:after="0"/>
        <w:ind w:left="709" w:hanging="425"/>
        <w:rPr>
          <w:rFonts w:cstheme="minorHAnsi"/>
        </w:rPr>
      </w:pPr>
      <w:r w:rsidRPr="004737C5">
        <w:rPr>
          <w:rFonts w:cstheme="minorHAnsi"/>
        </w:rPr>
        <w:t>Fair and clear contract te</w:t>
      </w:r>
      <w:r w:rsidR="00424AAD" w:rsidRPr="004737C5">
        <w:rPr>
          <w:rFonts w:cstheme="minorHAnsi"/>
        </w:rPr>
        <w:t>rms and transaction procedures</w:t>
      </w:r>
    </w:p>
    <w:p w14:paraId="4C8F7550" w14:textId="77777777" w:rsidR="00843222" w:rsidRPr="004737C5" w:rsidRDefault="00843222" w:rsidP="002473E9">
      <w:pPr>
        <w:pStyle w:val="ListParagraph"/>
        <w:numPr>
          <w:ilvl w:val="0"/>
          <w:numId w:val="32"/>
        </w:numPr>
        <w:tabs>
          <w:tab w:val="left" w:pos="709"/>
          <w:tab w:val="left" w:pos="1134"/>
        </w:tabs>
        <w:spacing w:after="0"/>
        <w:ind w:left="709" w:hanging="425"/>
        <w:rPr>
          <w:rFonts w:cstheme="minorHAnsi"/>
        </w:rPr>
      </w:pPr>
      <w:r w:rsidRPr="004737C5">
        <w:rPr>
          <w:rFonts w:cstheme="minorHAnsi"/>
        </w:rPr>
        <w:t>Secure payment m</w:t>
      </w:r>
      <w:r w:rsidR="00424AAD" w:rsidRPr="004737C5">
        <w:rPr>
          <w:rFonts w:cstheme="minorHAnsi"/>
        </w:rPr>
        <w:t>echanisms</w:t>
      </w:r>
    </w:p>
    <w:p w14:paraId="369465B0" w14:textId="77777777" w:rsidR="00843222" w:rsidRPr="004737C5" w:rsidRDefault="00424AAD" w:rsidP="002473E9">
      <w:pPr>
        <w:pStyle w:val="ListParagraph"/>
        <w:numPr>
          <w:ilvl w:val="0"/>
          <w:numId w:val="32"/>
        </w:numPr>
        <w:tabs>
          <w:tab w:val="left" w:pos="709"/>
          <w:tab w:val="left" w:pos="1134"/>
        </w:tabs>
        <w:spacing w:after="0"/>
        <w:ind w:left="709" w:hanging="425"/>
        <w:rPr>
          <w:rFonts w:cstheme="minorHAnsi"/>
        </w:rPr>
      </w:pPr>
      <w:r w:rsidRPr="004737C5">
        <w:rPr>
          <w:rFonts w:cstheme="minorHAnsi"/>
        </w:rPr>
        <w:t>Dispute resolution and redress</w:t>
      </w:r>
    </w:p>
    <w:p w14:paraId="760DF2CA" w14:textId="77777777" w:rsidR="00245A7E" w:rsidRPr="004737C5" w:rsidRDefault="00424AAD" w:rsidP="002473E9">
      <w:pPr>
        <w:pStyle w:val="ListParagraph"/>
        <w:numPr>
          <w:ilvl w:val="0"/>
          <w:numId w:val="32"/>
        </w:numPr>
        <w:tabs>
          <w:tab w:val="left" w:pos="709"/>
          <w:tab w:val="left" w:pos="1134"/>
        </w:tabs>
        <w:spacing w:after="0"/>
        <w:ind w:left="709" w:hanging="425"/>
        <w:rPr>
          <w:rFonts w:cstheme="minorHAnsi"/>
        </w:rPr>
      </w:pPr>
      <w:r w:rsidRPr="004737C5">
        <w:rPr>
          <w:rFonts w:cstheme="minorHAnsi"/>
        </w:rPr>
        <w:t>Privacy and data security</w:t>
      </w:r>
    </w:p>
    <w:p w14:paraId="10283821" w14:textId="77777777" w:rsidR="00843222" w:rsidRPr="004737C5" w:rsidRDefault="003E47E8" w:rsidP="002473E9">
      <w:pPr>
        <w:pStyle w:val="ListParagraph"/>
        <w:numPr>
          <w:ilvl w:val="0"/>
          <w:numId w:val="32"/>
        </w:numPr>
        <w:tabs>
          <w:tab w:val="left" w:pos="709"/>
          <w:tab w:val="left" w:pos="1134"/>
        </w:tabs>
        <w:ind w:left="709" w:hanging="425"/>
        <w:rPr>
          <w:rFonts w:cstheme="minorHAnsi"/>
        </w:rPr>
      </w:pPr>
      <w:r w:rsidRPr="004737C5">
        <w:rPr>
          <w:rFonts w:cstheme="minorHAnsi"/>
        </w:rPr>
        <w:t>Consumer</w:t>
      </w:r>
      <w:r w:rsidR="00424AAD" w:rsidRPr="004737C5">
        <w:rPr>
          <w:rFonts w:cstheme="minorHAnsi"/>
        </w:rPr>
        <w:t xml:space="preserve"> and business education</w:t>
      </w:r>
      <w:r w:rsidR="00843222" w:rsidRPr="004737C5">
        <w:rPr>
          <w:rFonts w:cstheme="minorHAnsi"/>
        </w:rPr>
        <w:t xml:space="preserve">  </w:t>
      </w:r>
    </w:p>
    <w:p w14:paraId="71FE107E" w14:textId="77777777" w:rsidR="00843222" w:rsidRPr="004737C5" w:rsidRDefault="00843222" w:rsidP="006D3BE8">
      <w:pPr>
        <w:tabs>
          <w:tab w:val="left" w:pos="709"/>
          <w:tab w:val="left" w:pos="1134"/>
        </w:tabs>
        <w:rPr>
          <w:rFonts w:cstheme="minorHAnsi"/>
        </w:rPr>
      </w:pPr>
      <w:r w:rsidRPr="004737C5">
        <w:rPr>
          <w:rFonts w:cstheme="minorHAnsi"/>
        </w:rPr>
        <w:t>This section also calls upon Member States to ensure adequate resources for consumer protection agencies to promote compliance and obtain redress. Consumer protection age</w:t>
      </w:r>
      <w:r w:rsidR="001C5CB4" w:rsidRPr="004737C5">
        <w:rPr>
          <w:rFonts w:cstheme="minorHAnsi"/>
        </w:rPr>
        <w:t>ncies are discussed in chapter IV</w:t>
      </w:r>
      <w:r w:rsidRPr="004737C5">
        <w:rPr>
          <w:rFonts w:cstheme="minorHAnsi"/>
        </w:rPr>
        <w:t xml:space="preserve">. </w:t>
      </w:r>
    </w:p>
    <w:p w14:paraId="3ACBAF0E" w14:textId="77777777" w:rsidR="00843222" w:rsidRPr="004737C5" w:rsidRDefault="00424AAD" w:rsidP="00A577C4">
      <w:pPr>
        <w:spacing w:before="200"/>
        <w:rPr>
          <w:rFonts w:cstheme="minorHAnsi"/>
          <w:b/>
        </w:rPr>
      </w:pPr>
      <w:r w:rsidRPr="004737C5">
        <w:rPr>
          <w:rFonts w:cstheme="minorHAnsi"/>
          <w:b/>
        </w:rPr>
        <w:t xml:space="preserve">(b) </w:t>
      </w:r>
      <w:r w:rsidR="00843222" w:rsidRPr="004737C5">
        <w:rPr>
          <w:rFonts w:cstheme="minorHAnsi"/>
          <w:b/>
        </w:rPr>
        <w:t>Physical safety</w:t>
      </w:r>
    </w:p>
    <w:p w14:paraId="33077A89" w14:textId="77777777" w:rsidR="00843222" w:rsidRPr="004737C5" w:rsidRDefault="00843222" w:rsidP="00A577C4">
      <w:pPr>
        <w:pStyle w:val="BodyText"/>
        <w:spacing w:after="160"/>
        <w:rPr>
          <w:rFonts w:asciiTheme="minorHAnsi" w:hAnsiTheme="minorHAnsi" w:cstheme="minorHAnsi"/>
          <w:sz w:val="22"/>
        </w:rPr>
      </w:pPr>
      <w:r w:rsidRPr="004737C5">
        <w:rPr>
          <w:rFonts w:asciiTheme="minorHAnsi" w:hAnsiTheme="minorHAnsi" w:cstheme="minorHAnsi"/>
          <w:sz w:val="22"/>
        </w:rPr>
        <w:t>This se</w:t>
      </w:r>
      <w:r w:rsidR="009934B2" w:rsidRPr="004737C5">
        <w:rPr>
          <w:rFonts w:asciiTheme="minorHAnsi" w:hAnsiTheme="minorHAnsi" w:cstheme="minorHAnsi"/>
          <w:sz w:val="22"/>
        </w:rPr>
        <w:t>ction, comprising g</w:t>
      </w:r>
      <w:r w:rsidR="00424AAD" w:rsidRPr="004737C5">
        <w:rPr>
          <w:rFonts w:asciiTheme="minorHAnsi" w:hAnsiTheme="minorHAnsi" w:cstheme="minorHAnsi"/>
          <w:sz w:val="22"/>
        </w:rPr>
        <w:t>uidelines 16‒</w:t>
      </w:r>
      <w:r w:rsidRPr="004737C5">
        <w:rPr>
          <w:rFonts w:asciiTheme="minorHAnsi" w:hAnsiTheme="minorHAnsi" w:cstheme="minorHAnsi"/>
          <w:sz w:val="22"/>
        </w:rPr>
        <w:t>19, requires that Member States ensure:</w:t>
      </w:r>
    </w:p>
    <w:p w14:paraId="40F4BA6D" w14:textId="77777777" w:rsidR="00843222" w:rsidRPr="004737C5" w:rsidRDefault="00843222" w:rsidP="006D3BE8">
      <w:pPr>
        <w:pStyle w:val="BodyText"/>
        <w:tabs>
          <w:tab w:val="left" w:pos="1134"/>
        </w:tabs>
        <w:ind w:left="709" w:hanging="425"/>
        <w:rPr>
          <w:rFonts w:asciiTheme="minorHAnsi" w:hAnsiTheme="minorHAnsi" w:cstheme="minorHAnsi"/>
          <w:sz w:val="22"/>
        </w:rPr>
      </w:pPr>
      <w:r w:rsidRPr="004737C5">
        <w:rPr>
          <w:rFonts w:asciiTheme="minorHAnsi" w:hAnsiTheme="minorHAnsi" w:cstheme="minorHAnsi"/>
          <w:sz w:val="22"/>
        </w:rPr>
        <w:t xml:space="preserve">1) </w:t>
      </w:r>
      <w:r w:rsidRPr="004737C5">
        <w:rPr>
          <w:rFonts w:asciiTheme="minorHAnsi" w:hAnsiTheme="minorHAnsi" w:cstheme="minorHAnsi"/>
          <w:sz w:val="22"/>
        </w:rPr>
        <w:tab/>
        <w:t xml:space="preserve">Products are safe </w:t>
      </w:r>
      <w:r w:rsidR="00424AAD" w:rsidRPr="004737C5">
        <w:rPr>
          <w:rFonts w:asciiTheme="minorHAnsi" w:hAnsiTheme="minorHAnsi" w:cstheme="minorHAnsi"/>
          <w:sz w:val="22"/>
        </w:rPr>
        <w:t>and conform to safety standards</w:t>
      </w:r>
    </w:p>
    <w:p w14:paraId="07A0CD94" w14:textId="77777777" w:rsidR="00843222" w:rsidRPr="004737C5" w:rsidRDefault="00843222" w:rsidP="006D3BE8">
      <w:pPr>
        <w:pStyle w:val="BodyText"/>
        <w:ind w:left="709" w:hanging="425"/>
        <w:rPr>
          <w:rFonts w:asciiTheme="minorHAnsi" w:hAnsiTheme="minorHAnsi" w:cstheme="minorHAnsi"/>
          <w:sz w:val="22"/>
        </w:rPr>
      </w:pPr>
      <w:r w:rsidRPr="004737C5">
        <w:rPr>
          <w:rFonts w:asciiTheme="minorHAnsi" w:hAnsiTheme="minorHAnsi" w:cstheme="minorHAnsi"/>
          <w:sz w:val="22"/>
        </w:rPr>
        <w:t xml:space="preserve">2) </w:t>
      </w:r>
      <w:r w:rsidRPr="004737C5">
        <w:rPr>
          <w:rFonts w:asciiTheme="minorHAnsi" w:hAnsiTheme="minorHAnsi" w:cstheme="minorHAnsi"/>
          <w:sz w:val="22"/>
        </w:rPr>
        <w:tab/>
        <w:t xml:space="preserve">Consumers are provided with information on the proper </w:t>
      </w:r>
      <w:r w:rsidR="00424AAD" w:rsidRPr="004737C5">
        <w:rPr>
          <w:rFonts w:asciiTheme="minorHAnsi" w:hAnsiTheme="minorHAnsi" w:cstheme="minorHAnsi"/>
          <w:sz w:val="22"/>
        </w:rPr>
        <w:t>use of goods and risks involved</w:t>
      </w:r>
    </w:p>
    <w:p w14:paraId="3EFB6269" w14:textId="77777777" w:rsidR="00843222" w:rsidRPr="004737C5" w:rsidRDefault="00843222" w:rsidP="006D3BE8">
      <w:pPr>
        <w:pStyle w:val="BodyText"/>
        <w:ind w:left="709" w:hanging="425"/>
        <w:rPr>
          <w:rFonts w:asciiTheme="minorHAnsi" w:hAnsiTheme="minorHAnsi" w:cstheme="minorHAnsi"/>
          <w:sz w:val="22"/>
        </w:rPr>
      </w:pPr>
      <w:r w:rsidRPr="004737C5">
        <w:rPr>
          <w:rFonts w:asciiTheme="minorHAnsi" w:hAnsiTheme="minorHAnsi" w:cstheme="minorHAnsi"/>
          <w:sz w:val="22"/>
        </w:rPr>
        <w:t xml:space="preserve">3) </w:t>
      </w:r>
      <w:r w:rsidRPr="004737C5">
        <w:rPr>
          <w:rFonts w:asciiTheme="minorHAnsi" w:hAnsiTheme="minorHAnsi" w:cstheme="minorHAnsi"/>
          <w:sz w:val="22"/>
        </w:rPr>
        <w:tab/>
        <w:t xml:space="preserve">Measures for notification and recall of unsafe or </w:t>
      </w:r>
      <w:r w:rsidR="00424AAD" w:rsidRPr="004737C5">
        <w:rPr>
          <w:rFonts w:asciiTheme="minorHAnsi" w:hAnsiTheme="minorHAnsi" w:cstheme="minorHAnsi"/>
          <w:sz w:val="22"/>
        </w:rPr>
        <w:t>hazardous products are in place</w:t>
      </w:r>
    </w:p>
    <w:p w14:paraId="590B43A2" w14:textId="43246F86" w:rsidR="00843222" w:rsidRPr="004737C5" w:rsidRDefault="00843222" w:rsidP="007863B7">
      <w:pPr>
        <w:pStyle w:val="BodyText"/>
        <w:spacing w:after="160"/>
        <w:ind w:left="709" w:hanging="425"/>
        <w:rPr>
          <w:rFonts w:asciiTheme="minorHAnsi" w:hAnsiTheme="minorHAnsi" w:cstheme="minorHAnsi"/>
          <w:sz w:val="22"/>
        </w:rPr>
      </w:pPr>
      <w:r w:rsidRPr="004737C5">
        <w:rPr>
          <w:rFonts w:asciiTheme="minorHAnsi" w:hAnsiTheme="minorHAnsi" w:cstheme="minorHAnsi"/>
          <w:sz w:val="22"/>
        </w:rPr>
        <w:t xml:space="preserve">4) </w:t>
      </w:r>
      <w:r w:rsidRPr="004737C5">
        <w:rPr>
          <w:rFonts w:asciiTheme="minorHAnsi" w:hAnsiTheme="minorHAnsi" w:cstheme="minorHAnsi"/>
          <w:sz w:val="22"/>
        </w:rPr>
        <w:tab/>
        <w:t xml:space="preserve">Appropriate </w:t>
      </w:r>
      <w:r w:rsidR="009934B2" w:rsidRPr="004737C5">
        <w:rPr>
          <w:rFonts w:asciiTheme="minorHAnsi" w:hAnsiTheme="minorHAnsi" w:cstheme="minorHAnsi"/>
          <w:sz w:val="22"/>
        </w:rPr>
        <w:t>remedies in case of such recall</w:t>
      </w:r>
    </w:p>
    <w:p w14:paraId="202E94EA" w14:textId="77777777" w:rsidR="00843222" w:rsidRPr="004737C5" w:rsidRDefault="00843222" w:rsidP="007863B7">
      <w:pPr>
        <w:pStyle w:val="BodyText"/>
        <w:spacing w:after="160"/>
        <w:rPr>
          <w:rFonts w:asciiTheme="minorHAnsi" w:hAnsiTheme="minorHAnsi" w:cstheme="minorHAnsi"/>
          <w:sz w:val="22"/>
        </w:rPr>
      </w:pPr>
      <w:r w:rsidRPr="004737C5">
        <w:rPr>
          <w:rFonts w:asciiTheme="minorHAnsi" w:hAnsiTheme="minorHAnsi" w:cstheme="minorHAnsi"/>
          <w:sz w:val="22"/>
        </w:rPr>
        <w:t>Product sa</w:t>
      </w:r>
      <w:r w:rsidR="001C5CB4" w:rsidRPr="004737C5">
        <w:rPr>
          <w:rFonts w:asciiTheme="minorHAnsi" w:hAnsiTheme="minorHAnsi" w:cstheme="minorHAnsi"/>
          <w:sz w:val="22"/>
        </w:rPr>
        <w:t>fety is discussed in chapter IX</w:t>
      </w:r>
      <w:r w:rsidR="00424AAD" w:rsidRPr="004737C5">
        <w:rPr>
          <w:rFonts w:asciiTheme="minorHAnsi" w:hAnsiTheme="minorHAnsi" w:cstheme="minorHAnsi"/>
          <w:sz w:val="22"/>
        </w:rPr>
        <w:t>.</w:t>
      </w:r>
    </w:p>
    <w:p w14:paraId="3613A089" w14:textId="77777777" w:rsidR="00843222" w:rsidRPr="004737C5" w:rsidRDefault="00424AAD" w:rsidP="00A577C4">
      <w:pPr>
        <w:spacing w:before="200"/>
        <w:rPr>
          <w:rFonts w:cstheme="minorHAnsi"/>
          <w:b/>
        </w:rPr>
      </w:pPr>
      <w:r w:rsidRPr="004737C5">
        <w:rPr>
          <w:rFonts w:cstheme="minorHAnsi"/>
          <w:b/>
        </w:rPr>
        <w:t xml:space="preserve">(c) </w:t>
      </w:r>
      <w:r w:rsidR="00843222" w:rsidRPr="004737C5">
        <w:rPr>
          <w:rFonts w:cstheme="minorHAnsi"/>
          <w:b/>
        </w:rPr>
        <w:t xml:space="preserve">Promotion and protection of the economic interests of consumers </w:t>
      </w:r>
    </w:p>
    <w:p w14:paraId="2A028535" w14:textId="77777777" w:rsidR="00843222" w:rsidRPr="004737C5" w:rsidRDefault="00843222" w:rsidP="007863B7">
      <w:pPr>
        <w:pStyle w:val="BodyText"/>
        <w:spacing w:after="160"/>
        <w:rPr>
          <w:rFonts w:asciiTheme="minorHAnsi" w:hAnsiTheme="minorHAnsi" w:cstheme="minorHAnsi"/>
          <w:sz w:val="22"/>
        </w:rPr>
      </w:pPr>
      <w:r w:rsidRPr="004737C5">
        <w:rPr>
          <w:rFonts w:asciiTheme="minorHAnsi" w:hAnsiTheme="minorHAnsi" w:cstheme="minorHAnsi"/>
          <w:sz w:val="22"/>
        </w:rPr>
        <w:t>This se</w:t>
      </w:r>
      <w:r w:rsidR="009934B2" w:rsidRPr="004737C5">
        <w:rPr>
          <w:rFonts w:asciiTheme="minorHAnsi" w:hAnsiTheme="minorHAnsi" w:cstheme="minorHAnsi"/>
          <w:sz w:val="22"/>
        </w:rPr>
        <w:t>ction, comprising g</w:t>
      </w:r>
      <w:r w:rsidR="00424AAD" w:rsidRPr="004737C5">
        <w:rPr>
          <w:rFonts w:asciiTheme="minorHAnsi" w:hAnsiTheme="minorHAnsi" w:cstheme="minorHAnsi"/>
          <w:sz w:val="22"/>
        </w:rPr>
        <w:t>uidelines 20‒</w:t>
      </w:r>
      <w:r w:rsidRPr="004737C5">
        <w:rPr>
          <w:rFonts w:asciiTheme="minorHAnsi" w:hAnsiTheme="minorHAnsi" w:cstheme="minorHAnsi"/>
          <w:sz w:val="22"/>
        </w:rPr>
        <w:t xml:space="preserve">32, requires Member States </w:t>
      </w:r>
      <w:r w:rsidR="00245A7E" w:rsidRPr="004737C5">
        <w:rPr>
          <w:rFonts w:asciiTheme="minorHAnsi" w:hAnsiTheme="minorHAnsi" w:cstheme="minorHAnsi"/>
          <w:sz w:val="22"/>
        </w:rPr>
        <w:t xml:space="preserve">to encourage or </w:t>
      </w:r>
      <w:r w:rsidRPr="004737C5">
        <w:rPr>
          <w:rFonts w:asciiTheme="minorHAnsi" w:hAnsiTheme="minorHAnsi" w:cstheme="minorHAnsi"/>
          <w:sz w:val="22"/>
        </w:rPr>
        <w:t>ensure:</w:t>
      </w:r>
    </w:p>
    <w:p w14:paraId="3DBD0923" w14:textId="77777777" w:rsidR="00843222" w:rsidRPr="004737C5" w:rsidRDefault="00843222" w:rsidP="006D3BE8">
      <w:pPr>
        <w:pStyle w:val="BodyText"/>
        <w:tabs>
          <w:tab w:val="left" w:pos="709"/>
          <w:tab w:val="left" w:pos="1134"/>
        </w:tabs>
        <w:ind w:left="709" w:hanging="425"/>
        <w:rPr>
          <w:rFonts w:asciiTheme="minorHAnsi" w:hAnsiTheme="minorHAnsi" w:cstheme="minorHAnsi"/>
          <w:sz w:val="22"/>
        </w:rPr>
      </w:pPr>
      <w:r w:rsidRPr="004737C5">
        <w:rPr>
          <w:rFonts w:asciiTheme="minorHAnsi" w:hAnsiTheme="minorHAnsi" w:cstheme="minorHAnsi"/>
          <w:sz w:val="22"/>
        </w:rPr>
        <w:t xml:space="preserve">1) </w:t>
      </w:r>
      <w:r w:rsidRPr="004737C5">
        <w:rPr>
          <w:rFonts w:asciiTheme="minorHAnsi" w:hAnsiTheme="minorHAnsi" w:cstheme="minorHAnsi"/>
          <w:sz w:val="22"/>
        </w:rPr>
        <w:tab/>
        <w:t>Consumers obtain optimum benefit from their economic resources, by ensuring that goods meet satisfactory production and p</w:t>
      </w:r>
      <w:r w:rsidR="009934B2" w:rsidRPr="004737C5">
        <w:rPr>
          <w:rFonts w:asciiTheme="minorHAnsi" w:hAnsiTheme="minorHAnsi" w:cstheme="minorHAnsi"/>
          <w:sz w:val="22"/>
        </w:rPr>
        <w:t>erformance standards</w:t>
      </w:r>
    </w:p>
    <w:p w14:paraId="1814571D" w14:textId="77777777" w:rsidR="00843222" w:rsidRPr="004737C5" w:rsidRDefault="00843222" w:rsidP="006D3BE8">
      <w:pPr>
        <w:pStyle w:val="BodyText"/>
        <w:tabs>
          <w:tab w:val="left" w:pos="1134"/>
        </w:tabs>
        <w:ind w:left="709" w:hanging="425"/>
        <w:rPr>
          <w:rFonts w:asciiTheme="minorHAnsi" w:hAnsiTheme="minorHAnsi" w:cstheme="minorHAnsi"/>
          <w:sz w:val="22"/>
        </w:rPr>
      </w:pPr>
      <w:r w:rsidRPr="004737C5">
        <w:rPr>
          <w:rFonts w:asciiTheme="minorHAnsi" w:hAnsiTheme="minorHAnsi" w:cstheme="minorHAnsi"/>
          <w:sz w:val="22"/>
        </w:rPr>
        <w:t xml:space="preserve">2) </w:t>
      </w:r>
      <w:r w:rsidRPr="004737C5">
        <w:rPr>
          <w:rFonts w:asciiTheme="minorHAnsi" w:hAnsiTheme="minorHAnsi" w:cstheme="minorHAnsi"/>
          <w:sz w:val="22"/>
        </w:rPr>
        <w:tab/>
        <w:t>Adequate distribution channels and afte</w:t>
      </w:r>
      <w:r w:rsidR="009934B2" w:rsidRPr="004737C5">
        <w:rPr>
          <w:rFonts w:asciiTheme="minorHAnsi" w:hAnsiTheme="minorHAnsi" w:cstheme="minorHAnsi"/>
          <w:sz w:val="22"/>
        </w:rPr>
        <w:t>r sales services for such goods</w:t>
      </w:r>
    </w:p>
    <w:p w14:paraId="5F5EAD61" w14:textId="77777777" w:rsidR="00843222" w:rsidRPr="004737C5" w:rsidRDefault="00843222" w:rsidP="006D3BE8">
      <w:pPr>
        <w:pStyle w:val="BodyText"/>
        <w:tabs>
          <w:tab w:val="left" w:pos="1134"/>
        </w:tabs>
        <w:ind w:left="709" w:hanging="425"/>
        <w:rPr>
          <w:rFonts w:asciiTheme="minorHAnsi" w:hAnsiTheme="minorHAnsi" w:cstheme="minorHAnsi"/>
          <w:sz w:val="22"/>
        </w:rPr>
      </w:pPr>
      <w:r w:rsidRPr="004737C5">
        <w:rPr>
          <w:rFonts w:asciiTheme="minorHAnsi" w:hAnsiTheme="minorHAnsi" w:cstheme="minorHAnsi"/>
          <w:sz w:val="22"/>
        </w:rPr>
        <w:t xml:space="preserve">3) </w:t>
      </w:r>
      <w:r w:rsidRPr="004737C5">
        <w:rPr>
          <w:rFonts w:asciiTheme="minorHAnsi" w:hAnsiTheme="minorHAnsi" w:cstheme="minorHAnsi"/>
          <w:sz w:val="22"/>
        </w:rPr>
        <w:tab/>
        <w:t xml:space="preserve">Fair </w:t>
      </w:r>
      <w:r w:rsidR="009934B2" w:rsidRPr="004737C5">
        <w:rPr>
          <w:rFonts w:asciiTheme="minorHAnsi" w:hAnsiTheme="minorHAnsi" w:cstheme="minorHAnsi"/>
          <w:sz w:val="22"/>
        </w:rPr>
        <w:t>business practices are employed</w:t>
      </w:r>
    </w:p>
    <w:p w14:paraId="4E2E44C5" w14:textId="77777777" w:rsidR="00843222" w:rsidRPr="004737C5" w:rsidRDefault="00843222" w:rsidP="006D3BE8">
      <w:pPr>
        <w:pStyle w:val="BodyText"/>
        <w:tabs>
          <w:tab w:val="left" w:pos="1134"/>
        </w:tabs>
        <w:ind w:left="709" w:hanging="425"/>
        <w:rPr>
          <w:rFonts w:asciiTheme="minorHAnsi" w:hAnsiTheme="minorHAnsi" w:cstheme="minorHAnsi"/>
          <w:sz w:val="22"/>
        </w:rPr>
      </w:pPr>
      <w:r w:rsidRPr="004737C5">
        <w:rPr>
          <w:rFonts w:asciiTheme="minorHAnsi" w:hAnsiTheme="minorHAnsi" w:cstheme="minorHAnsi"/>
          <w:sz w:val="22"/>
        </w:rPr>
        <w:t xml:space="preserve">4) </w:t>
      </w:r>
      <w:r w:rsidRPr="004737C5">
        <w:rPr>
          <w:rFonts w:asciiTheme="minorHAnsi" w:hAnsiTheme="minorHAnsi" w:cstheme="minorHAnsi"/>
          <w:sz w:val="22"/>
        </w:rPr>
        <w:tab/>
        <w:t>Protec</w:t>
      </w:r>
      <w:r w:rsidR="009934B2" w:rsidRPr="004737C5">
        <w:rPr>
          <w:rFonts w:asciiTheme="minorHAnsi" w:hAnsiTheme="minorHAnsi" w:cstheme="minorHAnsi"/>
          <w:sz w:val="22"/>
        </w:rPr>
        <w:t>tion against contractual abuses</w:t>
      </w:r>
    </w:p>
    <w:p w14:paraId="60110DEF" w14:textId="77777777" w:rsidR="00843222" w:rsidRPr="004737C5" w:rsidRDefault="00843222" w:rsidP="006D3BE8">
      <w:pPr>
        <w:pStyle w:val="BodyText"/>
        <w:tabs>
          <w:tab w:val="left" w:pos="1134"/>
        </w:tabs>
        <w:ind w:left="709" w:hanging="425"/>
        <w:rPr>
          <w:rFonts w:asciiTheme="minorHAnsi" w:hAnsiTheme="minorHAnsi" w:cstheme="minorHAnsi"/>
          <w:sz w:val="22"/>
        </w:rPr>
      </w:pPr>
      <w:r w:rsidRPr="004737C5">
        <w:rPr>
          <w:rFonts w:asciiTheme="minorHAnsi" w:hAnsiTheme="minorHAnsi" w:cstheme="minorHAnsi"/>
          <w:sz w:val="22"/>
        </w:rPr>
        <w:t xml:space="preserve">5) </w:t>
      </w:r>
      <w:r w:rsidRPr="004737C5">
        <w:rPr>
          <w:rFonts w:asciiTheme="minorHAnsi" w:hAnsiTheme="minorHAnsi" w:cstheme="minorHAnsi"/>
          <w:sz w:val="22"/>
        </w:rPr>
        <w:tab/>
        <w:t>Ma</w:t>
      </w:r>
      <w:r w:rsidR="009934B2" w:rsidRPr="004737C5">
        <w:rPr>
          <w:rFonts w:asciiTheme="minorHAnsi" w:hAnsiTheme="minorHAnsi" w:cstheme="minorHAnsi"/>
          <w:sz w:val="22"/>
        </w:rPr>
        <w:t>rketing practices are regulated</w:t>
      </w:r>
    </w:p>
    <w:p w14:paraId="095077E6" w14:textId="77777777" w:rsidR="00843222" w:rsidRPr="004737C5" w:rsidRDefault="00843222" w:rsidP="007863B7">
      <w:pPr>
        <w:pStyle w:val="BodyText"/>
        <w:tabs>
          <w:tab w:val="left" w:pos="1134"/>
        </w:tabs>
        <w:spacing w:after="160"/>
        <w:ind w:left="709" w:hanging="425"/>
        <w:rPr>
          <w:rFonts w:asciiTheme="minorHAnsi" w:hAnsiTheme="minorHAnsi" w:cstheme="minorHAnsi"/>
          <w:sz w:val="22"/>
        </w:rPr>
      </w:pPr>
      <w:r w:rsidRPr="004737C5">
        <w:rPr>
          <w:rFonts w:asciiTheme="minorHAnsi" w:hAnsiTheme="minorHAnsi" w:cstheme="minorHAnsi"/>
          <w:sz w:val="22"/>
        </w:rPr>
        <w:t xml:space="preserve">6) </w:t>
      </w:r>
      <w:r w:rsidRPr="004737C5">
        <w:rPr>
          <w:rFonts w:asciiTheme="minorHAnsi" w:hAnsiTheme="minorHAnsi" w:cstheme="minorHAnsi"/>
          <w:sz w:val="22"/>
        </w:rPr>
        <w:tab/>
        <w:t>Information provided is adequate for consumers to make informed</w:t>
      </w:r>
      <w:r w:rsidR="009934B2" w:rsidRPr="004737C5">
        <w:rPr>
          <w:rFonts w:asciiTheme="minorHAnsi" w:hAnsiTheme="minorHAnsi" w:cstheme="minorHAnsi"/>
          <w:sz w:val="22"/>
        </w:rPr>
        <w:t xml:space="preserve"> decisions and exercise choice</w:t>
      </w:r>
    </w:p>
    <w:p w14:paraId="6F145F82" w14:textId="77777777" w:rsidR="00843222" w:rsidRPr="004737C5" w:rsidRDefault="00843222" w:rsidP="00136BFE">
      <w:pPr>
        <w:pStyle w:val="BodyText"/>
        <w:spacing w:after="160"/>
        <w:rPr>
          <w:rFonts w:asciiTheme="minorHAnsi" w:hAnsiTheme="minorHAnsi" w:cstheme="minorHAnsi"/>
          <w:sz w:val="22"/>
        </w:rPr>
      </w:pPr>
      <w:r w:rsidRPr="004737C5">
        <w:rPr>
          <w:rFonts w:asciiTheme="minorHAnsi" w:hAnsiTheme="minorHAnsi" w:cstheme="minorHAnsi"/>
          <w:sz w:val="22"/>
        </w:rPr>
        <w:t>This section is wide-ranging and its components are disc</w:t>
      </w:r>
      <w:r w:rsidR="001C5CB4" w:rsidRPr="004737C5">
        <w:rPr>
          <w:rFonts w:asciiTheme="minorHAnsi" w:hAnsiTheme="minorHAnsi" w:cstheme="minorHAnsi"/>
          <w:sz w:val="22"/>
        </w:rPr>
        <w:t>ussed in chapter III</w:t>
      </w:r>
      <w:r w:rsidRPr="004737C5">
        <w:rPr>
          <w:rFonts w:asciiTheme="minorHAnsi" w:hAnsiTheme="minorHAnsi" w:cstheme="minorHAnsi"/>
          <w:sz w:val="22"/>
        </w:rPr>
        <w:t xml:space="preserve"> (consume</w:t>
      </w:r>
      <w:r w:rsidR="001C5CB4" w:rsidRPr="004737C5">
        <w:rPr>
          <w:rFonts w:asciiTheme="minorHAnsi" w:hAnsiTheme="minorHAnsi" w:cstheme="minorHAnsi"/>
          <w:sz w:val="22"/>
        </w:rPr>
        <w:t>r law), chapter VII</w:t>
      </w:r>
      <w:r w:rsidR="009934B2" w:rsidRPr="004737C5">
        <w:rPr>
          <w:rFonts w:asciiTheme="minorHAnsi" w:hAnsiTheme="minorHAnsi" w:cstheme="minorHAnsi"/>
          <w:sz w:val="22"/>
        </w:rPr>
        <w:t xml:space="preserve"> (competition)</w:t>
      </w:r>
      <w:r w:rsidR="001C5CB4" w:rsidRPr="004737C5">
        <w:rPr>
          <w:rFonts w:asciiTheme="minorHAnsi" w:hAnsiTheme="minorHAnsi" w:cstheme="minorHAnsi"/>
          <w:sz w:val="22"/>
        </w:rPr>
        <w:t xml:space="preserve"> and chapter X</w:t>
      </w:r>
      <w:r w:rsidRPr="004737C5">
        <w:rPr>
          <w:rFonts w:asciiTheme="minorHAnsi" w:hAnsiTheme="minorHAnsi" w:cstheme="minorHAnsi"/>
          <w:sz w:val="22"/>
        </w:rPr>
        <w:t xml:space="preserve"> (information</w:t>
      </w:r>
      <w:r w:rsidR="00245A7E" w:rsidRPr="004737C5">
        <w:rPr>
          <w:rFonts w:asciiTheme="minorHAnsi" w:hAnsiTheme="minorHAnsi" w:cstheme="minorHAnsi"/>
          <w:sz w:val="22"/>
        </w:rPr>
        <w:t xml:space="preserve"> and education</w:t>
      </w:r>
      <w:r w:rsidR="009934B2" w:rsidRPr="004737C5">
        <w:rPr>
          <w:rFonts w:asciiTheme="minorHAnsi" w:hAnsiTheme="minorHAnsi" w:cstheme="minorHAnsi"/>
          <w:sz w:val="22"/>
        </w:rPr>
        <w:t>).</w:t>
      </w:r>
    </w:p>
    <w:p w14:paraId="7BA0FDD3" w14:textId="77777777" w:rsidR="00843222" w:rsidRPr="004737C5" w:rsidRDefault="009934B2" w:rsidP="00A577C4">
      <w:pPr>
        <w:spacing w:before="200"/>
        <w:rPr>
          <w:rFonts w:cstheme="minorHAnsi"/>
          <w:b/>
        </w:rPr>
      </w:pPr>
      <w:r w:rsidRPr="004737C5">
        <w:rPr>
          <w:rFonts w:cstheme="minorHAnsi"/>
          <w:b/>
        </w:rPr>
        <w:lastRenderedPageBreak/>
        <w:t xml:space="preserve">(d) </w:t>
      </w:r>
      <w:r w:rsidR="00843222" w:rsidRPr="004737C5">
        <w:rPr>
          <w:rFonts w:cstheme="minorHAnsi"/>
          <w:b/>
        </w:rPr>
        <w:t xml:space="preserve">Standards for </w:t>
      </w:r>
      <w:r w:rsidR="00245A7E" w:rsidRPr="004737C5">
        <w:rPr>
          <w:rFonts w:cstheme="minorHAnsi"/>
          <w:b/>
        </w:rPr>
        <w:t xml:space="preserve">the </w:t>
      </w:r>
      <w:r w:rsidR="00843222" w:rsidRPr="004737C5">
        <w:rPr>
          <w:rFonts w:cstheme="minorHAnsi"/>
          <w:b/>
        </w:rPr>
        <w:t xml:space="preserve">safety and quality of </w:t>
      </w:r>
      <w:r w:rsidR="00245A7E" w:rsidRPr="004737C5">
        <w:rPr>
          <w:rFonts w:cstheme="minorHAnsi"/>
          <w:b/>
        </w:rPr>
        <w:t xml:space="preserve">consumer </w:t>
      </w:r>
      <w:r w:rsidR="00843222" w:rsidRPr="004737C5">
        <w:rPr>
          <w:rFonts w:cstheme="minorHAnsi"/>
          <w:b/>
        </w:rPr>
        <w:t>goods and services</w:t>
      </w:r>
    </w:p>
    <w:p w14:paraId="6A3694BD" w14:textId="77777777" w:rsidR="00843222" w:rsidRPr="004737C5" w:rsidRDefault="00843222" w:rsidP="006D3BE8">
      <w:pPr>
        <w:rPr>
          <w:rFonts w:cstheme="minorHAnsi"/>
        </w:rPr>
      </w:pPr>
      <w:r w:rsidRPr="004737C5">
        <w:rPr>
          <w:rFonts w:cstheme="minorHAnsi"/>
        </w:rPr>
        <w:t>T</w:t>
      </w:r>
      <w:r w:rsidR="009934B2" w:rsidRPr="004737C5">
        <w:rPr>
          <w:rFonts w:cstheme="minorHAnsi"/>
        </w:rPr>
        <w:t>his section, comprising guidelines 33‒</w:t>
      </w:r>
      <w:r w:rsidRPr="004737C5">
        <w:rPr>
          <w:rFonts w:cstheme="minorHAnsi"/>
        </w:rPr>
        <w:t>35, requires that Member States ensure that:</w:t>
      </w:r>
    </w:p>
    <w:p w14:paraId="4AF51810" w14:textId="77777777" w:rsidR="00843222" w:rsidRPr="004737C5" w:rsidRDefault="00843222" w:rsidP="006D3BE8">
      <w:pPr>
        <w:tabs>
          <w:tab w:val="left" w:pos="1134"/>
        </w:tabs>
        <w:spacing w:after="0"/>
        <w:ind w:left="709" w:hanging="425"/>
        <w:rPr>
          <w:rFonts w:cstheme="minorHAnsi"/>
        </w:rPr>
      </w:pPr>
      <w:r w:rsidRPr="004737C5">
        <w:rPr>
          <w:rFonts w:cstheme="minorHAnsi"/>
        </w:rPr>
        <w:t>1)</w:t>
      </w:r>
      <w:r w:rsidRPr="004737C5">
        <w:rPr>
          <w:rFonts w:cstheme="minorHAnsi"/>
        </w:rPr>
        <w:tab/>
        <w:t>There are national standards formulated for safety and</w:t>
      </w:r>
      <w:r w:rsidR="009934B2" w:rsidRPr="004737C5">
        <w:rPr>
          <w:rFonts w:cstheme="minorHAnsi"/>
        </w:rPr>
        <w:t xml:space="preserve"> quality of goods and services</w:t>
      </w:r>
    </w:p>
    <w:p w14:paraId="37A8EBE3" w14:textId="77777777" w:rsidR="00843222" w:rsidRPr="004737C5" w:rsidRDefault="00843222" w:rsidP="006D3BE8">
      <w:pPr>
        <w:tabs>
          <w:tab w:val="left" w:pos="1134"/>
        </w:tabs>
        <w:spacing w:after="0"/>
        <w:ind w:left="709" w:hanging="425"/>
        <w:rPr>
          <w:rFonts w:cstheme="minorHAnsi"/>
        </w:rPr>
      </w:pPr>
      <w:r w:rsidRPr="004737C5">
        <w:rPr>
          <w:rFonts w:cstheme="minorHAnsi"/>
        </w:rPr>
        <w:t>2)</w:t>
      </w:r>
      <w:r w:rsidRPr="004737C5">
        <w:rPr>
          <w:rFonts w:cstheme="minorHAnsi"/>
        </w:rPr>
        <w:tab/>
        <w:t>Such standards conform when possib</w:t>
      </w:r>
      <w:r w:rsidR="009934B2" w:rsidRPr="004737C5">
        <w:rPr>
          <w:rFonts w:cstheme="minorHAnsi"/>
        </w:rPr>
        <w:t>le to international standards</w:t>
      </w:r>
    </w:p>
    <w:p w14:paraId="2FBF592A" w14:textId="5355F90C" w:rsidR="00843222" w:rsidRPr="004737C5" w:rsidRDefault="00843222" w:rsidP="00136BFE">
      <w:pPr>
        <w:tabs>
          <w:tab w:val="left" w:pos="1134"/>
        </w:tabs>
        <w:ind w:left="709" w:hanging="425"/>
        <w:rPr>
          <w:rFonts w:cstheme="minorHAnsi"/>
        </w:rPr>
      </w:pPr>
      <w:r w:rsidRPr="004737C5">
        <w:rPr>
          <w:rFonts w:cstheme="minorHAnsi"/>
        </w:rPr>
        <w:t>3)</w:t>
      </w:r>
      <w:r w:rsidRPr="004737C5">
        <w:rPr>
          <w:rFonts w:cstheme="minorHAnsi"/>
        </w:rPr>
        <w:tab/>
        <w:t>Facilities to test and certify go</w:t>
      </w:r>
      <w:r w:rsidR="009934B2" w:rsidRPr="004737C5">
        <w:rPr>
          <w:rFonts w:cstheme="minorHAnsi"/>
        </w:rPr>
        <w:t>ods and services are encouraged</w:t>
      </w:r>
    </w:p>
    <w:p w14:paraId="6CA69A1A" w14:textId="311ECE16" w:rsidR="00843222" w:rsidRPr="004737C5" w:rsidRDefault="00843222" w:rsidP="00136BFE">
      <w:pPr>
        <w:rPr>
          <w:rFonts w:cstheme="minorHAnsi"/>
        </w:rPr>
      </w:pPr>
      <w:r w:rsidRPr="004737C5">
        <w:rPr>
          <w:rFonts w:cstheme="minorHAnsi"/>
        </w:rPr>
        <w:t>Although this section remains unaltered since its original adoption, the import</w:t>
      </w:r>
      <w:r w:rsidR="009934B2" w:rsidRPr="004737C5">
        <w:rPr>
          <w:rFonts w:cstheme="minorHAnsi"/>
        </w:rPr>
        <w:t>ance of standards has increased</w:t>
      </w:r>
      <w:r w:rsidRPr="004737C5">
        <w:rPr>
          <w:rFonts w:cstheme="minorHAnsi"/>
        </w:rPr>
        <w:t xml:space="preserve"> in terms of the regulation of international trade. The issues surrounding standards are dis</w:t>
      </w:r>
      <w:r w:rsidR="001C5CB4" w:rsidRPr="004737C5">
        <w:rPr>
          <w:rFonts w:cstheme="minorHAnsi"/>
        </w:rPr>
        <w:t>cussed in chapters III</w:t>
      </w:r>
      <w:r w:rsidR="009934B2" w:rsidRPr="004737C5">
        <w:rPr>
          <w:rFonts w:cstheme="minorHAnsi"/>
        </w:rPr>
        <w:t xml:space="preserve"> (consumer l</w:t>
      </w:r>
      <w:r w:rsidR="001C5CB4" w:rsidRPr="004737C5">
        <w:rPr>
          <w:rFonts w:cstheme="minorHAnsi"/>
        </w:rPr>
        <w:t>aw) and IX</w:t>
      </w:r>
      <w:r w:rsidR="00136BFE" w:rsidRPr="004737C5">
        <w:rPr>
          <w:rFonts w:cstheme="minorHAnsi"/>
        </w:rPr>
        <w:t xml:space="preserve"> (safety). </w:t>
      </w:r>
    </w:p>
    <w:p w14:paraId="4E72D64C" w14:textId="77777777" w:rsidR="00843222" w:rsidRPr="004737C5" w:rsidRDefault="009934B2" w:rsidP="00A577C4">
      <w:pPr>
        <w:spacing w:before="200"/>
        <w:rPr>
          <w:rFonts w:cstheme="minorHAnsi"/>
          <w:b/>
        </w:rPr>
      </w:pPr>
      <w:r w:rsidRPr="004737C5">
        <w:rPr>
          <w:rFonts w:cstheme="minorHAnsi"/>
          <w:b/>
        </w:rPr>
        <w:t xml:space="preserve">(e) </w:t>
      </w:r>
      <w:r w:rsidR="00843222" w:rsidRPr="004737C5">
        <w:rPr>
          <w:rFonts w:cstheme="minorHAnsi"/>
          <w:b/>
        </w:rPr>
        <w:t>Distribution facilities for essential goods and services</w:t>
      </w:r>
    </w:p>
    <w:p w14:paraId="191EDA0D" w14:textId="52B0EA50" w:rsidR="00843222" w:rsidRPr="004737C5" w:rsidRDefault="00843222" w:rsidP="00AF1448">
      <w:r w:rsidRPr="004737C5">
        <w:t>T</w:t>
      </w:r>
      <w:r w:rsidR="009934B2" w:rsidRPr="004737C5">
        <w:t>his section, comprising g</w:t>
      </w:r>
      <w:r w:rsidRPr="004737C5">
        <w:t xml:space="preserve">uideline 36, requires that Member States </w:t>
      </w:r>
      <w:r w:rsidR="00245A7E" w:rsidRPr="004737C5">
        <w:t xml:space="preserve">look to </w:t>
      </w:r>
      <w:r w:rsidRPr="004737C5">
        <w:t xml:space="preserve">ensure the efficient distribution of goods and services, especially essential goods and services to consumers who are disadvantaged, for example </w:t>
      </w:r>
      <w:r w:rsidR="00136BFE" w:rsidRPr="004737C5">
        <w:t>those who reside</w:t>
      </w:r>
      <w:r w:rsidRPr="004737C5">
        <w:t xml:space="preserve"> in rural areas. This section has increased </w:t>
      </w:r>
      <w:r w:rsidR="00136BFE" w:rsidRPr="004737C5">
        <w:t xml:space="preserve">in </w:t>
      </w:r>
      <w:r w:rsidRPr="004737C5">
        <w:t>significance for the United Nations over the years as the MDGs and SDGs make explicit reference to various goods and services. It is t</w:t>
      </w:r>
      <w:r w:rsidR="009934B2" w:rsidRPr="004737C5">
        <w:t>herefore reinforced by the new guidelines on energy (g</w:t>
      </w:r>
      <w:r w:rsidRPr="004737C5">
        <w:t>uide</w:t>
      </w:r>
      <w:r w:rsidR="009934B2" w:rsidRPr="004737C5">
        <w:t>line 76) and public utilities (g</w:t>
      </w:r>
      <w:r w:rsidRPr="004737C5">
        <w:t>uideline 77), w</w:t>
      </w:r>
      <w:r w:rsidR="001C5CB4" w:rsidRPr="004737C5">
        <w:t>hich are discussed in chapter XV</w:t>
      </w:r>
      <w:r w:rsidR="00136BFE" w:rsidRPr="004737C5">
        <w:t xml:space="preserve"> (utilities). </w:t>
      </w:r>
    </w:p>
    <w:p w14:paraId="4F9FE815" w14:textId="77777777" w:rsidR="00843222" w:rsidRPr="004737C5" w:rsidRDefault="009934B2" w:rsidP="00A577C4">
      <w:pPr>
        <w:spacing w:before="200"/>
        <w:rPr>
          <w:rFonts w:cstheme="minorHAnsi"/>
          <w:b/>
        </w:rPr>
      </w:pPr>
      <w:r w:rsidRPr="004737C5">
        <w:rPr>
          <w:rFonts w:cstheme="minorHAnsi"/>
          <w:b/>
        </w:rPr>
        <w:t xml:space="preserve">(f) </w:t>
      </w:r>
      <w:r w:rsidR="00843222" w:rsidRPr="004737C5">
        <w:rPr>
          <w:rFonts w:cstheme="minorHAnsi"/>
          <w:b/>
        </w:rPr>
        <w:t>Dispute resolution and redress</w:t>
      </w:r>
    </w:p>
    <w:p w14:paraId="7C4FA4BC" w14:textId="6EACDE98" w:rsidR="00843222" w:rsidRPr="004737C5" w:rsidRDefault="00843222" w:rsidP="00136BFE">
      <w:pPr>
        <w:pStyle w:val="BodyText"/>
        <w:spacing w:after="160"/>
        <w:rPr>
          <w:rFonts w:asciiTheme="minorHAnsi" w:hAnsiTheme="minorHAnsi" w:cstheme="minorHAnsi"/>
          <w:sz w:val="22"/>
        </w:rPr>
      </w:pPr>
      <w:r w:rsidRPr="004737C5">
        <w:rPr>
          <w:rFonts w:asciiTheme="minorHAnsi" w:hAnsiTheme="minorHAnsi" w:cstheme="minorHAnsi"/>
          <w:sz w:val="22"/>
        </w:rPr>
        <w:t>This expanded and renamed se</w:t>
      </w:r>
      <w:r w:rsidR="00924883" w:rsidRPr="004737C5">
        <w:rPr>
          <w:rFonts w:asciiTheme="minorHAnsi" w:hAnsiTheme="minorHAnsi" w:cstheme="minorHAnsi"/>
          <w:sz w:val="22"/>
        </w:rPr>
        <w:t>ction, comprising g</w:t>
      </w:r>
      <w:r w:rsidR="009934B2" w:rsidRPr="004737C5">
        <w:rPr>
          <w:rFonts w:asciiTheme="minorHAnsi" w:hAnsiTheme="minorHAnsi" w:cstheme="minorHAnsi"/>
          <w:sz w:val="22"/>
        </w:rPr>
        <w:t>uidelines 37‒</w:t>
      </w:r>
      <w:r w:rsidRPr="004737C5">
        <w:rPr>
          <w:rFonts w:asciiTheme="minorHAnsi" w:hAnsiTheme="minorHAnsi" w:cstheme="minorHAnsi"/>
          <w:sz w:val="22"/>
        </w:rPr>
        <w:t xml:space="preserve">41, requires that Member States establish and publicize redress mechanisms that are expeditious, fair, affordable and accessible, especially taking into account the needs of low-income consumers. Member States are also required to </w:t>
      </w:r>
      <w:r w:rsidR="003E47E8" w:rsidRPr="004737C5">
        <w:rPr>
          <w:rFonts w:asciiTheme="minorHAnsi" w:hAnsiTheme="minorHAnsi" w:cstheme="minorHAnsi"/>
          <w:sz w:val="22"/>
        </w:rPr>
        <w:t>encourage businesses</w:t>
      </w:r>
      <w:r w:rsidR="00245A7E" w:rsidRPr="004737C5">
        <w:rPr>
          <w:rFonts w:asciiTheme="minorHAnsi" w:hAnsiTheme="minorHAnsi" w:cstheme="minorHAnsi"/>
          <w:sz w:val="22"/>
        </w:rPr>
        <w:t xml:space="preserve"> to</w:t>
      </w:r>
      <w:r w:rsidRPr="004737C5">
        <w:rPr>
          <w:rFonts w:asciiTheme="minorHAnsi" w:hAnsiTheme="minorHAnsi" w:cstheme="minorHAnsi"/>
          <w:sz w:val="22"/>
        </w:rPr>
        <w:t xml:space="preserve"> set up mechanisms to handle consumer disputes in a fair, expeditious and informal manner. Since the 1999 expansion, principles and practice in dispute resolution have evolved significantly, with increasing consensus around the above qualities and greater emphasis attached to cross-</w:t>
      </w:r>
      <w:r w:rsidR="009934B2" w:rsidRPr="004737C5">
        <w:rPr>
          <w:rFonts w:asciiTheme="minorHAnsi" w:hAnsiTheme="minorHAnsi" w:cstheme="minorHAnsi"/>
          <w:sz w:val="22"/>
        </w:rPr>
        <w:t>border dimensions. The revised g</w:t>
      </w:r>
      <w:r w:rsidRPr="004737C5">
        <w:rPr>
          <w:rFonts w:asciiTheme="minorHAnsi" w:hAnsiTheme="minorHAnsi" w:cstheme="minorHAnsi"/>
          <w:sz w:val="22"/>
        </w:rPr>
        <w:t>uideli</w:t>
      </w:r>
      <w:r w:rsidR="009934B2" w:rsidRPr="004737C5">
        <w:rPr>
          <w:rFonts w:asciiTheme="minorHAnsi" w:hAnsiTheme="minorHAnsi" w:cstheme="minorHAnsi"/>
          <w:sz w:val="22"/>
        </w:rPr>
        <w:t>nes make specific reference (in g</w:t>
      </w:r>
      <w:r w:rsidRPr="004737C5">
        <w:rPr>
          <w:rFonts w:asciiTheme="minorHAnsi" w:hAnsiTheme="minorHAnsi" w:cstheme="minorHAnsi"/>
          <w:sz w:val="22"/>
        </w:rPr>
        <w:t>uideline 40</w:t>
      </w:r>
      <w:r w:rsidR="009934B2" w:rsidRPr="004737C5">
        <w:rPr>
          <w:rFonts w:asciiTheme="minorHAnsi" w:hAnsiTheme="minorHAnsi" w:cstheme="minorHAnsi"/>
          <w:sz w:val="22"/>
        </w:rPr>
        <w:t>)</w:t>
      </w:r>
      <w:r w:rsidRPr="004737C5">
        <w:rPr>
          <w:rFonts w:asciiTheme="minorHAnsi" w:hAnsiTheme="minorHAnsi" w:cstheme="minorHAnsi"/>
          <w:sz w:val="22"/>
        </w:rPr>
        <w:t xml:space="preserve"> to </w:t>
      </w:r>
      <w:r w:rsidR="009934B2" w:rsidRPr="004737C5">
        <w:rPr>
          <w:rFonts w:asciiTheme="minorHAnsi" w:hAnsiTheme="minorHAnsi" w:cstheme="minorHAnsi"/>
          <w:iCs/>
          <w:sz w:val="22"/>
        </w:rPr>
        <w:t>“</w:t>
      </w:r>
      <w:r w:rsidRPr="004737C5">
        <w:rPr>
          <w:rFonts w:asciiTheme="minorHAnsi" w:hAnsiTheme="minorHAnsi" w:cstheme="minorHAnsi"/>
          <w:iCs/>
          <w:sz w:val="22"/>
        </w:rPr>
        <w:t>c</w:t>
      </w:r>
      <w:r w:rsidR="009934B2" w:rsidRPr="004737C5">
        <w:rPr>
          <w:rFonts w:asciiTheme="minorHAnsi" w:hAnsiTheme="minorHAnsi" w:cstheme="minorHAnsi"/>
          <w:iCs/>
          <w:sz w:val="22"/>
        </w:rPr>
        <w:t>ollective resolution procedures”</w:t>
      </w:r>
      <w:r w:rsidR="00136BFE" w:rsidRPr="004737C5">
        <w:rPr>
          <w:rFonts w:asciiTheme="minorHAnsi" w:hAnsiTheme="minorHAnsi" w:cstheme="minorHAnsi"/>
          <w:sz w:val="22"/>
        </w:rPr>
        <w:t xml:space="preserve"> in</w:t>
      </w:r>
      <w:r w:rsidRPr="004737C5">
        <w:rPr>
          <w:rFonts w:asciiTheme="minorHAnsi" w:hAnsiTheme="minorHAnsi" w:cstheme="minorHAnsi"/>
          <w:sz w:val="22"/>
        </w:rPr>
        <w:t xml:space="preserve"> cases of bankruptcy and over-indebtedness</w:t>
      </w:r>
      <w:r w:rsidR="00136BFE" w:rsidRPr="004737C5">
        <w:rPr>
          <w:rFonts w:asciiTheme="minorHAnsi" w:hAnsiTheme="minorHAnsi" w:cstheme="minorHAnsi"/>
          <w:sz w:val="22"/>
        </w:rPr>
        <w:t>,</w:t>
      </w:r>
      <w:r w:rsidRPr="004737C5">
        <w:rPr>
          <w:rFonts w:asciiTheme="minorHAnsi" w:hAnsiTheme="minorHAnsi" w:cstheme="minorHAnsi"/>
          <w:sz w:val="22"/>
        </w:rPr>
        <w:t xml:space="preserve"> </w:t>
      </w:r>
      <w:r w:rsidR="00245A7E" w:rsidRPr="004737C5">
        <w:rPr>
          <w:rFonts w:asciiTheme="minorHAnsi" w:hAnsiTheme="minorHAnsi" w:cstheme="minorHAnsi"/>
          <w:sz w:val="22"/>
        </w:rPr>
        <w:t xml:space="preserve">and </w:t>
      </w:r>
      <w:r w:rsidR="009934B2" w:rsidRPr="004737C5">
        <w:rPr>
          <w:rFonts w:asciiTheme="minorHAnsi" w:hAnsiTheme="minorHAnsi" w:cstheme="minorHAnsi"/>
          <w:sz w:val="22"/>
        </w:rPr>
        <w:t>(in g</w:t>
      </w:r>
      <w:r w:rsidR="00245A7E" w:rsidRPr="004737C5">
        <w:rPr>
          <w:rFonts w:asciiTheme="minorHAnsi" w:hAnsiTheme="minorHAnsi" w:cstheme="minorHAnsi"/>
          <w:sz w:val="22"/>
        </w:rPr>
        <w:t>uidelines 38 and 41</w:t>
      </w:r>
      <w:r w:rsidR="009934B2" w:rsidRPr="004737C5">
        <w:rPr>
          <w:rFonts w:asciiTheme="minorHAnsi" w:hAnsiTheme="minorHAnsi" w:cstheme="minorHAnsi"/>
          <w:sz w:val="22"/>
        </w:rPr>
        <w:t>)</w:t>
      </w:r>
      <w:r w:rsidRPr="004737C5">
        <w:rPr>
          <w:rFonts w:asciiTheme="minorHAnsi" w:hAnsiTheme="minorHAnsi" w:cstheme="minorHAnsi"/>
          <w:sz w:val="22"/>
        </w:rPr>
        <w:t xml:space="preserve"> to the need for businesses to establish procedures, such as improved complaints handling, that would reduce the need for redress mechanisms to be triggered.</w:t>
      </w:r>
      <w:r w:rsidR="001C5CB4" w:rsidRPr="004737C5">
        <w:rPr>
          <w:rFonts w:asciiTheme="minorHAnsi" w:hAnsiTheme="minorHAnsi" w:cstheme="minorHAnsi"/>
          <w:sz w:val="22"/>
        </w:rPr>
        <w:t xml:space="preserve"> This is discussed in chapter XI</w:t>
      </w:r>
      <w:r w:rsidRPr="004737C5">
        <w:rPr>
          <w:rFonts w:asciiTheme="minorHAnsi" w:hAnsiTheme="minorHAnsi" w:cstheme="minorHAnsi"/>
          <w:sz w:val="22"/>
        </w:rPr>
        <w:t xml:space="preserve"> (dispute resolution and redress</w:t>
      </w:r>
      <w:r w:rsidR="00237E89" w:rsidRPr="004737C5">
        <w:rPr>
          <w:rFonts w:asciiTheme="minorHAnsi" w:hAnsiTheme="minorHAnsi" w:cstheme="minorHAnsi"/>
          <w:sz w:val="22"/>
        </w:rPr>
        <w:t>).</w:t>
      </w:r>
      <w:r w:rsidR="00136BFE" w:rsidRPr="004737C5">
        <w:rPr>
          <w:rFonts w:asciiTheme="minorHAnsi" w:hAnsiTheme="minorHAnsi" w:cstheme="minorHAnsi"/>
          <w:sz w:val="22"/>
        </w:rPr>
        <w:t xml:space="preserve"> </w:t>
      </w:r>
    </w:p>
    <w:p w14:paraId="166FB796" w14:textId="77777777" w:rsidR="00843222" w:rsidRPr="004737C5" w:rsidRDefault="009934B2" w:rsidP="00A577C4">
      <w:pPr>
        <w:spacing w:before="200"/>
        <w:rPr>
          <w:rFonts w:cstheme="minorHAnsi"/>
          <w:b/>
        </w:rPr>
      </w:pPr>
      <w:r w:rsidRPr="004737C5">
        <w:rPr>
          <w:rFonts w:cstheme="minorHAnsi"/>
          <w:b/>
        </w:rPr>
        <w:t xml:space="preserve">(g) </w:t>
      </w:r>
      <w:r w:rsidR="00843222" w:rsidRPr="004737C5">
        <w:rPr>
          <w:rFonts w:cstheme="minorHAnsi"/>
          <w:b/>
        </w:rPr>
        <w:t>Education and information programmes</w:t>
      </w:r>
    </w:p>
    <w:p w14:paraId="56E2AF8F" w14:textId="77777777" w:rsidR="00843222" w:rsidRPr="004737C5" w:rsidRDefault="00843222" w:rsidP="00136BFE">
      <w:pPr>
        <w:rPr>
          <w:rFonts w:cstheme="minorHAnsi"/>
        </w:rPr>
      </w:pPr>
      <w:r w:rsidRPr="004737C5">
        <w:rPr>
          <w:rFonts w:cstheme="minorHAnsi"/>
        </w:rPr>
        <w:t>T</w:t>
      </w:r>
      <w:r w:rsidR="009934B2" w:rsidRPr="004737C5">
        <w:rPr>
          <w:rFonts w:cstheme="minorHAnsi"/>
        </w:rPr>
        <w:t>his section, comprising guidelines 42‒</w:t>
      </w:r>
      <w:r w:rsidRPr="004737C5">
        <w:rPr>
          <w:rFonts w:cstheme="minorHAnsi"/>
        </w:rPr>
        <w:t>48, requires that Member States develop and implement consumer education and information programmes to enable consumers to be informed of their rights and responsibilities and to be selective in the exercise of their consumption choices, including taking environmental consequences</w:t>
      </w:r>
      <w:r w:rsidR="009934B2" w:rsidRPr="004737C5">
        <w:rPr>
          <w:rFonts w:cstheme="minorHAnsi"/>
        </w:rPr>
        <w:t xml:space="preserve"> into consideration</w:t>
      </w:r>
      <w:r w:rsidRPr="004737C5">
        <w:rPr>
          <w:rFonts w:cstheme="minorHAnsi"/>
        </w:rPr>
        <w:t>. Member States are urged to in</w:t>
      </w:r>
      <w:r w:rsidR="009934B2" w:rsidRPr="004737C5">
        <w:rPr>
          <w:rFonts w:cstheme="minorHAnsi"/>
        </w:rPr>
        <w:t>volve consumer groups, business</w:t>
      </w:r>
      <w:r w:rsidRPr="004737C5">
        <w:rPr>
          <w:rFonts w:cstheme="minorHAnsi"/>
        </w:rPr>
        <w:t xml:space="preserve"> and other civil society organizations in such efforts with particular attention to vulnerable and disadvantaged consumers. Consumer education should be included in the school curriculum and Member States are expected to organize training programmes for educators, mass media professionals and consumer advisers to enable them to conduct education and information programmes. The UNGCP now include electronic commerce in the list of issues that need to be addressed. Education and information progra</w:t>
      </w:r>
      <w:r w:rsidR="001C5CB4" w:rsidRPr="004737C5">
        <w:rPr>
          <w:rFonts w:cstheme="minorHAnsi"/>
        </w:rPr>
        <w:t>mmes are discussed in chapter X</w:t>
      </w:r>
      <w:r w:rsidRPr="004737C5">
        <w:rPr>
          <w:rFonts w:cstheme="minorHAnsi"/>
        </w:rPr>
        <w:t>.</w:t>
      </w:r>
    </w:p>
    <w:p w14:paraId="5175F862" w14:textId="77777777" w:rsidR="00843222" w:rsidRPr="004737C5" w:rsidRDefault="009934B2" w:rsidP="00A577C4">
      <w:pPr>
        <w:spacing w:before="200"/>
        <w:rPr>
          <w:rFonts w:cstheme="minorHAnsi"/>
          <w:b/>
        </w:rPr>
      </w:pPr>
      <w:r w:rsidRPr="004737C5">
        <w:rPr>
          <w:rFonts w:cstheme="minorHAnsi"/>
          <w:b/>
        </w:rPr>
        <w:t xml:space="preserve">(h) </w:t>
      </w:r>
      <w:r w:rsidR="00843222" w:rsidRPr="004737C5">
        <w:rPr>
          <w:rFonts w:cstheme="minorHAnsi"/>
          <w:b/>
        </w:rPr>
        <w:t>Promotion of sustainable consumption</w:t>
      </w:r>
    </w:p>
    <w:p w14:paraId="35C6B5F9" w14:textId="77777777" w:rsidR="00843222" w:rsidRPr="004737C5" w:rsidRDefault="00843222" w:rsidP="00136BFE">
      <w:pPr>
        <w:rPr>
          <w:rFonts w:cstheme="minorHAnsi"/>
        </w:rPr>
      </w:pPr>
      <w:r w:rsidRPr="004737C5">
        <w:rPr>
          <w:rFonts w:cstheme="minorHAnsi"/>
        </w:rPr>
        <w:t>T</w:t>
      </w:r>
      <w:r w:rsidR="009934B2" w:rsidRPr="004737C5">
        <w:rPr>
          <w:rFonts w:cstheme="minorHAnsi"/>
        </w:rPr>
        <w:t>his section, comprising g</w:t>
      </w:r>
      <w:r w:rsidRPr="004737C5">
        <w:rPr>
          <w:rFonts w:cstheme="minorHAnsi"/>
        </w:rPr>
        <w:t>uidelines</w:t>
      </w:r>
      <w:r w:rsidR="009934B2" w:rsidRPr="004737C5">
        <w:rPr>
          <w:rFonts w:cstheme="minorHAnsi"/>
        </w:rPr>
        <w:t xml:space="preserve"> 49‒</w:t>
      </w:r>
      <w:r w:rsidRPr="004737C5">
        <w:rPr>
          <w:rFonts w:cstheme="minorHAnsi"/>
        </w:rPr>
        <w:t>62, requires that Member States develop and implement policies to promote sustainabl</w:t>
      </w:r>
      <w:r w:rsidR="009934B2" w:rsidRPr="004737C5">
        <w:rPr>
          <w:rFonts w:cstheme="minorHAnsi"/>
        </w:rPr>
        <w:t>e consumption practices within government and</w:t>
      </w:r>
      <w:r w:rsidRPr="004737C5">
        <w:rPr>
          <w:rFonts w:cstheme="minorHAnsi"/>
        </w:rPr>
        <w:t xml:space="preserve"> by businesses and consumers. This should be done in partnership with civil society organizations and businesses through a combination of policies that include: </w:t>
      </w:r>
    </w:p>
    <w:p w14:paraId="233FDA4A" w14:textId="77777777" w:rsidR="00843222" w:rsidRPr="004737C5" w:rsidRDefault="009934B2" w:rsidP="002473E9">
      <w:pPr>
        <w:pStyle w:val="ListParagraph"/>
        <w:numPr>
          <w:ilvl w:val="0"/>
          <w:numId w:val="33"/>
        </w:numPr>
        <w:ind w:left="709" w:hanging="425"/>
        <w:rPr>
          <w:rFonts w:cstheme="minorHAnsi"/>
        </w:rPr>
      </w:pPr>
      <w:r w:rsidRPr="004737C5">
        <w:rPr>
          <w:rFonts w:cstheme="minorHAnsi"/>
        </w:rPr>
        <w:t>Regulation</w:t>
      </w:r>
    </w:p>
    <w:p w14:paraId="63A611A3" w14:textId="77777777" w:rsidR="00843222" w:rsidRPr="004737C5" w:rsidRDefault="00843222" w:rsidP="002473E9">
      <w:pPr>
        <w:pStyle w:val="ListParagraph"/>
        <w:numPr>
          <w:ilvl w:val="0"/>
          <w:numId w:val="33"/>
        </w:numPr>
        <w:ind w:left="709" w:hanging="425"/>
        <w:rPr>
          <w:rFonts w:cstheme="minorHAnsi"/>
        </w:rPr>
      </w:pPr>
      <w:r w:rsidRPr="004737C5">
        <w:rPr>
          <w:rFonts w:cstheme="minorHAnsi"/>
        </w:rPr>
        <w:lastRenderedPageBreak/>
        <w:t>E</w:t>
      </w:r>
      <w:r w:rsidR="009934B2" w:rsidRPr="004737C5">
        <w:rPr>
          <w:rFonts w:cstheme="minorHAnsi"/>
        </w:rPr>
        <w:t>conomic and social instruments</w:t>
      </w:r>
    </w:p>
    <w:p w14:paraId="74FF825D" w14:textId="77777777" w:rsidR="00843222" w:rsidRPr="004737C5" w:rsidRDefault="00843222" w:rsidP="002473E9">
      <w:pPr>
        <w:pStyle w:val="ListParagraph"/>
        <w:numPr>
          <w:ilvl w:val="0"/>
          <w:numId w:val="33"/>
        </w:numPr>
        <w:ind w:left="709" w:hanging="425"/>
        <w:jc w:val="left"/>
        <w:rPr>
          <w:rFonts w:cstheme="minorHAnsi"/>
        </w:rPr>
      </w:pPr>
      <w:r w:rsidRPr="004737C5">
        <w:rPr>
          <w:rFonts w:cstheme="minorHAnsi"/>
        </w:rPr>
        <w:t>Sectoral policies in areas such as land use, transport, waste management, energy, housing, infor</w:t>
      </w:r>
      <w:r w:rsidR="009934B2" w:rsidRPr="004737C5">
        <w:rPr>
          <w:rFonts w:cstheme="minorHAnsi"/>
        </w:rPr>
        <w:t>mation and education programmes</w:t>
      </w:r>
      <w:r w:rsidRPr="004737C5">
        <w:rPr>
          <w:rFonts w:cstheme="minorHAnsi"/>
        </w:rPr>
        <w:t xml:space="preserve"> </w:t>
      </w:r>
    </w:p>
    <w:p w14:paraId="0939160F" w14:textId="45AF666A" w:rsidR="00843222" w:rsidRPr="004737C5" w:rsidRDefault="00843222" w:rsidP="00136BFE">
      <w:pPr>
        <w:rPr>
          <w:rFonts w:cstheme="minorHAnsi"/>
        </w:rPr>
      </w:pPr>
      <w:r w:rsidRPr="004737C5">
        <w:rPr>
          <w:rFonts w:cstheme="minorHAnsi"/>
        </w:rPr>
        <w:t>Member States should develop indicators to measure progress towards achieving sustainable consumption. Although unamended in 2015, the prominence of this section was increased by the United Nations’ adoption of the SDGs in 2015, which are specifically mentioned in the Resolution on Consumer Protection</w:t>
      </w:r>
      <w:r w:rsidR="009934B2" w:rsidRPr="004737C5">
        <w:rPr>
          <w:rFonts w:cstheme="minorHAnsi"/>
        </w:rPr>
        <w:t>, which introduces the revised g</w:t>
      </w:r>
      <w:r w:rsidR="00245A7E" w:rsidRPr="004737C5">
        <w:rPr>
          <w:rFonts w:cstheme="minorHAnsi"/>
        </w:rPr>
        <w:t>uidelines</w:t>
      </w:r>
      <w:r w:rsidRPr="004737C5">
        <w:rPr>
          <w:rFonts w:cstheme="minorHAnsi"/>
        </w:rPr>
        <w:t>.</w:t>
      </w:r>
      <w:r w:rsidR="00136BFE" w:rsidRPr="004737C5">
        <w:rPr>
          <w:rFonts w:cstheme="minorHAnsi"/>
        </w:rPr>
        <w:t xml:space="preserve"> </w:t>
      </w:r>
      <w:r w:rsidR="00136BFE" w:rsidRPr="004737C5">
        <w:rPr>
          <w:rFonts w:cstheme="minorHAnsi"/>
        </w:rPr>
        <w:tab/>
      </w:r>
    </w:p>
    <w:p w14:paraId="6E10030E" w14:textId="77777777" w:rsidR="00843222" w:rsidRPr="004737C5" w:rsidRDefault="009934B2" w:rsidP="00A577C4">
      <w:pPr>
        <w:tabs>
          <w:tab w:val="left" w:pos="709"/>
          <w:tab w:val="left" w:pos="1134"/>
        </w:tabs>
        <w:spacing w:before="200"/>
        <w:rPr>
          <w:rFonts w:cstheme="minorHAnsi"/>
          <w:b/>
        </w:rPr>
      </w:pPr>
      <w:r w:rsidRPr="004737C5">
        <w:rPr>
          <w:rFonts w:cstheme="minorHAnsi"/>
          <w:b/>
        </w:rPr>
        <w:t xml:space="preserve">(i) </w:t>
      </w:r>
      <w:r w:rsidR="00843222" w:rsidRPr="004737C5">
        <w:rPr>
          <w:rFonts w:cstheme="minorHAnsi"/>
          <w:b/>
        </w:rPr>
        <w:t>Electronic commerce</w:t>
      </w:r>
    </w:p>
    <w:p w14:paraId="77522678" w14:textId="77777777" w:rsidR="00843222" w:rsidRPr="004737C5" w:rsidRDefault="00843222" w:rsidP="00FC2F14">
      <w:pPr>
        <w:rPr>
          <w:rFonts w:cstheme="minorHAnsi"/>
        </w:rPr>
      </w:pPr>
      <w:r w:rsidRPr="004737C5">
        <w:rPr>
          <w:rFonts w:cstheme="minorHAnsi"/>
        </w:rPr>
        <w:t>This section, newly i</w:t>
      </w:r>
      <w:r w:rsidR="009934B2" w:rsidRPr="004737C5">
        <w:rPr>
          <w:rFonts w:cstheme="minorHAnsi"/>
        </w:rPr>
        <w:t>nserted in 2015 and comprising guidelines 63‒</w:t>
      </w:r>
      <w:r w:rsidRPr="004737C5">
        <w:rPr>
          <w:rFonts w:cstheme="minorHAnsi"/>
        </w:rPr>
        <w:t>65, calls for:</w:t>
      </w:r>
    </w:p>
    <w:p w14:paraId="259AC980" w14:textId="5DDB6E3F" w:rsidR="00843222" w:rsidRPr="004737C5" w:rsidRDefault="00136BFE" w:rsidP="002473E9">
      <w:pPr>
        <w:pStyle w:val="ListParagraph"/>
        <w:numPr>
          <w:ilvl w:val="0"/>
          <w:numId w:val="34"/>
        </w:numPr>
        <w:ind w:left="709" w:hanging="425"/>
        <w:rPr>
          <w:rFonts w:cstheme="minorHAnsi"/>
        </w:rPr>
      </w:pPr>
      <w:r w:rsidRPr="004737C5">
        <w:rPr>
          <w:rFonts w:cstheme="minorHAnsi"/>
        </w:rPr>
        <w:t xml:space="preserve">Equity of treatment of electronic </w:t>
      </w:r>
      <w:r w:rsidR="00843222" w:rsidRPr="004737C5">
        <w:rPr>
          <w:rFonts w:cstheme="minorHAnsi"/>
        </w:rPr>
        <w:t>commerce</w:t>
      </w:r>
      <w:r w:rsidRPr="004737C5">
        <w:rPr>
          <w:rFonts w:cstheme="minorHAnsi"/>
        </w:rPr>
        <w:t xml:space="preserve"> (e-commerce)</w:t>
      </w:r>
      <w:r w:rsidR="00843222" w:rsidRPr="004737C5">
        <w:rPr>
          <w:rFonts w:cstheme="minorHAnsi"/>
        </w:rPr>
        <w:t xml:space="preserve"> with other forms of commerce i</w:t>
      </w:r>
      <w:r w:rsidR="009934B2" w:rsidRPr="004737C5">
        <w:rPr>
          <w:rFonts w:cstheme="minorHAnsi"/>
        </w:rPr>
        <w:t>n terms of consumer protection</w:t>
      </w:r>
    </w:p>
    <w:p w14:paraId="3E30E960" w14:textId="77777777" w:rsidR="00843222" w:rsidRPr="004737C5" w:rsidRDefault="009934B2" w:rsidP="002473E9">
      <w:pPr>
        <w:pStyle w:val="ListParagraph"/>
        <w:numPr>
          <w:ilvl w:val="0"/>
          <w:numId w:val="34"/>
        </w:numPr>
        <w:ind w:left="709" w:hanging="425"/>
        <w:rPr>
          <w:rFonts w:cstheme="minorHAnsi"/>
        </w:rPr>
      </w:pPr>
      <w:r w:rsidRPr="004737C5">
        <w:rPr>
          <w:rFonts w:cstheme="minorHAnsi"/>
        </w:rPr>
        <w:t>Cross-border cooperation</w:t>
      </w:r>
    </w:p>
    <w:p w14:paraId="7575D25A" w14:textId="7A852BEB" w:rsidR="00843222" w:rsidRPr="004737C5" w:rsidRDefault="00136BFE" w:rsidP="002473E9">
      <w:pPr>
        <w:pStyle w:val="ListParagraph"/>
        <w:numPr>
          <w:ilvl w:val="0"/>
          <w:numId w:val="34"/>
        </w:numPr>
        <w:ind w:left="709" w:hanging="425"/>
        <w:jc w:val="left"/>
        <w:rPr>
          <w:rFonts w:cstheme="minorHAnsi"/>
        </w:rPr>
      </w:pPr>
      <w:r w:rsidRPr="004737C5">
        <w:rPr>
          <w:rFonts w:cstheme="minorHAnsi"/>
        </w:rPr>
        <w:t>The study of the OECD Guidelines on E</w:t>
      </w:r>
      <w:r w:rsidR="00843222" w:rsidRPr="004737C5">
        <w:rPr>
          <w:rFonts w:cstheme="minorHAnsi"/>
        </w:rPr>
        <w:t>-commerce (develope</w:t>
      </w:r>
      <w:r w:rsidR="009934B2" w:rsidRPr="004737C5">
        <w:rPr>
          <w:rFonts w:cstheme="minorHAnsi"/>
        </w:rPr>
        <w:t>d in 1999 and revised in 2016)</w:t>
      </w:r>
      <w:r w:rsidR="00245A7E" w:rsidRPr="004737C5">
        <w:rPr>
          <w:rStyle w:val="FootnoteReference"/>
          <w:rFonts w:cstheme="minorHAnsi"/>
        </w:rPr>
        <w:footnoteReference w:id="27"/>
      </w:r>
      <w:r w:rsidR="009934B2" w:rsidRPr="004737C5">
        <w:rPr>
          <w:rFonts w:cstheme="minorHAnsi"/>
        </w:rPr>
        <w:t xml:space="preserve"> for guidance</w:t>
      </w:r>
    </w:p>
    <w:p w14:paraId="4413B5AA" w14:textId="25F11B3B" w:rsidR="00843222" w:rsidRPr="004737C5" w:rsidRDefault="00136BFE" w:rsidP="006D3BE8">
      <w:pPr>
        <w:rPr>
          <w:rFonts w:cstheme="minorHAnsi"/>
        </w:rPr>
      </w:pPr>
      <w:r w:rsidRPr="004737C5">
        <w:rPr>
          <w:rFonts w:cstheme="minorHAnsi"/>
        </w:rPr>
        <w:t>E-</w:t>
      </w:r>
      <w:r w:rsidR="00843222" w:rsidRPr="004737C5">
        <w:rPr>
          <w:rFonts w:cstheme="minorHAnsi"/>
        </w:rPr>
        <w:t>com</w:t>
      </w:r>
      <w:r w:rsidR="004240DC" w:rsidRPr="004737C5">
        <w:rPr>
          <w:rFonts w:cstheme="minorHAnsi"/>
        </w:rPr>
        <w:t>merce is discussed in chapter XII</w:t>
      </w:r>
      <w:r w:rsidR="00843222" w:rsidRPr="004737C5">
        <w:rPr>
          <w:rFonts w:cstheme="minorHAnsi"/>
        </w:rPr>
        <w:t xml:space="preserve">. </w:t>
      </w:r>
    </w:p>
    <w:p w14:paraId="432D150C" w14:textId="77777777" w:rsidR="00843222" w:rsidRPr="004737C5" w:rsidRDefault="009934B2" w:rsidP="00FC2F14">
      <w:pPr>
        <w:tabs>
          <w:tab w:val="left" w:pos="1134"/>
        </w:tabs>
        <w:spacing w:before="200"/>
        <w:rPr>
          <w:rFonts w:cstheme="minorHAnsi"/>
        </w:rPr>
      </w:pPr>
      <w:r w:rsidRPr="004737C5">
        <w:rPr>
          <w:rFonts w:cstheme="minorHAnsi"/>
          <w:b/>
        </w:rPr>
        <w:t xml:space="preserve">(j) </w:t>
      </w:r>
      <w:r w:rsidR="00843222" w:rsidRPr="004737C5">
        <w:rPr>
          <w:rFonts w:cstheme="minorHAnsi"/>
          <w:b/>
        </w:rPr>
        <w:t>Financial services</w:t>
      </w:r>
    </w:p>
    <w:p w14:paraId="338D427B" w14:textId="358E573E" w:rsidR="00843222" w:rsidRPr="004737C5" w:rsidRDefault="00843222" w:rsidP="006D3BE8">
      <w:pPr>
        <w:rPr>
          <w:rFonts w:cstheme="minorHAnsi"/>
        </w:rPr>
      </w:pPr>
      <w:r w:rsidRPr="004737C5">
        <w:rPr>
          <w:rFonts w:cstheme="minorHAnsi"/>
        </w:rPr>
        <w:t>This section, newl</w:t>
      </w:r>
      <w:r w:rsidR="009934B2" w:rsidRPr="004737C5">
        <w:rPr>
          <w:rFonts w:cstheme="minorHAnsi"/>
        </w:rPr>
        <w:t>y inserted in 2015, comprising guidelines 66‒</w:t>
      </w:r>
      <w:r w:rsidR="00A8689C" w:rsidRPr="004737C5">
        <w:rPr>
          <w:rFonts w:cstheme="minorHAnsi"/>
        </w:rPr>
        <w:t>68, points to the high-</w:t>
      </w:r>
      <w:r w:rsidR="002B0BE5" w:rsidRPr="004737C5">
        <w:rPr>
          <w:rFonts w:cstheme="minorHAnsi"/>
        </w:rPr>
        <w:t>level p</w:t>
      </w:r>
      <w:r w:rsidRPr="004737C5">
        <w:rPr>
          <w:rFonts w:cstheme="minorHAnsi"/>
        </w:rPr>
        <w:t>rinciples developed by the OECD as mandated by the G20 and include:</w:t>
      </w:r>
    </w:p>
    <w:p w14:paraId="4D3C2959" w14:textId="77777777" w:rsidR="00843222" w:rsidRPr="004737C5" w:rsidRDefault="00843222" w:rsidP="002473E9">
      <w:pPr>
        <w:pStyle w:val="ListParagraph"/>
        <w:numPr>
          <w:ilvl w:val="0"/>
          <w:numId w:val="35"/>
        </w:numPr>
        <w:spacing w:after="0"/>
        <w:ind w:left="709" w:hanging="425"/>
        <w:rPr>
          <w:rFonts w:cstheme="minorHAnsi"/>
        </w:rPr>
      </w:pPr>
      <w:r w:rsidRPr="004737C5">
        <w:rPr>
          <w:rFonts w:cstheme="minorHAnsi"/>
        </w:rPr>
        <w:t>Avoiding conflict of in</w:t>
      </w:r>
      <w:r w:rsidR="002B0BE5" w:rsidRPr="004737C5">
        <w:rPr>
          <w:rFonts w:cstheme="minorHAnsi"/>
        </w:rPr>
        <w:t>terest in remuneration of staff</w:t>
      </w:r>
    </w:p>
    <w:p w14:paraId="180B0BCF" w14:textId="77777777" w:rsidR="00843222" w:rsidRPr="004737C5" w:rsidRDefault="00843222" w:rsidP="006D3BE8">
      <w:pPr>
        <w:tabs>
          <w:tab w:val="left" w:pos="1134"/>
        </w:tabs>
        <w:spacing w:after="0"/>
        <w:ind w:left="709" w:hanging="425"/>
        <w:rPr>
          <w:rFonts w:cstheme="minorHAnsi"/>
        </w:rPr>
      </w:pPr>
      <w:r w:rsidRPr="004737C5">
        <w:rPr>
          <w:rFonts w:cstheme="minorHAnsi"/>
        </w:rPr>
        <w:t>2)</w:t>
      </w:r>
      <w:r w:rsidRPr="004737C5">
        <w:rPr>
          <w:rFonts w:cstheme="minorHAnsi"/>
        </w:rPr>
        <w:tab/>
        <w:t>Institut</w:t>
      </w:r>
      <w:r w:rsidR="002B0BE5" w:rsidRPr="004737C5">
        <w:rPr>
          <w:rFonts w:cstheme="minorHAnsi"/>
        </w:rPr>
        <w:t>ional responsibility for agents</w:t>
      </w:r>
    </w:p>
    <w:p w14:paraId="7AD0BAD2" w14:textId="77777777" w:rsidR="00843222" w:rsidRPr="004737C5" w:rsidRDefault="00843222" w:rsidP="006D3BE8">
      <w:pPr>
        <w:pStyle w:val="ListParagraph"/>
        <w:tabs>
          <w:tab w:val="left" w:pos="1134"/>
        </w:tabs>
        <w:ind w:left="709" w:hanging="425"/>
        <w:rPr>
          <w:rFonts w:cstheme="minorHAnsi"/>
        </w:rPr>
      </w:pPr>
      <w:r w:rsidRPr="004737C5">
        <w:rPr>
          <w:rFonts w:cstheme="minorHAnsi"/>
        </w:rPr>
        <w:t>3)</w:t>
      </w:r>
      <w:r w:rsidRPr="004737C5">
        <w:rPr>
          <w:rFonts w:cstheme="minorHAnsi"/>
        </w:rPr>
        <w:tab/>
        <w:t>Devel</w:t>
      </w:r>
      <w:r w:rsidR="002B0BE5" w:rsidRPr="004737C5">
        <w:rPr>
          <w:rFonts w:cstheme="minorHAnsi"/>
        </w:rPr>
        <w:t>opment of regulatory structures</w:t>
      </w:r>
    </w:p>
    <w:p w14:paraId="349BF417" w14:textId="77777777" w:rsidR="00843222" w:rsidRPr="004737C5" w:rsidRDefault="00843222" w:rsidP="006D3BE8">
      <w:pPr>
        <w:pStyle w:val="ListParagraph"/>
        <w:tabs>
          <w:tab w:val="left" w:pos="1134"/>
        </w:tabs>
        <w:ind w:left="709" w:hanging="425"/>
        <w:rPr>
          <w:rFonts w:cstheme="minorHAnsi"/>
        </w:rPr>
      </w:pPr>
      <w:r w:rsidRPr="004737C5">
        <w:rPr>
          <w:rFonts w:cstheme="minorHAnsi"/>
        </w:rPr>
        <w:t>4)</w:t>
      </w:r>
      <w:r w:rsidRPr="004737C5">
        <w:rPr>
          <w:rFonts w:cstheme="minorHAnsi"/>
        </w:rPr>
        <w:tab/>
        <w:t>Pro</w:t>
      </w:r>
      <w:r w:rsidR="002B0BE5" w:rsidRPr="004737C5">
        <w:rPr>
          <w:rFonts w:cstheme="minorHAnsi"/>
        </w:rPr>
        <w:t>tection against fraud and abuse</w:t>
      </w:r>
      <w:r w:rsidRPr="004737C5">
        <w:rPr>
          <w:rStyle w:val="FootnoteReference"/>
          <w:rFonts w:cstheme="minorHAnsi"/>
        </w:rPr>
        <w:footnoteReference w:id="28"/>
      </w:r>
    </w:p>
    <w:p w14:paraId="5DEFDC1D" w14:textId="77777777" w:rsidR="00843222" w:rsidRPr="004737C5" w:rsidRDefault="00843222" w:rsidP="006D3BE8">
      <w:pPr>
        <w:rPr>
          <w:rFonts w:cstheme="minorHAnsi"/>
        </w:rPr>
      </w:pPr>
      <w:r w:rsidRPr="004737C5">
        <w:rPr>
          <w:rFonts w:cstheme="minorHAnsi"/>
        </w:rPr>
        <w:t xml:space="preserve">These </w:t>
      </w:r>
      <w:r w:rsidR="002B0BE5" w:rsidRPr="004737C5">
        <w:rPr>
          <w:rFonts w:cstheme="minorHAnsi"/>
        </w:rPr>
        <w:t>principle</w:t>
      </w:r>
      <w:r w:rsidRPr="004737C5">
        <w:rPr>
          <w:rFonts w:cstheme="minorHAnsi"/>
        </w:rPr>
        <w:t>s recommend the development of responsible lending policies, bank deposit insurance and regulatory frameworks for remittance services with particular attention to transparency within those transactions. These is</w:t>
      </w:r>
      <w:r w:rsidR="004240DC" w:rsidRPr="004737C5">
        <w:rPr>
          <w:rFonts w:cstheme="minorHAnsi"/>
        </w:rPr>
        <w:t>sues are discussed in chapter XIV</w:t>
      </w:r>
      <w:r w:rsidRPr="004737C5">
        <w:rPr>
          <w:rFonts w:cstheme="minorHAnsi"/>
        </w:rPr>
        <w:t xml:space="preserve">. </w:t>
      </w:r>
    </w:p>
    <w:p w14:paraId="55DC227F" w14:textId="77777777" w:rsidR="00843222" w:rsidRPr="004737C5" w:rsidRDefault="002B0BE5" w:rsidP="00FC2F14">
      <w:pPr>
        <w:tabs>
          <w:tab w:val="left" w:pos="1134"/>
        </w:tabs>
        <w:spacing w:before="200"/>
        <w:rPr>
          <w:rFonts w:cstheme="minorHAnsi"/>
        </w:rPr>
      </w:pPr>
      <w:r w:rsidRPr="004737C5">
        <w:rPr>
          <w:rFonts w:cstheme="minorHAnsi"/>
          <w:b/>
        </w:rPr>
        <w:t xml:space="preserve">(k) </w:t>
      </w:r>
      <w:r w:rsidR="00843222" w:rsidRPr="004737C5">
        <w:rPr>
          <w:rFonts w:cstheme="minorHAnsi"/>
          <w:b/>
        </w:rPr>
        <w:t xml:space="preserve">Measures relating to specific areas </w:t>
      </w:r>
    </w:p>
    <w:p w14:paraId="7924336E" w14:textId="361ADDAF" w:rsidR="00843222" w:rsidRPr="004737C5" w:rsidRDefault="00843222" w:rsidP="006D3BE8">
      <w:pPr>
        <w:rPr>
          <w:rFonts w:cstheme="minorHAnsi"/>
        </w:rPr>
      </w:pPr>
      <w:r w:rsidRPr="004737C5">
        <w:rPr>
          <w:rFonts w:cstheme="minorHAnsi"/>
        </w:rPr>
        <w:t>W</w:t>
      </w:r>
      <w:r w:rsidR="002B0BE5" w:rsidRPr="004737C5">
        <w:rPr>
          <w:rFonts w:cstheme="minorHAnsi"/>
        </w:rPr>
        <w:t>ith respect to guidelines 69‒</w:t>
      </w:r>
      <w:r w:rsidRPr="004737C5">
        <w:rPr>
          <w:rFonts w:cstheme="minorHAnsi"/>
        </w:rPr>
        <w:t xml:space="preserve">78, prior to 2015 Member States were requested to prioritize areas of critical concern </w:t>
      </w:r>
      <w:r w:rsidR="002B0BE5" w:rsidRPr="004737C5">
        <w:rPr>
          <w:rFonts w:cstheme="minorHAnsi"/>
        </w:rPr>
        <w:t xml:space="preserve">for </w:t>
      </w:r>
      <w:r w:rsidRPr="004737C5">
        <w:rPr>
          <w:rFonts w:cstheme="minorHAnsi"/>
        </w:rPr>
        <w:t>consumers</w:t>
      </w:r>
      <w:r w:rsidR="002B0BE5" w:rsidRPr="004737C5">
        <w:rPr>
          <w:rFonts w:cstheme="minorHAnsi"/>
        </w:rPr>
        <w:t>’ health</w:t>
      </w:r>
      <w:r w:rsidRPr="004737C5">
        <w:rPr>
          <w:rFonts w:cstheme="minorHAnsi"/>
        </w:rPr>
        <w:t xml:space="preserve">, which included food, water and pharmaceuticals. In 2015, </w:t>
      </w:r>
      <w:r w:rsidR="002B0BE5" w:rsidRPr="004737C5">
        <w:rPr>
          <w:rFonts w:cstheme="minorHAnsi"/>
        </w:rPr>
        <w:t>their</w:t>
      </w:r>
      <w:r w:rsidRPr="004737C5">
        <w:rPr>
          <w:rFonts w:cstheme="minorHAnsi"/>
        </w:rPr>
        <w:t xml:space="preserve"> scope was extended to public utilities and energy services (including community participation in regulatory oversight) as well as tourism/travel. Measures taken in these areas address quality</w:t>
      </w:r>
      <w:r w:rsidR="002B0BE5" w:rsidRPr="004737C5">
        <w:rPr>
          <w:rFonts w:cstheme="minorHAnsi"/>
        </w:rPr>
        <w:t xml:space="preserve"> control, adequate distribution</w:t>
      </w:r>
      <w:r w:rsidRPr="004737C5">
        <w:rPr>
          <w:rFonts w:cstheme="minorHAnsi"/>
        </w:rPr>
        <w:t xml:space="preserve"> and standardized information. Member </w:t>
      </w:r>
      <w:r w:rsidR="00136BFE" w:rsidRPr="004737C5">
        <w:rPr>
          <w:rFonts w:cstheme="minorHAnsi"/>
        </w:rPr>
        <w:t>States are required to apply</w:t>
      </w:r>
      <w:r w:rsidRPr="004737C5">
        <w:rPr>
          <w:rFonts w:cstheme="minorHAnsi"/>
        </w:rPr>
        <w:t xml:space="preserve"> accepted international standards in food and pharmaceuticals. Concerning food production, subjects such as sustainable agri</w:t>
      </w:r>
      <w:r w:rsidR="002B0BE5" w:rsidRPr="004737C5">
        <w:rPr>
          <w:rFonts w:cstheme="minorHAnsi"/>
        </w:rPr>
        <w:t>cultural policies and practices and</w:t>
      </w:r>
      <w:r w:rsidRPr="004737C5">
        <w:rPr>
          <w:rFonts w:cstheme="minorHAnsi"/>
        </w:rPr>
        <w:t xml:space="preserve"> conservation of biodiversity and traditional knowledge are to be promoted. National polices should be developed to improve the supply, distribution and quality of drinking water and for other purposes, taking into account the finite character of aquatic resources. Member States are also required to develop integrated national policies to ensure appropriate use of pharmaceuticals, their </w:t>
      </w:r>
      <w:r w:rsidRPr="004737C5">
        <w:rPr>
          <w:rFonts w:cstheme="minorHAnsi"/>
          <w:iCs/>
        </w:rPr>
        <w:t>procurement, distribution, production, licensing arrangements, registration systems and information to</w:t>
      </w:r>
      <w:r w:rsidRPr="004737C5">
        <w:rPr>
          <w:rFonts w:cstheme="minorHAnsi"/>
        </w:rPr>
        <w:t xml:space="preserve"> consumers. The reference to licensing arrangements and to the promotion of </w:t>
      </w:r>
      <w:r w:rsidRPr="004737C5">
        <w:rPr>
          <w:rFonts w:cstheme="minorHAnsi"/>
          <w:iCs/>
        </w:rPr>
        <w:t xml:space="preserve">the use of international </w:t>
      </w:r>
      <w:r w:rsidR="002B0BE5" w:rsidRPr="004737C5">
        <w:rPr>
          <w:rFonts w:cstheme="minorHAnsi"/>
          <w:iCs/>
        </w:rPr>
        <w:t>non-proprietary names for drugs</w:t>
      </w:r>
      <w:r w:rsidRPr="004737C5">
        <w:rPr>
          <w:rFonts w:cstheme="minorHAnsi"/>
          <w:iCs/>
        </w:rPr>
        <w:t xml:space="preserve"> clearly envisages the possibility of compulsory li</w:t>
      </w:r>
      <w:r w:rsidRPr="004737C5">
        <w:rPr>
          <w:rFonts w:cstheme="minorHAnsi"/>
        </w:rPr>
        <w:t xml:space="preserve">censing, agreed as permissible under WTO rules in the Doha declaration of 2001. </w:t>
      </w:r>
    </w:p>
    <w:p w14:paraId="7CD6063B" w14:textId="77777777" w:rsidR="00843222" w:rsidRPr="004737C5" w:rsidRDefault="00843222" w:rsidP="00136BFE">
      <w:pPr>
        <w:rPr>
          <w:rFonts w:cstheme="minorHAnsi"/>
        </w:rPr>
      </w:pPr>
      <w:r w:rsidRPr="004737C5">
        <w:rPr>
          <w:rFonts w:cstheme="minorHAnsi"/>
        </w:rPr>
        <w:lastRenderedPageBreak/>
        <w:t>The</w:t>
      </w:r>
      <w:r w:rsidR="002B0BE5" w:rsidRPr="004737C5">
        <w:rPr>
          <w:rFonts w:cstheme="minorHAnsi"/>
        </w:rPr>
        <w:t xml:space="preserve">se </w:t>
      </w:r>
      <w:r w:rsidRPr="004737C5">
        <w:rPr>
          <w:rFonts w:cstheme="minorHAnsi"/>
        </w:rPr>
        <w:t>issues are discussed in</w:t>
      </w:r>
      <w:r w:rsidR="004240DC" w:rsidRPr="004737C5">
        <w:rPr>
          <w:rFonts w:cstheme="minorHAnsi"/>
        </w:rPr>
        <w:t xml:space="preserve"> this manual: food in chapter XVI, water and energy in chapter XV</w:t>
      </w:r>
      <w:r w:rsidRPr="004737C5">
        <w:rPr>
          <w:rFonts w:cstheme="minorHAnsi"/>
        </w:rPr>
        <w:t xml:space="preserve"> (utilities)</w:t>
      </w:r>
      <w:r w:rsidR="004240DC" w:rsidRPr="004737C5">
        <w:rPr>
          <w:rFonts w:cstheme="minorHAnsi"/>
        </w:rPr>
        <w:t xml:space="preserve"> and tourism in chapter VIII</w:t>
      </w:r>
      <w:r w:rsidRPr="004737C5">
        <w:rPr>
          <w:rFonts w:cstheme="minorHAnsi"/>
        </w:rPr>
        <w:t xml:space="preserve"> (international cooperation</w:t>
      </w:r>
      <w:r w:rsidR="00237E89" w:rsidRPr="004737C5">
        <w:rPr>
          <w:rFonts w:cstheme="minorHAnsi"/>
        </w:rPr>
        <w:t>).</w:t>
      </w:r>
      <w:r w:rsidRPr="004737C5">
        <w:rPr>
          <w:rFonts w:cstheme="minorHAnsi"/>
        </w:rPr>
        <w:t xml:space="preserve"> </w:t>
      </w:r>
    </w:p>
    <w:p w14:paraId="39BA0EA1" w14:textId="77777777" w:rsidR="006D3BE8" w:rsidRPr="004737C5" w:rsidRDefault="00930EB4" w:rsidP="00136BFE">
      <w:pPr>
        <w:pStyle w:val="Heading3"/>
        <w:spacing w:after="160" w:line="240" w:lineRule="auto"/>
        <w:rPr>
          <w:rFonts w:cstheme="minorHAnsi"/>
          <w:color w:val="auto"/>
        </w:rPr>
      </w:pPr>
      <w:bookmarkStart w:id="21" w:name="_Toc492649974"/>
      <w:r w:rsidRPr="004737C5">
        <w:rPr>
          <w:rFonts w:cstheme="minorHAnsi"/>
          <w:color w:val="auto"/>
        </w:rPr>
        <w:t>4</w:t>
      </w:r>
      <w:r w:rsidR="002B0BE5" w:rsidRPr="004737C5">
        <w:rPr>
          <w:rFonts w:cstheme="minorHAnsi"/>
          <w:color w:val="auto"/>
        </w:rPr>
        <w:t>.</w:t>
      </w:r>
      <w:r w:rsidR="00843222" w:rsidRPr="004737C5">
        <w:rPr>
          <w:rFonts w:cstheme="minorHAnsi"/>
          <w:color w:val="auto"/>
        </w:rPr>
        <w:t xml:space="preserve"> International cooperation</w:t>
      </w:r>
      <w:bookmarkEnd w:id="21"/>
    </w:p>
    <w:p w14:paraId="31D00072" w14:textId="77777777" w:rsidR="00843222" w:rsidRPr="004737C5" w:rsidRDefault="00843222" w:rsidP="006D3BE8">
      <w:r w:rsidRPr="004737C5">
        <w:t>The pre-2015 UNGCP proposed avenue</w:t>
      </w:r>
      <w:r w:rsidR="006D3BE8" w:rsidRPr="004737C5">
        <w:t>s for international cooperation in</w:t>
      </w:r>
      <w:r w:rsidRPr="004737C5">
        <w:t xml:space="preserve"> terms of policy development and implementation, joint procurement of essential goods and services and exchanges of information on defective product</w:t>
      </w:r>
      <w:r w:rsidR="006D3BE8" w:rsidRPr="004737C5">
        <w:t>s, especially but not only</w:t>
      </w:r>
      <w:r w:rsidRPr="004737C5">
        <w:t xml:space="preserve"> in a regional or sub-regional context. Member States </w:t>
      </w:r>
      <w:r w:rsidR="00930EB4" w:rsidRPr="004737C5">
        <w:t>we</w:t>
      </w:r>
      <w:r w:rsidRPr="004737C5">
        <w:t xml:space="preserve">re also expected to promote technology transfer and financial support to enable sustainable consumption and ensure that consumer protection measures do not become unjustifiable barriers to international trade.  </w:t>
      </w:r>
    </w:p>
    <w:p w14:paraId="13ADD39C" w14:textId="77777777" w:rsidR="00843222" w:rsidRPr="004737C5" w:rsidRDefault="00843222" w:rsidP="006D3BE8">
      <w:pPr>
        <w:rPr>
          <w:rFonts w:cstheme="minorHAnsi"/>
        </w:rPr>
      </w:pPr>
      <w:r w:rsidRPr="004737C5">
        <w:rPr>
          <w:rFonts w:cstheme="minorHAnsi"/>
        </w:rPr>
        <w:t>I</w:t>
      </w:r>
      <w:r w:rsidR="00291489" w:rsidRPr="004737C5">
        <w:rPr>
          <w:rFonts w:cstheme="minorHAnsi"/>
        </w:rPr>
        <w:t>n 2015, s</w:t>
      </w:r>
      <w:r w:rsidR="006D3BE8" w:rsidRPr="004737C5">
        <w:rPr>
          <w:rFonts w:cstheme="minorHAnsi"/>
        </w:rPr>
        <w:t>ection VI, comprising guidelines 79‒</w:t>
      </w:r>
      <w:r w:rsidRPr="004737C5">
        <w:rPr>
          <w:rFonts w:cstheme="minorHAnsi"/>
        </w:rPr>
        <w:t>94, was lengthened to require improved cross-border cooperation, including designation of national contact agencies, combating fraud and deceptive commercial practices, ta</w:t>
      </w:r>
      <w:r w:rsidR="006D3BE8" w:rsidRPr="004737C5">
        <w:rPr>
          <w:rFonts w:cstheme="minorHAnsi"/>
        </w:rPr>
        <w:t>king into account g</w:t>
      </w:r>
      <w:r w:rsidRPr="004737C5">
        <w:rPr>
          <w:rFonts w:cstheme="minorHAnsi"/>
        </w:rPr>
        <w:t>uidelines from the OECD.</w:t>
      </w:r>
      <w:r w:rsidRPr="004737C5">
        <w:rPr>
          <w:rStyle w:val="FootnoteReference"/>
          <w:rFonts w:cstheme="minorHAnsi"/>
        </w:rPr>
        <w:footnoteReference w:id="29"/>
      </w:r>
      <w:r w:rsidRPr="004737C5">
        <w:rPr>
          <w:rFonts w:cstheme="minorHAnsi"/>
        </w:rPr>
        <w:t xml:space="preserve"> International coope</w:t>
      </w:r>
      <w:r w:rsidR="004240DC" w:rsidRPr="004737C5">
        <w:rPr>
          <w:rFonts w:cstheme="minorHAnsi"/>
        </w:rPr>
        <w:t>ration is discussed in chapter VII</w:t>
      </w:r>
      <w:r w:rsidRPr="004737C5">
        <w:rPr>
          <w:rFonts w:cstheme="minorHAnsi"/>
        </w:rPr>
        <w:t>.</w:t>
      </w:r>
    </w:p>
    <w:p w14:paraId="0E9BB202" w14:textId="77777777" w:rsidR="00843222" w:rsidRPr="004737C5" w:rsidRDefault="00930EB4" w:rsidP="00136BFE">
      <w:pPr>
        <w:pStyle w:val="Heading3"/>
        <w:spacing w:after="160" w:line="240" w:lineRule="auto"/>
        <w:rPr>
          <w:rFonts w:cstheme="minorHAnsi"/>
          <w:color w:val="auto"/>
        </w:rPr>
      </w:pPr>
      <w:bookmarkStart w:id="22" w:name="_Toc492649975"/>
      <w:r w:rsidRPr="004737C5">
        <w:rPr>
          <w:rFonts w:cstheme="minorHAnsi"/>
          <w:color w:val="auto"/>
        </w:rPr>
        <w:t>5</w:t>
      </w:r>
      <w:r w:rsidR="006D3BE8" w:rsidRPr="004737C5">
        <w:rPr>
          <w:rFonts w:cstheme="minorHAnsi"/>
          <w:color w:val="auto"/>
        </w:rPr>
        <w:t>.</w:t>
      </w:r>
      <w:r w:rsidR="00843222" w:rsidRPr="004737C5">
        <w:rPr>
          <w:rFonts w:cstheme="minorHAnsi"/>
          <w:color w:val="auto"/>
        </w:rPr>
        <w:t xml:space="preserve"> International institutional machinery</w:t>
      </w:r>
      <w:bookmarkEnd w:id="22"/>
    </w:p>
    <w:p w14:paraId="0608C242" w14:textId="0A81CC4C" w:rsidR="00843222" w:rsidRPr="004737C5" w:rsidRDefault="00843222" w:rsidP="006D3BE8">
      <w:pPr>
        <w:rPr>
          <w:rFonts w:cstheme="minorHAnsi"/>
        </w:rPr>
      </w:pPr>
      <w:r w:rsidRPr="004737C5">
        <w:rPr>
          <w:rFonts w:cstheme="minorHAnsi"/>
        </w:rPr>
        <w:t>One of the major innovations of the revised UNG</w:t>
      </w:r>
      <w:r w:rsidR="00924883" w:rsidRPr="004737C5">
        <w:rPr>
          <w:rFonts w:cstheme="minorHAnsi"/>
        </w:rPr>
        <w:t>CP of 2015 is the inclusion of section VI on</w:t>
      </w:r>
      <w:r w:rsidRPr="004737C5">
        <w:rPr>
          <w:rFonts w:cstheme="minorHAnsi"/>
        </w:rPr>
        <w:t xml:space="preserve"> </w:t>
      </w:r>
      <w:r w:rsidR="00924883" w:rsidRPr="004737C5">
        <w:rPr>
          <w:rFonts w:cstheme="minorHAnsi"/>
        </w:rPr>
        <w:t>“</w:t>
      </w:r>
      <w:r w:rsidRPr="004737C5">
        <w:rPr>
          <w:rFonts w:cstheme="minorHAnsi"/>
        </w:rPr>
        <w:t>international institu</w:t>
      </w:r>
      <w:r w:rsidR="00924883" w:rsidRPr="004737C5">
        <w:rPr>
          <w:rFonts w:cstheme="minorHAnsi"/>
        </w:rPr>
        <w:t>tional machinery”, g</w:t>
      </w:r>
      <w:r w:rsidR="006D3BE8" w:rsidRPr="004737C5">
        <w:rPr>
          <w:rFonts w:cstheme="minorHAnsi"/>
        </w:rPr>
        <w:t>uidelines 95‒</w:t>
      </w:r>
      <w:r w:rsidRPr="004737C5">
        <w:rPr>
          <w:rFonts w:cstheme="minorHAnsi"/>
        </w:rPr>
        <w:t xml:space="preserve">99, </w:t>
      </w:r>
      <w:r w:rsidR="006D3BE8" w:rsidRPr="004737C5">
        <w:rPr>
          <w:rFonts w:cstheme="minorHAnsi"/>
        </w:rPr>
        <w:t xml:space="preserve">to </w:t>
      </w:r>
      <w:r w:rsidRPr="004737C5">
        <w:rPr>
          <w:rFonts w:cstheme="minorHAnsi"/>
        </w:rPr>
        <w:t xml:space="preserve">monitor compliance with </w:t>
      </w:r>
      <w:r w:rsidR="00136BFE" w:rsidRPr="004737C5">
        <w:rPr>
          <w:rFonts w:cstheme="minorHAnsi"/>
        </w:rPr>
        <w:t xml:space="preserve">the </w:t>
      </w:r>
      <w:r w:rsidRPr="004737C5">
        <w:rPr>
          <w:rFonts w:cstheme="minorHAnsi"/>
        </w:rPr>
        <w:t>UNGCP through the Intergovernmental Group of Experts (IGE) on Consumer Protection Law and Policy under the auspices of UNCTAD</w:t>
      </w:r>
      <w:r w:rsidR="006D3BE8" w:rsidRPr="004737C5">
        <w:rPr>
          <w:rFonts w:cstheme="minorHAnsi"/>
        </w:rPr>
        <w:t>.</w:t>
      </w:r>
      <w:r w:rsidR="00E86077" w:rsidRPr="004737C5">
        <w:rPr>
          <w:rStyle w:val="FootnoteReference"/>
          <w:rFonts w:cstheme="minorHAnsi"/>
        </w:rPr>
        <w:footnoteReference w:id="30"/>
      </w:r>
      <w:r w:rsidR="006D3BE8" w:rsidRPr="004737C5">
        <w:rPr>
          <w:rFonts w:cstheme="minorHAnsi"/>
        </w:rPr>
        <w:t xml:space="preserve"> As set out in g</w:t>
      </w:r>
      <w:r w:rsidRPr="004737C5">
        <w:rPr>
          <w:rFonts w:cstheme="minorHAnsi"/>
        </w:rPr>
        <w:t>uideline 97, IGE has the following functions:</w:t>
      </w:r>
    </w:p>
    <w:p w14:paraId="1911150D" w14:textId="77777777" w:rsidR="00843222" w:rsidRPr="004737C5" w:rsidRDefault="00843222" w:rsidP="002473E9">
      <w:pPr>
        <w:pStyle w:val="ListParagraph"/>
        <w:numPr>
          <w:ilvl w:val="0"/>
          <w:numId w:val="36"/>
        </w:numPr>
        <w:spacing w:after="0"/>
        <w:ind w:left="992" w:right="567" w:hanging="425"/>
        <w:rPr>
          <w:rFonts w:cstheme="minorHAnsi"/>
        </w:rPr>
      </w:pPr>
      <w:r w:rsidRPr="004737C5">
        <w:rPr>
          <w:rFonts w:cstheme="minorHAnsi"/>
        </w:rPr>
        <w:t xml:space="preserve">To provide an annual forum and modalities for multilateral consultations, discussion and exchange of views between Member States on matters related to the guidelines, in particular their implementation and the experience </w:t>
      </w:r>
      <w:r w:rsidR="006D3BE8" w:rsidRPr="004737C5">
        <w:rPr>
          <w:rFonts w:cstheme="minorHAnsi"/>
        </w:rPr>
        <w:t>arising therefrom.</w:t>
      </w:r>
    </w:p>
    <w:p w14:paraId="3F615A9B" w14:textId="77777777" w:rsidR="00843222" w:rsidRPr="004737C5" w:rsidRDefault="00843222" w:rsidP="002473E9">
      <w:pPr>
        <w:pStyle w:val="ListParagraph"/>
        <w:numPr>
          <w:ilvl w:val="0"/>
          <w:numId w:val="36"/>
        </w:numPr>
        <w:spacing w:after="0"/>
        <w:ind w:left="992" w:right="567" w:hanging="425"/>
        <w:rPr>
          <w:rFonts w:cstheme="minorHAnsi"/>
        </w:rPr>
      </w:pPr>
      <w:r w:rsidRPr="004737C5">
        <w:rPr>
          <w:rFonts w:cstheme="minorHAnsi"/>
        </w:rPr>
        <w:t xml:space="preserve">To undertake studies and research periodically on consumer protection issues related to the guidelines based on a consensus and the interests of Member States and disseminate them with a view to increasing the exchange of experience and giving greater </w:t>
      </w:r>
      <w:r w:rsidR="006D3BE8" w:rsidRPr="004737C5">
        <w:rPr>
          <w:rFonts w:cstheme="minorHAnsi"/>
        </w:rPr>
        <w:t>effectiveness to the guidelines.</w:t>
      </w:r>
    </w:p>
    <w:p w14:paraId="14DDBFB5" w14:textId="77777777" w:rsidR="00843222" w:rsidRPr="004737C5" w:rsidRDefault="00843222" w:rsidP="006D3BE8">
      <w:pPr>
        <w:spacing w:after="0"/>
        <w:ind w:left="992" w:right="567" w:hanging="425"/>
        <w:rPr>
          <w:rFonts w:cstheme="minorHAnsi"/>
        </w:rPr>
      </w:pPr>
      <w:r w:rsidRPr="004737C5">
        <w:rPr>
          <w:rFonts w:cstheme="minorHAnsi"/>
        </w:rPr>
        <w:t>c)</w:t>
      </w:r>
      <w:r w:rsidRPr="004737C5">
        <w:rPr>
          <w:rFonts w:cstheme="minorHAnsi"/>
        </w:rPr>
        <w:tab/>
        <w:t xml:space="preserve">To conduct voluntary peer reviews of national consumer protection policies of Member States, as implemented by </w:t>
      </w:r>
      <w:r w:rsidR="006D3BE8" w:rsidRPr="004737C5">
        <w:rPr>
          <w:rFonts w:cstheme="minorHAnsi"/>
        </w:rPr>
        <w:t>consumer protection authorities.</w:t>
      </w:r>
    </w:p>
    <w:p w14:paraId="1A103C9A" w14:textId="77777777" w:rsidR="00843222" w:rsidRPr="004737C5" w:rsidRDefault="00843222" w:rsidP="006D3BE8">
      <w:pPr>
        <w:tabs>
          <w:tab w:val="left" w:pos="1134"/>
        </w:tabs>
        <w:spacing w:after="0"/>
        <w:ind w:left="992" w:right="567" w:hanging="425"/>
        <w:rPr>
          <w:rFonts w:cstheme="minorHAnsi"/>
        </w:rPr>
      </w:pPr>
      <w:r w:rsidRPr="004737C5">
        <w:rPr>
          <w:rFonts w:cstheme="minorHAnsi"/>
        </w:rPr>
        <w:t>d)</w:t>
      </w:r>
      <w:r w:rsidRPr="004737C5">
        <w:rPr>
          <w:rFonts w:cstheme="minorHAnsi"/>
        </w:rPr>
        <w:tab/>
        <w:t xml:space="preserve">To collect and disseminate information on matters relating to the overall </w:t>
      </w:r>
      <w:r w:rsidR="006D3BE8" w:rsidRPr="004737C5">
        <w:rPr>
          <w:rFonts w:cstheme="minorHAnsi"/>
        </w:rPr>
        <w:t>attainment of the goals of the g</w:t>
      </w:r>
      <w:r w:rsidRPr="004737C5">
        <w:rPr>
          <w:rFonts w:cstheme="minorHAnsi"/>
        </w:rPr>
        <w:t xml:space="preserve">uidelines and to the appropriate steps Member States have taken at the national or regional levels to promote effective implementation of </w:t>
      </w:r>
      <w:r w:rsidR="006D3BE8" w:rsidRPr="004737C5">
        <w:rPr>
          <w:rFonts w:cstheme="minorHAnsi"/>
        </w:rPr>
        <w:t>their objectives and principles.</w:t>
      </w:r>
    </w:p>
    <w:p w14:paraId="7BF19C1C" w14:textId="77777777" w:rsidR="00843222" w:rsidRPr="004737C5" w:rsidRDefault="00843222" w:rsidP="006D3BE8">
      <w:pPr>
        <w:tabs>
          <w:tab w:val="left" w:pos="1134"/>
        </w:tabs>
        <w:spacing w:after="0"/>
        <w:ind w:left="992" w:right="567" w:hanging="425"/>
        <w:rPr>
          <w:rFonts w:cstheme="minorHAnsi"/>
        </w:rPr>
      </w:pPr>
      <w:r w:rsidRPr="004737C5">
        <w:rPr>
          <w:rFonts w:cstheme="minorHAnsi"/>
        </w:rPr>
        <w:t>e)</w:t>
      </w:r>
      <w:r w:rsidRPr="004737C5">
        <w:rPr>
          <w:rFonts w:cstheme="minorHAnsi"/>
        </w:rPr>
        <w:tab/>
        <w:t>To provide capacity-building and technical assistance to developing countries and economies in transition in formulating and enforcing consum</w:t>
      </w:r>
      <w:r w:rsidR="006D3BE8" w:rsidRPr="004737C5">
        <w:rPr>
          <w:rFonts w:cstheme="minorHAnsi"/>
        </w:rPr>
        <w:t>er protection laws and policies.</w:t>
      </w:r>
    </w:p>
    <w:p w14:paraId="7EFED8E7" w14:textId="77777777" w:rsidR="00843222" w:rsidRPr="004737C5" w:rsidRDefault="00843222" w:rsidP="006D3BE8">
      <w:pPr>
        <w:tabs>
          <w:tab w:val="left" w:pos="1134"/>
        </w:tabs>
        <w:spacing w:after="0"/>
        <w:ind w:left="992" w:right="567" w:hanging="425"/>
        <w:rPr>
          <w:rFonts w:cstheme="minorHAnsi"/>
        </w:rPr>
      </w:pPr>
      <w:r w:rsidRPr="004737C5">
        <w:rPr>
          <w:rFonts w:cstheme="minorHAnsi"/>
        </w:rPr>
        <w:t>f)</w:t>
      </w:r>
      <w:r w:rsidRPr="004737C5">
        <w:rPr>
          <w:rFonts w:cstheme="minorHAnsi"/>
        </w:rPr>
        <w:tab/>
        <w:t>To consider relevant studies, documentation and reports from relevant organizations of the United Nations system and other international organizations and networks, to exchange information on work programmes and topics for consultations, and to identify work-sharing projects and cooperation in the pr</w:t>
      </w:r>
      <w:r w:rsidR="006D3BE8" w:rsidRPr="004737C5">
        <w:rPr>
          <w:rFonts w:cstheme="minorHAnsi"/>
        </w:rPr>
        <w:t>ovision of technical assistance.</w:t>
      </w:r>
    </w:p>
    <w:p w14:paraId="11D40424" w14:textId="77777777" w:rsidR="00843222" w:rsidRPr="004737C5" w:rsidRDefault="00843222" w:rsidP="006D3BE8">
      <w:pPr>
        <w:tabs>
          <w:tab w:val="left" w:pos="1134"/>
        </w:tabs>
        <w:spacing w:after="0"/>
        <w:ind w:left="992" w:right="567" w:hanging="425"/>
        <w:rPr>
          <w:rFonts w:cstheme="minorHAnsi"/>
        </w:rPr>
      </w:pPr>
      <w:r w:rsidRPr="004737C5">
        <w:rPr>
          <w:rFonts w:cstheme="minorHAnsi"/>
        </w:rPr>
        <w:t>g)</w:t>
      </w:r>
      <w:r w:rsidRPr="004737C5">
        <w:rPr>
          <w:rFonts w:cstheme="minorHAnsi"/>
        </w:rPr>
        <w:tab/>
        <w:t xml:space="preserve">To </w:t>
      </w:r>
      <w:r w:rsidR="00930EB4" w:rsidRPr="004737C5">
        <w:rPr>
          <w:rFonts w:cstheme="minorHAnsi"/>
        </w:rPr>
        <w:t>make</w:t>
      </w:r>
      <w:r w:rsidRPr="004737C5">
        <w:rPr>
          <w:rFonts w:cstheme="minorHAnsi"/>
        </w:rPr>
        <w:t xml:space="preserve"> appropriate reports and recommendations on the consumer protection policies of Member States, including the application and imp</w:t>
      </w:r>
      <w:r w:rsidR="006D3BE8" w:rsidRPr="004737C5">
        <w:rPr>
          <w:rFonts w:cstheme="minorHAnsi"/>
        </w:rPr>
        <w:t>lementation of these guidelines.</w:t>
      </w:r>
    </w:p>
    <w:p w14:paraId="0DAF940D" w14:textId="77777777" w:rsidR="00843222" w:rsidRPr="004737C5" w:rsidRDefault="00843222" w:rsidP="006D3BE8">
      <w:pPr>
        <w:tabs>
          <w:tab w:val="left" w:pos="1134"/>
        </w:tabs>
        <w:spacing w:after="0"/>
        <w:ind w:left="992" w:right="567" w:hanging="425"/>
        <w:rPr>
          <w:rFonts w:cstheme="minorHAnsi"/>
        </w:rPr>
      </w:pPr>
      <w:r w:rsidRPr="004737C5">
        <w:rPr>
          <w:rFonts w:cstheme="minorHAnsi"/>
        </w:rPr>
        <w:lastRenderedPageBreak/>
        <w:t>h)</w:t>
      </w:r>
      <w:r w:rsidRPr="004737C5">
        <w:rPr>
          <w:rFonts w:cstheme="minorHAnsi"/>
        </w:rPr>
        <w:tab/>
        <w:t>To operate between an</w:t>
      </w:r>
      <w:r w:rsidR="006D3BE8" w:rsidRPr="004737C5">
        <w:rPr>
          <w:rFonts w:cstheme="minorHAnsi"/>
        </w:rPr>
        <w:t>d report to the United Nations C</w:t>
      </w:r>
      <w:r w:rsidRPr="004737C5">
        <w:rPr>
          <w:rFonts w:cstheme="minorHAnsi"/>
        </w:rPr>
        <w:t xml:space="preserve">onferences to </w:t>
      </w:r>
      <w:r w:rsidR="00930EB4" w:rsidRPr="004737C5">
        <w:rPr>
          <w:rFonts w:cstheme="minorHAnsi"/>
        </w:rPr>
        <w:t>r</w:t>
      </w:r>
      <w:r w:rsidRPr="004737C5">
        <w:rPr>
          <w:rFonts w:cstheme="minorHAnsi"/>
        </w:rPr>
        <w:t xml:space="preserve">eview </w:t>
      </w:r>
      <w:r w:rsidR="00930EB4" w:rsidRPr="004737C5">
        <w:rPr>
          <w:rFonts w:cstheme="minorHAnsi"/>
        </w:rPr>
        <w:t>a</w:t>
      </w:r>
      <w:r w:rsidRPr="004737C5">
        <w:rPr>
          <w:rFonts w:cstheme="minorHAnsi"/>
        </w:rPr>
        <w:t xml:space="preserve">ll </w:t>
      </w:r>
      <w:r w:rsidR="00930EB4" w:rsidRPr="004737C5">
        <w:rPr>
          <w:rFonts w:cstheme="minorHAnsi"/>
        </w:rPr>
        <w:t>a</w:t>
      </w:r>
      <w:r w:rsidRPr="004737C5">
        <w:rPr>
          <w:rFonts w:cstheme="minorHAnsi"/>
        </w:rPr>
        <w:t>spects of the Set of Multilaterally Agreed Equitable Principles and Rules for the Control of</w:t>
      </w:r>
      <w:r w:rsidR="006D3BE8" w:rsidRPr="004737C5">
        <w:rPr>
          <w:rFonts w:cstheme="minorHAnsi"/>
        </w:rPr>
        <w:t xml:space="preserve"> Restrictive Business Practices.</w:t>
      </w:r>
    </w:p>
    <w:p w14:paraId="23CF6854" w14:textId="77777777" w:rsidR="00843222" w:rsidRPr="004737C5" w:rsidRDefault="00843222" w:rsidP="006D3BE8">
      <w:pPr>
        <w:tabs>
          <w:tab w:val="left" w:pos="1134"/>
        </w:tabs>
        <w:spacing w:after="0"/>
        <w:ind w:left="992" w:right="567" w:hanging="425"/>
        <w:rPr>
          <w:rFonts w:cstheme="minorHAnsi"/>
        </w:rPr>
      </w:pPr>
      <w:r w:rsidRPr="004737C5">
        <w:rPr>
          <w:rFonts w:cstheme="minorHAnsi"/>
        </w:rPr>
        <w:t>i)</w:t>
      </w:r>
      <w:r w:rsidRPr="004737C5">
        <w:rPr>
          <w:rFonts w:cstheme="minorHAnsi"/>
        </w:rPr>
        <w:tab/>
        <w:t>To co</w:t>
      </w:r>
      <w:r w:rsidR="006D3BE8" w:rsidRPr="004737C5">
        <w:rPr>
          <w:rFonts w:cstheme="minorHAnsi"/>
        </w:rPr>
        <w:t>nduct a periodic review of the g</w:t>
      </w:r>
      <w:r w:rsidRPr="004737C5">
        <w:rPr>
          <w:rFonts w:cstheme="minorHAnsi"/>
        </w:rPr>
        <w:t xml:space="preserve">uidelines, when mandated by the United Nations Conference to </w:t>
      </w:r>
      <w:r w:rsidR="00930EB4" w:rsidRPr="004737C5">
        <w:rPr>
          <w:rFonts w:cstheme="minorHAnsi"/>
        </w:rPr>
        <w:t>r</w:t>
      </w:r>
      <w:r w:rsidRPr="004737C5">
        <w:rPr>
          <w:rFonts w:cstheme="minorHAnsi"/>
        </w:rPr>
        <w:t xml:space="preserve">eview </w:t>
      </w:r>
      <w:r w:rsidR="00930EB4" w:rsidRPr="004737C5">
        <w:rPr>
          <w:rFonts w:cstheme="minorHAnsi"/>
        </w:rPr>
        <w:t>a</w:t>
      </w:r>
      <w:r w:rsidRPr="004737C5">
        <w:rPr>
          <w:rFonts w:cstheme="minorHAnsi"/>
        </w:rPr>
        <w:t xml:space="preserve">ll </w:t>
      </w:r>
      <w:r w:rsidR="00930EB4" w:rsidRPr="004737C5">
        <w:rPr>
          <w:rFonts w:cstheme="minorHAnsi"/>
        </w:rPr>
        <w:t>a</w:t>
      </w:r>
      <w:r w:rsidRPr="004737C5">
        <w:rPr>
          <w:rFonts w:cstheme="minorHAnsi"/>
        </w:rPr>
        <w:t xml:space="preserve">spects of the Set of Multilaterally Agreed Equitable Principles and Rules for the Control of </w:t>
      </w:r>
      <w:r w:rsidR="006D3BE8" w:rsidRPr="004737C5">
        <w:rPr>
          <w:rFonts w:cstheme="minorHAnsi"/>
        </w:rPr>
        <w:t>Restrictive Business Practices.</w:t>
      </w:r>
    </w:p>
    <w:p w14:paraId="66E21B6E" w14:textId="77777777" w:rsidR="00843222" w:rsidRPr="004737C5" w:rsidRDefault="00843222" w:rsidP="006D3BE8">
      <w:pPr>
        <w:tabs>
          <w:tab w:val="left" w:pos="1134"/>
        </w:tabs>
        <w:ind w:left="992" w:right="567" w:hanging="425"/>
        <w:rPr>
          <w:rFonts w:cstheme="minorHAnsi"/>
        </w:rPr>
      </w:pPr>
      <w:r w:rsidRPr="004737C5">
        <w:rPr>
          <w:rFonts w:cstheme="minorHAnsi"/>
        </w:rPr>
        <w:t>j)</w:t>
      </w:r>
      <w:r w:rsidRPr="004737C5">
        <w:rPr>
          <w:rFonts w:cstheme="minorHAnsi"/>
        </w:rPr>
        <w:tab/>
        <w:t>To establish such procedures and methods of work as may be necessary to carry out its mandate.</w:t>
      </w:r>
    </w:p>
    <w:p w14:paraId="0B433EA7" w14:textId="77777777" w:rsidR="00843222" w:rsidRPr="004737C5" w:rsidRDefault="00843222" w:rsidP="00AC004D">
      <w:pPr>
        <w:rPr>
          <w:rFonts w:cstheme="minorHAnsi"/>
        </w:rPr>
      </w:pPr>
      <w:r w:rsidRPr="004737C5">
        <w:rPr>
          <w:rFonts w:cstheme="minorHAnsi"/>
        </w:rPr>
        <w:t xml:space="preserve">In order to evaluate the practical implementation of the newly revised UNGCP in a particular country, the following indicators </w:t>
      </w:r>
      <w:r w:rsidR="006D3BE8" w:rsidRPr="004737C5">
        <w:rPr>
          <w:rFonts w:cstheme="minorHAnsi"/>
        </w:rPr>
        <w:t xml:space="preserve">are </w:t>
      </w:r>
      <w:r w:rsidR="00930EB4" w:rsidRPr="004737C5">
        <w:rPr>
          <w:rFonts w:cstheme="minorHAnsi"/>
        </w:rPr>
        <w:t>suggested</w:t>
      </w:r>
      <w:r w:rsidR="006D3BE8" w:rsidRPr="004737C5">
        <w:rPr>
          <w:rFonts w:cstheme="minorHAnsi"/>
        </w:rPr>
        <w:t xml:space="preserve"> for use</w:t>
      </w:r>
      <w:r w:rsidRPr="004737C5">
        <w:rPr>
          <w:rFonts w:cstheme="minorHAnsi"/>
        </w:rPr>
        <w:t>:</w:t>
      </w:r>
    </w:p>
    <w:p w14:paraId="2DC75187" w14:textId="77777777" w:rsidR="00843222" w:rsidRPr="004737C5" w:rsidRDefault="00CB53B6" w:rsidP="002473E9">
      <w:pPr>
        <w:numPr>
          <w:ilvl w:val="0"/>
          <w:numId w:val="94"/>
        </w:numPr>
        <w:spacing w:after="0"/>
        <w:ind w:left="924" w:right="567" w:hanging="357"/>
        <w:rPr>
          <w:rFonts w:cstheme="minorHAnsi"/>
        </w:rPr>
      </w:pPr>
      <w:r w:rsidRPr="004737C5">
        <w:rPr>
          <w:rFonts w:cstheme="minorHAnsi"/>
        </w:rPr>
        <w:t>Allocation of specific responsibility for consumer affairs to m</w:t>
      </w:r>
      <w:r w:rsidR="00843222" w:rsidRPr="004737C5">
        <w:rPr>
          <w:rFonts w:cstheme="minorHAnsi"/>
        </w:rPr>
        <w:t xml:space="preserve">inistries and/or </w:t>
      </w:r>
      <w:r w:rsidRPr="004737C5">
        <w:rPr>
          <w:rFonts w:cstheme="minorHAnsi"/>
        </w:rPr>
        <w:t>government agencies</w:t>
      </w:r>
      <w:r w:rsidR="00843222" w:rsidRPr="004737C5">
        <w:rPr>
          <w:rFonts w:cstheme="minorHAnsi"/>
        </w:rPr>
        <w:t>; this should extend to the development of a consumer element in sectoral ministries, especially those sectors identified in section</w:t>
      </w:r>
      <w:r w:rsidR="008B52EA" w:rsidRPr="004737C5">
        <w:rPr>
          <w:rFonts w:cstheme="minorHAnsi"/>
        </w:rPr>
        <w:t>s</w:t>
      </w:r>
      <w:r w:rsidR="00843222" w:rsidRPr="004737C5">
        <w:rPr>
          <w:rFonts w:cstheme="minorHAnsi"/>
        </w:rPr>
        <w:t xml:space="preserve"> </w:t>
      </w:r>
      <w:r w:rsidRPr="004737C5">
        <w:rPr>
          <w:rFonts w:cstheme="minorHAnsi"/>
        </w:rPr>
        <w:t>V</w:t>
      </w:r>
      <w:r w:rsidR="00291489" w:rsidRPr="004737C5">
        <w:rPr>
          <w:rFonts w:cstheme="minorHAnsi"/>
        </w:rPr>
        <w:t>.</w:t>
      </w:r>
      <w:r w:rsidR="00843222" w:rsidRPr="004737C5">
        <w:rPr>
          <w:rFonts w:cstheme="minorHAnsi"/>
        </w:rPr>
        <w:t xml:space="preserve">J and </w:t>
      </w:r>
      <w:r w:rsidR="00291489" w:rsidRPr="004737C5">
        <w:rPr>
          <w:rFonts w:cstheme="minorHAnsi"/>
        </w:rPr>
        <w:t>V.</w:t>
      </w:r>
      <w:r w:rsidR="00843222" w:rsidRPr="004737C5">
        <w:rPr>
          <w:rFonts w:cstheme="minorHAnsi"/>
        </w:rPr>
        <w:t xml:space="preserve">K of the UNGCP, and should </w:t>
      </w:r>
      <w:r w:rsidRPr="004737C5">
        <w:rPr>
          <w:rFonts w:cstheme="minorHAnsi"/>
        </w:rPr>
        <w:t>encompass state-owned enterprises.</w:t>
      </w:r>
      <w:r w:rsidR="00843222" w:rsidRPr="004737C5">
        <w:rPr>
          <w:rFonts w:cstheme="minorHAnsi"/>
        </w:rPr>
        <w:t xml:space="preserve"> </w:t>
      </w:r>
    </w:p>
    <w:p w14:paraId="528F7F1C" w14:textId="77777777" w:rsidR="00843222" w:rsidRPr="004737C5" w:rsidRDefault="00843222" w:rsidP="002473E9">
      <w:pPr>
        <w:pStyle w:val="ListParagraph"/>
        <w:numPr>
          <w:ilvl w:val="0"/>
          <w:numId w:val="94"/>
        </w:numPr>
        <w:spacing w:after="0"/>
        <w:ind w:left="924" w:right="567" w:hanging="357"/>
        <w:rPr>
          <w:rFonts w:cstheme="minorHAnsi"/>
        </w:rPr>
      </w:pPr>
      <w:r w:rsidRPr="004737C5">
        <w:rPr>
          <w:rFonts w:cstheme="minorHAnsi"/>
        </w:rPr>
        <w:t>Adoption of national consumer policy and consumer protection laws, including those pertaining to data security and pr</w:t>
      </w:r>
      <w:r w:rsidR="00CB53B6" w:rsidRPr="004737C5">
        <w:rPr>
          <w:rFonts w:cstheme="minorHAnsi"/>
        </w:rPr>
        <w:t>ivacy.</w:t>
      </w:r>
    </w:p>
    <w:p w14:paraId="660C318E"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Adoption and</w:t>
      </w:r>
      <w:r w:rsidR="00CB53B6" w:rsidRPr="004737C5">
        <w:rPr>
          <w:rFonts w:cstheme="minorHAnsi"/>
        </w:rPr>
        <w:t xml:space="preserve"> application of competition law.</w:t>
      </w:r>
    </w:p>
    <w:p w14:paraId="7CD6135C"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Adoption and application of standards for</w:t>
      </w:r>
      <w:r w:rsidR="00CB53B6" w:rsidRPr="004737C5">
        <w:rPr>
          <w:rFonts w:cstheme="minorHAnsi"/>
        </w:rPr>
        <w:t xml:space="preserve"> consumer products and services.</w:t>
      </w:r>
    </w:p>
    <w:p w14:paraId="3BB1BD83"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 xml:space="preserve">Adoption by industry of codes of good practice, either unilaterally or in cooperation with </w:t>
      </w:r>
      <w:r w:rsidR="00CB53B6" w:rsidRPr="004737C5">
        <w:rPr>
          <w:rFonts w:cstheme="minorHAnsi"/>
        </w:rPr>
        <w:t>government or regulators.</w:t>
      </w:r>
      <w:r w:rsidRPr="004737C5">
        <w:rPr>
          <w:rFonts w:cstheme="minorHAnsi"/>
        </w:rPr>
        <w:t xml:space="preserve">  </w:t>
      </w:r>
    </w:p>
    <w:p w14:paraId="2CC025A1"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 xml:space="preserve">Organization of consumer education programmes and the dissemination of </w:t>
      </w:r>
      <w:r w:rsidR="00CB53B6" w:rsidRPr="004737C5">
        <w:rPr>
          <w:rFonts w:cstheme="minorHAnsi"/>
        </w:rPr>
        <w:t>consumer protection information.</w:t>
      </w:r>
    </w:p>
    <w:p w14:paraId="62705F90"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Establishment of consumer dispute resolution and mediation/arbitration mechanisms, incl</w:t>
      </w:r>
      <w:r w:rsidR="00CB53B6" w:rsidRPr="004737C5">
        <w:rPr>
          <w:rFonts w:cstheme="minorHAnsi"/>
        </w:rPr>
        <w:t>uding online dispute resolution.</w:t>
      </w:r>
      <w:r w:rsidRPr="004737C5">
        <w:rPr>
          <w:rFonts w:cstheme="minorHAnsi"/>
        </w:rPr>
        <w:t xml:space="preserve"> </w:t>
      </w:r>
    </w:p>
    <w:p w14:paraId="0C0EFB7F"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Recogn</w:t>
      </w:r>
      <w:r w:rsidR="00CB53B6" w:rsidRPr="004737C5">
        <w:rPr>
          <w:rFonts w:cstheme="minorHAnsi"/>
        </w:rPr>
        <w:t>ition of consumer organizations</w:t>
      </w:r>
      <w:r w:rsidRPr="004737C5">
        <w:rPr>
          <w:rFonts w:cstheme="minorHAnsi"/>
        </w:rPr>
        <w:t xml:space="preserve"> (possibly ext</w:t>
      </w:r>
      <w:r w:rsidR="00CB53B6" w:rsidRPr="004737C5">
        <w:rPr>
          <w:rFonts w:cstheme="minorHAnsi"/>
        </w:rPr>
        <w:t>ending to financial support by governments)</w:t>
      </w:r>
      <w:r w:rsidRPr="004737C5">
        <w:rPr>
          <w:rFonts w:cstheme="minorHAnsi"/>
        </w:rPr>
        <w:t xml:space="preserve"> as participants in decision-making processes in areas of</w:t>
      </w:r>
      <w:r w:rsidR="00CB53B6" w:rsidRPr="004737C5">
        <w:rPr>
          <w:rFonts w:cstheme="minorHAnsi"/>
        </w:rPr>
        <w:t xml:space="preserve"> consumer protection and policy.</w:t>
      </w:r>
    </w:p>
    <w:p w14:paraId="35D2E4FE"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 xml:space="preserve">Incorporation of consumer education studies in the </w:t>
      </w:r>
      <w:r w:rsidR="00CB53B6" w:rsidRPr="004737C5">
        <w:rPr>
          <w:rFonts w:cstheme="minorHAnsi"/>
        </w:rPr>
        <w:t>school curriculum and elsewhere.</w:t>
      </w:r>
    </w:p>
    <w:p w14:paraId="76A7C467"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Establishment, or recognition, of consumer</w:t>
      </w:r>
      <w:r w:rsidR="00CB53B6" w:rsidRPr="004737C5">
        <w:rPr>
          <w:rFonts w:cstheme="minorHAnsi"/>
        </w:rPr>
        <w:t xml:space="preserve"> information and advice centres.</w:t>
      </w:r>
    </w:p>
    <w:p w14:paraId="1D26A559"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Encouragement and enabl</w:t>
      </w:r>
      <w:r w:rsidR="00CB53B6" w:rsidRPr="004737C5">
        <w:rPr>
          <w:rFonts w:cstheme="minorHAnsi"/>
        </w:rPr>
        <w:t xml:space="preserve">ing of dissemination of product </w:t>
      </w:r>
      <w:r w:rsidRPr="004737C5">
        <w:rPr>
          <w:rFonts w:cstheme="minorHAnsi"/>
        </w:rPr>
        <w:t>t</w:t>
      </w:r>
      <w:r w:rsidR="00CB53B6" w:rsidRPr="004737C5">
        <w:rPr>
          <w:rFonts w:cstheme="minorHAnsi"/>
        </w:rPr>
        <w:t>esting information directly by g</w:t>
      </w:r>
      <w:r w:rsidRPr="004737C5">
        <w:rPr>
          <w:rFonts w:cstheme="minorHAnsi"/>
        </w:rPr>
        <w:t>overnments or through consumer organizations;</w:t>
      </w:r>
    </w:p>
    <w:p w14:paraId="6EA1F99B"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Establishment of access polici</w:t>
      </w:r>
      <w:r w:rsidR="00CB53B6" w:rsidRPr="004737C5">
        <w:rPr>
          <w:rFonts w:cstheme="minorHAnsi"/>
        </w:rPr>
        <w:t>es for basic goods and services.</w:t>
      </w:r>
    </w:p>
    <w:p w14:paraId="56F1AAF0"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 xml:space="preserve">International cooperation through assistance for the development of consumer protection legislation </w:t>
      </w:r>
      <w:r w:rsidR="00CB53B6" w:rsidRPr="004737C5">
        <w:rPr>
          <w:rFonts w:cstheme="minorHAnsi"/>
        </w:rPr>
        <w:t>and/or support for training of government officers.</w:t>
      </w:r>
    </w:p>
    <w:p w14:paraId="1037AE4E" w14:textId="77777777" w:rsidR="00843222" w:rsidRPr="004737C5" w:rsidRDefault="00843222" w:rsidP="002473E9">
      <w:pPr>
        <w:numPr>
          <w:ilvl w:val="0"/>
          <w:numId w:val="94"/>
        </w:numPr>
        <w:spacing w:after="0"/>
        <w:ind w:left="924" w:right="567" w:hanging="357"/>
        <w:rPr>
          <w:rFonts w:cstheme="minorHAnsi"/>
        </w:rPr>
      </w:pPr>
      <w:r w:rsidRPr="004737C5">
        <w:rPr>
          <w:rFonts w:cstheme="minorHAnsi"/>
        </w:rPr>
        <w:t xml:space="preserve">Participation in reviews of national consumer protection policy and in the periodic reviews of the UNGCP under the institutional machinery established within UNCTAD. </w:t>
      </w:r>
    </w:p>
    <w:p w14:paraId="43269624" w14:textId="77777777" w:rsidR="00843222" w:rsidRPr="004737C5" w:rsidRDefault="00CB53B6" w:rsidP="00AC004D">
      <w:pPr>
        <w:pStyle w:val="Heading2"/>
        <w:spacing w:after="160"/>
        <w:rPr>
          <w:rFonts w:cstheme="minorHAnsi"/>
          <w:color w:val="auto"/>
          <w:sz w:val="24"/>
          <w:szCs w:val="24"/>
        </w:rPr>
      </w:pPr>
      <w:bookmarkStart w:id="23" w:name="_Toc492649976"/>
      <w:r w:rsidRPr="004737C5">
        <w:rPr>
          <w:rFonts w:cstheme="minorHAnsi"/>
          <w:color w:val="auto"/>
          <w:sz w:val="24"/>
          <w:szCs w:val="24"/>
        </w:rPr>
        <w:t>C.</w:t>
      </w:r>
      <w:r w:rsidR="00843222" w:rsidRPr="004737C5">
        <w:rPr>
          <w:rFonts w:cstheme="minorHAnsi"/>
          <w:color w:val="auto"/>
          <w:sz w:val="24"/>
          <w:szCs w:val="24"/>
        </w:rPr>
        <w:t xml:space="preserve"> Conclusion</w:t>
      </w:r>
      <w:bookmarkEnd w:id="23"/>
    </w:p>
    <w:p w14:paraId="3A5AB892" w14:textId="77777777" w:rsidR="00843222" w:rsidRPr="004737C5" w:rsidRDefault="00843222" w:rsidP="006D3BE8">
      <w:pPr>
        <w:rPr>
          <w:rFonts w:cstheme="minorHAnsi"/>
        </w:rPr>
      </w:pPr>
      <w:r w:rsidRPr="004737C5">
        <w:rPr>
          <w:rFonts w:cstheme="minorHAnsi"/>
        </w:rPr>
        <w:t xml:space="preserve">The UNGCP have provided the basis of a framework for </w:t>
      </w:r>
      <w:r w:rsidR="00CB53B6" w:rsidRPr="004737C5">
        <w:rPr>
          <w:rFonts w:cstheme="minorHAnsi"/>
        </w:rPr>
        <w:t>consumer protection laws in</w:t>
      </w:r>
      <w:r w:rsidRPr="004737C5">
        <w:rPr>
          <w:rFonts w:cstheme="minorHAnsi"/>
        </w:rPr>
        <w:t xml:space="preserve"> many countries. However, the progress achieved in the implementation of the UNGCP has not been uniform. In some parts of the world, there still </w:t>
      </w:r>
      <w:r w:rsidR="007067D3" w:rsidRPr="004737C5">
        <w:rPr>
          <w:rFonts w:cstheme="minorHAnsi"/>
        </w:rPr>
        <w:t>remain</w:t>
      </w:r>
      <w:r w:rsidRPr="004737C5">
        <w:rPr>
          <w:rFonts w:cstheme="minorHAnsi"/>
        </w:rPr>
        <w:t xml:space="preserve"> a number of jurisdictions with</w:t>
      </w:r>
      <w:r w:rsidR="00CB53B6" w:rsidRPr="004737C5">
        <w:rPr>
          <w:rFonts w:cstheme="minorHAnsi"/>
        </w:rPr>
        <w:t xml:space="preserve"> no consumer protection laws, g</w:t>
      </w:r>
      <w:r w:rsidRPr="004737C5">
        <w:rPr>
          <w:rFonts w:cstheme="minorHAnsi"/>
        </w:rPr>
        <w:t xml:space="preserve">overnment consumer protection agencies nor independent consumer associations. Furthermore, laws may exist but sometimes are devoid of practical impact. </w:t>
      </w:r>
    </w:p>
    <w:p w14:paraId="45679C8B" w14:textId="2FA6E3E4" w:rsidR="00843222" w:rsidRPr="004737C5" w:rsidRDefault="00843222" w:rsidP="006D3BE8">
      <w:pPr>
        <w:rPr>
          <w:rFonts w:cstheme="minorHAnsi"/>
        </w:rPr>
      </w:pPr>
      <w:r w:rsidRPr="004737C5">
        <w:rPr>
          <w:rFonts w:cstheme="minorHAnsi"/>
        </w:rPr>
        <w:t>It is difficult to accurately assess how well the UNGCP have been implemented since their adoption. The consensus from various sources suggests they have made an important contribution to consumer protection worldwide. Throughout 2012, UNCTAD carried out a global survey of measures taken by United Nations Member States to implement the provisions of the UNG</w:t>
      </w:r>
      <w:r w:rsidR="00CB53B6" w:rsidRPr="004737C5">
        <w:rPr>
          <w:rFonts w:cstheme="minorHAnsi"/>
        </w:rPr>
        <w:t xml:space="preserve">CP.  The review </w:t>
      </w:r>
      <w:r w:rsidR="00CB53B6" w:rsidRPr="004737C5">
        <w:rPr>
          <w:rFonts w:cstheme="minorHAnsi"/>
        </w:rPr>
        <w:lastRenderedPageBreak/>
        <w:t>concluded that “s</w:t>
      </w:r>
      <w:r w:rsidRPr="004737C5">
        <w:rPr>
          <w:rFonts w:cstheme="minorHAnsi"/>
        </w:rPr>
        <w:t>ince 1985, the United Nations Guidelines on Consumer Protection have been widely implemented by Member States of the United Nations. National contributions to this revision process show</w:t>
      </w:r>
      <w:r w:rsidR="00924883" w:rsidRPr="004737C5">
        <w:rPr>
          <w:rFonts w:cstheme="minorHAnsi"/>
        </w:rPr>
        <w:t xml:space="preserve"> that all areas of the current g</w:t>
      </w:r>
      <w:r w:rsidRPr="004737C5">
        <w:rPr>
          <w:rFonts w:cstheme="minorHAnsi"/>
        </w:rPr>
        <w:t>uidelines remain valid and useful</w:t>
      </w:r>
      <w:r w:rsidR="00AC004D" w:rsidRPr="004737C5">
        <w:rPr>
          <w:rFonts w:cstheme="minorHAnsi"/>
        </w:rPr>
        <w:t>”.</w:t>
      </w:r>
      <w:r w:rsidR="00930EB4" w:rsidRPr="004737C5">
        <w:rPr>
          <w:rStyle w:val="FootnoteReference"/>
          <w:rFonts w:cstheme="minorHAnsi"/>
        </w:rPr>
        <w:footnoteReference w:id="31"/>
      </w:r>
      <w:r w:rsidR="00CB53B6" w:rsidRPr="004737C5">
        <w:rPr>
          <w:rFonts w:cstheme="minorHAnsi"/>
        </w:rPr>
        <w:t xml:space="preserve"> </w:t>
      </w:r>
      <w:r w:rsidRPr="004737C5">
        <w:rPr>
          <w:rFonts w:cstheme="minorHAnsi"/>
        </w:rPr>
        <w:t>Conversely, a survey by Consumers Inter</w:t>
      </w:r>
      <w:r w:rsidR="00CB53B6" w:rsidRPr="004737C5">
        <w:rPr>
          <w:rFonts w:cstheme="minorHAnsi"/>
        </w:rPr>
        <w:t>national in 2013 pointed to the</w:t>
      </w:r>
      <w:r w:rsidRPr="004737C5">
        <w:rPr>
          <w:rFonts w:cstheme="minorHAnsi"/>
        </w:rPr>
        <w:t xml:space="preserve"> “intense frustration” expressed by its members (mainly consumer associations) concerning “the non-application of consumer protec</w:t>
      </w:r>
      <w:r w:rsidR="00CB53B6" w:rsidRPr="004737C5">
        <w:rPr>
          <w:rFonts w:cstheme="minorHAnsi"/>
        </w:rPr>
        <w:t>tion measures already in place”.</w:t>
      </w:r>
      <w:r w:rsidR="00930EB4" w:rsidRPr="004737C5">
        <w:rPr>
          <w:rStyle w:val="FootnoteReference"/>
          <w:rFonts w:cstheme="minorHAnsi"/>
        </w:rPr>
        <w:footnoteReference w:id="32"/>
      </w:r>
    </w:p>
    <w:p w14:paraId="32ED62BA" w14:textId="77777777" w:rsidR="00843222" w:rsidRPr="004737C5" w:rsidRDefault="00843222" w:rsidP="006D3BE8">
      <w:pPr>
        <w:rPr>
          <w:rFonts w:eastAsia="Times New Roman" w:cstheme="minorHAnsi"/>
          <w:b/>
          <w:bCs/>
          <w:caps/>
          <w:sz w:val="24"/>
          <w:szCs w:val="20"/>
        </w:rPr>
      </w:pPr>
      <w:r w:rsidRPr="004737C5">
        <w:rPr>
          <w:rFonts w:cstheme="minorHAnsi"/>
        </w:rPr>
        <w:t xml:space="preserve">The consumer today is operating within an enlarged international marketplace. This calls for new dynamics of interaction between consumers, businesses and regulators. The UNGCP </w:t>
      </w:r>
      <w:r w:rsidR="00CB53B6" w:rsidRPr="004737C5">
        <w:rPr>
          <w:rFonts w:cstheme="minorHAnsi"/>
        </w:rPr>
        <w:t>represent</w:t>
      </w:r>
      <w:r w:rsidRPr="004737C5">
        <w:rPr>
          <w:rFonts w:cstheme="minorHAnsi"/>
        </w:rPr>
        <w:t xml:space="preserve"> significant steps in that direction and, given the right level of commitment, t</w:t>
      </w:r>
      <w:r w:rsidR="00CB53B6" w:rsidRPr="004737C5">
        <w:rPr>
          <w:rFonts w:cstheme="minorHAnsi"/>
        </w:rPr>
        <w:t xml:space="preserve">he 2015 revision may contribute to </w:t>
      </w:r>
      <w:r w:rsidRPr="004737C5">
        <w:rPr>
          <w:rFonts w:cstheme="minorHAnsi"/>
        </w:rPr>
        <w:t>further progress.</w:t>
      </w:r>
      <w:r w:rsidRPr="004737C5">
        <w:rPr>
          <w:rFonts w:cstheme="minorHAnsi"/>
        </w:rPr>
        <w:br w:type="page"/>
      </w:r>
    </w:p>
    <w:p w14:paraId="57F1586E" w14:textId="77777777" w:rsidR="00843222" w:rsidRPr="004737C5" w:rsidRDefault="00CB53B6" w:rsidP="00AC004D">
      <w:pPr>
        <w:rPr>
          <w:b/>
          <w:sz w:val="28"/>
          <w:szCs w:val="28"/>
        </w:rPr>
      </w:pPr>
      <w:bookmarkStart w:id="24" w:name="_Toc492649977"/>
      <w:r w:rsidRPr="004737C5">
        <w:rPr>
          <w:b/>
          <w:sz w:val="28"/>
          <w:szCs w:val="28"/>
        </w:rPr>
        <w:lastRenderedPageBreak/>
        <w:t>III. Consumer l</w:t>
      </w:r>
      <w:r w:rsidR="00843222" w:rsidRPr="004737C5">
        <w:rPr>
          <w:b/>
          <w:sz w:val="28"/>
          <w:szCs w:val="28"/>
        </w:rPr>
        <w:t>aw</w:t>
      </w:r>
      <w:bookmarkEnd w:id="24"/>
    </w:p>
    <w:p w14:paraId="60DA4C26" w14:textId="77777777" w:rsidR="00843222" w:rsidRPr="004737C5" w:rsidRDefault="00301C1F" w:rsidP="00FC2F14">
      <w:pPr>
        <w:pStyle w:val="Heading2"/>
        <w:spacing w:before="0" w:after="160"/>
        <w:rPr>
          <w:rFonts w:cstheme="minorHAnsi"/>
          <w:color w:val="auto"/>
        </w:rPr>
      </w:pPr>
      <w:bookmarkStart w:id="25" w:name="_Toc492649978"/>
      <w:r w:rsidRPr="004737C5">
        <w:rPr>
          <w:rFonts w:cstheme="minorHAnsi"/>
          <w:color w:val="auto"/>
        </w:rPr>
        <w:t>A.</w:t>
      </w:r>
      <w:r w:rsidR="00843222" w:rsidRPr="004737C5">
        <w:rPr>
          <w:rFonts w:cstheme="minorHAnsi"/>
          <w:color w:val="auto"/>
        </w:rPr>
        <w:t xml:space="preserve"> Consumer law in the United Nations Guidelines for Consumer Protection</w:t>
      </w:r>
      <w:bookmarkEnd w:id="25"/>
    </w:p>
    <w:p w14:paraId="31A845FE" w14:textId="77777777" w:rsidR="00843222" w:rsidRPr="004737C5" w:rsidRDefault="00843222" w:rsidP="006D3BE8">
      <w:pPr>
        <w:rPr>
          <w:rFonts w:cstheme="minorHAnsi"/>
          <w:bCs/>
        </w:rPr>
      </w:pPr>
      <w:r w:rsidRPr="004737C5">
        <w:rPr>
          <w:rFonts w:cstheme="minorHAnsi"/>
        </w:rPr>
        <w:t>Resolution 70/186, which</w:t>
      </w:r>
      <w:r w:rsidR="00301C1F" w:rsidRPr="004737C5">
        <w:rPr>
          <w:rFonts w:cstheme="minorHAnsi"/>
        </w:rPr>
        <w:t xml:space="preserve"> precedes the UNGCP, reaffirms the guidelines as “</w:t>
      </w:r>
      <w:r w:rsidRPr="004737C5">
        <w:rPr>
          <w:rFonts w:cstheme="minorHAnsi"/>
          <w:bCs/>
        </w:rPr>
        <w:t xml:space="preserve">a valuable set of principles for setting out the main characteristics of effective consumer protection legislation, enforcement institutions and redress systems, and for assisting interested Member States in formulating and enforcing domestic and regional laws, rules and regulations that are suitable to their own economic and social and environmental circumstances, as well as promoting international enforcement </w:t>
      </w:r>
      <w:r w:rsidR="00301C1F" w:rsidRPr="004737C5">
        <w:rPr>
          <w:rFonts w:cstheme="minorHAnsi"/>
          <w:bCs/>
        </w:rPr>
        <w:t>cooperation among Member States”</w:t>
      </w:r>
      <w:r w:rsidRPr="004737C5">
        <w:rPr>
          <w:rFonts w:cstheme="minorHAnsi"/>
          <w:bCs/>
        </w:rPr>
        <w:t>.</w:t>
      </w:r>
      <w:r w:rsidR="00301C1F" w:rsidRPr="004737C5">
        <w:rPr>
          <w:rFonts w:cstheme="minorHAnsi"/>
          <w:bCs/>
        </w:rPr>
        <w:t xml:space="preserve"> </w:t>
      </w:r>
      <w:r w:rsidRPr="004737C5">
        <w:rPr>
          <w:rFonts w:cstheme="minorHAnsi"/>
        </w:rPr>
        <w:t>It goes on to recogni</w:t>
      </w:r>
      <w:r w:rsidR="001A0359" w:rsidRPr="004737C5">
        <w:rPr>
          <w:rFonts w:cstheme="minorHAnsi"/>
        </w:rPr>
        <w:t>z</w:t>
      </w:r>
      <w:r w:rsidR="00301C1F" w:rsidRPr="004737C5">
        <w:rPr>
          <w:rFonts w:cstheme="minorHAnsi"/>
        </w:rPr>
        <w:t>e that</w:t>
      </w:r>
      <w:r w:rsidRPr="004737C5">
        <w:rPr>
          <w:rFonts w:cstheme="minorHAnsi"/>
        </w:rPr>
        <w:t xml:space="preserve"> “</w:t>
      </w:r>
      <w:r w:rsidRPr="004737C5">
        <w:rPr>
          <w:rFonts w:cstheme="minorHAnsi"/>
          <w:bCs/>
        </w:rPr>
        <w:t>consensus exists on the need for common principles that establish the main characteristics of effective consumer protection legislation, enforcement in</w:t>
      </w:r>
      <w:r w:rsidR="00301C1F" w:rsidRPr="004737C5">
        <w:rPr>
          <w:rFonts w:cstheme="minorHAnsi"/>
          <w:bCs/>
        </w:rPr>
        <w:t>stitutions and redress systems”</w:t>
      </w:r>
      <w:r w:rsidRPr="004737C5">
        <w:rPr>
          <w:rFonts w:cstheme="minorHAnsi"/>
          <w:bCs/>
        </w:rPr>
        <w:t xml:space="preserve"> and that consumer protection requires a “robust legal and regulatory framework for consumer protection.”</w:t>
      </w:r>
    </w:p>
    <w:p w14:paraId="1F91E23D" w14:textId="77777777" w:rsidR="00843222" w:rsidRPr="004737C5" w:rsidRDefault="00301C1F" w:rsidP="006D3BE8">
      <w:pPr>
        <w:rPr>
          <w:rFonts w:cstheme="minorHAnsi"/>
          <w:bCs/>
          <w:i/>
        </w:rPr>
      </w:pPr>
      <w:r w:rsidRPr="004737C5">
        <w:rPr>
          <w:rFonts w:cstheme="minorHAnsi"/>
          <w:bCs/>
        </w:rPr>
        <w:t>The g</w:t>
      </w:r>
      <w:r w:rsidR="00843222" w:rsidRPr="004737C5">
        <w:rPr>
          <w:rFonts w:cstheme="minorHAnsi"/>
          <w:bCs/>
        </w:rPr>
        <w:t xml:space="preserve">uidelines themselves are less explicit, pointing out that “consumer protection policies include </w:t>
      </w:r>
      <w:r w:rsidRPr="004737C5">
        <w:rPr>
          <w:rFonts w:cstheme="minorHAnsi"/>
          <w:bCs/>
        </w:rPr>
        <w:t>the</w:t>
      </w:r>
      <w:r w:rsidR="00AE69D5" w:rsidRPr="004737C5">
        <w:rPr>
          <w:rFonts w:cstheme="minorHAnsi"/>
          <w:bCs/>
        </w:rPr>
        <w:t xml:space="preserve"> laws, regulations [and]</w:t>
      </w:r>
      <w:r w:rsidR="00843222" w:rsidRPr="004737C5">
        <w:rPr>
          <w:rFonts w:cstheme="minorHAnsi"/>
          <w:bCs/>
        </w:rPr>
        <w:t xml:space="preserve"> rules</w:t>
      </w:r>
      <w:r w:rsidR="00AE69D5" w:rsidRPr="004737C5">
        <w:rPr>
          <w:rFonts w:cstheme="minorHAnsi"/>
          <w:bCs/>
        </w:rPr>
        <w:t xml:space="preserve"> … that protect consumer rights and interests and promote consumer welfare</w:t>
      </w:r>
      <w:r w:rsidR="00843222" w:rsidRPr="004737C5">
        <w:rPr>
          <w:rFonts w:cstheme="minorHAnsi"/>
          <w:bCs/>
        </w:rPr>
        <w:t>”</w:t>
      </w:r>
      <w:r w:rsidRPr="004737C5">
        <w:rPr>
          <w:rFonts w:cstheme="minorHAnsi"/>
          <w:bCs/>
        </w:rPr>
        <w:t xml:space="preserve"> </w:t>
      </w:r>
      <w:r w:rsidR="00924883" w:rsidRPr="004737C5">
        <w:rPr>
          <w:rFonts w:cstheme="minorHAnsi"/>
          <w:bCs/>
        </w:rPr>
        <w:t>(g</w:t>
      </w:r>
      <w:r w:rsidRPr="004737C5">
        <w:rPr>
          <w:rFonts w:cstheme="minorHAnsi"/>
          <w:bCs/>
        </w:rPr>
        <w:t>uideline 2)</w:t>
      </w:r>
      <w:r w:rsidR="002B3F50" w:rsidRPr="004737C5">
        <w:rPr>
          <w:rFonts w:cstheme="minorHAnsi"/>
          <w:bCs/>
        </w:rPr>
        <w:t>, that</w:t>
      </w:r>
      <w:r w:rsidR="00843222" w:rsidRPr="004737C5">
        <w:rPr>
          <w:rFonts w:cstheme="minorHAnsi"/>
          <w:bCs/>
        </w:rPr>
        <w:t xml:space="preserve"> en</w:t>
      </w:r>
      <w:r w:rsidR="00924883" w:rsidRPr="004737C5">
        <w:rPr>
          <w:rFonts w:cstheme="minorHAnsi"/>
          <w:bCs/>
        </w:rPr>
        <w:t>terprises should obey the law (g</w:t>
      </w:r>
      <w:r w:rsidR="00843222" w:rsidRPr="004737C5">
        <w:rPr>
          <w:rFonts w:cstheme="minorHAnsi"/>
          <w:bCs/>
        </w:rPr>
        <w:t>uidelin</w:t>
      </w:r>
      <w:r w:rsidRPr="004737C5">
        <w:rPr>
          <w:rFonts w:cstheme="minorHAnsi"/>
          <w:bCs/>
        </w:rPr>
        <w:t>e 9) and that the</w:t>
      </w:r>
      <w:r w:rsidR="00924883" w:rsidRPr="004737C5">
        <w:rPr>
          <w:rFonts w:cstheme="minorHAnsi"/>
          <w:bCs/>
        </w:rPr>
        <w:t>re need to be “legal systems” (g</w:t>
      </w:r>
      <w:r w:rsidRPr="004737C5">
        <w:rPr>
          <w:rFonts w:cstheme="minorHAnsi"/>
          <w:bCs/>
        </w:rPr>
        <w:t>uideline 16) or “measures”</w:t>
      </w:r>
      <w:r w:rsidR="00924883" w:rsidRPr="004737C5">
        <w:rPr>
          <w:rFonts w:cstheme="minorHAnsi"/>
          <w:bCs/>
        </w:rPr>
        <w:t xml:space="preserve"> (g</w:t>
      </w:r>
      <w:r w:rsidR="00843222" w:rsidRPr="004737C5">
        <w:rPr>
          <w:rFonts w:cstheme="minorHAnsi"/>
          <w:bCs/>
        </w:rPr>
        <w:t xml:space="preserve">uideline 37) in place. </w:t>
      </w:r>
    </w:p>
    <w:p w14:paraId="3AA10425" w14:textId="77777777" w:rsidR="00843222" w:rsidRPr="004737C5" w:rsidRDefault="00301C1F" w:rsidP="00AC004D">
      <w:pPr>
        <w:pStyle w:val="Heading2"/>
        <w:spacing w:after="160"/>
        <w:rPr>
          <w:rFonts w:cstheme="minorHAnsi"/>
          <w:color w:val="auto"/>
          <w:sz w:val="24"/>
          <w:szCs w:val="24"/>
        </w:rPr>
      </w:pPr>
      <w:bookmarkStart w:id="26" w:name="_Toc492649979"/>
      <w:r w:rsidRPr="004737C5">
        <w:rPr>
          <w:rFonts w:cstheme="minorHAnsi"/>
          <w:color w:val="auto"/>
          <w:sz w:val="24"/>
          <w:szCs w:val="24"/>
        </w:rPr>
        <w:t>B.</w:t>
      </w:r>
      <w:r w:rsidR="00843222" w:rsidRPr="004737C5">
        <w:rPr>
          <w:rFonts w:cstheme="minorHAnsi"/>
          <w:color w:val="auto"/>
          <w:sz w:val="24"/>
          <w:szCs w:val="24"/>
        </w:rPr>
        <w:t xml:space="preserve"> Constitutional provisions on consumer protection</w:t>
      </w:r>
      <w:bookmarkEnd w:id="26"/>
      <w:r w:rsidR="00843222" w:rsidRPr="004737C5">
        <w:rPr>
          <w:rFonts w:cstheme="minorHAnsi"/>
          <w:color w:val="auto"/>
          <w:sz w:val="24"/>
          <w:szCs w:val="24"/>
        </w:rPr>
        <w:t xml:space="preserve"> </w:t>
      </w:r>
    </w:p>
    <w:p w14:paraId="4E28CBF1" w14:textId="77777777" w:rsidR="00843222" w:rsidRPr="004737C5" w:rsidRDefault="00843222" w:rsidP="006D3BE8">
      <w:pPr>
        <w:rPr>
          <w:rFonts w:cstheme="minorHAnsi"/>
        </w:rPr>
      </w:pPr>
      <w:r w:rsidRPr="004737C5">
        <w:rPr>
          <w:rFonts w:cstheme="minorHAnsi"/>
        </w:rPr>
        <w:t xml:space="preserve">Many modern constitutions explicitly confer a wide range of human rights. They specify not just civil and political rights, also known as first-generation rights, but a range of economic, social and cultural rights that are sometimes referred to as second-generation rights. To complement both sets of rights, the trend has been to include the right to development, known as </w:t>
      </w:r>
      <w:r w:rsidR="00301C1F" w:rsidRPr="004737C5">
        <w:rPr>
          <w:rFonts w:cstheme="minorHAnsi"/>
        </w:rPr>
        <w:t>a third-generation right</w:t>
      </w:r>
      <w:r w:rsidRPr="004737C5">
        <w:rPr>
          <w:rFonts w:cstheme="minorHAnsi"/>
        </w:rPr>
        <w:t xml:space="preserve">. One theme explored here, relevant to the evolution of rights, is that much legislation relevant to consumers is not explicitly related to consumers. </w:t>
      </w:r>
    </w:p>
    <w:p w14:paraId="0E24C7DA" w14:textId="3ABA6D43" w:rsidR="00843222" w:rsidRPr="004737C5" w:rsidRDefault="004240DC" w:rsidP="006D3BE8">
      <w:pPr>
        <w:rPr>
          <w:rFonts w:cstheme="minorHAnsi"/>
        </w:rPr>
      </w:pPr>
      <w:r w:rsidRPr="004737C5">
        <w:rPr>
          <w:rFonts w:cstheme="minorHAnsi"/>
        </w:rPr>
        <w:t>Chapter IV</w:t>
      </w:r>
      <w:r w:rsidR="00843222" w:rsidRPr="004737C5">
        <w:rPr>
          <w:rFonts w:cstheme="minorHAnsi"/>
        </w:rPr>
        <w:t xml:space="preserve"> shows how sectoral legislation and po</w:t>
      </w:r>
      <w:r w:rsidR="00AC004D" w:rsidRPr="004737C5">
        <w:rPr>
          <w:rFonts w:cstheme="minorHAnsi"/>
        </w:rPr>
        <w:t>licy has become ever more cogniz</w:t>
      </w:r>
      <w:r w:rsidR="00843222" w:rsidRPr="004737C5">
        <w:rPr>
          <w:rFonts w:cstheme="minorHAnsi"/>
        </w:rPr>
        <w:t>ant of the consumer protection dimension</w:t>
      </w:r>
      <w:r w:rsidR="00301C1F" w:rsidRPr="004737C5">
        <w:rPr>
          <w:rFonts w:cstheme="minorHAnsi"/>
        </w:rPr>
        <w:t>.</w:t>
      </w:r>
      <w:r w:rsidRPr="004737C5">
        <w:rPr>
          <w:rFonts w:cstheme="minorHAnsi"/>
        </w:rPr>
        <w:t xml:space="preserve"> Chapter XV</w:t>
      </w:r>
      <w:r w:rsidR="006825D1" w:rsidRPr="004737C5">
        <w:rPr>
          <w:rFonts w:cstheme="minorHAnsi"/>
        </w:rPr>
        <w:t xml:space="preserve"> on utilities shows how this often goes</w:t>
      </w:r>
      <w:r w:rsidR="00843222" w:rsidRPr="004737C5">
        <w:rPr>
          <w:rFonts w:cstheme="minorHAnsi"/>
        </w:rPr>
        <w:t xml:space="preserve"> beyond </w:t>
      </w:r>
      <w:r w:rsidR="00301C1F" w:rsidRPr="004737C5">
        <w:rPr>
          <w:rFonts w:cstheme="minorHAnsi"/>
        </w:rPr>
        <w:t>“shoppers’ rights”</w:t>
      </w:r>
      <w:r w:rsidR="00843222" w:rsidRPr="004737C5">
        <w:rPr>
          <w:rFonts w:cstheme="minorHAnsi"/>
        </w:rPr>
        <w:t xml:space="preserve"> and tak</w:t>
      </w:r>
      <w:r w:rsidR="006825D1" w:rsidRPr="004737C5">
        <w:rPr>
          <w:rFonts w:cstheme="minorHAnsi"/>
        </w:rPr>
        <w:t>es</w:t>
      </w:r>
      <w:r w:rsidR="00843222" w:rsidRPr="004737C5">
        <w:rPr>
          <w:rFonts w:cstheme="minorHAnsi"/>
        </w:rPr>
        <w:t xml:space="preserve"> in</w:t>
      </w:r>
      <w:r w:rsidR="00301C1F" w:rsidRPr="004737C5">
        <w:rPr>
          <w:rFonts w:cstheme="minorHAnsi"/>
        </w:rPr>
        <w:t>to account access issues relating to “non-shoppers”</w:t>
      </w:r>
      <w:r w:rsidR="00843222" w:rsidRPr="004737C5">
        <w:rPr>
          <w:rFonts w:cstheme="minorHAnsi"/>
        </w:rPr>
        <w:t xml:space="preserve"> </w:t>
      </w:r>
      <w:r w:rsidR="006825D1" w:rsidRPr="004737C5">
        <w:rPr>
          <w:rFonts w:cstheme="minorHAnsi"/>
        </w:rPr>
        <w:t xml:space="preserve">such as </w:t>
      </w:r>
      <w:r w:rsidR="00843222" w:rsidRPr="004737C5">
        <w:rPr>
          <w:rFonts w:cstheme="minorHAnsi"/>
        </w:rPr>
        <w:t xml:space="preserve">unserved populations. </w:t>
      </w:r>
    </w:p>
    <w:p w14:paraId="3413ADDE" w14:textId="3993CD19" w:rsidR="00843222" w:rsidRPr="004737C5" w:rsidRDefault="00843222" w:rsidP="006D3BE8">
      <w:pPr>
        <w:rPr>
          <w:rFonts w:cstheme="minorHAnsi"/>
        </w:rPr>
      </w:pPr>
      <w:r w:rsidRPr="004737C5">
        <w:rPr>
          <w:rFonts w:cstheme="minorHAnsi"/>
        </w:rPr>
        <w:t>This issue of access is the subject of numerous United Nations declar</w:t>
      </w:r>
      <w:r w:rsidR="00AC004D" w:rsidRPr="004737C5">
        <w:rPr>
          <w:rFonts w:cstheme="minorHAnsi"/>
        </w:rPr>
        <w:t>ations, most comprehensively of</w:t>
      </w:r>
      <w:r w:rsidRPr="004737C5">
        <w:rPr>
          <w:rFonts w:cstheme="minorHAnsi"/>
        </w:rPr>
        <w:t xml:space="preserve"> the MDGs and t</w:t>
      </w:r>
      <w:r w:rsidR="00AC004D" w:rsidRPr="004737C5">
        <w:rPr>
          <w:rFonts w:cstheme="minorHAnsi"/>
        </w:rPr>
        <w:t>he SDGs, both of which are</w:t>
      </w:r>
      <w:r w:rsidRPr="004737C5">
        <w:rPr>
          <w:rFonts w:cstheme="minorHAnsi"/>
        </w:rPr>
        <w:t xml:space="preserve"> explicitly recognized by the UNGCP. Many such access rights are expressed in national constitutional provisions.</w:t>
      </w:r>
    </w:p>
    <w:p w14:paraId="7201F5E9" w14:textId="77777777" w:rsidR="00843222" w:rsidRPr="004737C5" w:rsidRDefault="00301C1F" w:rsidP="00FC2F14">
      <w:pPr>
        <w:suppressAutoHyphens/>
        <w:spacing w:before="200"/>
        <w:rPr>
          <w:rFonts w:cstheme="minorHAnsi"/>
          <w:b/>
        </w:rPr>
      </w:pPr>
      <w:r w:rsidRPr="004737C5">
        <w:rPr>
          <w:rFonts w:cstheme="minorHAnsi"/>
          <w:b/>
        </w:rPr>
        <w:t xml:space="preserve">1. </w:t>
      </w:r>
      <w:r w:rsidR="00843222" w:rsidRPr="004737C5">
        <w:rPr>
          <w:rFonts w:cstheme="minorHAnsi"/>
          <w:b/>
        </w:rPr>
        <w:t>What aspects of consumer protection have been provided in constitutions?</w:t>
      </w:r>
    </w:p>
    <w:p w14:paraId="5043EACC" w14:textId="11ACCCFF" w:rsidR="00843222" w:rsidRPr="004737C5" w:rsidRDefault="00843222" w:rsidP="006D3BE8">
      <w:pPr>
        <w:pStyle w:val="Default"/>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t>In 2008, UNCTAD reported that the constitutions of at least 24 countries provided for consumer protection, often linked with competition policy, as with the Mexican Constitution</w:t>
      </w:r>
      <w:r w:rsidR="00AC004D" w:rsidRPr="004737C5">
        <w:rPr>
          <w:rFonts w:asciiTheme="minorHAnsi" w:hAnsiTheme="minorHAnsi" w:cstheme="minorHAnsi"/>
          <w:sz w:val="22"/>
          <w:szCs w:val="22"/>
        </w:rPr>
        <w:t>,</w:t>
      </w:r>
      <w:r w:rsidRPr="004737C5">
        <w:rPr>
          <w:rFonts w:asciiTheme="minorHAnsi" w:hAnsiTheme="minorHAnsi" w:cstheme="minorHAnsi"/>
          <w:sz w:val="22"/>
          <w:szCs w:val="22"/>
        </w:rPr>
        <w:t xml:space="preserve"> for example.</w:t>
      </w:r>
      <w:r w:rsidRPr="004737C5">
        <w:rPr>
          <w:rStyle w:val="FootnoteAnchor"/>
          <w:rFonts w:asciiTheme="minorHAnsi" w:hAnsiTheme="minorHAnsi" w:cstheme="minorHAnsi"/>
          <w:sz w:val="22"/>
          <w:szCs w:val="22"/>
        </w:rPr>
        <w:footnoteReference w:id="33"/>
      </w:r>
      <w:r w:rsidR="00301C1F" w:rsidRPr="004737C5">
        <w:rPr>
          <w:rFonts w:asciiTheme="minorHAnsi" w:hAnsiTheme="minorHAnsi" w:cstheme="minorHAnsi"/>
          <w:sz w:val="22"/>
          <w:szCs w:val="22"/>
        </w:rPr>
        <w:t xml:space="preserve"> UNCTAD reported in 2013, that “</w:t>
      </w:r>
      <w:r w:rsidRPr="004737C5">
        <w:rPr>
          <w:rFonts w:asciiTheme="minorHAnsi" w:hAnsiTheme="minorHAnsi" w:cstheme="minorHAnsi"/>
          <w:sz w:val="22"/>
          <w:szCs w:val="22"/>
        </w:rPr>
        <w:t xml:space="preserve">in many cases, consumer protection has been constitutionally enshrined and some countries have recognized </w:t>
      </w:r>
      <w:r w:rsidR="00301C1F" w:rsidRPr="004737C5">
        <w:rPr>
          <w:rFonts w:asciiTheme="minorHAnsi" w:hAnsiTheme="minorHAnsi" w:cstheme="minorHAnsi"/>
          <w:sz w:val="22"/>
          <w:szCs w:val="22"/>
        </w:rPr>
        <w:t>consumer rights as human rights”.</w:t>
      </w:r>
      <w:r w:rsidRPr="004737C5">
        <w:rPr>
          <w:rStyle w:val="FootnoteAnchor"/>
          <w:rFonts w:asciiTheme="minorHAnsi" w:hAnsiTheme="minorHAnsi" w:cstheme="minorHAnsi"/>
          <w:sz w:val="22"/>
          <w:szCs w:val="22"/>
        </w:rPr>
        <w:footnoteReference w:id="34"/>
      </w:r>
      <w:r w:rsidRPr="004737C5">
        <w:rPr>
          <w:rFonts w:asciiTheme="minorHAnsi" w:hAnsiTheme="minorHAnsi" w:cstheme="minorHAnsi"/>
          <w:sz w:val="22"/>
          <w:szCs w:val="22"/>
        </w:rPr>
        <w:t xml:space="preserve"> The report singled out for specific mention El Salvador, Egypt, Poland and Switzerland</w:t>
      </w:r>
      <w:r w:rsidR="00AC004D" w:rsidRPr="004737C5">
        <w:rPr>
          <w:rFonts w:asciiTheme="minorHAnsi" w:hAnsiTheme="minorHAnsi" w:cstheme="minorHAnsi"/>
          <w:sz w:val="22"/>
          <w:szCs w:val="22"/>
        </w:rPr>
        <w:t>,</w:t>
      </w:r>
      <w:r w:rsidRPr="004737C5">
        <w:rPr>
          <w:rFonts w:asciiTheme="minorHAnsi" w:hAnsiTheme="minorHAnsi" w:cstheme="minorHAnsi"/>
          <w:sz w:val="22"/>
          <w:szCs w:val="22"/>
        </w:rPr>
        <w:t xml:space="preserve"> and the recognition of the human rights dimension by the Mexican Supreme Court in 2012. Analysis of constitutional provisions indicates great differences in content, which can</w:t>
      </w:r>
      <w:r w:rsidR="00301C1F" w:rsidRPr="004737C5">
        <w:rPr>
          <w:rFonts w:asciiTheme="minorHAnsi" w:hAnsiTheme="minorHAnsi" w:cstheme="minorHAnsi"/>
          <w:sz w:val="22"/>
          <w:szCs w:val="22"/>
        </w:rPr>
        <w:t xml:space="preserve"> be s</w:t>
      </w:r>
      <w:r w:rsidR="00A8689C" w:rsidRPr="004737C5">
        <w:rPr>
          <w:rFonts w:asciiTheme="minorHAnsi" w:hAnsiTheme="minorHAnsi" w:cstheme="minorHAnsi"/>
          <w:sz w:val="22"/>
          <w:szCs w:val="22"/>
        </w:rPr>
        <w:t xml:space="preserve">ynthesized as emphasising </w:t>
      </w:r>
      <w:r w:rsidR="00AC004D" w:rsidRPr="004737C5">
        <w:rPr>
          <w:rFonts w:asciiTheme="minorHAnsi" w:hAnsiTheme="minorHAnsi" w:cstheme="minorHAnsi"/>
          <w:sz w:val="22"/>
          <w:szCs w:val="22"/>
        </w:rPr>
        <w:t>high-</w:t>
      </w:r>
      <w:r w:rsidR="00A8689C" w:rsidRPr="004737C5">
        <w:rPr>
          <w:rFonts w:asciiTheme="minorHAnsi" w:hAnsiTheme="minorHAnsi" w:cstheme="minorHAnsi"/>
          <w:sz w:val="22"/>
          <w:szCs w:val="22"/>
        </w:rPr>
        <w:t>level</w:t>
      </w:r>
      <w:r w:rsidRPr="004737C5">
        <w:rPr>
          <w:rFonts w:asciiTheme="minorHAnsi" w:hAnsiTheme="minorHAnsi" w:cstheme="minorHAnsi"/>
          <w:sz w:val="22"/>
          <w:szCs w:val="22"/>
        </w:rPr>
        <w:t xml:space="preserve"> principles such as: </w:t>
      </w:r>
    </w:p>
    <w:p w14:paraId="58937763" w14:textId="4338BC1C" w:rsidR="00843222" w:rsidRPr="004737C5" w:rsidRDefault="00843222" w:rsidP="002473E9">
      <w:pPr>
        <w:pStyle w:val="ListParagraph"/>
        <w:numPr>
          <w:ilvl w:val="0"/>
          <w:numId w:val="7"/>
        </w:numPr>
        <w:tabs>
          <w:tab w:val="clear" w:pos="1800"/>
          <w:tab w:val="num" w:pos="1134"/>
        </w:tabs>
        <w:suppressAutoHyphens/>
        <w:ind w:left="709" w:hanging="425"/>
        <w:rPr>
          <w:rFonts w:cstheme="minorHAnsi"/>
        </w:rPr>
      </w:pPr>
      <w:r w:rsidRPr="004737C5">
        <w:rPr>
          <w:rFonts w:cstheme="minorHAnsi"/>
        </w:rPr>
        <w:lastRenderedPageBreak/>
        <w:t xml:space="preserve">The generic consumer rights that are to be protected by law, quite often drawing upon </w:t>
      </w:r>
      <w:r w:rsidR="003E07CE" w:rsidRPr="004737C5">
        <w:rPr>
          <w:rFonts w:cstheme="minorHAnsi"/>
        </w:rPr>
        <w:t>the “</w:t>
      </w:r>
      <w:r w:rsidRPr="004737C5">
        <w:rPr>
          <w:rFonts w:cstheme="minorHAnsi"/>
        </w:rPr>
        <w:t>legitimate nee</w:t>
      </w:r>
      <w:r w:rsidR="00924883" w:rsidRPr="004737C5">
        <w:rPr>
          <w:rFonts w:cstheme="minorHAnsi"/>
        </w:rPr>
        <w:t>ds” (g</w:t>
      </w:r>
      <w:r w:rsidR="00AC004D" w:rsidRPr="004737C5">
        <w:rPr>
          <w:rFonts w:cstheme="minorHAnsi"/>
        </w:rPr>
        <w:t>uideline 5) of the UNGCP</w:t>
      </w:r>
    </w:p>
    <w:p w14:paraId="2C5804A8" w14:textId="325A095E" w:rsidR="00843222" w:rsidRPr="004737C5" w:rsidRDefault="00843222" w:rsidP="002473E9">
      <w:pPr>
        <w:pStyle w:val="ListParagraph"/>
        <w:numPr>
          <w:ilvl w:val="0"/>
          <w:numId w:val="7"/>
        </w:numPr>
        <w:tabs>
          <w:tab w:val="clear" w:pos="1800"/>
          <w:tab w:val="num" w:pos="1134"/>
        </w:tabs>
        <w:suppressAutoHyphens/>
        <w:ind w:left="709" w:hanging="425"/>
        <w:rPr>
          <w:rFonts w:cstheme="minorHAnsi"/>
        </w:rPr>
      </w:pPr>
      <w:r w:rsidRPr="004737C5">
        <w:rPr>
          <w:rFonts w:cstheme="minorHAnsi"/>
        </w:rPr>
        <w:t>The freedom to form independent consumer associations and confer them with the required legal standing (</w:t>
      </w:r>
      <w:r w:rsidRPr="004737C5">
        <w:rPr>
          <w:rFonts w:cstheme="minorHAnsi"/>
          <w:iCs/>
        </w:rPr>
        <w:t>locus standi</w:t>
      </w:r>
      <w:r w:rsidRPr="004737C5">
        <w:rPr>
          <w:rFonts w:cstheme="minorHAnsi"/>
        </w:rPr>
        <w:t>) to represent both individual and collective consumer interests in the decision</w:t>
      </w:r>
      <w:r w:rsidR="003E07CE" w:rsidRPr="004737C5">
        <w:rPr>
          <w:rFonts w:cstheme="minorHAnsi"/>
        </w:rPr>
        <w:t>-</w:t>
      </w:r>
      <w:r w:rsidRPr="004737C5">
        <w:rPr>
          <w:rFonts w:cstheme="minorHAnsi"/>
        </w:rPr>
        <w:t>m</w:t>
      </w:r>
      <w:r w:rsidR="00AC004D" w:rsidRPr="004737C5">
        <w:rPr>
          <w:rFonts w:cstheme="minorHAnsi"/>
        </w:rPr>
        <w:t>aking process and in the courts</w:t>
      </w:r>
    </w:p>
    <w:p w14:paraId="47B765E4" w14:textId="77777777" w:rsidR="00843222" w:rsidRPr="004737C5" w:rsidRDefault="00843222" w:rsidP="006D3BE8">
      <w:pPr>
        <w:rPr>
          <w:rFonts w:cstheme="minorHAnsi"/>
        </w:rPr>
      </w:pPr>
      <w:r w:rsidRPr="004737C5">
        <w:rPr>
          <w:rFonts w:cstheme="minorHAnsi"/>
        </w:rPr>
        <w:t>Several jurisdictions have taken elements from</w:t>
      </w:r>
      <w:r w:rsidR="006825D1" w:rsidRPr="004737C5">
        <w:rPr>
          <w:rFonts w:cstheme="minorHAnsi"/>
        </w:rPr>
        <w:t xml:space="preserve"> the</w:t>
      </w:r>
      <w:r w:rsidR="00B67F51" w:rsidRPr="004737C5">
        <w:rPr>
          <w:rFonts w:cstheme="minorHAnsi"/>
        </w:rPr>
        <w:t xml:space="preserve"> “legitimate needs”</w:t>
      </w:r>
      <w:r w:rsidRPr="004737C5">
        <w:rPr>
          <w:rFonts w:cstheme="minorHAnsi"/>
        </w:rPr>
        <w:t xml:space="preserve"> for constitutional provisions of comprehensive regional agreemen</w:t>
      </w:r>
      <w:r w:rsidR="003E07CE" w:rsidRPr="004737C5">
        <w:rPr>
          <w:rFonts w:cstheme="minorHAnsi"/>
        </w:rPr>
        <w:t>ts, such as CARICOM (Caribbean free t</w:t>
      </w:r>
      <w:r w:rsidRPr="004737C5">
        <w:rPr>
          <w:rFonts w:cstheme="minorHAnsi"/>
        </w:rPr>
        <w:t>rade agreement) and the European Union.</w:t>
      </w:r>
      <w:r w:rsidRPr="004737C5">
        <w:rPr>
          <w:rStyle w:val="FootnoteAnchor"/>
          <w:rFonts w:cstheme="minorHAnsi"/>
        </w:rPr>
        <w:footnoteReference w:id="35"/>
      </w:r>
      <w:r w:rsidRPr="004737C5">
        <w:rPr>
          <w:rFonts w:cstheme="minorHAnsi"/>
        </w:rPr>
        <w:t xml:space="preserve"> </w:t>
      </w:r>
    </w:p>
    <w:p w14:paraId="61CCB2E5" w14:textId="325E4C40" w:rsidR="00843222" w:rsidRPr="004737C5" w:rsidRDefault="00843222" w:rsidP="006D3BE8">
      <w:pPr>
        <w:rPr>
          <w:rFonts w:cstheme="minorHAnsi"/>
        </w:rPr>
      </w:pPr>
      <w:r w:rsidRPr="004737C5">
        <w:rPr>
          <w:rFonts w:cstheme="minorHAnsi"/>
        </w:rPr>
        <w:t>The European Union</w:t>
      </w:r>
      <w:r w:rsidR="00AC004D" w:rsidRPr="004737C5">
        <w:rPr>
          <w:rFonts w:cstheme="minorHAnsi"/>
        </w:rPr>
        <w:t>’s</w:t>
      </w:r>
      <w:r w:rsidRPr="004737C5">
        <w:rPr>
          <w:rFonts w:cstheme="minorHAnsi"/>
        </w:rPr>
        <w:t xml:space="preserve"> Consolidated Treaty on the Functioni</w:t>
      </w:r>
      <w:r w:rsidR="003E07CE" w:rsidRPr="004737C5">
        <w:rPr>
          <w:rFonts w:cstheme="minorHAnsi"/>
        </w:rPr>
        <w:t>ng of the European Union states that “i</w:t>
      </w:r>
      <w:r w:rsidRPr="004737C5">
        <w:rPr>
          <w:rFonts w:cstheme="minorHAnsi"/>
        </w:rPr>
        <w:t>n order to promote the interests of consumers and to ensure a high level of consumer protection, the Union shall contribute to protecting the health, safety and economic interests of consumers, as well as to promoting their right to information, education and to organize themselves in orde</w:t>
      </w:r>
      <w:r w:rsidR="003E07CE" w:rsidRPr="004737C5">
        <w:rPr>
          <w:rFonts w:cstheme="minorHAnsi"/>
        </w:rPr>
        <w:t>r to safeguard their interests”</w:t>
      </w:r>
      <w:r w:rsidR="003E07CE" w:rsidRPr="004737C5">
        <w:rPr>
          <w:rStyle w:val="FootnoteAnchor"/>
          <w:rFonts w:cstheme="minorHAnsi"/>
          <w:vertAlign w:val="baseline"/>
        </w:rPr>
        <w:t>.</w:t>
      </w:r>
      <w:r w:rsidRPr="004737C5">
        <w:rPr>
          <w:rStyle w:val="FootnoteAnchor"/>
          <w:rFonts w:cstheme="minorHAnsi"/>
        </w:rPr>
        <w:footnoteReference w:id="36"/>
      </w:r>
      <w:r w:rsidRPr="004737C5">
        <w:rPr>
          <w:rFonts w:cstheme="minorHAnsi"/>
        </w:rPr>
        <w:t xml:space="preserve"> </w:t>
      </w:r>
      <w:r w:rsidR="003E07CE" w:rsidRPr="004737C5">
        <w:rPr>
          <w:rFonts w:cstheme="minorHAnsi"/>
        </w:rPr>
        <w:t>Article 38 of t</w:t>
      </w:r>
      <w:r w:rsidRPr="004737C5">
        <w:rPr>
          <w:rFonts w:cstheme="minorHAnsi"/>
        </w:rPr>
        <w:t>he European Charter of Fundamental Rights sets out</w:t>
      </w:r>
      <w:r w:rsidR="00040F4B" w:rsidRPr="004737C5">
        <w:rPr>
          <w:rFonts w:cstheme="minorHAnsi"/>
        </w:rPr>
        <w:t>, under the t</w:t>
      </w:r>
      <w:r w:rsidR="003F4B7F" w:rsidRPr="004737C5">
        <w:rPr>
          <w:rFonts w:cstheme="minorHAnsi"/>
        </w:rPr>
        <w:t xml:space="preserve">itle </w:t>
      </w:r>
      <w:r w:rsidR="00040F4B" w:rsidRPr="004737C5">
        <w:rPr>
          <w:rFonts w:cstheme="minorHAnsi"/>
        </w:rPr>
        <w:t>“</w:t>
      </w:r>
      <w:r w:rsidR="00AC004D" w:rsidRPr="004737C5">
        <w:rPr>
          <w:rFonts w:cstheme="minorHAnsi"/>
        </w:rPr>
        <w:t>s</w:t>
      </w:r>
      <w:r w:rsidR="00040F4B" w:rsidRPr="004737C5">
        <w:rPr>
          <w:rFonts w:cstheme="minorHAnsi"/>
        </w:rPr>
        <w:t>olidarity”</w:t>
      </w:r>
      <w:r w:rsidRPr="004737C5">
        <w:rPr>
          <w:rFonts w:cstheme="minorHAnsi"/>
        </w:rPr>
        <w:t xml:space="preserve">, the requirement for </w:t>
      </w:r>
      <w:r w:rsidR="00040F4B" w:rsidRPr="004737C5">
        <w:rPr>
          <w:rFonts w:cstheme="minorHAnsi"/>
        </w:rPr>
        <w:t>“</w:t>
      </w:r>
      <w:r w:rsidRPr="004737C5">
        <w:rPr>
          <w:rFonts w:cstheme="minorHAnsi"/>
        </w:rPr>
        <w:t>a high level of consumer protection</w:t>
      </w:r>
      <w:r w:rsidR="00040F4B" w:rsidRPr="004737C5">
        <w:rPr>
          <w:rFonts w:cstheme="minorHAnsi"/>
        </w:rPr>
        <w:t>”.</w:t>
      </w:r>
      <w:r w:rsidRPr="004737C5">
        <w:rPr>
          <w:rFonts w:cstheme="minorHAnsi"/>
        </w:rPr>
        <w:t xml:space="preserve"> Other rights relevant to legitimate need</w:t>
      </w:r>
      <w:r w:rsidR="00AC004D" w:rsidRPr="004737C5">
        <w:rPr>
          <w:rFonts w:cstheme="minorHAnsi"/>
        </w:rPr>
        <w:t>s are set out elsewhere in the c</w:t>
      </w:r>
      <w:r w:rsidRPr="004737C5">
        <w:rPr>
          <w:rFonts w:cstheme="minorHAnsi"/>
        </w:rPr>
        <w:t xml:space="preserve">harter under </w:t>
      </w:r>
      <w:r w:rsidR="00040F4B" w:rsidRPr="004737C5">
        <w:rPr>
          <w:rFonts w:cstheme="minorHAnsi"/>
        </w:rPr>
        <w:t>“</w:t>
      </w:r>
      <w:r w:rsidR="00AC004D" w:rsidRPr="004737C5">
        <w:rPr>
          <w:rFonts w:cstheme="minorHAnsi"/>
        </w:rPr>
        <w:t>respect for p</w:t>
      </w:r>
      <w:r w:rsidRPr="004737C5">
        <w:rPr>
          <w:rFonts w:cstheme="minorHAnsi"/>
        </w:rPr>
        <w:t>rivacy</w:t>
      </w:r>
      <w:r w:rsidR="00040F4B" w:rsidRPr="004737C5">
        <w:rPr>
          <w:rFonts w:cstheme="minorHAnsi"/>
        </w:rPr>
        <w:t>”</w:t>
      </w:r>
      <w:r w:rsidR="003F4B7F" w:rsidRPr="004737C5">
        <w:rPr>
          <w:rFonts w:cstheme="minorHAnsi"/>
        </w:rPr>
        <w:t xml:space="preserve"> (a</w:t>
      </w:r>
      <w:r w:rsidRPr="004737C5">
        <w:rPr>
          <w:rFonts w:cstheme="minorHAnsi"/>
        </w:rPr>
        <w:t xml:space="preserve">rticle 7), </w:t>
      </w:r>
      <w:r w:rsidR="00040F4B" w:rsidRPr="004737C5">
        <w:rPr>
          <w:rFonts w:cstheme="minorHAnsi"/>
        </w:rPr>
        <w:t>“</w:t>
      </w:r>
      <w:r w:rsidR="00AC004D" w:rsidRPr="004737C5">
        <w:rPr>
          <w:rFonts w:cstheme="minorHAnsi"/>
        </w:rPr>
        <w:t>protection of personal d</w:t>
      </w:r>
      <w:r w:rsidRPr="004737C5">
        <w:rPr>
          <w:rFonts w:cstheme="minorHAnsi"/>
        </w:rPr>
        <w:t>ata</w:t>
      </w:r>
      <w:r w:rsidR="00040F4B" w:rsidRPr="004737C5">
        <w:rPr>
          <w:rFonts w:cstheme="minorHAnsi"/>
        </w:rPr>
        <w:t>”</w:t>
      </w:r>
      <w:r w:rsidR="003F4B7F" w:rsidRPr="004737C5">
        <w:rPr>
          <w:rFonts w:cstheme="minorHAnsi"/>
        </w:rPr>
        <w:t xml:space="preserve"> (a</w:t>
      </w:r>
      <w:r w:rsidRPr="004737C5">
        <w:rPr>
          <w:rFonts w:cstheme="minorHAnsi"/>
        </w:rPr>
        <w:t xml:space="preserve">rticle 8), </w:t>
      </w:r>
      <w:r w:rsidR="00040F4B" w:rsidRPr="004737C5">
        <w:rPr>
          <w:rFonts w:cstheme="minorHAnsi"/>
        </w:rPr>
        <w:t>“</w:t>
      </w:r>
      <w:r w:rsidR="00AC004D" w:rsidRPr="004737C5">
        <w:rPr>
          <w:rFonts w:cstheme="minorHAnsi"/>
        </w:rPr>
        <w:t>freedom of a</w:t>
      </w:r>
      <w:r w:rsidRPr="004737C5">
        <w:rPr>
          <w:rFonts w:cstheme="minorHAnsi"/>
        </w:rPr>
        <w:t>ssociation</w:t>
      </w:r>
      <w:r w:rsidR="00040F4B" w:rsidRPr="004737C5">
        <w:rPr>
          <w:rFonts w:cstheme="minorHAnsi"/>
        </w:rPr>
        <w:t>”</w:t>
      </w:r>
      <w:r w:rsidR="003F4B7F" w:rsidRPr="004737C5">
        <w:rPr>
          <w:rFonts w:cstheme="minorHAnsi"/>
        </w:rPr>
        <w:t xml:space="preserve"> (a</w:t>
      </w:r>
      <w:r w:rsidRPr="004737C5">
        <w:rPr>
          <w:rFonts w:cstheme="minorHAnsi"/>
        </w:rPr>
        <w:t xml:space="preserve">rticle 12), </w:t>
      </w:r>
      <w:r w:rsidR="00040F4B" w:rsidRPr="004737C5">
        <w:rPr>
          <w:rFonts w:cstheme="minorHAnsi"/>
        </w:rPr>
        <w:t>“</w:t>
      </w:r>
      <w:r w:rsidR="00AC004D" w:rsidRPr="004737C5">
        <w:rPr>
          <w:rFonts w:cstheme="minorHAnsi"/>
        </w:rPr>
        <w:t>access to health s</w:t>
      </w:r>
      <w:r w:rsidRPr="004737C5">
        <w:rPr>
          <w:rFonts w:cstheme="minorHAnsi"/>
        </w:rPr>
        <w:t>ervices</w:t>
      </w:r>
      <w:r w:rsidR="00040F4B" w:rsidRPr="004737C5">
        <w:rPr>
          <w:rFonts w:cstheme="minorHAnsi"/>
        </w:rPr>
        <w:t>”</w:t>
      </w:r>
      <w:r w:rsidR="003F4B7F" w:rsidRPr="004737C5">
        <w:rPr>
          <w:rFonts w:cstheme="minorHAnsi"/>
        </w:rPr>
        <w:t xml:space="preserve"> (a</w:t>
      </w:r>
      <w:r w:rsidRPr="004737C5">
        <w:rPr>
          <w:rFonts w:cstheme="minorHAnsi"/>
        </w:rPr>
        <w:t xml:space="preserve">rticle 35) and </w:t>
      </w:r>
      <w:r w:rsidR="00040F4B" w:rsidRPr="004737C5">
        <w:rPr>
          <w:rFonts w:cstheme="minorHAnsi"/>
        </w:rPr>
        <w:t>“</w:t>
      </w:r>
      <w:r w:rsidR="00AC004D" w:rsidRPr="004737C5">
        <w:rPr>
          <w:rFonts w:cstheme="minorHAnsi"/>
        </w:rPr>
        <w:t>public utility s</w:t>
      </w:r>
      <w:r w:rsidRPr="004737C5">
        <w:rPr>
          <w:rFonts w:cstheme="minorHAnsi"/>
        </w:rPr>
        <w:t>ervices</w:t>
      </w:r>
      <w:r w:rsidR="00040F4B" w:rsidRPr="004737C5">
        <w:rPr>
          <w:rFonts w:cstheme="minorHAnsi"/>
        </w:rPr>
        <w:t>”</w:t>
      </w:r>
      <w:r w:rsidR="003F4B7F" w:rsidRPr="004737C5">
        <w:rPr>
          <w:rFonts w:cstheme="minorHAnsi"/>
        </w:rPr>
        <w:t xml:space="preserve"> (a</w:t>
      </w:r>
      <w:r w:rsidR="00AC004D" w:rsidRPr="004737C5">
        <w:rPr>
          <w:rFonts w:cstheme="minorHAnsi"/>
        </w:rPr>
        <w:t>rticle 36). Such high-</w:t>
      </w:r>
      <w:r w:rsidRPr="004737C5">
        <w:rPr>
          <w:rFonts w:cstheme="minorHAnsi"/>
        </w:rPr>
        <w:t xml:space="preserve">level principles are often considered more appropriate for constitutional content than detailed provisions. </w:t>
      </w:r>
    </w:p>
    <w:p w14:paraId="04F7D795" w14:textId="0FE40DC5" w:rsidR="00843222" w:rsidRPr="004737C5" w:rsidRDefault="00843222" w:rsidP="006D3BE8">
      <w:pPr>
        <w:rPr>
          <w:rFonts w:cstheme="minorHAnsi"/>
        </w:rPr>
      </w:pPr>
      <w:r w:rsidRPr="004737C5">
        <w:rPr>
          <w:rFonts w:cstheme="minorHAnsi"/>
        </w:rPr>
        <w:t>As indicated above, there are vital consumer issues covered by constitutions</w:t>
      </w:r>
      <w:r w:rsidR="00040F4B" w:rsidRPr="004737C5">
        <w:rPr>
          <w:rFonts w:cstheme="minorHAnsi"/>
        </w:rPr>
        <w:t xml:space="preserve"> that</w:t>
      </w:r>
      <w:r w:rsidRPr="004737C5">
        <w:rPr>
          <w:rFonts w:cstheme="minorHAnsi"/>
        </w:rPr>
        <w:t xml:space="preserve"> are not indicated as consumer-related. Typical examples are access to basic public</w:t>
      </w:r>
      <w:r w:rsidR="00A8689C" w:rsidRPr="004737C5">
        <w:rPr>
          <w:rFonts w:cstheme="minorHAnsi"/>
        </w:rPr>
        <w:t xml:space="preserve"> services such as water, health</w:t>
      </w:r>
      <w:r w:rsidRPr="004737C5">
        <w:rPr>
          <w:rFonts w:cstheme="minorHAnsi"/>
        </w:rPr>
        <w:t>care, education and housing as in the South Africa</w:t>
      </w:r>
      <w:r w:rsidR="00040F4B" w:rsidRPr="004737C5">
        <w:rPr>
          <w:rFonts w:cstheme="minorHAnsi"/>
        </w:rPr>
        <w:t>n constitution, where the word “consumer”</w:t>
      </w:r>
      <w:r w:rsidRPr="004737C5">
        <w:rPr>
          <w:rFonts w:cstheme="minorHAnsi"/>
        </w:rPr>
        <w:t xml:space="preserve"> does not appear in the relevant clauses.</w:t>
      </w:r>
      <w:r w:rsidRPr="004737C5">
        <w:rPr>
          <w:rStyle w:val="FootnoteAnchor"/>
          <w:rFonts w:cstheme="minorHAnsi"/>
        </w:rPr>
        <w:footnoteReference w:id="37"/>
      </w:r>
      <w:r w:rsidR="00040F4B" w:rsidRPr="004737C5">
        <w:rPr>
          <w:rFonts w:cstheme="minorHAnsi"/>
        </w:rPr>
        <w:t xml:space="preserve"> Article 184 of the South African Constitution</w:t>
      </w:r>
      <w:r w:rsidRPr="004737C5">
        <w:rPr>
          <w:rFonts w:cstheme="minorHAnsi"/>
        </w:rPr>
        <w:t xml:space="preserve"> mandates the South African Human Rights Commission to promote human rights. To this end it is mandated to demand </w:t>
      </w:r>
      <w:r w:rsidR="00040F4B" w:rsidRPr="004737C5">
        <w:rPr>
          <w:rFonts w:cstheme="minorHAnsi"/>
        </w:rPr>
        <w:t>that “relevant organs of s</w:t>
      </w:r>
      <w:r w:rsidRPr="004737C5">
        <w:rPr>
          <w:rFonts w:cstheme="minorHAnsi"/>
        </w:rPr>
        <w:t xml:space="preserve">tate” provide it with information on the measures taken to realize rights in the Bill of Rights </w:t>
      </w:r>
      <w:r w:rsidR="00040F4B" w:rsidRPr="004737C5">
        <w:rPr>
          <w:rFonts w:cstheme="minorHAnsi"/>
        </w:rPr>
        <w:t>relating to housing, health</w:t>
      </w:r>
      <w:r w:rsidRPr="004737C5">
        <w:rPr>
          <w:rFonts w:cstheme="minorHAnsi"/>
        </w:rPr>
        <w:t xml:space="preserve">care, food, water, social security, education and the environment. These are referred to as </w:t>
      </w:r>
      <w:r w:rsidR="00A8689C" w:rsidRPr="004737C5">
        <w:rPr>
          <w:rFonts w:cstheme="minorHAnsi"/>
          <w:bCs/>
        </w:rPr>
        <w:t>socio</w:t>
      </w:r>
      <w:r w:rsidRPr="004737C5">
        <w:rPr>
          <w:rFonts w:cstheme="minorHAnsi"/>
          <w:bCs/>
        </w:rPr>
        <w:t>economic rights</w:t>
      </w:r>
      <w:r w:rsidR="00040F4B" w:rsidRPr="004737C5">
        <w:rPr>
          <w:rFonts w:cstheme="minorHAnsi"/>
        </w:rPr>
        <w:t>. The s</w:t>
      </w:r>
      <w:r w:rsidRPr="004737C5">
        <w:rPr>
          <w:rFonts w:cstheme="minorHAnsi"/>
        </w:rPr>
        <w:t xml:space="preserve">tate must “respect, protect, promote and </w:t>
      </w:r>
      <w:r w:rsidR="007067D3" w:rsidRPr="004737C5">
        <w:rPr>
          <w:rFonts w:cstheme="minorHAnsi"/>
        </w:rPr>
        <w:t>fulfil</w:t>
      </w:r>
      <w:r w:rsidRPr="004737C5">
        <w:rPr>
          <w:rFonts w:cstheme="minorHAnsi"/>
        </w:rPr>
        <w:t>” these rights, based on prin</w:t>
      </w:r>
      <w:r w:rsidR="00A8689C" w:rsidRPr="004737C5">
        <w:rPr>
          <w:rFonts w:cstheme="minorHAnsi"/>
        </w:rPr>
        <w:t>ciples specified in the c</w:t>
      </w:r>
      <w:r w:rsidR="00040F4B" w:rsidRPr="004737C5">
        <w:rPr>
          <w:rFonts w:cstheme="minorHAnsi"/>
        </w:rPr>
        <w:t>onsti</w:t>
      </w:r>
      <w:r w:rsidRPr="004737C5">
        <w:rPr>
          <w:rFonts w:cstheme="minorHAnsi"/>
        </w:rPr>
        <w:t>t</w:t>
      </w:r>
      <w:r w:rsidR="00040F4B" w:rsidRPr="004737C5">
        <w:rPr>
          <w:rFonts w:cstheme="minorHAnsi"/>
        </w:rPr>
        <w:t>ut</w:t>
      </w:r>
      <w:r w:rsidRPr="004737C5">
        <w:rPr>
          <w:rFonts w:cstheme="minorHAnsi"/>
        </w:rPr>
        <w:t>ion, which must be observed and realised.</w:t>
      </w:r>
    </w:p>
    <w:p w14:paraId="3316212F" w14:textId="01AF391E" w:rsidR="00843222" w:rsidRPr="004737C5" w:rsidRDefault="00843222" w:rsidP="006D3BE8">
      <w:pPr>
        <w:rPr>
          <w:rFonts w:cstheme="minorHAnsi"/>
        </w:rPr>
      </w:pPr>
      <w:r w:rsidRPr="004737C5">
        <w:rPr>
          <w:rFonts w:cstheme="minorHAnsi"/>
        </w:rPr>
        <w:t>Constitutional law can be used to establish or reinforce basic or fundamental consumer rights, as well as provide some g</w:t>
      </w:r>
      <w:r w:rsidR="00040F4B" w:rsidRPr="004737C5">
        <w:rPr>
          <w:rFonts w:cstheme="minorHAnsi"/>
        </w:rPr>
        <w:t xml:space="preserve">uiding principles such as </w:t>
      </w:r>
      <w:r w:rsidR="00A8689C" w:rsidRPr="004737C5">
        <w:rPr>
          <w:rFonts w:cstheme="minorHAnsi"/>
        </w:rPr>
        <w:t xml:space="preserve">the responsibility of </w:t>
      </w:r>
      <w:r w:rsidR="00040F4B" w:rsidRPr="004737C5">
        <w:rPr>
          <w:rFonts w:cstheme="minorHAnsi"/>
        </w:rPr>
        <w:t>s</w:t>
      </w:r>
      <w:r w:rsidRPr="004737C5">
        <w:rPr>
          <w:rFonts w:cstheme="minorHAnsi"/>
        </w:rPr>
        <w:t>tate or public authorities for promoting and protecting con</w:t>
      </w:r>
      <w:r w:rsidR="00040F4B" w:rsidRPr="004737C5">
        <w:rPr>
          <w:rFonts w:cstheme="minorHAnsi"/>
        </w:rPr>
        <w:t xml:space="preserve">sumer rights, namely by setting </w:t>
      </w:r>
      <w:r w:rsidRPr="004737C5">
        <w:rPr>
          <w:rFonts w:cstheme="minorHAnsi"/>
        </w:rPr>
        <w:t xml:space="preserve">up adequate, comprehensive and effective legal and institutional frameworks for consumer protection. Constitutional provisions can be a tool for levering much needed improvement to levels of access. </w:t>
      </w:r>
      <w:r w:rsidR="00040F4B" w:rsidRPr="004737C5">
        <w:rPr>
          <w:rFonts w:cstheme="minorHAnsi"/>
        </w:rPr>
        <w:t>Indeed</w:t>
      </w:r>
      <w:r w:rsidRPr="004737C5">
        <w:rPr>
          <w:rFonts w:cstheme="minorHAnsi"/>
        </w:rPr>
        <w:t>, civil society groups (not ne</w:t>
      </w:r>
      <w:r w:rsidR="00040F4B" w:rsidRPr="004737C5">
        <w:rPr>
          <w:rFonts w:cstheme="minorHAnsi"/>
        </w:rPr>
        <w:t>cessarily consumer associations</w:t>
      </w:r>
      <w:r w:rsidRPr="004737C5">
        <w:rPr>
          <w:rFonts w:cstheme="minorHAnsi"/>
        </w:rPr>
        <w:t>) have used constitutional rights to campaign in favour of consumer rights.</w:t>
      </w:r>
      <w:r w:rsidRPr="004737C5">
        <w:rPr>
          <w:rStyle w:val="FootnoteAnchor"/>
          <w:rFonts w:cstheme="minorHAnsi"/>
        </w:rPr>
        <w:footnoteReference w:id="38"/>
      </w:r>
      <w:r w:rsidRPr="004737C5">
        <w:rPr>
          <w:rFonts w:cstheme="minorHAnsi"/>
        </w:rPr>
        <w:t xml:space="preserve"> Such provisions may put into effect other rights that are guaranteed under constitution</w:t>
      </w:r>
      <w:r w:rsidR="00040F4B" w:rsidRPr="004737C5">
        <w:rPr>
          <w:rFonts w:cstheme="minorHAnsi"/>
        </w:rPr>
        <w:t>s</w:t>
      </w:r>
      <w:r w:rsidRPr="004737C5">
        <w:rPr>
          <w:rFonts w:cstheme="minorHAnsi"/>
        </w:rPr>
        <w:t>.</w:t>
      </w:r>
    </w:p>
    <w:p w14:paraId="7303C86F" w14:textId="77777777" w:rsidR="00843222" w:rsidRPr="004737C5" w:rsidRDefault="00843222" w:rsidP="006D3BE8">
      <w:pPr>
        <w:pStyle w:val="Default"/>
        <w:spacing w:after="160" w:line="240" w:lineRule="auto"/>
        <w:jc w:val="both"/>
        <w:rPr>
          <w:rFonts w:asciiTheme="minorHAnsi" w:hAnsiTheme="minorHAnsi" w:cstheme="minorHAnsi"/>
          <w:sz w:val="22"/>
          <w:szCs w:val="22"/>
        </w:rPr>
      </w:pPr>
      <w:r w:rsidRPr="004737C5">
        <w:rPr>
          <w:rFonts w:asciiTheme="minorHAnsi" w:hAnsiTheme="minorHAnsi" w:cstheme="minorHAnsi"/>
          <w:color w:val="00000A"/>
          <w:sz w:val="22"/>
          <w:szCs w:val="22"/>
        </w:rPr>
        <w:t xml:space="preserve">A constitution, being the supreme law of a jurisdiction, takes precedence over all other laws, thereby strengthening, legitimizing and prioritising any rights guaranteed by it. Hence, </w:t>
      </w:r>
      <w:r w:rsidRPr="004737C5">
        <w:rPr>
          <w:rFonts w:asciiTheme="minorHAnsi" w:hAnsiTheme="minorHAnsi" w:cstheme="minorHAnsi"/>
          <w:sz w:val="22"/>
          <w:szCs w:val="22"/>
        </w:rPr>
        <w:t xml:space="preserve">the case for consumer protection could </w:t>
      </w:r>
      <w:r w:rsidR="00040F4B" w:rsidRPr="004737C5">
        <w:rPr>
          <w:rFonts w:asciiTheme="minorHAnsi" w:hAnsiTheme="minorHAnsi" w:cstheme="minorHAnsi"/>
          <w:sz w:val="22"/>
          <w:szCs w:val="22"/>
        </w:rPr>
        <w:t>be strengthened if anchored in</w:t>
      </w:r>
      <w:r w:rsidRPr="004737C5">
        <w:rPr>
          <w:rFonts w:asciiTheme="minorHAnsi" w:hAnsiTheme="minorHAnsi" w:cstheme="minorHAnsi"/>
          <w:sz w:val="22"/>
          <w:szCs w:val="22"/>
        </w:rPr>
        <w:t xml:space="preserve"> constitutional provisions.</w:t>
      </w:r>
    </w:p>
    <w:p w14:paraId="732D4BA6" w14:textId="77777777" w:rsidR="00843222" w:rsidRPr="004737C5" w:rsidRDefault="00040F4B" w:rsidP="00A8689C">
      <w:pPr>
        <w:pStyle w:val="Heading2"/>
        <w:spacing w:after="160"/>
        <w:rPr>
          <w:rFonts w:cstheme="minorHAnsi"/>
          <w:color w:val="auto"/>
          <w:sz w:val="24"/>
          <w:szCs w:val="24"/>
        </w:rPr>
      </w:pPr>
      <w:bookmarkStart w:id="27" w:name="_Toc492649980"/>
      <w:r w:rsidRPr="004737C5">
        <w:rPr>
          <w:rFonts w:cstheme="minorHAnsi"/>
          <w:color w:val="auto"/>
          <w:sz w:val="24"/>
          <w:szCs w:val="24"/>
        </w:rPr>
        <w:lastRenderedPageBreak/>
        <w:t>C.</w:t>
      </w:r>
      <w:r w:rsidR="00843222" w:rsidRPr="004737C5">
        <w:rPr>
          <w:rFonts w:cstheme="minorHAnsi"/>
          <w:color w:val="auto"/>
          <w:sz w:val="24"/>
          <w:szCs w:val="24"/>
        </w:rPr>
        <w:t xml:space="preserve"> Framework consumer protection laws</w:t>
      </w:r>
      <w:bookmarkEnd w:id="27"/>
    </w:p>
    <w:p w14:paraId="2BBC0CED" w14:textId="77777777" w:rsidR="00843222" w:rsidRPr="004737C5" w:rsidRDefault="00843222" w:rsidP="00A8689C">
      <w:pPr>
        <w:rPr>
          <w:rFonts w:cstheme="minorHAnsi"/>
        </w:rPr>
      </w:pPr>
      <w:r w:rsidRPr="004737C5">
        <w:rPr>
          <w:rFonts w:cstheme="minorHAnsi"/>
        </w:rPr>
        <w:t>Although consumer protection law is often regarded as a modern phenomenon, many of what we regard as consumer protection laws have their origin in much earlier laws, such as those on weights and measures. The focus in the early phase of consumer protection</w:t>
      </w:r>
      <w:r w:rsidRPr="004737C5">
        <w:rPr>
          <w:rFonts w:cstheme="minorHAnsi"/>
          <w:b/>
        </w:rPr>
        <w:t xml:space="preserve"> </w:t>
      </w:r>
      <w:r w:rsidRPr="004737C5">
        <w:rPr>
          <w:rFonts w:cstheme="minorHAnsi"/>
        </w:rPr>
        <w:t xml:space="preserve">law was very much </w:t>
      </w:r>
      <w:r w:rsidR="002958AE" w:rsidRPr="004737C5">
        <w:rPr>
          <w:rFonts w:cstheme="minorHAnsi"/>
        </w:rPr>
        <w:t xml:space="preserve">on </w:t>
      </w:r>
      <w:r w:rsidRPr="004737C5">
        <w:rPr>
          <w:rFonts w:cstheme="minorHAnsi"/>
        </w:rPr>
        <w:t>the buyers and sellers of particular goods and services. These laws did not distinguish between different categories of buyers</w:t>
      </w:r>
      <w:r w:rsidR="00DA6403" w:rsidRPr="004737C5">
        <w:rPr>
          <w:rFonts w:cstheme="minorHAnsi"/>
        </w:rPr>
        <w:t>, such as</w:t>
      </w:r>
      <w:r w:rsidRPr="004737C5">
        <w:rPr>
          <w:rFonts w:cstheme="minorHAnsi"/>
        </w:rPr>
        <w:t xml:space="preserve"> </w:t>
      </w:r>
      <w:r w:rsidR="00DA6403" w:rsidRPr="004737C5">
        <w:rPr>
          <w:rFonts w:cstheme="minorHAnsi"/>
        </w:rPr>
        <w:t>commercial or household buyers</w:t>
      </w:r>
      <w:r w:rsidRPr="004737C5">
        <w:rPr>
          <w:rFonts w:cstheme="minorHAnsi"/>
        </w:rPr>
        <w:t>. Before the Second World War, there were sectoral initiatives (</w:t>
      </w:r>
      <w:r w:rsidR="00DA6403" w:rsidRPr="004737C5">
        <w:rPr>
          <w:rFonts w:cstheme="minorHAnsi"/>
        </w:rPr>
        <w:t>in relation to drugs, food, motor vehicles and</w:t>
      </w:r>
      <w:r w:rsidRPr="004737C5">
        <w:rPr>
          <w:rFonts w:cstheme="minorHAnsi"/>
        </w:rPr>
        <w:t xml:space="preserve"> transport</w:t>
      </w:r>
      <w:r w:rsidR="00DA6403" w:rsidRPr="004737C5">
        <w:rPr>
          <w:rFonts w:cstheme="minorHAnsi"/>
        </w:rPr>
        <w:t>,</w:t>
      </w:r>
      <w:r w:rsidRPr="004737C5">
        <w:rPr>
          <w:rFonts w:cstheme="minorHAnsi"/>
        </w:rPr>
        <w:t xml:space="preserve"> </w:t>
      </w:r>
      <w:r w:rsidR="00DA6403" w:rsidRPr="004737C5">
        <w:rPr>
          <w:rFonts w:cstheme="minorHAnsi"/>
        </w:rPr>
        <w:t>for example</w:t>
      </w:r>
      <w:r w:rsidRPr="004737C5">
        <w:rPr>
          <w:rFonts w:cstheme="minorHAnsi"/>
        </w:rPr>
        <w:t xml:space="preserve">) </w:t>
      </w:r>
      <w:r w:rsidR="00DA6403" w:rsidRPr="004737C5">
        <w:rPr>
          <w:rFonts w:cstheme="minorHAnsi"/>
        </w:rPr>
        <w:t xml:space="preserve">that were </w:t>
      </w:r>
      <w:r w:rsidRPr="004737C5">
        <w:rPr>
          <w:rFonts w:cstheme="minorHAnsi"/>
        </w:rPr>
        <w:t xml:space="preserve">mainly motivated by public health and </w:t>
      </w:r>
      <w:r w:rsidR="00DA6403" w:rsidRPr="004737C5">
        <w:rPr>
          <w:rFonts w:cstheme="minorHAnsi"/>
        </w:rPr>
        <w:t>safety</w:t>
      </w:r>
      <w:r w:rsidRPr="004737C5">
        <w:rPr>
          <w:rFonts w:cstheme="minorHAnsi"/>
        </w:rPr>
        <w:t xml:space="preserve"> and not envisaged as consumer protection measures as such. In due course, specific horizont</w:t>
      </w:r>
      <w:r w:rsidR="00DA6403" w:rsidRPr="004737C5">
        <w:rPr>
          <w:rFonts w:cstheme="minorHAnsi"/>
        </w:rPr>
        <w:t xml:space="preserve">al laws were widely adopted </w:t>
      </w:r>
      <w:r w:rsidRPr="004737C5">
        <w:rPr>
          <w:rFonts w:cstheme="minorHAnsi"/>
        </w:rPr>
        <w:t xml:space="preserve">such as:  </w:t>
      </w:r>
    </w:p>
    <w:p w14:paraId="6848B00B" w14:textId="0C13E324"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Price control a</w:t>
      </w:r>
      <w:r w:rsidR="00DA6403" w:rsidRPr="004737C5">
        <w:rPr>
          <w:rFonts w:asciiTheme="minorHAnsi" w:hAnsiTheme="minorHAnsi" w:cstheme="minorHAnsi"/>
        </w:rPr>
        <w:t>cts</w:t>
      </w:r>
    </w:p>
    <w:p w14:paraId="47968EEE" w14:textId="14648EF7"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Sale of goods a</w:t>
      </w:r>
      <w:r w:rsidR="00DA6403" w:rsidRPr="004737C5">
        <w:rPr>
          <w:rFonts w:asciiTheme="minorHAnsi" w:hAnsiTheme="minorHAnsi" w:cstheme="minorHAnsi"/>
        </w:rPr>
        <w:t>cts</w:t>
      </w:r>
    </w:p>
    <w:p w14:paraId="75F620BE" w14:textId="197DEC53" w:rsidR="00843222" w:rsidRPr="004737C5" w:rsidRDefault="00FC2F14" w:rsidP="002473E9">
      <w:pPr>
        <w:pStyle w:val="TextBodyIndent"/>
        <w:numPr>
          <w:ilvl w:val="0"/>
          <w:numId w:val="3"/>
        </w:numPr>
        <w:tabs>
          <w:tab w:val="num" w:pos="709"/>
          <w:tab w:val="left" w:pos="2127"/>
        </w:tabs>
        <w:spacing w:after="0" w:line="240" w:lineRule="auto"/>
        <w:ind w:left="709" w:hanging="425"/>
        <w:rPr>
          <w:rFonts w:asciiTheme="minorHAnsi" w:hAnsiTheme="minorHAnsi" w:cstheme="minorHAnsi"/>
        </w:rPr>
      </w:pPr>
      <w:r w:rsidRPr="004737C5">
        <w:rPr>
          <w:rFonts w:asciiTheme="minorHAnsi" w:hAnsiTheme="minorHAnsi" w:cstheme="minorHAnsi"/>
        </w:rPr>
        <w:t>Trade descriptions a</w:t>
      </w:r>
      <w:r w:rsidR="00DA6403" w:rsidRPr="004737C5">
        <w:rPr>
          <w:rFonts w:asciiTheme="minorHAnsi" w:hAnsiTheme="minorHAnsi" w:cstheme="minorHAnsi"/>
        </w:rPr>
        <w:t>cts</w:t>
      </w:r>
    </w:p>
    <w:p w14:paraId="7E530285" w14:textId="7AFB80FF"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Weights and m</w:t>
      </w:r>
      <w:r w:rsidR="00843222" w:rsidRPr="004737C5">
        <w:rPr>
          <w:rFonts w:asciiTheme="minorHAnsi" w:hAnsiTheme="minorHAnsi" w:cstheme="minorHAnsi"/>
        </w:rPr>
        <w:t>easures</w:t>
      </w:r>
      <w:r w:rsidRPr="004737C5">
        <w:rPr>
          <w:rFonts w:asciiTheme="minorHAnsi" w:hAnsiTheme="minorHAnsi" w:cstheme="minorHAnsi"/>
        </w:rPr>
        <w:t xml:space="preserve"> a</w:t>
      </w:r>
      <w:r w:rsidR="00DA6403" w:rsidRPr="004737C5">
        <w:rPr>
          <w:rFonts w:asciiTheme="minorHAnsi" w:hAnsiTheme="minorHAnsi" w:cstheme="minorHAnsi"/>
        </w:rPr>
        <w:t>cts</w:t>
      </w:r>
    </w:p>
    <w:p w14:paraId="51949EED" w14:textId="637B6E3A" w:rsidR="00843222" w:rsidRPr="004737C5" w:rsidRDefault="00FC2F14" w:rsidP="002473E9">
      <w:pPr>
        <w:pStyle w:val="TextBodyIndent"/>
        <w:numPr>
          <w:ilvl w:val="0"/>
          <w:numId w:val="3"/>
        </w:numPr>
        <w:tabs>
          <w:tab w:val="num" w:pos="709"/>
        </w:tabs>
        <w:spacing w:line="240" w:lineRule="auto"/>
        <w:ind w:left="709" w:hanging="425"/>
        <w:rPr>
          <w:rFonts w:asciiTheme="minorHAnsi" w:hAnsiTheme="minorHAnsi" w:cstheme="minorHAnsi"/>
        </w:rPr>
      </w:pPr>
      <w:r w:rsidRPr="004737C5">
        <w:rPr>
          <w:rFonts w:asciiTheme="minorHAnsi" w:hAnsiTheme="minorHAnsi" w:cstheme="minorHAnsi"/>
        </w:rPr>
        <w:t>Hire purchase a</w:t>
      </w:r>
      <w:r w:rsidR="00DA6403" w:rsidRPr="004737C5">
        <w:rPr>
          <w:rFonts w:asciiTheme="minorHAnsi" w:hAnsiTheme="minorHAnsi" w:cstheme="minorHAnsi"/>
        </w:rPr>
        <w:t>cts</w:t>
      </w:r>
    </w:p>
    <w:p w14:paraId="4DA1D89E" w14:textId="77777777" w:rsidR="00843222" w:rsidRPr="004737C5" w:rsidRDefault="00843222" w:rsidP="006D3BE8">
      <w:pPr>
        <w:rPr>
          <w:rFonts w:cstheme="minorHAnsi"/>
        </w:rPr>
      </w:pPr>
      <w:r w:rsidRPr="004737C5">
        <w:rPr>
          <w:rFonts w:cstheme="minorHAnsi"/>
        </w:rPr>
        <w:t>However, this piecemeal legislation had severe limitations. The laws focusing on s</w:t>
      </w:r>
      <w:r w:rsidR="00DA6403" w:rsidRPr="004737C5">
        <w:rPr>
          <w:rFonts w:cstheme="minorHAnsi"/>
        </w:rPr>
        <w:t>pecific areas were inadequate for</w:t>
      </w:r>
      <w:r w:rsidRPr="004737C5">
        <w:rPr>
          <w:rFonts w:cstheme="minorHAnsi"/>
        </w:rPr>
        <w:t xml:space="preserve"> deal</w:t>
      </w:r>
      <w:r w:rsidR="00DA6403" w:rsidRPr="004737C5">
        <w:rPr>
          <w:rFonts w:cstheme="minorHAnsi"/>
        </w:rPr>
        <w:t>ing</w:t>
      </w:r>
      <w:r w:rsidRPr="004737C5">
        <w:rPr>
          <w:rFonts w:cstheme="minorHAnsi"/>
        </w:rPr>
        <w:t xml:space="preserve"> with new problems, and as legislation was enacted to address new problems, it was sometimes dismissed as a</w:t>
      </w:r>
      <w:r w:rsidR="00DA6403" w:rsidRPr="004737C5">
        <w:rPr>
          <w:rFonts w:cstheme="minorHAnsi"/>
        </w:rPr>
        <w:t xml:space="preserve"> “firefighting” approach, with</w:t>
      </w:r>
      <w:r w:rsidRPr="004737C5">
        <w:rPr>
          <w:rFonts w:cstheme="minorHAnsi"/>
        </w:rPr>
        <w:t xml:space="preserve"> problems being attacked one by one as they emerged without a more strategic vision being adopted. Most fundamentally, such measures failed to reach the full range of consumer products and services.</w:t>
      </w:r>
    </w:p>
    <w:p w14:paraId="54FFFC2A" w14:textId="77777777" w:rsidR="00843222" w:rsidRPr="004737C5" w:rsidRDefault="00843222" w:rsidP="006D3BE8">
      <w:pPr>
        <w:rPr>
          <w:rFonts w:cstheme="minorHAnsi"/>
        </w:rPr>
      </w:pPr>
      <w:r w:rsidRPr="004737C5">
        <w:rPr>
          <w:rFonts w:cstheme="minorHAnsi"/>
        </w:rPr>
        <w:t>The late twentieth century, therefore, saw many countries enacting framework laws with a view to providing adequate consumer protection across the full range of transactions, goods and services. The following are examples of framework laws on consumer protection in some large economies:</w:t>
      </w:r>
    </w:p>
    <w:p w14:paraId="7B79BE22" w14:textId="77777777" w:rsidR="00843222"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Consumer Protecti</w:t>
      </w:r>
      <w:r w:rsidR="00DA6403" w:rsidRPr="004737C5">
        <w:rPr>
          <w:rFonts w:cstheme="minorHAnsi"/>
        </w:rPr>
        <w:t>on Fundamental Act 1968, Japan</w:t>
      </w:r>
    </w:p>
    <w:p w14:paraId="08800741" w14:textId="77777777" w:rsidR="00843222"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Consumer Pro</w:t>
      </w:r>
      <w:r w:rsidR="00DA6403" w:rsidRPr="004737C5">
        <w:rPr>
          <w:rFonts w:cstheme="minorHAnsi"/>
        </w:rPr>
        <w:t>tection Act Quebec 1971, Canada</w:t>
      </w:r>
    </w:p>
    <w:p w14:paraId="32A3077B" w14:textId="77777777" w:rsidR="00843222"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Trad</w:t>
      </w:r>
      <w:r w:rsidR="00DA6403" w:rsidRPr="004737C5">
        <w:rPr>
          <w:rFonts w:cstheme="minorHAnsi"/>
        </w:rPr>
        <w:t>e Practices Act 1974, Australia</w:t>
      </w:r>
      <w:r w:rsidRPr="004737C5">
        <w:rPr>
          <w:rFonts w:cstheme="minorHAnsi"/>
        </w:rPr>
        <w:t xml:space="preserve"> (subsumed within the Comp</w:t>
      </w:r>
      <w:r w:rsidR="00DA6403" w:rsidRPr="004737C5">
        <w:rPr>
          <w:rFonts w:cstheme="minorHAnsi"/>
        </w:rPr>
        <w:t xml:space="preserve">etition and Consumer Act 2010) </w:t>
      </w:r>
    </w:p>
    <w:p w14:paraId="3362BC5F" w14:textId="77777777" w:rsidR="00843222"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 xml:space="preserve">Consumer Protection Act 1975, </w:t>
      </w:r>
      <w:r w:rsidR="00C031E3" w:rsidRPr="004737C5">
        <w:rPr>
          <w:rFonts w:cstheme="minorHAnsi"/>
        </w:rPr>
        <w:t xml:space="preserve">the Bolivarian Republic of </w:t>
      </w:r>
      <w:r w:rsidRPr="004737C5">
        <w:rPr>
          <w:rFonts w:cstheme="minorHAnsi"/>
        </w:rPr>
        <w:t>Venezuel</w:t>
      </w:r>
      <w:r w:rsidR="00DA6403" w:rsidRPr="004737C5">
        <w:rPr>
          <w:rFonts w:cstheme="minorHAnsi"/>
        </w:rPr>
        <w:t>a</w:t>
      </w:r>
    </w:p>
    <w:p w14:paraId="6DE15550" w14:textId="77777777" w:rsidR="00843222"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w:t>
      </w:r>
      <w:r w:rsidR="00DA6403" w:rsidRPr="004737C5">
        <w:rPr>
          <w:rFonts w:cstheme="minorHAnsi"/>
        </w:rPr>
        <w:t>mer Protection Act 1976, Mexico</w:t>
      </w:r>
    </w:p>
    <w:p w14:paraId="7892BEDE" w14:textId="77777777" w:rsidR="00843222"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Consumer Protection Act 1984, Spain (su</w:t>
      </w:r>
      <w:r w:rsidR="00DA6403" w:rsidRPr="004737C5">
        <w:rPr>
          <w:rFonts w:cstheme="minorHAnsi"/>
        </w:rPr>
        <w:t xml:space="preserve">perseded by royal decree 2007) </w:t>
      </w:r>
    </w:p>
    <w:p w14:paraId="30B13E90" w14:textId="77777777" w:rsidR="009E7A46"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w:t>
      </w:r>
      <w:r w:rsidR="00DA6403" w:rsidRPr="004737C5">
        <w:rPr>
          <w:rFonts w:cstheme="minorHAnsi"/>
        </w:rPr>
        <w:t>umer Protection Act 1986, India</w:t>
      </w:r>
    </w:p>
    <w:p w14:paraId="1AB9F427" w14:textId="77777777" w:rsidR="004D505A" w:rsidRPr="004737C5" w:rsidRDefault="009E7A46"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w:t>
      </w:r>
      <w:r w:rsidR="00DA6403" w:rsidRPr="004737C5">
        <w:rPr>
          <w:rFonts w:cstheme="minorHAnsi"/>
        </w:rPr>
        <w:t>er Protection Code 1990, Brazil</w:t>
      </w:r>
    </w:p>
    <w:p w14:paraId="6AD84DD6" w14:textId="77777777" w:rsidR="003651D4" w:rsidRPr="004737C5" w:rsidRDefault="009E7A46"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Consumer Protection A</w:t>
      </w:r>
      <w:r w:rsidR="00DA6403" w:rsidRPr="004737C5">
        <w:rPr>
          <w:rFonts w:cstheme="minorHAnsi"/>
        </w:rPr>
        <w:t>ct 1992, the Russian Federation</w:t>
      </w:r>
    </w:p>
    <w:p w14:paraId="072F0A80" w14:textId="77777777" w:rsidR="009E7A46"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 xml:space="preserve">Consumer Protection </w:t>
      </w:r>
      <w:r w:rsidR="00DA6403" w:rsidRPr="004737C5">
        <w:rPr>
          <w:rFonts w:cstheme="minorHAnsi"/>
        </w:rPr>
        <w:t>Act 1993, China (revised 2014)</w:t>
      </w:r>
    </w:p>
    <w:p w14:paraId="32B27870" w14:textId="77777777" w:rsidR="004D505A" w:rsidRPr="004737C5" w:rsidRDefault="009E7A46" w:rsidP="002473E9">
      <w:pPr>
        <w:pStyle w:val="ListParagraph"/>
        <w:numPr>
          <w:ilvl w:val="0"/>
          <w:numId w:val="5"/>
        </w:numPr>
        <w:suppressAutoHyphens/>
        <w:ind w:left="709" w:hanging="425"/>
        <w:rPr>
          <w:rFonts w:cstheme="minorHAnsi"/>
        </w:rPr>
      </w:pPr>
      <w:r w:rsidRPr="004737C5">
        <w:rPr>
          <w:rFonts w:cstheme="minorHAnsi"/>
        </w:rPr>
        <w:t>Consumer Code 199</w:t>
      </w:r>
      <w:r w:rsidR="009112FD" w:rsidRPr="004737C5">
        <w:rPr>
          <w:rFonts w:cstheme="minorHAnsi"/>
        </w:rPr>
        <w:t>2</w:t>
      </w:r>
      <w:r w:rsidRPr="004737C5">
        <w:rPr>
          <w:rFonts w:cstheme="minorHAnsi"/>
        </w:rPr>
        <w:t xml:space="preserve"> France (</w:t>
      </w:r>
      <w:r w:rsidR="009112FD" w:rsidRPr="004737C5">
        <w:rPr>
          <w:rFonts w:cstheme="minorHAnsi"/>
        </w:rPr>
        <w:t>recodified</w:t>
      </w:r>
      <w:r w:rsidR="00DA6403" w:rsidRPr="004737C5">
        <w:rPr>
          <w:rFonts w:cstheme="minorHAnsi"/>
        </w:rPr>
        <w:t xml:space="preserve"> 2016)</w:t>
      </w:r>
    </w:p>
    <w:p w14:paraId="03C3336A" w14:textId="77777777" w:rsidR="00843222" w:rsidRPr="004737C5" w:rsidRDefault="00843222"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Law on Cons</w:t>
      </w:r>
      <w:r w:rsidR="00DA6403" w:rsidRPr="004737C5">
        <w:rPr>
          <w:rFonts w:cstheme="minorHAnsi"/>
        </w:rPr>
        <w:t>umer Protection 1999, Indonesia</w:t>
      </w:r>
    </w:p>
    <w:p w14:paraId="72980AFF" w14:textId="77777777" w:rsidR="00843222" w:rsidRPr="004737C5" w:rsidRDefault="00DA6403"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Consumer Code 2005, Italy</w:t>
      </w:r>
    </w:p>
    <w:p w14:paraId="4DEAE042" w14:textId="77777777" w:rsidR="00843222" w:rsidRPr="004737C5" w:rsidRDefault="00DA6403"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Consumer Code 2010, Peru</w:t>
      </w:r>
    </w:p>
    <w:p w14:paraId="46AA1520" w14:textId="77777777" w:rsidR="00843222" w:rsidRPr="004737C5" w:rsidRDefault="00DA6403" w:rsidP="002473E9">
      <w:pPr>
        <w:pStyle w:val="ListParagraph"/>
        <w:numPr>
          <w:ilvl w:val="0"/>
          <w:numId w:val="5"/>
        </w:numPr>
        <w:tabs>
          <w:tab w:val="clear" w:pos="1800"/>
          <w:tab w:val="num" w:pos="709"/>
        </w:tabs>
        <w:suppressAutoHyphens/>
        <w:ind w:left="709" w:hanging="425"/>
        <w:rPr>
          <w:rFonts w:cstheme="minorHAnsi"/>
        </w:rPr>
      </w:pPr>
      <w:r w:rsidRPr="004737C5">
        <w:rPr>
          <w:rFonts w:cstheme="minorHAnsi"/>
        </w:rPr>
        <w:t>Consumer Code 2011, Colombia</w:t>
      </w:r>
    </w:p>
    <w:p w14:paraId="05F93B9A" w14:textId="420BE14A" w:rsidR="00843222" w:rsidRPr="004737C5" w:rsidRDefault="00DA6403" w:rsidP="00A8689C">
      <w:pPr>
        <w:pStyle w:val="TextBodyIndent"/>
        <w:spacing w:after="160" w:line="240" w:lineRule="auto"/>
        <w:ind w:left="0"/>
        <w:rPr>
          <w:rFonts w:asciiTheme="minorHAnsi" w:hAnsiTheme="minorHAnsi" w:cstheme="minorHAnsi"/>
        </w:rPr>
      </w:pPr>
      <w:r w:rsidRPr="004737C5">
        <w:rPr>
          <w:rFonts w:asciiTheme="minorHAnsi" w:hAnsiTheme="minorHAnsi" w:cstheme="minorHAnsi"/>
        </w:rPr>
        <w:t>There is an on</w:t>
      </w:r>
      <w:r w:rsidR="00843222" w:rsidRPr="004737C5">
        <w:rPr>
          <w:rFonts w:asciiTheme="minorHAnsi" w:hAnsiTheme="minorHAnsi" w:cstheme="minorHAnsi"/>
        </w:rPr>
        <w:t>going debate on the advantages and dis</w:t>
      </w:r>
      <w:r w:rsidR="00A8689C" w:rsidRPr="004737C5">
        <w:rPr>
          <w:rFonts w:asciiTheme="minorHAnsi" w:hAnsiTheme="minorHAnsi" w:cstheme="minorHAnsi"/>
        </w:rPr>
        <w:t>advantages of having a generic consumer c</w:t>
      </w:r>
      <w:r w:rsidR="00843222" w:rsidRPr="004737C5">
        <w:rPr>
          <w:rFonts w:asciiTheme="minorHAnsi" w:hAnsiTheme="minorHAnsi" w:cstheme="minorHAnsi"/>
        </w:rPr>
        <w:t>ode on the one hand, and a variety of specific pieces of legislation (as in the United States</w:t>
      </w:r>
      <w:r w:rsidRPr="004737C5">
        <w:rPr>
          <w:rFonts w:asciiTheme="minorHAnsi" w:hAnsiTheme="minorHAnsi" w:cstheme="minorHAnsi"/>
        </w:rPr>
        <w:t xml:space="preserve"> of America</w:t>
      </w:r>
      <w:r w:rsidR="00843222" w:rsidRPr="004737C5">
        <w:rPr>
          <w:rFonts w:asciiTheme="minorHAnsi" w:hAnsiTheme="minorHAnsi" w:cstheme="minorHAnsi"/>
        </w:rPr>
        <w:t>)</w:t>
      </w:r>
      <w:r w:rsidRPr="004737C5">
        <w:rPr>
          <w:rFonts w:asciiTheme="minorHAnsi" w:hAnsiTheme="minorHAnsi" w:cstheme="minorHAnsi"/>
        </w:rPr>
        <w:t xml:space="preserve"> on the other</w:t>
      </w:r>
      <w:r w:rsidR="00843222" w:rsidRPr="004737C5">
        <w:rPr>
          <w:rFonts w:asciiTheme="minorHAnsi" w:hAnsiTheme="minorHAnsi" w:cstheme="minorHAnsi"/>
        </w:rPr>
        <w:t>. The debate</w:t>
      </w:r>
      <w:r w:rsidRPr="004737C5">
        <w:rPr>
          <w:rFonts w:asciiTheme="minorHAnsi" w:hAnsiTheme="minorHAnsi" w:cstheme="minorHAnsi"/>
        </w:rPr>
        <w:t xml:space="preserve"> has</w:t>
      </w:r>
      <w:r w:rsidR="00843222" w:rsidRPr="004737C5">
        <w:rPr>
          <w:rFonts w:asciiTheme="minorHAnsi" w:hAnsiTheme="minorHAnsi" w:cstheme="minorHAnsi"/>
        </w:rPr>
        <w:t xml:space="preserve"> </w:t>
      </w:r>
      <w:r w:rsidRPr="004737C5">
        <w:rPr>
          <w:rFonts w:asciiTheme="minorHAnsi" w:hAnsiTheme="minorHAnsi" w:cstheme="minorHAnsi"/>
        </w:rPr>
        <w:t xml:space="preserve">focused on </w:t>
      </w:r>
      <w:r w:rsidR="00843222" w:rsidRPr="004737C5">
        <w:rPr>
          <w:rFonts w:asciiTheme="minorHAnsi" w:hAnsiTheme="minorHAnsi" w:cstheme="minorHAnsi"/>
        </w:rPr>
        <w:t>the relative merits of vertical (sectoral) and horizontal (cross-</w:t>
      </w:r>
      <w:r w:rsidRPr="004737C5">
        <w:rPr>
          <w:rFonts w:asciiTheme="minorHAnsi" w:hAnsiTheme="minorHAnsi" w:cstheme="minorHAnsi"/>
        </w:rPr>
        <w:t>cutting/principle-</w:t>
      </w:r>
      <w:r w:rsidR="00843222" w:rsidRPr="004737C5">
        <w:rPr>
          <w:rFonts w:asciiTheme="minorHAnsi" w:hAnsiTheme="minorHAnsi" w:cstheme="minorHAnsi"/>
        </w:rPr>
        <w:t xml:space="preserve">based) law, </w:t>
      </w:r>
      <w:r w:rsidRPr="004737C5">
        <w:rPr>
          <w:rFonts w:asciiTheme="minorHAnsi" w:hAnsiTheme="minorHAnsi" w:cstheme="minorHAnsi"/>
        </w:rPr>
        <w:t>and the question of</w:t>
      </w:r>
      <w:r w:rsidR="00843222" w:rsidRPr="004737C5">
        <w:rPr>
          <w:rFonts w:asciiTheme="minorHAnsi" w:hAnsiTheme="minorHAnsi" w:cstheme="minorHAnsi"/>
        </w:rPr>
        <w:t xml:space="preserve"> whether consumer protection law should be written as a single text or code. Advantages of a framework approach are as follows:</w:t>
      </w:r>
    </w:p>
    <w:p w14:paraId="457047A8" w14:textId="7019C359" w:rsidR="00843222" w:rsidRPr="004737C5" w:rsidRDefault="00843222" w:rsidP="002473E9">
      <w:pPr>
        <w:pStyle w:val="TextBodyIndent"/>
        <w:numPr>
          <w:ilvl w:val="0"/>
          <w:numId w:val="6"/>
        </w:numPr>
        <w:tabs>
          <w:tab w:val="clear" w:pos="1800"/>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Greater coher</w:t>
      </w:r>
      <w:r w:rsidR="003F08AB" w:rsidRPr="004737C5">
        <w:rPr>
          <w:rFonts w:asciiTheme="minorHAnsi" w:hAnsiTheme="minorHAnsi" w:cstheme="minorHAnsi"/>
        </w:rPr>
        <w:t>ence of legal texts and harmoniz</w:t>
      </w:r>
      <w:r w:rsidRPr="004737C5">
        <w:rPr>
          <w:rFonts w:asciiTheme="minorHAnsi" w:hAnsiTheme="minorHAnsi" w:cstheme="minorHAnsi"/>
        </w:rPr>
        <w:t>ation of concepts, definitions and app</w:t>
      </w:r>
      <w:r w:rsidR="00DA6403" w:rsidRPr="004737C5">
        <w:rPr>
          <w:rFonts w:asciiTheme="minorHAnsi" w:hAnsiTheme="minorHAnsi" w:cstheme="minorHAnsi"/>
        </w:rPr>
        <w:t>roaches</w:t>
      </w:r>
    </w:p>
    <w:p w14:paraId="7F79C128" w14:textId="77777777" w:rsidR="00843222" w:rsidRPr="004737C5" w:rsidRDefault="00843222" w:rsidP="002473E9">
      <w:pPr>
        <w:pStyle w:val="TextBodyIndent"/>
        <w:numPr>
          <w:ilvl w:val="0"/>
          <w:numId w:val="4"/>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Enabling of strategic pl</w:t>
      </w:r>
      <w:r w:rsidR="00DA6403" w:rsidRPr="004737C5">
        <w:rPr>
          <w:rFonts w:asciiTheme="minorHAnsi" w:hAnsiTheme="minorHAnsi" w:cstheme="minorHAnsi"/>
        </w:rPr>
        <w:t>anning within a clear structure</w:t>
      </w:r>
    </w:p>
    <w:p w14:paraId="7CF42685" w14:textId="77777777" w:rsidR="00843222" w:rsidRPr="004737C5" w:rsidRDefault="00DA6403" w:rsidP="002473E9">
      <w:pPr>
        <w:pStyle w:val="TextBodyIndent"/>
        <w:numPr>
          <w:ilvl w:val="0"/>
          <w:numId w:val="4"/>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Consolidation of the “discipline”</w:t>
      </w:r>
      <w:r w:rsidR="00843222" w:rsidRPr="004737C5">
        <w:rPr>
          <w:rFonts w:asciiTheme="minorHAnsi" w:hAnsiTheme="minorHAnsi" w:cstheme="minorHAnsi"/>
        </w:rPr>
        <w:t xml:space="preserve"> of consumer protection </w:t>
      </w:r>
      <w:r w:rsidRPr="004737C5">
        <w:rPr>
          <w:rFonts w:asciiTheme="minorHAnsi" w:hAnsiTheme="minorHAnsi" w:cstheme="minorHAnsi"/>
        </w:rPr>
        <w:t>among other branches of the law</w:t>
      </w:r>
    </w:p>
    <w:p w14:paraId="3D76BA6C" w14:textId="77777777" w:rsidR="00843222" w:rsidRPr="004737C5" w:rsidRDefault="00843222" w:rsidP="002473E9">
      <w:pPr>
        <w:pStyle w:val="TextBodyIndent"/>
        <w:numPr>
          <w:ilvl w:val="0"/>
          <w:numId w:val="4"/>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lastRenderedPageBreak/>
        <w:t>Higher visibility among judges, officials, ec</w:t>
      </w:r>
      <w:r w:rsidR="00DA6403" w:rsidRPr="004737C5">
        <w:rPr>
          <w:rFonts w:asciiTheme="minorHAnsi" w:hAnsiTheme="minorHAnsi" w:cstheme="minorHAnsi"/>
        </w:rPr>
        <w:t>onomic operators and the public</w:t>
      </w:r>
    </w:p>
    <w:p w14:paraId="0EDA8FB0" w14:textId="77777777" w:rsidR="00843222" w:rsidRPr="004737C5" w:rsidRDefault="00843222" w:rsidP="002473E9">
      <w:pPr>
        <w:pStyle w:val="TextBodyIndent"/>
        <w:numPr>
          <w:ilvl w:val="0"/>
          <w:numId w:val="4"/>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More effective applica</w:t>
      </w:r>
      <w:r w:rsidR="00DA6403" w:rsidRPr="004737C5">
        <w:rPr>
          <w:rFonts w:asciiTheme="minorHAnsi" w:hAnsiTheme="minorHAnsi" w:cstheme="minorHAnsi"/>
        </w:rPr>
        <w:t>tion of the law</w:t>
      </w:r>
    </w:p>
    <w:p w14:paraId="71C70D3B" w14:textId="77777777" w:rsidR="00843222" w:rsidRPr="004737C5" w:rsidRDefault="00843222" w:rsidP="002473E9">
      <w:pPr>
        <w:pStyle w:val="TextBodyIndent"/>
        <w:numPr>
          <w:ilvl w:val="0"/>
          <w:numId w:val="4"/>
        </w:numPr>
        <w:tabs>
          <w:tab w:val="num" w:pos="709"/>
        </w:tabs>
        <w:spacing w:line="240" w:lineRule="auto"/>
        <w:ind w:left="709" w:hanging="425"/>
        <w:rPr>
          <w:rFonts w:asciiTheme="minorHAnsi" w:hAnsiTheme="minorHAnsi" w:cstheme="minorHAnsi"/>
        </w:rPr>
      </w:pPr>
      <w:r w:rsidRPr="004737C5">
        <w:rPr>
          <w:rFonts w:asciiTheme="minorHAnsi" w:hAnsiTheme="minorHAnsi" w:cstheme="minorHAnsi"/>
        </w:rPr>
        <w:t>Easier access to t</w:t>
      </w:r>
      <w:r w:rsidR="00DA6403" w:rsidRPr="004737C5">
        <w:rPr>
          <w:rFonts w:asciiTheme="minorHAnsi" w:hAnsiTheme="minorHAnsi" w:cstheme="minorHAnsi"/>
        </w:rPr>
        <w:t>he relevant texts for consumers</w:t>
      </w:r>
    </w:p>
    <w:p w14:paraId="7C537668" w14:textId="77777777" w:rsidR="00843222" w:rsidRPr="004737C5" w:rsidRDefault="00843222" w:rsidP="006D3BE8">
      <w:pPr>
        <w:pStyle w:val="TextBodyIndent"/>
        <w:spacing w:after="160" w:line="240" w:lineRule="auto"/>
        <w:ind w:left="0"/>
        <w:rPr>
          <w:rFonts w:asciiTheme="minorHAnsi" w:hAnsiTheme="minorHAnsi" w:cstheme="minorHAnsi"/>
        </w:rPr>
      </w:pPr>
      <w:r w:rsidRPr="004737C5">
        <w:rPr>
          <w:rFonts w:asciiTheme="minorHAnsi" w:hAnsiTheme="minorHAnsi" w:cstheme="minorHAnsi"/>
        </w:rPr>
        <w:t xml:space="preserve">Below </w:t>
      </w:r>
      <w:r w:rsidR="00DA6403" w:rsidRPr="004737C5">
        <w:rPr>
          <w:rFonts w:asciiTheme="minorHAnsi" w:hAnsiTheme="minorHAnsi" w:cstheme="minorHAnsi"/>
        </w:rPr>
        <w:t xml:space="preserve">are some of the features of </w:t>
      </w:r>
      <w:r w:rsidRPr="004737C5">
        <w:rPr>
          <w:rFonts w:asciiTheme="minorHAnsi" w:hAnsiTheme="minorHAnsi" w:cstheme="minorHAnsi"/>
        </w:rPr>
        <w:t>framework laws on consumer protection:</w:t>
      </w:r>
    </w:p>
    <w:p w14:paraId="28F27C3A" w14:textId="77777777" w:rsidR="00843222" w:rsidRPr="004737C5" w:rsidRDefault="00843222" w:rsidP="00AF1448">
      <w:r w:rsidRPr="004737C5">
        <w:t>a)</w:t>
      </w:r>
      <w:r w:rsidRPr="004737C5">
        <w:tab/>
        <w:t>Some of these statutes include the rights of consumers as protected in law</w:t>
      </w:r>
      <w:r w:rsidR="00DA6403" w:rsidRPr="004737C5">
        <w:t>,</w:t>
      </w:r>
      <w:r w:rsidRPr="004737C5">
        <w:t xml:space="preserve"> such as safety, choice, information, education, fair price, representation and redress, often ta</w:t>
      </w:r>
      <w:r w:rsidR="00DA6403" w:rsidRPr="004737C5">
        <w:t>king their lead from the UNGCP “legitimate needs”</w:t>
      </w:r>
      <w:r w:rsidRPr="004737C5">
        <w:t xml:space="preserve"> </w:t>
      </w:r>
      <w:r w:rsidR="00DA6403" w:rsidRPr="004737C5">
        <w:t>(</w:t>
      </w:r>
      <w:r w:rsidR="00924883" w:rsidRPr="004737C5">
        <w:t>g</w:t>
      </w:r>
      <w:r w:rsidRPr="004737C5">
        <w:t>uideline 5</w:t>
      </w:r>
      <w:r w:rsidR="00DA6403" w:rsidRPr="004737C5">
        <w:t>).</w:t>
      </w:r>
    </w:p>
    <w:p w14:paraId="79948E11" w14:textId="77777777" w:rsidR="00843222" w:rsidRPr="004737C5" w:rsidRDefault="00DA6403" w:rsidP="00AF1448">
      <w:pPr>
        <w:ind w:left="709" w:hanging="425"/>
        <w:contextualSpacing/>
      </w:pPr>
      <w:r w:rsidRPr="004737C5">
        <w:t>b)</w:t>
      </w:r>
      <w:r w:rsidRPr="004737C5">
        <w:tab/>
        <w:t>They define the term “consumer”</w:t>
      </w:r>
      <w:r w:rsidR="00843222" w:rsidRPr="004737C5">
        <w:t xml:space="preserve"> broadly. Th</w:t>
      </w:r>
      <w:r w:rsidRPr="004737C5">
        <w:t xml:space="preserve">ey may cover three categories: </w:t>
      </w:r>
      <w:r w:rsidR="00843222" w:rsidRPr="004737C5">
        <w:t>the purchaser, user and third parties</w:t>
      </w:r>
      <w:r w:rsidRPr="004737C5">
        <w:t>.</w:t>
      </w:r>
    </w:p>
    <w:p w14:paraId="531B0993" w14:textId="77777777" w:rsidR="00843222" w:rsidRPr="004737C5" w:rsidRDefault="00843222" w:rsidP="00AF1448">
      <w:pPr>
        <w:ind w:left="709" w:hanging="425"/>
        <w:contextualSpacing/>
      </w:pPr>
      <w:r w:rsidRPr="004737C5">
        <w:t>c)</w:t>
      </w:r>
      <w:r w:rsidRPr="004737C5">
        <w:tab/>
        <w:t>They frequently cover the delivery of both consumer goods and services, and sometimes include the prov</w:t>
      </w:r>
      <w:r w:rsidR="00DA6403" w:rsidRPr="004737C5">
        <w:t xml:space="preserve">ision of professional services, such as </w:t>
      </w:r>
      <w:r w:rsidRPr="004737C5">
        <w:t>doctors, denti</w:t>
      </w:r>
      <w:r w:rsidR="00DA6403" w:rsidRPr="004737C5">
        <w:t>sts, engineers and architects.</w:t>
      </w:r>
    </w:p>
    <w:p w14:paraId="4F4B3FB7" w14:textId="77777777" w:rsidR="00843222" w:rsidRPr="004737C5" w:rsidRDefault="00843222" w:rsidP="00AF1448">
      <w:pPr>
        <w:ind w:left="709" w:hanging="425"/>
        <w:contextualSpacing/>
      </w:pPr>
      <w:r w:rsidRPr="004737C5">
        <w:t>d)</w:t>
      </w:r>
      <w:r w:rsidRPr="004737C5">
        <w:tab/>
        <w:t>They impose pre-contractual disclosure requirements on the products sold or services provided, covering price and tar</w:t>
      </w:r>
      <w:r w:rsidR="00DA6403" w:rsidRPr="004737C5">
        <w:t>iffs, as well as contract terms.</w:t>
      </w:r>
    </w:p>
    <w:p w14:paraId="14D83E3A" w14:textId="77777777" w:rsidR="00843222" w:rsidRPr="004737C5" w:rsidRDefault="00843222" w:rsidP="00AF1448">
      <w:pPr>
        <w:ind w:left="709" w:hanging="425"/>
        <w:contextualSpacing/>
      </w:pPr>
      <w:r w:rsidRPr="004737C5">
        <w:t>e)</w:t>
      </w:r>
      <w:r w:rsidRPr="004737C5">
        <w:tab/>
        <w:t>They may provide for the prohibition of unf</w:t>
      </w:r>
      <w:r w:rsidR="00DA6403" w:rsidRPr="004737C5">
        <w:t>air terms in consumer contracts.</w:t>
      </w:r>
    </w:p>
    <w:p w14:paraId="46D7FC61" w14:textId="77777777" w:rsidR="00843222" w:rsidRPr="004737C5" w:rsidRDefault="00843222" w:rsidP="00AF1448">
      <w:pPr>
        <w:ind w:left="709" w:hanging="425"/>
        <w:contextualSpacing/>
      </w:pPr>
      <w:r w:rsidRPr="004737C5">
        <w:t>f)</w:t>
      </w:r>
      <w:r w:rsidRPr="004737C5">
        <w:tab/>
        <w:t>They prohibit false, misleading or confusing advertising and other dubious forms of comme</w:t>
      </w:r>
      <w:r w:rsidR="00DA6403" w:rsidRPr="004737C5">
        <w:t>rcial communication.</w:t>
      </w:r>
    </w:p>
    <w:p w14:paraId="66F9EFC0" w14:textId="77777777" w:rsidR="00843222" w:rsidRPr="004737C5" w:rsidRDefault="00843222" w:rsidP="00AF1448">
      <w:pPr>
        <w:ind w:left="709" w:hanging="425"/>
        <w:contextualSpacing/>
      </w:pPr>
      <w:r w:rsidRPr="004737C5">
        <w:t>g)</w:t>
      </w:r>
      <w:r w:rsidRPr="004737C5">
        <w:tab/>
        <w:t>They prohibit or restrict commercial practices that are considered to be misleading, aggre</w:t>
      </w:r>
      <w:r w:rsidR="00DA6403" w:rsidRPr="004737C5">
        <w:t>ssive or unfair to the consumer.</w:t>
      </w:r>
    </w:p>
    <w:p w14:paraId="1D6F82C7" w14:textId="77777777" w:rsidR="00843222" w:rsidRPr="004737C5" w:rsidRDefault="00843222" w:rsidP="00AF1448">
      <w:pPr>
        <w:ind w:left="709" w:hanging="425"/>
        <w:contextualSpacing/>
      </w:pPr>
      <w:r w:rsidRPr="004737C5">
        <w:t>h)</w:t>
      </w:r>
      <w:r w:rsidRPr="004737C5">
        <w:tab/>
        <w:t xml:space="preserve">They may create </w:t>
      </w:r>
      <w:r w:rsidR="00DA6403" w:rsidRPr="004737C5">
        <w:t>consultative bodies comprising g</w:t>
      </w:r>
      <w:r w:rsidRPr="004737C5">
        <w:t>overnment, industry and consumer representatives proactively addressing systemic consumer problems and recommending legislation and oth</w:t>
      </w:r>
      <w:r w:rsidR="000F70FC" w:rsidRPr="004737C5">
        <w:t>er consumer protection measures.</w:t>
      </w:r>
    </w:p>
    <w:p w14:paraId="59F8C097" w14:textId="77777777" w:rsidR="00843222" w:rsidRPr="004737C5" w:rsidRDefault="00843222" w:rsidP="00AF1448">
      <w:pPr>
        <w:ind w:left="709" w:hanging="425"/>
        <w:contextualSpacing/>
      </w:pPr>
      <w:r w:rsidRPr="004737C5">
        <w:t>i)</w:t>
      </w:r>
      <w:r w:rsidRPr="004737C5">
        <w:tab/>
        <w:t>They often address issues relating to product and service safety and provide for standard setting, notification of unsafe products and recall o</w:t>
      </w:r>
      <w:r w:rsidR="000F70FC" w:rsidRPr="004737C5">
        <w:t>f defective products.</w:t>
      </w:r>
    </w:p>
    <w:p w14:paraId="370158D1" w14:textId="77777777" w:rsidR="00843222" w:rsidRPr="004737C5" w:rsidRDefault="00843222" w:rsidP="00AF1448">
      <w:pPr>
        <w:ind w:left="709" w:hanging="425"/>
        <w:contextualSpacing/>
      </w:pPr>
      <w:r w:rsidRPr="004737C5">
        <w:t>j)</w:t>
      </w:r>
      <w:r w:rsidRPr="004737C5">
        <w:tab/>
        <w:t xml:space="preserve">They may facilitate compensation </w:t>
      </w:r>
      <w:r w:rsidR="006825D1" w:rsidRPr="004737C5">
        <w:t>to</w:t>
      </w:r>
      <w:r w:rsidRPr="004737C5">
        <w:t xml:space="preserve"> consumers for defective products by introducing the principle of strict liability where products have caused material losses, person</w:t>
      </w:r>
      <w:r w:rsidR="000F70FC" w:rsidRPr="004737C5">
        <w:t>al injury or death to consumers.</w:t>
      </w:r>
    </w:p>
    <w:p w14:paraId="49B91C59" w14:textId="77777777" w:rsidR="00843222" w:rsidRPr="004737C5" w:rsidRDefault="00843222" w:rsidP="00AF1448">
      <w:pPr>
        <w:ind w:left="709" w:hanging="425"/>
        <w:contextualSpacing/>
      </w:pPr>
      <w:r w:rsidRPr="004737C5">
        <w:t>k)</w:t>
      </w:r>
      <w:r w:rsidRPr="004737C5">
        <w:tab/>
        <w:t xml:space="preserve">The statutes may vest existing or specially created agencies with rule-making power to enable a swift response to evolving malpractice. In some instances, rule-making power is vested in the executive branch of the </w:t>
      </w:r>
      <w:r w:rsidR="000F70FC" w:rsidRPr="004737C5">
        <w:t>g</w:t>
      </w:r>
      <w:r w:rsidRPr="004737C5">
        <w:t>overnment, but advisory committees comprising both consumer and industry representatives are permitted to formulate recommendations of th</w:t>
      </w:r>
      <w:r w:rsidR="000F70FC" w:rsidRPr="004737C5">
        <w:t>e regulations to be promulgated.</w:t>
      </w:r>
    </w:p>
    <w:p w14:paraId="5D8154AD" w14:textId="48539A5C" w:rsidR="00843222" w:rsidRPr="004737C5" w:rsidRDefault="00843222" w:rsidP="00AF1448">
      <w:pPr>
        <w:ind w:left="709" w:hanging="425"/>
        <w:contextualSpacing/>
      </w:pPr>
      <w:r w:rsidRPr="004737C5">
        <w:t>l)</w:t>
      </w:r>
      <w:r w:rsidRPr="004737C5">
        <w:tab/>
        <w:t xml:space="preserve">They may establish special tribunals (more recently </w:t>
      </w:r>
      <w:r w:rsidR="00A8689C" w:rsidRPr="004737C5">
        <w:t>alternative dispute resolution (</w:t>
      </w:r>
      <w:r w:rsidRPr="004737C5">
        <w:t>ADR</w:t>
      </w:r>
      <w:r w:rsidR="00A8689C" w:rsidRPr="004737C5">
        <w:t>)</w:t>
      </w:r>
      <w:r w:rsidRPr="004737C5">
        <w:t xml:space="preserve"> and</w:t>
      </w:r>
      <w:r w:rsidR="00A8689C" w:rsidRPr="004737C5">
        <w:t xml:space="preserve"> online dispute resolution</w:t>
      </w:r>
      <w:r w:rsidRPr="004737C5">
        <w:t xml:space="preserve"> </w:t>
      </w:r>
      <w:r w:rsidR="00A8689C" w:rsidRPr="004737C5">
        <w:t>(</w:t>
      </w:r>
      <w:r w:rsidRPr="004737C5">
        <w:t>ODR</w:t>
      </w:r>
      <w:r w:rsidR="00A8689C" w:rsidRPr="004737C5">
        <w:t>)</w:t>
      </w:r>
      <w:r w:rsidRPr="004737C5">
        <w:t xml:space="preserve"> systems</w:t>
      </w:r>
      <w:r w:rsidR="000F70FC" w:rsidRPr="004737C5">
        <w:t>,</w:t>
      </w:r>
      <w:r w:rsidR="004240DC" w:rsidRPr="004737C5">
        <w:t xml:space="preserve"> as discussed in chapter XI</w:t>
      </w:r>
      <w:r w:rsidRPr="004737C5">
        <w:t xml:space="preserve">) where simplified rules of procedure and evidence are created to hear consumer </w:t>
      </w:r>
      <w:r w:rsidR="000F70FC" w:rsidRPr="004737C5">
        <w:t>complaints. Some are quite long-</w:t>
      </w:r>
      <w:r w:rsidRPr="004737C5">
        <w:t>standing</w:t>
      </w:r>
      <w:r w:rsidR="00A8689C" w:rsidRPr="004737C5">
        <w:t>,</w:t>
      </w:r>
      <w:r w:rsidRPr="004737C5">
        <w:t xml:space="preserve"> such as the Indian Consumer Courts and the Spanish and Argentinian Consumer Arbitration cour</w:t>
      </w:r>
      <w:r w:rsidR="000F70FC" w:rsidRPr="004737C5">
        <w:t>ts established in 1986 and 1998.</w:t>
      </w:r>
    </w:p>
    <w:p w14:paraId="459A6297" w14:textId="107D0E63" w:rsidR="00843222" w:rsidRPr="004737C5" w:rsidRDefault="00843222" w:rsidP="00AF1448">
      <w:pPr>
        <w:ind w:left="709" w:hanging="425"/>
        <w:contextualSpacing/>
      </w:pPr>
      <w:r w:rsidRPr="004737C5">
        <w:t>m)</w:t>
      </w:r>
      <w:r w:rsidRPr="004737C5">
        <w:tab/>
        <w:t xml:space="preserve">They usually facilitate access of consumers to justice by admitting collective redress procedures. In such cases, they may confer upon a public officer (such as </w:t>
      </w:r>
      <w:r w:rsidR="00A8689C" w:rsidRPr="004737C5">
        <w:t>a</w:t>
      </w:r>
      <w:r w:rsidR="000F70FC" w:rsidRPr="004737C5">
        <w:t xml:space="preserve"> Director of Trade Practices or</w:t>
      </w:r>
      <w:r w:rsidR="00A8689C" w:rsidRPr="004737C5">
        <w:t xml:space="preserve"> consumer o</w:t>
      </w:r>
      <w:r w:rsidRPr="004737C5">
        <w:t xml:space="preserve">mbudsman) </w:t>
      </w:r>
      <w:r w:rsidR="000F70FC" w:rsidRPr="004737C5">
        <w:t xml:space="preserve">or social </w:t>
      </w:r>
      <w:r w:rsidRPr="004737C5">
        <w:t xml:space="preserve">action groups </w:t>
      </w:r>
      <w:r w:rsidR="000F70FC" w:rsidRPr="004737C5">
        <w:t>(</w:t>
      </w:r>
      <w:r w:rsidRPr="004737C5">
        <w:t>such as consumer associations</w:t>
      </w:r>
      <w:r w:rsidR="000F70FC" w:rsidRPr="004737C5">
        <w:t>)</w:t>
      </w:r>
      <w:r w:rsidRPr="004737C5">
        <w:t xml:space="preserve"> the right to commence litigation on behalf of a c</w:t>
      </w:r>
      <w:r w:rsidR="000F70FC" w:rsidRPr="004737C5">
        <w:t>onsumer or a group of consumers.</w:t>
      </w:r>
    </w:p>
    <w:p w14:paraId="4EC50A5B" w14:textId="77777777" w:rsidR="00843222" w:rsidRPr="004737C5" w:rsidRDefault="00843222" w:rsidP="00AF1448">
      <w:pPr>
        <w:ind w:left="709" w:hanging="425"/>
      </w:pPr>
      <w:r w:rsidRPr="004737C5">
        <w:t>n)</w:t>
      </w:r>
      <w:r w:rsidRPr="004737C5">
        <w:tab/>
        <w:t>They usually provide a range of remedies, including rescission</w:t>
      </w:r>
      <w:r w:rsidR="006825D1" w:rsidRPr="004737C5">
        <w:t xml:space="preserve"> of contract</w:t>
      </w:r>
      <w:r w:rsidRPr="004737C5">
        <w:t>, the right to damag</w:t>
      </w:r>
      <w:r w:rsidR="000F70FC" w:rsidRPr="004737C5">
        <w:t>es (including punitive damages) and</w:t>
      </w:r>
      <w:r w:rsidRPr="004737C5">
        <w:t xml:space="preserve"> injunctive and declaratory relief</w:t>
      </w:r>
      <w:r w:rsidR="000F70FC" w:rsidRPr="004737C5">
        <w:t>.</w:t>
      </w:r>
      <w:r w:rsidRPr="004737C5">
        <w:t xml:space="preserve"> This may</w:t>
      </w:r>
      <w:r w:rsidR="006825D1" w:rsidRPr="004737C5">
        <w:t xml:space="preserve"> </w:t>
      </w:r>
      <w:r w:rsidRPr="004737C5">
        <w:t xml:space="preserve">be in recognition </w:t>
      </w:r>
      <w:r w:rsidR="003E47E8" w:rsidRPr="004737C5">
        <w:t>of the</w:t>
      </w:r>
      <w:r w:rsidRPr="004737C5">
        <w:t xml:space="preserve"> absence of a full, balanced and flexible range of </w:t>
      </w:r>
      <w:r w:rsidR="003E47E8" w:rsidRPr="004737C5">
        <w:t>remedies, which</w:t>
      </w:r>
      <w:r w:rsidRPr="004737C5">
        <w:t xml:space="preserve"> may have the effect of neutralising the rights that such statutes see</w:t>
      </w:r>
      <w:r w:rsidR="00DA6403" w:rsidRPr="004737C5">
        <w:t>k to confer upon the consumer</w:t>
      </w:r>
      <w:r w:rsidR="000F70FC" w:rsidRPr="004737C5">
        <w:t xml:space="preserve"> in practice</w:t>
      </w:r>
      <w:r w:rsidR="00DA6403" w:rsidRPr="004737C5">
        <w:t xml:space="preserve">. </w:t>
      </w:r>
    </w:p>
    <w:p w14:paraId="782B142E" w14:textId="77777777" w:rsidR="00843222" w:rsidRPr="004737C5" w:rsidRDefault="00843222" w:rsidP="00AF1448">
      <w:r w:rsidRPr="004737C5">
        <w:t xml:space="preserve">The above framework laws have many common features, but there are some notable </w:t>
      </w:r>
      <w:r w:rsidR="000F70FC" w:rsidRPr="004737C5">
        <w:t>exceptions</w:t>
      </w:r>
      <w:r w:rsidRPr="004737C5">
        <w:t>, such as Germany and Hong Kong (China), which do not have Consumer Protection Acts. The United States</w:t>
      </w:r>
      <w:r w:rsidR="000F70FC" w:rsidRPr="004737C5">
        <w:t xml:space="preserve"> of America</w:t>
      </w:r>
      <w:r w:rsidRPr="004737C5">
        <w:t xml:space="preserve"> lik</w:t>
      </w:r>
      <w:r w:rsidR="000F70FC" w:rsidRPr="004737C5">
        <w:t>ewise does not have a framework</w:t>
      </w:r>
      <w:r w:rsidRPr="004737C5">
        <w:t xml:space="preserve"> </w:t>
      </w:r>
      <w:r w:rsidR="006825D1" w:rsidRPr="004737C5">
        <w:t>C</w:t>
      </w:r>
      <w:r w:rsidRPr="004737C5">
        <w:t xml:space="preserve">onsumer </w:t>
      </w:r>
      <w:r w:rsidR="006825D1" w:rsidRPr="004737C5">
        <w:t>P</w:t>
      </w:r>
      <w:r w:rsidRPr="004737C5">
        <w:t>rotection</w:t>
      </w:r>
      <w:r w:rsidR="006825D1" w:rsidRPr="004737C5">
        <w:t xml:space="preserve"> Act</w:t>
      </w:r>
      <w:r w:rsidRPr="004737C5">
        <w:t>.</w:t>
      </w:r>
      <w:r w:rsidRPr="004737C5" w:rsidDel="00C02DBB">
        <w:t xml:space="preserve"> </w:t>
      </w:r>
      <w:r w:rsidR="006825D1" w:rsidRPr="004737C5">
        <w:t>T</w:t>
      </w:r>
      <w:r w:rsidRPr="004737C5">
        <w:t xml:space="preserve">he key legislation </w:t>
      </w:r>
      <w:r w:rsidRPr="004737C5">
        <w:lastRenderedPageBreak/>
        <w:t>is the Federal Trade Commission (FTC) Act of 1914, setting out broad terms similar to those in the above framework acts and also establishing the machinery for the FT</w:t>
      </w:r>
      <w:r w:rsidR="000F70FC" w:rsidRPr="004737C5">
        <w:t>C to apply and enforce some 70 f</w:t>
      </w:r>
      <w:r w:rsidRPr="004737C5">
        <w:t>ederal acts. Those</w:t>
      </w:r>
      <w:r w:rsidR="000F70FC" w:rsidRPr="004737C5">
        <w:t xml:space="preserve"> acts may incorporate the term “</w:t>
      </w:r>
      <w:r w:rsidRPr="004737C5">
        <w:t>consumer protection</w:t>
      </w:r>
      <w:r w:rsidR="000F70FC" w:rsidRPr="004737C5">
        <w:t>”</w:t>
      </w:r>
      <w:r w:rsidRPr="004737C5">
        <w:t xml:space="preserve">, such as the 2005 Bankruptcy Abuse Prevention and Consumer Protection Act 2005, which amends the Truth in Lending Act, a landmark act in consumer protection in the financial services area. </w:t>
      </w:r>
    </w:p>
    <w:p w14:paraId="27B221B9" w14:textId="52565D5D" w:rsidR="00843222" w:rsidRPr="004737C5" w:rsidRDefault="000F70FC" w:rsidP="00AF1448">
      <w:r w:rsidRPr="004737C5">
        <w:t>Care in the use of the term “consumer protection” is worth bearing in mind for s</w:t>
      </w:r>
      <w:r w:rsidR="00843222" w:rsidRPr="004737C5">
        <w:t xml:space="preserve">tates preparing consumer protection legislation. Model consumer protection laws have been prepared for several regions (e.g. Latin </w:t>
      </w:r>
      <w:r w:rsidR="00A8689C" w:rsidRPr="004737C5">
        <w:t>America, Africa and the</w:t>
      </w:r>
      <w:r w:rsidR="00843222" w:rsidRPr="004737C5">
        <w:t xml:space="preserve"> Caribbean) incorporating the features of the framework laws seen above.</w:t>
      </w:r>
      <w:r w:rsidR="00843222" w:rsidRPr="004737C5">
        <w:rPr>
          <w:rStyle w:val="FootnoteAnchor"/>
          <w:rFonts w:cstheme="minorHAnsi"/>
          <w:spacing w:val="-6"/>
        </w:rPr>
        <w:footnoteReference w:id="39"/>
      </w:r>
      <w:r w:rsidR="00843222" w:rsidRPr="004737C5">
        <w:t xml:space="preserve"> One can see the logic of this approach for regions, such as Latin America, in which there are certain continuities of language and legal tradition, or in regions with many small economies, such as the Caribbean or Pacific islands. However, there are challenges in adopting models that can override genuine differences in geographical and social conditions requiring different solutions. This is particularly true of public utility services where levels of connectivity among local populations and natural resource constraints require very different approaches</w:t>
      </w:r>
      <w:r w:rsidR="00A8689C" w:rsidRPr="004737C5">
        <w:t>, for example, to</w:t>
      </w:r>
      <w:r w:rsidR="00843222" w:rsidRPr="004737C5">
        <w:t xml:space="preserve"> tariff and subsidy s</w:t>
      </w:r>
      <w:r w:rsidRPr="004737C5">
        <w:t>tructures and how to deal with “non-consumers”</w:t>
      </w:r>
      <w:r w:rsidRPr="004737C5">
        <w:rPr>
          <w:rStyle w:val="FootnoteReference"/>
          <w:rFonts w:cstheme="minorHAnsi"/>
          <w:spacing w:val="-6"/>
        </w:rPr>
        <w:footnoteReference w:id="40"/>
      </w:r>
      <w:r w:rsidRPr="004737C5">
        <w:t>. For this reason, a “checklist”</w:t>
      </w:r>
      <w:r w:rsidR="00843222" w:rsidRPr="004737C5">
        <w:t xml:space="preserve"> approach may be worth c</w:t>
      </w:r>
      <w:r w:rsidRPr="004737C5">
        <w:t xml:space="preserve">onsidering. It differs from a </w:t>
      </w:r>
      <w:r w:rsidR="00843222" w:rsidRPr="004737C5">
        <w:t>model law in that it does not seek to place all consumer protection provisions in one place, but to verify that all necessary protections</w:t>
      </w:r>
      <w:r w:rsidRPr="004737C5">
        <w:t xml:space="preserve"> are in place across legislative</w:t>
      </w:r>
      <w:r w:rsidR="00843222" w:rsidRPr="004737C5">
        <w:t xml:space="preserve"> and institutional architecture, </w:t>
      </w:r>
      <w:r w:rsidR="00A8689C" w:rsidRPr="004737C5">
        <w:t>provid</w:t>
      </w:r>
      <w:r w:rsidR="00843222" w:rsidRPr="004737C5">
        <w:t xml:space="preserve">ing more flexibility than </w:t>
      </w:r>
      <w:r w:rsidR="006825D1" w:rsidRPr="004737C5">
        <w:t xml:space="preserve">a </w:t>
      </w:r>
      <w:r w:rsidR="00843222" w:rsidRPr="004737C5">
        <w:t xml:space="preserve">model law. </w:t>
      </w:r>
    </w:p>
    <w:p w14:paraId="77C4772B" w14:textId="77777777" w:rsidR="00843222" w:rsidRPr="004737C5" w:rsidRDefault="000F70FC" w:rsidP="00A8689C">
      <w:pPr>
        <w:pStyle w:val="Heading2"/>
        <w:spacing w:after="160"/>
        <w:rPr>
          <w:rFonts w:cstheme="minorHAnsi"/>
          <w:color w:val="auto"/>
          <w:sz w:val="24"/>
          <w:szCs w:val="24"/>
        </w:rPr>
      </w:pPr>
      <w:bookmarkStart w:id="28" w:name="_Toc492649981"/>
      <w:r w:rsidRPr="004737C5">
        <w:rPr>
          <w:rFonts w:cstheme="minorHAnsi"/>
          <w:color w:val="auto"/>
          <w:sz w:val="24"/>
          <w:szCs w:val="24"/>
        </w:rPr>
        <w:t>D.</w:t>
      </w:r>
      <w:r w:rsidR="00843222" w:rsidRPr="004737C5">
        <w:rPr>
          <w:rFonts w:cstheme="minorHAnsi"/>
          <w:color w:val="auto"/>
          <w:sz w:val="24"/>
          <w:szCs w:val="24"/>
        </w:rPr>
        <w:t xml:space="preserve"> Interface between consumer laws and other laws</w:t>
      </w:r>
      <w:bookmarkEnd w:id="28"/>
    </w:p>
    <w:p w14:paraId="471C98F8" w14:textId="77777777" w:rsidR="00843222" w:rsidRPr="004737C5" w:rsidRDefault="006825D1" w:rsidP="00A8689C">
      <w:pPr>
        <w:rPr>
          <w:rFonts w:cstheme="minorHAnsi"/>
        </w:rPr>
      </w:pPr>
      <w:r w:rsidRPr="004737C5">
        <w:rPr>
          <w:rFonts w:cstheme="minorHAnsi"/>
        </w:rPr>
        <w:t>Due to t</w:t>
      </w:r>
      <w:r w:rsidR="00843222" w:rsidRPr="004737C5">
        <w:rPr>
          <w:rFonts w:cstheme="minorHAnsi"/>
        </w:rPr>
        <w:t>he horizontal and cross-cutting nature of consumer protection, its law interacts with many different bodies of law. The following four are particularly relevant to the welfare of consumers: sectoral laws, professional services law, intellectual property law and international trade law.</w:t>
      </w:r>
    </w:p>
    <w:p w14:paraId="2F252EBF" w14:textId="77777777" w:rsidR="00843222" w:rsidRPr="004737C5" w:rsidRDefault="00843222" w:rsidP="00A8689C">
      <w:pPr>
        <w:pStyle w:val="Heading3"/>
        <w:spacing w:after="160" w:line="240" w:lineRule="auto"/>
        <w:rPr>
          <w:rFonts w:cstheme="minorHAnsi"/>
          <w:color w:val="auto"/>
        </w:rPr>
      </w:pPr>
      <w:bookmarkStart w:id="29" w:name="_Toc492649982"/>
      <w:r w:rsidRPr="004737C5">
        <w:rPr>
          <w:rFonts w:cstheme="minorHAnsi"/>
          <w:color w:val="auto"/>
        </w:rPr>
        <w:t>1</w:t>
      </w:r>
      <w:r w:rsidR="001A4FD3" w:rsidRPr="004737C5">
        <w:rPr>
          <w:rFonts w:cstheme="minorHAnsi"/>
          <w:color w:val="auto"/>
        </w:rPr>
        <w:t>.</w:t>
      </w:r>
      <w:r w:rsidRPr="004737C5">
        <w:rPr>
          <w:rFonts w:cstheme="minorHAnsi"/>
          <w:color w:val="auto"/>
        </w:rPr>
        <w:t xml:space="preserve"> Sectoral laws</w:t>
      </w:r>
      <w:bookmarkEnd w:id="29"/>
    </w:p>
    <w:p w14:paraId="407F2842" w14:textId="77777777" w:rsidR="00843222" w:rsidRPr="004737C5" w:rsidRDefault="00843222" w:rsidP="006D3BE8">
      <w:pPr>
        <w:pStyle w:val="TextBodyIndent"/>
        <w:spacing w:after="160" w:line="240" w:lineRule="auto"/>
        <w:ind w:left="0"/>
        <w:rPr>
          <w:rFonts w:asciiTheme="minorHAnsi" w:hAnsiTheme="minorHAnsi" w:cstheme="minorHAnsi"/>
        </w:rPr>
      </w:pPr>
      <w:r w:rsidRPr="004737C5">
        <w:rPr>
          <w:rFonts w:asciiTheme="minorHAnsi" w:hAnsiTheme="minorHAnsi" w:cstheme="minorHAnsi"/>
        </w:rPr>
        <w:t>While framework laws usually focus on hor</w:t>
      </w:r>
      <w:r w:rsidR="001A4FD3" w:rsidRPr="004737C5">
        <w:rPr>
          <w:rFonts w:asciiTheme="minorHAnsi" w:hAnsiTheme="minorHAnsi" w:cstheme="minorHAnsi"/>
        </w:rPr>
        <w:t>izontal or institutional issues</w:t>
      </w:r>
      <w:r w:rsidRPr="004737C5">
        <w:rPr>
          <w:rFonts w:asciiTheme="minorHAnsi" w:hAnsiTheme="minorHAnsi" w:cstheme="minorHAnsi"/>
        </w:rPr>
        <w:t xml:space="preserve"> such as those mentioned above, sectoral issues are often dealt with in specific statutes, either because they are more likely to be applied that way or </w:t>
      </w:r>
      <w:r w:rsidR="001A4FD3" w:rsidRPr="004737C5">
        <w:rPr>
          <w:rFonts w:asciiTheme="minorHAnsi" w:hAnsiTheme="minorHAnsi" w:cstheme="minorHAnsi"/>
        </w:rPr>
        <w:t xml:space="preserve">because </w:t>
      </w:r>
      <w:r w:rsidRPr="004737C5">
        <w:rPr>
          <w:rFonts w:asciiTheme="minorHAnsi" w:hAnsiTheme="minorHAnsi" w:cstheme="minorHAnsi"/>
        </w:rPr>
        <w:t xml:space="preserve">there </w:t>
      </w:r>
      <w:r w:rsidR="001A4FD3" w:rsidRPr="004737C5">
        <w:rPr>
          <w:rFonts w:asciiTheme="minorHAnsi" w:hAnsiTheme="minorHAnsi" w:cstheme="minorHAnsi"/>
        </w:rPr>
        <w:t xml:space="preserve">is </w:t>
      </w:r>
      <w:r w:rsidRPr="004737C5">
        <w:rPr>
          <w:rFonts w:asciiTheme="minorHAnsi" w:hAnsiTheme="minorHAnsi" w:cstheme="minorHAnsi"/>
        </w:rPr>
        <w:t xml:space="preserve">no appropriate framework legislation. Examples of such statutes, many of which would be enforced by standalone agencies outside of the consumer protection agency, are: </w:t>
      </w:r>
    </w:p>
    <w:p w14:paraId="693841C4" w14:textId="334481BC"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Food a</w:t>
      </w:r>
      <w:r w:rsidR="001A4FD3" w:rsidRPr="004737C5">
        <w:rPr>
          <w:rFonts w:asciiTheme="minorHAnsi" w:hAnsiTheme="minorHAnsi" w:cstheme="minorHAnsi"/>
        </w:rPr>
        <w:t>cts</w:t>
      </w:r>
    </w:p>
    <w:p w14:paraId="2E3FFB95" w14:textId="60BB3F71"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Medicines (advertisement and sale) a</w:t>
      </w:r>
      <w:r w:rsidR="00843222" w:rsidRPr="004737C5">
        <w:rPr>
          <w:rFonts w:asciiTheme="minorHAnsi" w:hAnsiTheme="minorHAnsi" w:cstheme="minorHAnsi"/>
        </w:rPr>
        <w:t>c</w:t>
      </w:r>
      <w:r w:rsidR="001A4FD3" w:rsidRPr="004737C5">
        <w:rPr>
          <w:rFonts w:asciiTheme="minorHAnsi" w:hAnsiTheme="minorHAnsi" w:cstheme="minorHAnsi"/>
        </w:rPr>
        <w:t>ts</w:t>
      </w:r>
    </w:p>
    <w:p w14:paraId="67A354E0" w14:textId="6C3F49EC"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Moneylenders a</w:t>
      </w:r>
      <w:r w:rsidR="001A4FD3" w:rsidRPr="004737C5">
        <w:rPr>
          <w:rFonts w:asciiTheme="minorHAnsi" w:hAnsiTheme="minorHAnsi" w:cstheme="minorHAnsi"/>
        </w:rPr>
        <w:t>cts</w:t>
      </w:r>
    </w:p>
    <w:p w14:paraId="7FFBF5BB" w14:textId="1416F977"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Insurance a</w:t>
      </w:r>
      <w:r w:rsidR="001A4FD3" w:rsidRPr="004737C5">
        <w:rPr>
          <w:rFonts w:asciiTheme="minorHAnsi" w:hAnsiTheme="minorHAnsi" w:cstheme="minorHAnsi"/>
        </w:rPr>
        <w:t>cts</w:t>
      </w:r>
    </w:p>
    <w:p w14:paraId="000EF768" w14:textId="1459FB75"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Consumer credit a</w:t>
      </w:r>
      <w:r w:rsidR="001A4FD3" w:rsidRPr="004737C5">
        <w:rPr>
          <w:rFonts w:asciiTheme="minorHAnsi" w:hAnsiTheme="minorHAnsi" w:cstheme="minorHAnsi"/>
        </w:rPr>
        <w:t>cts</w:t>
      </w:r>
    </w:p>
    <w:p w14:paraId="5935F69E" w14:textId="18867A23"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Water services a</w:t>
      </w:r>
      <w:r w:rsidR="001A4FD3" w:rsidRPr="004737C5">
        <w:rPr>
          <w:rFonts w:asciiTheme="minorHAnsi" w:hAnsiTheme="minorHAnsi" w:cstheme="minorHAnsi"/>
        </w:rPr>
        <w:t>cts</w:t>
      </w:r>
    </w:p>
    <w:p w14:paraId="06430131" w14:textId="07219D87" w:rsidR="00843222" w:rsidRPr="004737C5" w:rsidRDefault="001A4FD3"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 xml:space="preserve">Telecommunications </w:t>
      </w:r>
      <w:r w:rsidR="00FC2F14" w:rsidRPr="004737C5">
        <w:rPr>
          <w:rFonts w:asciiTheme="minorHAnsi" w:hAnsiTheme="minorHAnsi" w:cstheme="minorHAnsi"/>
        </w:rPr>
        <w:t>a</w:t>
      </w:r>
      <w:r w:rsidRPr="004737C5">
        <w:rPr>
          <w:rFonts w:asciiTheme="minorHAnsi" w:hAnsiTheme="minorHAnsi" w:cstheme="minorHAnsi"/>
        </w:rPr>
        <w:t>cts</w:t>
      </w:r>
    </w:p>
    <w:p w14:paraId="5391643B" w14:textId="6F7F993D" w:rsidR="00843222" w:rsidRPr="004737C5" w:rsidRDefault="00FC2F14" w:rsidP="002473E9">
      <w:pPr>
        <w:pStyle w:val="TextBodyIndent"/>
        <w:numPr>
          <w:ilvl w:val="0"/>
          <w:numId w:val="3"/>
        </w:numPr>
        <w:tabs>
          <w:tab w:val="num" w:pos="709"/>
        </w:tabs>
        <w:spacing w:after="0" w:line="240" w:lineRule="auto"/>
        <w:ind w:left="709" w:hanging="425"/>
        <w:rPr>
          <w:rFonts w:asciiTheme="minorHAnsi" w:hAnsiTheme="minorHAnsi" w:cstheme="minorHAnsi"/>
        </w:rPr>
      </w:pPr>
      <w:r w:rsidRPr="004737C5">
        <w:rPr>
          <w:rFonts w:asciiTheme="minorHAnsi" w:hAnsiTheme="minorHAnsi" w:cstheme="minorHAnsi"/>
        </w:rPr>
        <w:t>Energy a</w:t>
      </w:r>
      <w:r w:rsidR="001A4FD3" w:rsidRPr="004737C5">
        <w:rPr>
          <w:rFonts w:asciiTheme="minorHAnsi" w:hAnsiTheme="minorHAnsi" w:cstheme="minorHAnsi"/>
        </w:rPr>
        <w:t>cts</w:t>
      </w:r>
    </w:p>
    <w:p w14:paraId="0BBF0474" w14:textId="7CD89A72" w:rsidR="00843222" w:rsidRPr="004737C5" w:rsidRDefault="00FC2F14" w:rsidP="002473E9">
      <w:pPr>
        <w:pStyle w:val="TextBodyIndent"/>
        <w:numPr>
          <w:ilvl w:val="0"/>
          <w:numId w:val="3"/>
        </w:numPr>
        <w:tabs>
          <w:tab w:val="num" w:pos="709"/>
        </w:tabs>
        <w:spacing w:after="160" w:line="240" w:lineRule="auto"/>
        <w:ind w:left="709" w:hanging="425"/>
        <w:rPr>
          <w:rFonts w:asciiTheme="minorHAnsi" w:hAnsiTheme="minorHAnsi" w:cstheme="minorHAnsi"/>
        </w:rPr>
      </w:pPr>
      <w:r w:rsidRPr="004737C5">
        <w:rPr>
          <w:rFonts w:asciiTheme="minorHAnsi" w:hAnsiTheme="minorHAnsi" w:cstheme="minorHAnsi"/>
        </w:rPr>
        <w:t>Transport a</w:t>
      </w:r>
      <w:r w:rsidR="001A4FD3" w:rsidRPr="004737C5">
        <w:rPr>
          <w:rFonts w:asciiTheme="minorHAnsi" w:hAnsiTheme="minorHAnsi" w:cstheme="minorHAnsi"/>
        </w:rPr>
        <w:t>cts</w:t>
      </w:r>
    </w:p>
    <w:p w14:paraId="3A1A8186" w14:textId="77777777" w:rsidR="00843222" w:rsidRPr="004737C5" w:rsidRDefault="00843222" w:rsidP="00A8689C">
      <w:pPr>
        <w:pStyle w:val="TextBodyIndent"/>
        <w:spacing w:after="160" w:line="240" w:lineRule="auto"/>
        <w:ind w:left="0"/>
        <w:rPr>
          <w:rFonts w:asciiTheme="minorHAnsi" w:hAnsiTheme="minorHAnsi" w:cstheme="minorHAnsi"/>
        </w:rPr>
      </w:pPr>
      <w:r w:rsidRPr="004737C5">
        <w:rPr>
          <w:rFonts w:asciiTheme="minorHAnsi" w:hAnsiTheme="minorHAnsi" w:cstheme="minorHAnsi"/>
        </w:rPr>
        <w:t xml:space="preserve">The relationship between framework laws on consumer protection and sectoral laws has </w:t>
      </w:r>
      <w:r w:rsidR="001A4FD3" w:rsidRPr="004737C5">
        <w:rPr>
          <w:rFonts w:asciiTheme="minorHAnsi" w:hAnsiTheme="minorHAnsi" w:cstheme="minorHAnsi"/>
        </w:rPr>
        <w:t xml:space="preserve">been controversial </w:t>
      </w:r>
      <w:r w:rsidRPr="004737C5">
        <w:rPr>
          <w:rFonts w:asciiTheme="minorHAnsi" w:hAnsiTheme="minorHAnsi" w:cstheme="minorHAnsi"/>
        </w:rPr>
        <w:t xml:space="preserve">in many countries. </w:t>
      </w:r>
      <w:r w:rsidR="001A4FD3" w:rsidRPr="004737C5">
        <w:rPr>
          <w:rFonts w:asciiTheme="minorHAnsi" w:hAnsiTheme="minorHAnsi" w:cstheme="minorHAnsi"/>
        </w:rPr>
        <w:t>B</w:t>
      </w:r>
      <w:r w:rsidRPr="004737C5">
        <w:rPr>
          <w:rFonts w:asciiTheme="minorHAnsi" w:hAnsiTheme="minorHAnsi" w:cstheme="minorHAnsi"/>
        </w:rPr>
        <w:t>anks, insurance com</w:t>
      </w:r>
      <w:r w:rsidR="001A4FD3" w:rsidRPr="004737C5">
        <w:rPr>
          <w:rFonts w:asciiTheme="minorHAnsi" w:hAnsiTheme="minorHAnsi" w:cstheme="minorHAnsi"/>
        </w:rPr>
        <w:t>panies, air passenger companies</w:t>
      </w:r>
      <w:r w:rsidRPr="004737C5">
        <w:rPr>
          <w:rFonts w:asciiTheme="minorHAnsi" w:hAnsiTheme="minorHAnsi" w:cstheme="minorHAnsi"/>
        </w:rPr>
        <w:t xml:space="preserve"> and providers of telecommunications services</w:t>
      </w:r>
      <w:r w:rsidR="001A4FD3" w:rsidRPr="004737C5">
        <w:rPr>
          <w:rFonts w:asciiTheme="minorHAnsi" w:hAnsiTheme="minorHAnsi" w:cstheme="minorHAnsi"/>
        </w:rPr>
        <w:t xml:space="preserve"> in particular</w:t>
      </w:r>
      <w:r w:rsidRPr="004737C5">
        <w:rPr>
          <w:rFonts w:asciiTheme="minorHAnsi" w:hAnsiTheme="minorHAnsi" w:cstheme="minorHAnsi"/>
        </w:rPr>
        <w:t xml:space="preserve"> have argued that they are not subject to the general law on consumer protection but only to the law applicable to their sector. This </w:t>
      </w:r>
      <w:r w:rsidRPr="004737C5">
        <w:rPr>
          <w:rFonts w:asciiTheme="minorHAnsi" w:hAnsiTheme="minorHAnsi" w:cstheme="minorHAnsi"/>
        </w:rPr>
        <w:lastRenderedPageBreak/>
        <w:t>interpretation has commonly been rejected by courts and the horizontal or comprehensive scope of application of the framework law on consumer protection has been confirmed. Sectoral legislation does not preclude the application of the framework law, but complements it.</w:t>
      </w:r>
    </w:p>
    <w:p w14:paraId="25E7D20A" w14:textId="77777777" w:rsidR="00843222" w:rsidRPr="004737C5" w:rsidRDefault="00843222" w:rsidP="00A8689C">
      <w:pPr>
        <w:pStyle w:val="Heading3"/>
        <w:spacing w:after="160" w:line="240" w:lineRule="auto"/>
        <w:rPr>
          <w:rFonts w:cstheme="minorHAnsi"/>
          <w:color w:val="auto"/>
        </w:rPr>
      </w:pPr>
      <w:bookmarkStart w:id="30" w:name="_Toc492649983"/>
      <w:r w:rsidRPr="004737C5">
        <w:rPr>
          <w:rFonts w:cstheme="minorHAnsi"/>
          <w:color w:val="auto"/>
        </w:rPr>
        <w:t>2</w:t>
      </w:r>
      <w:r w:rsidR="001A4FD3" w:rsidRPr="004737C5">
        <w:rPr>
          <w:rFonts w:cstheme="minorHAnsi"/>
          <w:color w:val="auto"/>
        </w:rPr>
        <w:t>.</w:t>
      </w:r>
      <w:r w:rsidRPr="004737C5">
        <w:rPr>
          <w:rFonts w:cstheme="minorHAnsi"/>
          <w:color w:val="auto"/>
        </w:rPr>
        <w:t xml:space="preserve"> Professional service legislation</w:t>
      </w:r>
      <w:bookmarkEnd w:id="30"/>
    </w:p>
    <w:p w14:paraId="497193BD" w14:textId="43DCA812" w:rsidR="00843222" w:rsidRPr="004737C5" w:rsidRDefault="00843222" w:rsidP="00A8689C">
      <w:pPr>
        <w:pStyle w:val="TextBodyIndent"/>
        <w:spacing w:after="160" w:line="240" w:lineRule="auto"/>
        <w:ind w:left="0"/>
        <w:rPr>
          <w:rFonts w:asciiTheme="minorHAnsi" w:hAnsiTheme="minorHAnsi" w:cstheme="minorHAnsi"/>
        </w:rPr>
      </w:pPr>
      <w:r w:rsidRPr="004737C5">
        <w:rPr>
          <w:rFonts w:asciiTheme="minorHAnsi" w:hAnsiTheme="minorHAnsi" w:cstheme="minorHAnsi"/>
        </w:rPr>
        <w:t>Consumer protection also relates to professional services rendered to consumers. In many countries, legislation for the protection of consumers in relation to a whole range of professional services already exists. Typi</w:t>
      </w:r>
      <w:r w:rsidR="001A4FD3" w:rsidRPr="004737C5">
        <w:rPr>
          <w:rFonts w:asciiTheme="minorHAnsi" w:hAnsiTheme="minorHAnsi" w:cstheme="minorHAnsi"/>
        </w:rPr>
        <w:t>cal examples of the professional</w:t>
      </w:r>
      <w:r w:rsidRPr="004737C5">
        <w:rPr>
          <w:rFonts w:asciiTheme="minorHAnsi" w:hAnsiTheme="minorHAnsi" w:cstheme="minorHAnsi"/>
        </w:rPr>
        <w:t>s or institutions whose services are regulated are accountants, architects, childcare centres, dentists, lawyers, doctors, nurses,</w:t>
      </w:r>
      <w:r w:rsidR="001A4FD3" w:rsidRPr="004737C5">
        <w:rPr>
          <w:rFonts w:asciiTheme="minorHAnsi" w:hAnsiTheme="minorHAnsi" w:cstheme="minorHAnsi"/>
        </w:rPr>
        <w:t xml:space="preserve"> private hospitals, pharmacists</w:t>
      </w:r>
      <w:r w:rsidRPr="004737C5">
        <w:rPr>
          <w:rFonts w:asciiTheme="minorHAnsi" w:hAnsiTheme="minorHAnsi" w:cstheme="minorHAnsi"/>
        </w:rPr>
        <w:t xml:space="preserve"> and travel agencies. These services, some </w:t>
      </w:r>
      <w:r w:rsidR="00A8689C" w:rsidRPr="004737C5">
        <w:rPr>
          <w:rFonts w:asciiTheme="minorHAnsi" w:hAnsiTheme="minorHAnsi" w:cstheme="minorHAnsi"/>
        </w:rPr>
        <w:t xml:space="preserve">of them </w:t>
      </w:r>
      <w:r w:rsidRPr="004737C5">
        <w:rPr>
          <w:rFonts w:asciiTheme="minorHAnsi" w:hAnsiTheme="minorHAnsi" w:cstheme="minorHAnsi"/>
        </w:rPr>
        <w:t>known as th</w:t>
      </w:r>
      <w:r w:rsidR="001A4FD3" w:rsidRPr="004737C5">
        <w:rPr>
          <w:rFonts w:asciiTheme="minorHAnsi" w:hAnsiTheme="minorHAnsi" w:cstheme="minorHAnsi"/>
        </w:rPr>
        <w:t>e “liberal professions”,</w:t>
      </w:r>
      <w:r w:rsidRPr="004737C5">
        <w:rPr>
          <w:rFonts w:asciiTheme="minorHAnsi" w:hAnsiTheme="minorHAnsi" w:cstheme="minorHAnsi"/>
        </w:rPr>
        <w:t xml:space="preserve"> may be subject to registration and licensing, codes </w:t>
      </w:r>
      <w:r w:rsidR="001A4FD3" w:rsidRPr="004737C5">
        <w:rPr>
          <w:rFonts w:asciiTheme="minorHAnsi" w:hAnsiTheme="minorHAnsi" w:cstheme="minorHAnsi"/>
        </w:rPr>
        <w:t>of practice, disciplinary rules</w:t>
      </w:r>
      <w:r w:rsidRPr="004737C5">
        <w:rPr>
          <w:rFonts w:asciiTheme="minorHAnsi" w:hAnsiTheme="minorHAnsi" w:cstheme="minorHAnsi"/>
        </w:rPr>
        <w:t xml:space="preserve"> and compensation systems in the event of malpractice. Practice varies and in Latin America, for example, many professional services fall outside consumer protection legislation except with regard to </w:t>
      </w:r>
      <w:r w:rsidR="001A4FD3" w:rsidRPr="004737C5">
        <w:rPr>
          <w:rFonts w:asciiTheme="minorHAnsi" w:hAnsiTheme="minorHAnsi" w:cstheme="minorHAnsi"/>
        </w:rPr>
        <w:t xml:space="preserve">the </w:t>
      </w:r>
      <w:r w:rsidRPr="004737C5">
        <w:rPr>
          <w:rFonts w:asciiTheme="minorHAnsi" w:hAnsiTheme="minorHAnsi" w:cstheme="minorHAnsi"/>
        </w:rPr>
        <w:t>advertising of professional services</w:t>
      </w:r>
      <w:r w:rsidR="001A4FD3" w:rsidRPr="004737C5">
        <w:rPr>
          <w:rFonts w:asciiTheme="minorHAnsi" w:hAnsiTheme="minorHAnsi" w:cstheme="minorHAnsi"/>
        </w:rPr>
        <w:t>,</w:t>
      </w:r>
      <w:r w:rsidRPr="004737C5">
        <w:rPr>
          <w:rFonts w:asciiTheme="minorHAnsi" w:hAnsiTheme="minorHAnsi" w:cstheme="minorHAnsi"/>
        </w:rPr>
        <w:t xml:space="preserve"> where consumer protection law provisions continue to apply. Many professional restrictions have been critici</w:t>
      </w:r>
      <w:r w:rsidR="001A0359" w:rsidRPr="004737C5">
        <w:rPr>
          <w:rFonts w:asciiTheme="minorHAnsi" w:hAnsiTheme="minorHAnsi" w:cstheme="minorHAnsi"/>
        </w:rPr>
        <w:t>z</w:t>
      </w:r>
      <w:r w:rsidRPr="004737C5">
        <w:rPr>
          <w:rFonts w:asciiTheme="minorHAnsi" w:hAnsiTheme="minorHAnsi" w:cstheme="minorHAnsi"/>
        </w:rPr>
        <w:t>ed by competition specialists as being excessively restrictive and resulting in higher prices for consumers.</w:t>
      </w:r>
    </w:p>
    <w:p w14:paraId="253D85CA" w14:textId="77777777" w:rsidR="00843222" w:rsidRPr="004737C5" w:rsidRDefault="00843222" w:rsidP="00A8689C">
      <w:pPr>
        <w:pStyle w:val="Heading3"/>
        <w:spacing w:after="160" w:line="240" w:lineRule="auto"/>
        <w:rPr>
          <w:rFonts w:cstheme="minorHAnsi"/>
          <w:color w:val="auto"/>
        </w:rPr>
      </w:pPr>
      <w:bookmarkStart w:id="31" w:name="_Toc492649984"/>
      <w:r w:rsidRPr="004737C5">
        <w:rPr>
          <w:rFonts w:cstheme="minorHAnsi"/>
          <w:color w:val="auto"/>
        </w:rPr>
        <w:t>3</w:t>
      </w:r>
      <w:r w:rsidR="001A4FD3" w:rsidRPr="004737C5">
        <w:rPr>
          <w:rFonts w:cstheme="minorHAnsi"/>
          <w:color w:val="auto"/>
        </w:rPr>
        <w:t>.</w:t>
      </w:r>
      <w:r w:rsidRPr="004737C5">
        <w:rPr>
          <w:rFonts w:cstheme="minorHAnsi"/>
          <w:color w:val="auto"/>
        </w:rPr>
        <w:t xml:space="preserve"> Intellectual property</w:t>
      </w:r>
      <w:bookmarkEnd w:id="31"/>
    </w:p>
    <w:p w14:paraId="44425ED7" w14:textId="77777777" w:rsidR="00624F7A" w:rsidRPr="004737C5" w:rsidRDefault="00843222" w:rsidP="006D3BE8">
      <w:pPr>
        <w:rPr>
          <w:rFonts w:cstheme="minorHAnsi"/>
          <w:iCs/>
        </w:rPr>
      </w:pPr>
      <w:r w:rsidRPr="004737C5">
        <w:rPr>
          <w:rFonts w:cstheme="minorHAnsi"/>
        </w:rPr>
        <w:t>An emerging interface is that observed between consumer protection law and in</w:t>
      </w:r>
      <w:r w:rsidR="001A4FD3" w:rsidRPr="004737C5">
        <w:rPr>
          <w:rFonts w:cstheme="minorHAnsi"/>
        </w:rPr>
        <w:t>tellectual property (IP</w:t>
      </w:r>
      <w:r w:rsidR="004240DC" w:rsidRPr="004737C5">
        <w:rPr>
          <w:rFonts w:cstheme="minorHAnsi"/>
        </w:rPr>
        <w:t>) law</w:t>
      </w:r>
      <w:r w:rsidRPr="004737C5">
        <w:rPr>
          <w:rFonts w:cstheme="minorHAnsi"/>
        </w:rPr>
        <w:t>.</w:t>
      </w:r>
      <w:r w:rsidR="00624F7A" w:rsidRPr="004737C5">
        <w:rPr>
          <w:rFonts w:cstheme="minorHAnsi"/>
        </w:rPr>
        <w:t xml:space="preserve"> </w:t>
      </w:r>
      <w:r w:rsidR="00624F7A" w:rsidRPr="004737C5">
        <w:rPr>
          <w:rFonts w:cstheme="minorHAnsi"/>
          <w:iCs/>
        </w:rPr>
        <w:t>Resolu</w:t>
      </w:r>
      <w:r w:rsidR="001A4FD3" w:rsidRPr="004737C5">
        <w:rPr>
          <w:rFonts w:cstheme="minorHAnsi"/>
          <w:iCs/>
        </w:rPr>
        <w:t>tion 70/186 which preceded</w:t>
      </w:r>
      <w:r w:rsidR="00624F7A" w:rsidRPr="004737C5">
        <w:rPr>
          <w:rFonts w:cstheme="minorHAnsi"/>
          <w:iCs/>
        </w:rPr>
        <w:t xml:space="preserve"> the UNGCP recognizes the importance of combating counterfeit products that pose threats to the health and safety of consumers and decrease consumer confidence in the marketplace. Counterfeit goods make false and misleading representations to consumers about the origin, quality and safety of products and circumvent systems and standards put in place by national governments to safeguard consumers. Moreover, there is </w:t>
      </w:r>
      <w:r w:rsidR="001A4FD3" w:rsidRPr="004737C5">
        <w:rPr>
          <w:rFonts w:cstheme="minorHAnsi"/>
          <w:iCs/>
        </w:rPr>
        <w:t xml:space="preserve">a </w:t>
      </w:r>
      <w:r w:rsidR="00624F7A" w:rsidRPr="004737C5">
        <w:rPr>
          <w:rFonts w:cstheme="minorHAnsi"/>
          <w:iCs/>
        </w:rPr>
        <w:t>lack of consumer awareness about the risks associated with (knowingly or unknowingly) purchasing counterfeit goods. The significant health and safety risks associated with the proliferation of potentially hazardous counterfeit products</w:t>
      </w:r>
      <w:r w:rsidR="001A4FD3" w:rsidRPr="004737C5">
        <w:rPr>
          <w:rFonts w:cstheme="minorHAnsi"/>
          <w:iCs/>
        </w:rPr>
        <w:t>,</w:t>
      </w:r>
      <w:r w:rsidR="00624F7A" w:rsidRPr="004737C5">
        <w:rPr>
          <w:rFonts w:cstheme="minorHAnsi"/>
          <w:iCs/>
        </w:rPr>
        <w:t xml:space="preserve"> especially </w:t>
      </w:r>
      <w:r w:rsidR="001A4FD3" w:rsidRPr="004737C5">
        <w:rPr>
          <w:rFonts w:cstheme="minorHAnsi"/>
          <w:iCs/>
        </w:rPr>
        <w:t>the prevalence of fakes on the i</w:t>
      </w:r>
      <w:r w:rsidR="00624F7A" w:rsidRPr="004737C5">
        <w:rPr>
          <w:rFonts w:cstheme="minorHAnsi"/>
          <w:iCs/>
        </w:rPr>
        <w:t>nternet</w:t>
      </w:r>
      <w:r w:rsidR="001A4FD3" w:rsidRPr="004737C5">
        <w:rPr>
          <w:rFonts w:cstheme="minorHAnsi"/>
          <w:iCs/>
        </w:rPr>
        <w:t>,</w:t>
      </w:r>
      <w:r w:rsidR="00624F7A" w:rsidRPr="004737C5">
        <w:rPr>
          <w:rFonts w:cstheme="minorHAnsi"/>
          <w:iCs/>
        </w:rPr>
        <w:t xml:space="preserve"> present new challenges and additional responsibilities to governments and businesses to raise awareness of these issues.  </w:t>
      </w:r>
    </w:p>
    <w:p w14:paraId="413D2A62" w14:textId="14BA0B37" w:rsidR="00843222" w:rsidRPr="004737C5" w:rsidRDefault="00624F7A" w:rsidP="006D3BE8">
      <w:pPr>
        <w:pStyle w:val="TextBodyIndent"/>
        <w:spacing w:after="160" w:line="240" w:lineRule="auto"/>
        <w:ind w:left="0"/>
        <w:rPr>
          <w:rFonts w:asciiTheme="minorHAnsi" w:hAnsiTheme="minorHAnsi" w:cstheme="minorHAnsi"/>
        </w:rPr>
      </w:pPr>
      <w:r w:rsidRPr="004737C5">
        <w:rPr>
          <w:rFonts w:asciiTheme="minorHAnsi" w:hAnsiTheme="minorHAnsi" w:cstheme="minorHAnsi"/>
        </w:rPr>
        <w:t>In contrast, t</w:t>
      </w:r>
      <w:r w:rsidR="00843222" w:rsidRPr="004737C5">
        <w:rPr>
          <w:rFonts w:asciiTheme="minorHAnsi" w:hAnsiTheme="minorHAnsi" w:cstheme="minorHAnsi"/>
        </w:rPr>
        <w:t>he revised UNGCP do not deal with emerging issues around consumer products that are governed by IP law because they incorporate copyright</w:t>
      </w:r>
      <w:r w:rsidR="001A4FD3" w:rsidRPr="004737C5">
        <w:rPr>
          <w:rFonts w:asciiTheme="minorHAnsi" w:hAnsiTheme="minorHAnsi" w:cstheme="minorHAnsi"/>
        </w:rPr>
        <w:t>ed</w:t>
      </w:r>
      <w:r w:rsidR="00843222" w:rsidRPr="004737C5">
        <w:rPr>
          <w:rFonts w:asciiTheme="minorHAnsi" w:hAnsiTheme="minorHAnsi" w:cstheme="minorHAnsi"/>
        </w:rPr>
        <w:t xml:space="preserve"> works. This includes products that operate (often invisibly to the user) through software, as well as those</w:t>
      </w:r>
      <w:r w:rsidR="00F37A69" w:rsidRPr="004737C5">
        <w:rPr>
          <w:rFonts w:asciiTheme="minorHAnsi" w:hAnsiTheme="minorHAnsi" w:cstheme="minorHAnsi"/>
        </w:rPr>
        <w:t xml:space="preserve"> that incorporate text or audio</w:t>
      </w:r>
      <w:r w:rsidR="00843222" w:rsidRPr="004737C5">
        <w:rPr>
          <w:rFonts w:asciiTheme="minorHAnsi" w:hAnsiTheme="minorHAnsi" w:cstheme="minorHAnsi"/>
        </w:rPr>
        <w:t>visual content. In many countries, anti-circumvention laws prevent the consumer from bypassing any technological protection measures (TPMs) that control how this copyright</w:t>
      </w:r>
      <w:r w:rsidR="00F37A69" w:rsidRPr="004737C5">
        <w:rPr>
          <w:rFonts w:asciiTheme="minorHAnsi" w:hAnsiTheme="minorHAnsi" w:cstheme="minorHAnsi"/>
        </w:rPr>
        <w:t>ed</w:t>
      </w:r>
      <w:r w:rsidR="00843222" w:rsidRPr="004737C5">
        <w:rPr>
          <w:rFonts w:asciiTheme="minorHAnsi" w:hAnsiTheme="minorHAnsi" w:cstheme="minorHAnsi"/>
        </w:rPr>
        <w:t xml:space="preserve"> conten</w:t>
      </w:r>
      <w:r w:rsidR="001A4FD3" w:rsidRPr="004737C5">
        <w:rPr>
          <w:rFonts w:asciiTheme="minorHAnsi" w:hAnsiTheme="minorHAnsi" w:cstheme="minorHAnsi"/>
        </w:rPr>
        <w:t>t may be accessed or copied. In</w:t>
      </w:r>
      <w:r w:rsidR="00843222" w:rsidRPr="004737C5">
        <w:rPr>
          <w:rFonts w:asciiTheme="minorHAnsi" w:hAnsiTheme="minorHAnsi" w:cstheme="minorHAnsi"/>
        </w:rPr>
        <w:t xml:space="preserve"> light of the growth of digitally-deli</w:t>
      </w:r>
      <w:r w:rsidR="00F37A69" w:rsidRPr="004737C5">
        <w:rPr>
          <w:rFonts w:asciiTheme="minorHAnsi" w:hAnsiTheme="minorHAnsi" w:cstheme="minorHAnsi"/>
        </w:rPr>
        <w:t>vered content, as well as the “</w:t>
      </w:r>
      <w:r w:rsidR="001A4FD3" w:rsidRPr="004737C5">
        <w:rPr>
          <w:rFonts w:asciiTheme="minorHAnsi" w:hAnsiTheme="minorHAnsi" w:cstheme="minorHAnsi"/>
        </w:rPr>
        <w:t>i</w:t>
      </w:r>
      <w:r w:rsidR="00F37A69" w:rsidRPr="004737C5">
        <w:rPr>
          <w:rFonts w:asciiTheme="minorHAnsi" w:hAnsiTheme="minorHAnsi" w:cstheme="minorHAnsi"/>
        </w:rPr>
        <w:t>nternet of things”</w:t>
      </w:r>
      <w:r w:rsidR="00843222" w:rsidRPr="004737C5">
        <w:rPr>
          <w:rFonts w:asciiTheme="minorHAnsi" w:hAnsiTheme="minorHAnsi" w:cstheme="minorHAnsi"/>
        </w:rPr>
        <w:t xml:space="preserve">, in which embedded sensors control hardware products at a distance through the internet, this is a crucial challenge as the line between consumer protection and IP may become blurred. Indeed, one can envisage that one day, most manufactured products </w:t>
      </w:r>
      <w:r w:rsidR="00E568EF" w:rsidRPr="004737C5">
        <w:rPr>
          <w:rFonts w:asciiTheme="minorHAnsi" w:hAnsiTheme="minorHAnsi" w:cstheme="minorHAnsi"/>
        </w:rPr>
        <w:t xml:space="preserve">with operating parts </w:t>
      </w:r>
      <w:r w:rsidR="00843222" w:rsidRPr="004737C5">
        <w:rPr>
          <w:rFonts w:asciiTheme="minorHAnsi" w:hAnsiTheme="minorHAnsi" w:cstheme="minorHAnsi"/>
        </w:rPr>
        <w:t xml:space="preserve">will contain an IP element.  </w:t>
      </w:r>
    </w:p>
    <w:p w14:paraId="628FC7FE" w14:textId="77777777" w:rsidR="00843222" w:rsidRPr="004737C5" w:rsidRDefault="00843222" w:rsidP="006D3BE8">
      <w:pPr>
        <w:rPr>
          <w:rFonts w:cstheme="minorHAnsi"/>
          <w:color w:val="000000"/>
          <w:shd w:val="clear" w:color="auto" w:fill="FFFFFF"/>
        </w:rPr>
      </w:pPr>
      <w:r w:rsidRPr="004737C5">
        <w:rPr>
          <w:rFonts w:cstheme="minorHAnsi"/>
        </w:rPr>
        <w:t xml:space="preserve">The evolution of digital and non-tangible products, such as entertainment/cultural products, has taken place under the aegis of copyright law. As a very clear example of this, </w:t>
      </w:r>
      <w:r w:rsidR="003F4B7F" w:rsidRPr="004737C5">
        <w:rPr>
          <w:rFonts w:cstheme="minorHAnsi"/>
          <w:color w:val="000000"/>
          <w:shd w:val="clear" w:color="auto" w:fill="FFFFFF"/>
        </w:rPr>
        <w:t>under a</w:t>
      </w:r>
      <w:r w:rsidRPr="004737C5">
        <w:rPr>
          <w:rFonts w:cstheme="minorHAnsi"/>
          <w:color w:val="000000"/>
          <w:shd w:val="clear" w:color="auto" w:fill="FFFFFF"/>
        </w:rPr>
        <w:t xml:space="preserve">rticle 10.1 of the </w:t>
      </w:r>
      <w:r w:rsidRPr="004737C5">
        <w:rPr>
          <w:rFonts w:cstheme="minorHAnsi"/>
        </w:rPr>
        <w:t xml:space="preserve">1995 WTO Agreement on Intellectual property (TRIPS), </w:t>
      </w:r>
      <w:r w:rsidR="001A4FD3" w:rsidRPr="004737C5">
        <w:rPr>
          <w:rFonts w:cstheme="minorHAnsi"/>
          <w:color w:val="000000"/>
          <w:shd w:val="clear" w:color="auto" w:fill="FFFFFF"/>
        </w:rPr>
        <w:t>software (or “computer programmes”</w:t>
      </w:r>
      <w:r w:rsidRPr="004737C5">
        <w:rPr>
          <w:rFonts w:cstheme="minorHAnsi"/>
          <w:color w:val="000000"/>
          <w:shd w:val="clear" w:color="auto" w:fill="FFFFFF"/>
        </w:rPr>
        <w:t xml:space="preserve"> i</w:t>
      </w:r>
      <w:r w:rsidR="001A4FD3" w:rsidRPr="004737C5">
        <w:rPr>
          <w:rFonts w:cstheme="minorHAnsi"/>
          <w:color w:val="000000"/>
          <w:shd w:val="clear" w:color="auto" w:fill="FFFFFF"/>
        </w:rPr>
        <w:t>n 1995 parlance)</w:t>
      </w:r>
      <w:r w:rsidRPr="004737C5">
        <w:rPr>
          <w:rFonts w:cstheme="minorHAnsi"/>
          <w:color w:val="000000"/>
          <w:shd w:val="clear" w:color="auto" w:fill="FFFFFF"/>
        </w:rPr>
        <w:t xml:space="preserve"> is protected in the same way as literary works: “computer programmes, whether in source or object code, shall be protected as literary works un</w:t>
      </w:r>
      <w:r w:rsidR="001A4FD3" w:rsidRPr="004737C5">
        <w:rPr>
          <w:rFonts w:cstheme="minorHAnsi"/>
          <w:color w:val="000000"/>
          <w:shd w:val="clear" w:color="auto" w:fill="FFFFFF"/>
        </w:rPr>
        <w:t>der the Berne Convention (1971)</w:t>
      </w:r>
      <w:r w:rsidRPr="004737C5">
        <w:rPr>
          <w:rFonts w:cstheme="minorHAnsi"/>
          <w:color w:val="000000"/>
          <w:shd w:val="clear" w:color="auto" w:fill="FFFFFF"/>
        </w:rPr>
        <w:t>”</w:t>
      </w:r>
      <w:r w:rsidR="001A4FD3" w:rsidRPr="004737C5">
        <w:rPr>
          <w:rFonts w:cstheme="minorHAnsi"/>
          <w:color w:val="000000"/>
          <w:shd w:val="clear" w:color="auto" w:fill="FFFFFF"/>
        </w:rPr>
        <w:t>.</w:t>
      </w:r>
      <w:r w:rsidRPr="004737C5">
        <w:rPr>
          <w:rFonts w:cstheme="minorHAnsi"/>
          <w:color w:val="000000"/>
          <w:shd w:val="clear" w:color="auto" w:fill="FFFFFF"/>
        </w:rPr>
        <w:t xml:space="preserve"> It is worth noting that the TRIPS agreement, and IP law in general, traditionally allow some ex</w:t>
      </w:r>
      <w:r w:rsidR="001A4FD3" w:rsidRPr="004737C5">
        <w:rPr>
          <w:rFonts w:cstheme="minorHAnsi"/>
          <w:color w:val="000000"/>
          <w:shd w:val="clear" w:color="auto" w:fill="FFFFFF"/>
        </w:rPr>
        <w:t>ceptions to copyright, such as “fair use” or “fair dealing”</w:t>
      </w:r>
      <w:r w:rsidRPr="004737C5">
        <w:rPr>
          <w:rFonts w:cstheme="minorHAnsi"/>
          <w:color w:val="000000"/>
          <w:shd w:val="clear" w:color="auto" w:fill="FFFFFF"/>
        </w:rPr>
        <w:t xml:space="preserve">. </w:t>
      </w:r>
      <w:r w:rsidR="001A4FD3" w:rsidRPr="004737C5">
        <w:rPr>
          <w:rFonts w:cstheme="minorHAnsi"/>
          <w:color w:val="000000"/>
          <w:shd w:val="clear" w:color="auto" w:fill="FFFFFF"/>
        </w:rPr>
        <w:t>P</w:t>
      </w:r>
      <w:r w:rsidRPr="004737C5">
        <w:rPr>
          <w:rFonts w:cstheme="minorHAnsi"/>
          <w:color w:val="000000"/>
          <w:shd w:val="clear" w:color="auto" w:fill="FFFFFF"/>
        </w:rPr>
        <w:t xml:space="preserve">ermissible exceptions are framed within limitations including limited scope, non-interference with the normal use of the product, and respect for the </w:t>
      </w:r>
      <w:r w:rsidRPr="004737C5">
        <w:rPr>
          <w:rFonts w:cstheme="minorHAnsi"/>
          <w:color w:val="000000"/>
          <w:shd w:val="clear" w:color="auto" w:fill="FFFFFF"/>
        </w:rPr>
        <w:lastRenderedPageBreak/>
        <w:t>rights of the copyri</w:t>
      </w:r>
      <w:r w:rsidR="003F4B7F" w:rsidRPr="004737C5">
        <w:rPr>
          <w:rFonts w:cstheme="minorHAnsi"/>
          <w:color w:val="000000"/>
          <w:shd w:val="clear" w:color="auto" w:fill="FFFFFF"/>
        </w:rPr>
        <w:t>ght holder as recognized under a</w:t>
      </w:r>
      <w:r w:rsidRPr="004737C5">
        <w:rPr>
          <w:rFonts w:cstheme="minorHAnsi"/>
          <w:color w:val="000000"/>
          <w:shd w:val="clear" w:color="auto" w:fill="FFFFFF"/>
        </w:rPr>
        <w:t>rticle 13 of TRIPS.</w:t>
      </w:r>
      <w:r w:rsidRPr="004737C5">
        <w:rPr>
          <w:rStyle w:val="FootnoteAnchor"/>
          <w:rFonts w:cstheme="minorHAnsi"/>
          <w:color w:val="000000"/>
          <w:shd w:val="clear" w:color="auto" w:fill="FFFFFF"/>
        </w:rPr>
        <w:footnoteReference w:id="41"/>
      </w:r>
      <w:r w:rsidRPr="004737C5">
        <w:rPr>
          <w:rFonts w:cstheme="minorHAnsi"/>
          <w:color w:val="000000"/>
          <w:shd w:val="clear" w:color="auto" w:fill="FFFFFF"/>
        </w:rPr>
        <w:t xml:space="preserve"> The danger for consumers in the curr</w:t>
      </w:r>
      <w:r w:rsidR="001A4FD3" w:rsidRPr="004737C5">
        <w:rPr>
          <w:rFonts w:cstheme="minorHAnsi"/>
          <w:color w:val="000000"/>
          <w:shd w:val="clear" w:color="auto" w:fill="FFFFFF"/>
        </w:rPr>
        <w:t xml:space="preserve">ent evolution is that IP rights </w:t>
      </w:r>
      <w:r w:rsidRPr="004737C5">
        <w:rPr>
          <w:rFonts w:cstheme="minorHAnsi"/>
          <w:color w:val="000000"/>
          <w:shd w:val="clear" w:color="auto" w:fill="FFFFFF"/>
        </w:rPr>
        <w:t>holders are protected in terms of the defence of the</w:t>
      </w:r>
      <w:r w:rsidR="00B6142C" w:rsidRPr="004737C5">
        <w:rPr>
          <w:rFonts w:cstheme="minorHAnsi"/>
          <w:color w:val="000000"/>
          <w:shd w:val="clear" w:color="auto" w:fill="FFFFFF"/>
        </w:rPr>
        <w:t>ir copyright, while the defence</w:t>
      </w:r>
      <w:r w:rsidRPr="004737C5">
        <w:rPr>
          <w:rFonts w:cstheme="minorHAnsi"/>
          <w:color w:val="000000"/>
          <w:shd w:val="clear" w:color="auto" w:fill="FFFFFF"/>
        </w:rPr>
        <w:t xml:space="preserve"> of consumers that also exist</w:t>
      </w:r>
      <w:r w:rsidR="00B6142C" w:rsidRPr="004737C5">
        <w:rPr>
          <w:rFonts w:cstheme="minorHAnsi"/>
          <w:color w:val="000000"/>
          <w:shd w:val="clear" w:color="auto" w:fill="FFFFFF"/>
        </w:rPr>
        <w:t>s</w:t>
      </w:r>
      <w:r w:rsidRPr="004737C5">
        <w:rPr>
          <w:rFonts w:cstheme="minorHAnsi"/>
          <w:color w:val="000000"/>
          <w:shd w:val="clear" w:color="auto" w:fill="FFFFFF"/>
        </w:rPr>
        <w:t xml:space="preserve"> in IP law might not be invoked.</w:t>
      </w:r>
    </w:p>
    <w:p w14:paraId="40F845AC" w14:textId="7FCE51B0" w:rsidR="00843222" w:rsidRPr="004737C5" w:rsidRDefault="00843222" w:rsidP="006D3BE8">
      <w:pPr>
        <w:pStyle w:val="TextBodyIndent"/>
        <w:spacing w:after="160" w:line="240" w:lineRule="auto"/>
        <w:ind w:left="0"/>
        <w:rPr>
          <w:rFonts w:asciiTheme="minorHAnsi" w:hAnsiTheme="minorHAnsi" w:cstheme="minorHAnsi"/>
        </w:rPr>
      </w:pPr>
      <w:r w:rsidRPr="004737C5">
        <w:rPr>
          <w:rFonts w:asciiTheme="minorHAnsi" w:hAnsiTheme="minorHAnsi" w:cstheme="minorHAnsi"/>
        </w:rPr>
        <w:t>In theory, the consumer is notified in advance of restrictions and penalties for transgression, in particular for unauthorized copying. There is convincing evidence that millions of consumers are unwittingly falling foul of digital product contracts. It is becoming ever clearer that in practice, hardly anyone reads the small print before they sign</w:t>
      </w:r>
      <w:r w:rsidR="00B6142C" w:rsidRPr="004737C5">
        <w:rPr>
          <w:rFonts w:asciiTheme="minorHAnsi" w:hAnsiTheme="minorHAnsi" w:cstheme="minorHAnsi"/>
        </w:rPr>
        <w:t>, as noted</w:t>
      </w:r>
      <w:r w:rsidR="004240DC" w:rsidRPr="004737C5">
        <w:rPr>
          <w:rFonts w:asciiTheme="minorHAnsi" w:hAnsiTheme="minorHAnsi" w:cstheme="minorHAnsi"/>
        </w:rPr>
        <w:t xml:space="preserve"> in chapter I</w:t>
      </w:r>
      <w:r w:rsidRPr="004737C5">
        <w:rPr>
          <w:rFonts w:asciiTheme="minorHAnsi" w:hAnsiTheme="minorHAnsi" w:cstheme="minorHAnsi"/>
        </w:rPr>
        <w:t>.</w:t>
      </w:r>
      <w:r w:rsidR="000965C0" w:rsidRPr="004737C5">
        <w:rPr>
          <w:rStyle w:val="FootnoteReference"/>
          <w:rFonts w:asciiTheme="minorHAnsi" w:hAnsiTheme="minorHAnsi" w:cstheme="minorHAnsi"/>
        </w:rPr>
        <w:footnoteReference w:id="42"/>
      </w:r>
      <w:r w:rsidRPr="004737C5">
        <w:rPr>
          <w:rFonts w:asciiTheme="minorHAnsi" w:hAnsiTheme="minorHAnsi" w:cstheme="minorHAnsi"/>
        </w:rPr>
        <w:t xml:space="preserve"> Consumers tend to believe that they own what they buy. Unfortunately, this reasonable assumption is often not legally valid with regard to digital pro</w:t>
      </w:r>
      <w:r w:rsidR="00B6142C" w:rsidRPr="004737C5">
        <w:rPr>
          <w:rFonts w:asciiTheme="minorHAnsi" w:hAnsiTheme="minorHAnsi" w:cstheme="minorHAnsi"/>
        </w:rPr>
        <w:t>ducts. The Australian consumer a</w:t>
      </w:r>
      <w:r w:rsidRPr="004737C5">
        <w:rPr>
          <w:rFonts w:asciiTheme="minorHAnsi" w:hAnsiTheme="minorHAnsi" w:cstheme="minorHAnsi"/>
        </w:rPr>
        <w:t>ssociation</w:t>
      </w:r>
      <w:r w:rsidR="00F37A69" w:rsidRPr="004737C5">
        <w:rPr>
          <w:rFonts w:asciiTheme="minorHAnsi" w:hAnsiTheme="minorHAnsi" w:cstheme="minorHAnsi"/>
        </w:rPr>
        <w:t>,</w:t>
      </w:r>
      <w:r w:rsidR="00B6142C" w:rsidRPr="004737C5">
        <w:rPr>
          <w:rFonts w:asciiTheme="minorHAnsi" w:hAnsiTheme="minorHAnsi" w:cstheme="minorHAnsi"/>
        </w:rPr>
        <w:t xml:space="preserve"> Choice,</w:t>
      </w:r>
      <w:r w:rsidRPr="004737C5">
        <w:rPr>
          <w:rFonts w:asciiTheme="minorHAnsi" w:hAnsiTheme="minorHAnsi" w:cstheme="minorHAnsi"/>
        </w:rPr>
        <w:t xml:space="preserve"> giving evidence to the Law Commission, commissioned a nationally representative survey in 2013 that found </w:t>
      </w:r>
      <w:r w:rsidR="00B6142C" w:rsidRPr="004737C5">
        <w:rPr>
          <w:rFonts w:asciiTheme="minorHAnsi" w:hAnsiTheme="minorHAnsi" w:cstheme="minorHAnsi"/>
        </w:rPr>
        <w:t xml:space="preserve">that </w:t>
      </w:r>
      <w:r w:rsidRPr="004737C5">
        <w:rPr>
          <w:rFonts w:asciiTheme="minorHAnsi" w:hAnsiTheme="minorHAnsi" w:cstheme="minorHAnsi"/>
        </w:rPr>
        <w:t xml:space="preserve">very high proportions of users of digital products thought they had the right to transfer digital products within their own range of terminals (laptop, smartphone etc.), when in fact they would have unwittingly transgressed copyright </w:t>
      </w:r>
      <w:r w:rsidR="00B6142C" w:rsidRPr="004737C5">
        <w:rPr>
          <w:rFonts w:asciiTheme="minorHAnsi" w:hAnsiTheme="minorHAnsi" w:cstheme="minorHAnsi"/>
        </w:rPr>
        <w:t xml:space="preserve">conditions </w:t>
      </w:r>
      <w:r w:rsidRPr="004737C5">
        <w:rPr>
          <w:rFonts w:asciiTheme="minorHAnsi" w:hAnsiTheme="minorHAnsi" w:cstheme="minorHAnsi"/>
        </w:rPr>
        <w:t>by doing so.</w:t>
      </w:r>
      <w:r w:rsidRPr="004737C5">
        <w:rPr>
          <w:rStyle w:val="FootnoteAnchor"/>
          <w:rFonts w:asciiTheme="minorHAnsi" w:hAnsiTheme="minorHAnsi" w:cstheme="minorHAnsi"/>
        </w:rPr>
        <w:footnoteReference w:id="43"/>
      </w:r>
      <w:r w:rsidR="00B6142C" w:rsidRPr="004737C5">
        <w:rPr>
          <w:rFonts w:asciiTheme="minorHAnsi" w:hAnsiTheme="minorHAnsi" w:cstheme="minorHAnsi"/>
        </w:rPr>
        <w:t xml:space="preserve"> The survey found that while “</w:t>
      </w:r>
      <w:r w:rsidRPr="004737C5">
        <w:rPr>
          <w:rFonts w:asciiTheme="minorHAnsi" w:hAnsiTheme="minorHAnsi" w:cstheme="minorHAnsi"/>
          <w:lang w:eastAsia="en-AU"/>
        </w:rPr>
        <w:t>overwhelmingly, consumers correctly identified infringing use (such as ‘selling on’ or uploading digital products online) as ille</w:t>
      </w:r>
      <w:r w:rsidR="00B6142C" w:rsidRPr="004737C5">
        <w:rPr>
          <w:rFonts w:asciiTheme="minorHAnsi" w:hAnsiTheme="minorHAnsi" w:cstheme="minorHAnsi"/>
          <w:lang w:eastAsia="en-AU"/>
        </w:rPr>
        <w:t xml:space="preserve">gal … just over half (52 percent) of </w:t>
      </w:r>
      <w:r w:rsidRPr="004737C5">
        <w:rPr>
          <w:rFonts w:asciiTheme="minorHAnsi" w:hAnsiTheme="minorHAnsi" w:cstheme="minorHAnsi"/>
          <w:lang w:eastAsia="en-AU"/>
        </w:rPr>
        <w:t>consumers incorrectly believe that making a copy of music to listen to o</w:t>
      </w:r>
      <w:r w:rsidR="00B6142C" w:rsidRPr="004737C5">
        <w:rPr>
          <w:rFonts w:asciiTheme="minorHAnsi" w:hAnsiTheme="minorHAnsi" w:cstheme="minorHAnsi"/>
          <w:lang w:eastAsia="en-AU"/>
        </w:rPr>
        <w:t>n more than one device is legal”</w:t>
      </w:r>
      <w:r w:rsidRPr="004737C5">
        <w:rPr>
          <w:rFonts w:asciiTheme="minorHAnsi" w:hAnsiTheme="minorHAnsi" w:cstheme="minorHAnsi"/>
          <w:lang w:eastAsia="en-AU"/>
        </w:rPr>
        <w:t xml:space="preserve"> a</w:t>
      </w:r>
      <w:r w:rsidR="00B6142C" w:rsidRPr="004737C5">
        <w:rPr>
          <w:rFonts w:asciiTheme="minorHAnsi" w:hAnsiTheme="minorHAnsi" w:cstheme="minorHAnsi"/>
          <w:lang w:eastAsia="en-AU"/>
        </w:rPr>
        <w:t>nd “a majority (57 percent</w:t>
      </w:r>
      <w:r w:rsidRPr="004737C5">
        <w:rPr>
          <w:rFonts w:asciiTheme="minorHAnsi" w:hAnsiTheme="minorHAnsi" w:cstheme="minorHAnsi"/>
          <w:lang w:eastAsia="en-AU"/>
        </w:rPr>
        <w:t>) of consumers incorrectly believe that making a copy of a video to watch on a p</w:t>
      </w:r>
      <w:r w:rsidR="00B6142C" w:rsidRPr="004737C5">
        <w:rPr>
          <w:rFonts w:asciiTheme="minorHAnsi" w:hAnsiTheme="minorHAnsi" w:cstheme="minorHAnsi"/>
          <w:lang w:eastAsia="en-AU"/>
        </w:rPr>
        <w:t>ersonally owned device is legal”</w:t>
      </w:r>
      <w:r w:rsidRPr="004737C5">
        <w:rPr>
          <w:rFonts w:asciiTheme="minorHAnsi" w:hAnsiTheme="minorHAnsi" w:cstheme="minorHAnsi"/>
          <w:lang w:eastAsia="en-AU"/>
        </w:rPr>
        <w:t xml:space="preserve">. </w:t>
      </w:r>
    </w:p>
    <w:p w14:paraId="0F95AEA1" w14:textId="77777777" w:rsidR="00843222" w:rsidRPr="004737C5" w:rsidRDefault="00843222" w:rsidP="006D3BE8">
      <w:pPr>
        <w:rPr>
          <w:rFonts w:cstheme="minorHAnsi"/>
          <w:color w:val="222222"/>
        </w:rPr>
      </w:pPr>
      <w:r w:rsidRPr="004737C5">
        <w:rPr>
          <w:rFonts w:cstheme="minorHAnsi"/>
        </w:rPr>
        <w:t>In the event of an infraction, such as using a non-franchised repairer or failure to pay instalments for purchase of a vehicle, measures can be taken from a distance, such as disabling telephone handsets or remote disabling of vehicles by preventing ignition. Such technical measures are in effect legal sanctions applied technologically. In that sense, they are analogous to the penalties that can b</w:t>
      </w:r>
      <w:r w:rsidR="00B6142C" w:rsidRPr="004737C5">
        <w:rPr>
          <w:rFonts w:cstheme="minorHAnsi"/>
        </w:rPr>
        <w:t>e applied by banks to consumers’</w:t>
      </w:r>
      <w:r w:rsidRPr="004737C5">
        <w:rPr>
          <w:rFonts w:cstheme="minorHAnsi"/>
        </w:rPr>
        <w:t xml:space="preserve"> accounts. </w:t>
      </w:r>
    </w:p>
    <w:p w14:paraId="7C59137A" w14:textId="77777777" w:rsidR="00843222" w:rsidRPr="004737C5" w:rsidRDefault="00B6142C" w:rsidP="00F37A69">
      <w:pPr>
        <w:rPr>
          <w:rFonts w:cstheme="minorHAnsi"/>
        </w:rPr>
      </w:pPr>
      <w:r w:rsidRPr="004737C5">
        <w:rPr>
          <w:rFonts w:cstheme="minorHAnsi"/>
        </w:rPr>
        <w:t>Many “tangible”</w:t>
      </w:r>
      <w:r w:rsidR="00843222" w:rsidRPr="004737C5">
        <w:rPr>
          <w:rFonts w:cstheme="minorHAnsi"/>
        </w:rPr>
        <w:t xml:space="preserve"> products, in particular those with an electronic component, are becoming digital through the software that governs their operation. The danger is that a new set of problems is likely to arise because </w:t>
      </w:r>
      <w:r w:rsidRPr="004737C5">
        <w:rPr>
          <w:rFonts w:cstheme="minorHAnsi"/>
        </w:rPr>
        <w:t>the “contracts of adhesion”</w:t>
      </w:r>
      <w:r w:rsidR="00843222" w:rsidRPr="004737C5">
        <w:rPr>
          <w:rFonts w:cstheme="minorHAnsi"/>
        </w:rPr>
        <w:t xml:space="preserve"> under which the goods are acquired are governed by copyright law in which the manufacturers are leasing rather than selling to consumers who, conversely, are becoming lessees rather than purchasers. The very concept of consumers’ property is changing.</w:t>
      </w:r>
    </w:p>
    <w:p w14:paraId="004D29FB" w14:textId="77777777" w:rsidR="00843222" w:rsidRPr="004737C5" w:rsidRDefault="00843222" w:rsidP="00F37A69">
      <w:pPr>
        <w:pStyle w:val="Heading3"/>
        <w:spacing w:after="160" w:line="240" w:lineRule="auto"/>
        <w:rPr>
          <w:rFonts w:cstheme="minorHAnsi"/>
          <w:color w:val="auto"/>
        </w:rPr>
      </w:pPr>
      <w:bookmarkStart w:id="32" w:name="_Toc492649985"/>
      <w:r w:rsidRPr="004737C5">
        <w:rPr>
          <w:rFonts w:cstheme="minorHAnsi"/>
          <w:color w:val="auto"/>
        </w:rPr>
        <w:t>4</w:t>
      </w:r>
      <w:r w:rsidR="00B6142C" w:rsidRPr="004737C5">
        <w:rPr>
          <w:rFonts w:cstheme="minorHAnsi"/>
          <w:color w:val="auto"/>
        </w:rPr>
        <w:t>.</w:t>
      </w:r>
      <w:r w:rsidRPr="004737C5">
        <w:rPr>
          <w:rFonts w:cstheme="minorHAnsi"/>
          <w:color w:val="auto"/>
        </w:rPr>
        <w:t xml:space="preserve"> International trade law</w:t>
      </w:r>
      <w:bookmarkEnd w:id="32"/>
    </w:p>
    <w:p w14:paraId="2B504300" w14:textId="643A7AE7" w:rsidR="00843222" w:rsidRPr="004737C5" w:rsidRDefault="00843222" w:rsidP="00A63174">
      <w:r w:rsidRPr="004737C5">
        <w:t>As the world economy globali</w:t>
      </w:r>
      <w:r w:rsidR="001A0359" w:rsidRPr="004737C5">
        <w:t>z</w:t>
      </w:r>
      <w:r w:rsidRPr="004737C5">
        <w:t>es, another interf</w:t>
      </w:r>
      <w:r w:rsidR="00B6142C" w:rsidRPr="004737C5">
        <w:t>ace achieves great significance:</w:t>
      </w:r>
      <w:r w:rsidRPr="004737C5">
        <w:t xml:space="preserve"> that of consumer protection and international trade. The rise to prominence of the international trade dimension during the 1990s raised many questions regard</w:t>
      </w:r>
      <w:r w:rsidR="00F37A69" w:rsidRPr="004737C5">
        <w:t>ing the extent to which s</w:t>
      </w:r>
      <w:r w:rsidRPr="004737C5">
        <w:t xml:space="preserve">tates were masters of their own destiny in terms of consumer protection.  </w:t>
      </w:r>
    </w:p>
    <w:p w14:paraId="41270F0C" w14:textId="666B678C" w:rsidR="00843222" w:rsidRPr="004737C5" w:rsidRDefault="00843222" w:rsidP="006D3BE8">
      <w:pPr>
        <w:rPr>
          <w:rFonts w:cstheme="minorHAnsi"/>
          <w:color w:val="000000"/>
        </w:rPr>
      </w:pPr>
      <w:r w:rsidRPr="004737C5">
        <w:rPr>
          <w:rFonts w:cstheme="minorHAnsi"/>
          <w:color w:val="000000"/>
        </w:rPr>
        <w:t xml:space="preserve">The aims of the still applicable General Agreement on Tariffs and Trade (GATT) </w:t>
      </w:r>
      <w:r w:rsidR="00F37A69" w:rsidRPr="004737C5">
        <w:rPr>
          <w:rFonts w:cstheme="minorHAnsi"/>
          <w:color w:val="000000"/>
        </w:rPr>
        <w:t>is</w:t>
      </w:r>
      <w:r w:rsidRPr="004737C5">
        <w:rPr>
          <w:rFonts w:cstheme="minorHAnsi"/>
          <w:color w:val="000000"/>
        </w:rPr>
        <w:t xml:space="preserve"> to reduce trade protection</w:t>
      </w:r>
      <w:r w:rsidR="000965C0" w:rsidRPr="004737C5">
        <w:rPr>
          <w:rFonts w:cstheme="minorHAnsi"/>
          <w:color w:val="000000"/>
        </w:rPr>
        <w:t>ism</w:t>
      </w:r>
      <w:r w:rsidRPr="004737C5">
        <w:rPr>
          <w:rFonts w:cstheme="minorHAnsi"/>
          <w:color w:val="000000"/>
        </w:rPr>
        <w:t xml:space="preserve"> and to ensure that there is a fair and equal trading agreement between countries. As a result</w:t>
      </w:r>
      <w:r w:rsidR="000965C0" w:rsidRPr="004737C5">
        <w:rPr>
          <w:rFonts w:cstheme="minorHAnsi"/>
          <w:color w:val="000000"/>
        </w:rPr>
        <w:t xml:space="preserve"> of the Uruguay Round</w:t>
      </w:r>
      <w:r w:rsidR="00E84949" w:rsidRPr="004737C5">
        <w:rPr>
          <w:rFonts w:cstheme="minorHAnsi"/>
          <w:color w:val="000000"/>
        </w:rPr>
        <w:t xml:space="preserve"> (which ended in 1994)</w:t>
      </w:r>
      <w:r w:rsidRPr="004737C5">
        <w:rPr>
          <w:rFonts w:cstheme="minorHAnsi"/>
          <w:color w:val="000000"/>
        </w:rPr>
        <w:t xml:space="preserve">, </w:t>
      </w:r>
      <w:r w:rsidR="000C3368" w:rsidRPr="004737C5">
        <w:rPr>
          <w:rFonts w:cstheme="minorHAnsi"/>
          <w:color w:val="000000"/>
        </w:rPr>
        <w:t xml:space="preserve">developed countries increased the number of imports </w:t>
      </w:r>
      <w:r w:rsidR="003E47E8" w:rsidRPr="004737C5">
        <w:rPr>
          <w:rFonts w:cstheme="minorHAnsi"/>
          <w:color w:val="000000"/>
        </w:rPr>
        <w:t>whose tariff</w:t>
      </w:r>
      <w:r w:rsidRPr="004737C5">
        <w:rPr>
          <w:rFonts w:cstheme="minorHAnsi"/>
          <w:color w:val="000000"/>
        </w:rPr>
        <w:t xml:space="preserve"> </w:t>
      </w:r>
      <w:r w:rsidR="00B6142C" w:rsidRPr="004737C5">
        <w:rPr>
          <w:rFonts w:cstheme="minorHAnsi"/>
          <w:color w:val="000000"/>
        </w:rPr>
        <w:t>rates were “</w:t>
      </w:r>
      <w:r w:rsidR="000C3368" w:rsidRPr="004737C5">
        <w:rPr>
          <w:rFonts w:cstheme="minorHAnsi"/>
          <w:color w:val="000000"/>
        </w:rPr>
        <w:t>b</w:t>
      </w:r>
      <w:r w:rsidR="00B6142C" w:rsidRPr="004737C5">
        <w:rPr>
          <w:rFonts w:cstheme="minorHAnsi"/>
          <w:color w:val="000000"/>
        </w:rPr>
        <w:t>ound”</w:t>
      </w:r>
      <w:r w:rsidR="000C3368" w:rsidRPr="004737C5">
        <w:rPr>
          <w:rFonts w:cstheme="minorHAnsi"/>
          <w:color w:val="000000"/>
        </w:rPr>
        <w:t xml:space="preserve"> (i.e. with commitments </w:t>
      </w:r>
      <w:r w:rsidR="00B6142C" w:rsidRPr="004737C5">
        <w:rPr>
          <w:rFonts w:cstheme="minorHAnsi"/>
          <w:color w:val="000000"/>
        </w:rPr>
        <w:t>to limit tariff levels) from 78 percent</w:t>
      </w:r>
      <w:r w:rsidR="000C3368" w:rsidRPr="004737C5">
        <w:rPr>
          <w:rFonts w:cstheme="minorHAnsi"/>
          <w:color w:val="000000"/>
        </w:rPr>
        <w:t xml:space="preserve"> to </w:t>
      </w:r>
      <w:r w:rsidR="00B6142C" w:rsidRPr="004737C5">
        <w:rPr>
          <w:rFonts w:cstheme="minorHAnsi"/>
          <w:color w:val="000000"/>
        </w:rPr>
        <w:t>99 percent</w:t>
      </w:r>
      <w:r w:rsidRPr="004737C5">
        <w:rPr>
          <w:rFonts w:cstheme="minorHAnsi"/>
          <w:color w:val="000000"/>
        </w:rPr>
        <w:t xml:space="preserve"> of all product lines</w:t>
      </w:r>
      <w:r w:rsidR="000C3368" w:rsidRPr="004737C5">
        <w:rPr>
          <w:rFonts w:cstheme="minorHAnsi"/>
          <w:color w:val="000000"/>
        </w:rPr>
        <w:t>. For transitional e</w:t>
      </w:r>
      <w:r w:rsidR="00B6142C" w:rsidRPr="004737C5">
        <w:rPr>
          <w:rFonts w:cstheme="minorHAnsi"/>
          <w:color w:val="000000"/>
        </w:rPr>
        <w:t xml:space="preserve">conomies, the increase was from 73 </w:t>
      </w:r>
      <w:r w:rsidR="00B6142C" w:rsidRPr="004737C5">
        <w:rPr>
          <w:rFonts w:cstheme="minorHAnsi"/>
          <w:color w:val="000000"/>
        </w:rPr>
        <w:lastRenderedPageBreak/>
        <w:t>percent</w:t>
      </w:r>
      <w:r w:rsidR="000C3368" w:rsidRPr="004737C5">
        <w:rPr>
          <w:rFonts w:cstheme="minorHAnsi"/>
          <w:color w:val="000000"/>
        </w:rPr>
        <w:t xml:space="preserve"> to 98</w:t>
      </w:r>
      <w:r w:rsidR="00B6142C" w:rsidRPr="004737C5">
        <w:rPr>
          <w:rFonts w:cstheme="minorHAnsi"/>
          <w:color w:val="000000"/>
        </w:rPr>
        <w:t xml:space="preserve"> percent </w:t>
      </w:r>
      <w:r w:rsidR="000C3368" w:rsidRPr="004737C5">
        <w:rPr>
          <w:rFonts w:cstheme="minorHAnsi"/>
          <w:color w:val="000000"/>
        </w:rPr>
        <w:t xml:space="preserve">and </w:t>
      </w:r>
      <w:r w:rsidR="003E47E8" w:rsidRPr="004737C5">
        <w:rPr>
          <w:rFonts w:cstheme="minorHAnsi"/>
          <w:color w:val="000000"/>
        </w:rPr>
        <w:t>for developing</w:t>
      </w:r>
      <w:r w:rsidRPr="004737C5">
        <w:rPr>
          <w:rFonts w:cstheme="minorHAnsi"/>
          <w:color w:val="000000"/>
        </w:rPr>
        <w:t xml:space="preserve"> countries</w:t>
      </w:r>
      <w:r w:rsidR="00B6142C" w:rsidRPr="004737C5">
        <w:rPr>
          <w:rFonts w:cstheme="minorHAnsi"/>
          <w:color w:val="000000"/>
        </w:rPr>
        <w:t xml:space="preserve"> from 21 percent to 73 percent.</w:t>
      </w:r>
      <w:r w:rsidR="000C3368" w:rsidRPr="004737C5">
        <w:rPr>
          <w:rStyle w:val="FootnoteReference"/>
          <w:rFonts w:cstheme="minorHAnsi"/>
          <w:color w:val="000000"/>
        </w:rPr>
        <w:footnoteReference w:id="44"/>
      </w:r>
      <w:r w:rsidRPr="004737C5">
        <w:rPr>
          <w:rFonts w:cstheme="minorHAnsi"/>
          <w:color w:val="000000"/>
        </w:rPr>
        <w:t xml:space="preserve"> The spectacular reductions in tariffs that took place as a result of the GATT negotiations</w:t>
      </w:r>
      <w:r w:rsidR="00E84949" w:rsidRPr="004737C5">
        <w:rPr>
          <w:rFonts w:cstheme="minorHAnsi"/>
          <w:color w:val="000000"/>
        </w:rPr>
        <w:t xml:space="preserve">, reducing by </w:t>
      </w:r>
      <w:r w:rsidR="00B6142C" w:rsidRPr="004737C5">
        <w:rPr>
          <w:rFonts w:cstheme="minorHAnsi"/>
          <w:color w:val="000000"/>
        </w:rPr>
        <w:t>8</w:t>
      </w:r>
      <w:r w:rsidR="00E84949" w:rsidRPr="004737C5">
        <w:rPr>
          <w:rFonts w:cstheme="minorHAnsi"/>
          <w:color w:val="000000"/>
        </w:rPr>
        <w:t xml:space="preserve"> per cent</w:t>
      </w:r>
      <w:r w:rsidR="00B6142C" w:rsidRPr="004737C5">
        <w:rPr>
          <w:rFonts w:cstheme="minorHAnsi"/>
          <w:color w:val="000000"/>
        </w:rPr>
        <w:t xml:space="preserve"> per year during the 1950s and 19</w:t>
      </w:r>
      <w:r w:rsidR="00E84949" w:rsidRPr="004737C5">
        <w:rPr>
          <w:rFonts w:cstheme="minorHAnsi"/>
          <w:color w:val="000000"/>
        </w:rPr>
        <w:t>60s,</w:t>
      </w:r>
      <w:r w:rsidRPr="004737C5">
        <w:rPr>
          <w:rFonts w:cstheme="minorHAnsi"/>
          <w:color w:val="000000"/>
        </w:rPr>
        <w:t xml:space="preserve"> were clearly of great potential benefit to consumers in terms of price and availability (and thus choice) of goods.</w:t>
      </w:r>
      <w:r w:rsidR="000C3368" w:rsidRPr="004737C5">
        <w:rPr>
          <w:rStyle w:val="FootnoteReference"/>
          <w:rFonts w:cstheme="minorHAnsi"/>
          <w:color w:val="000000"/>
        </w:rPr>
        <w:footnoteReference w:id="45"/>
      </w:r>
    </w:p>
    <w:p w14:paraId="1279227E" w14:textId="074D2238" w:rsidR="00843222" w:rsidRPr="004737C5" w:rsidRDefault="00843222" w:rsidP="006D3BE8">
      <w:pPr>
        <w:rPr>
          <w:rFonts w:cstheme="minorHAnsi"/>
        </w:rPr>
      </w:pPr>
      <w:r w:rsidRPr="004737C5">
        <w:rPr>
          <w:rFonts w:cstheme="minorHAnsi"/>
          <w:color w:val="000000"/>
        </w:rPr>
        <w:t>In this context, it is worth noting that</w:t>
      </w:r>
      <w:r w:rsidR="00924883" w:rsidRPr="004737C5">
        <w:rPr>
          <w:rFonts w:cstheme="minorHAnsi"/>
        </w:rPr>
        <w:t xml:space="preserve"> g</w:t>
      </w:r>
      <w:r w:rsidRPr="004737C5">
        <w:rPr>
          <w:rFonts w:cstheme="minorHAnsi"/>
        </w:rPr>
        <w:t>uide</w:t>
      </w:r>
      <w:r w:rsidR="00B6142C" w:rsidRPr="004737C5">
        <w:rPr>
          <w:rFonts w:cstheme="minorHAnsi"/>
        </w:rPr>
        <w:t>line 13 of the UNGCP stipulates that “</w:t>
      </w:r>
      <w:r w:rsidRPr="004737C5">
        <w:rPr>
          <w:rFonts w:cstheme="minorHAnsi"/>
        </w:rPr>
        <w:t>in applying any procedures or regulations for consumer protection, due regard should be given to ensuring that they do not become barriers to international trade and that they are consistent with international trade obligations</w:t>
      </w:r>
      <w:r w:rsidR="00B6142C" w:rsidRPr="004737C5">
        <w:rPr>
          <w:rFonts w:cstheme="minorHAnsi"/>
        </w:rPr>
        <w:t>”.</w:t>
      </w:r>
      <w:r w:rsidRPr="004737C5">
        <w:rPr>
          <w:rFonts w:cstheme="minorHAnsi"/>
        </w:rPr>
        <w:t xml:space="preserve"> There is an inbuilt tension between product standards and open trade, hence the importance of the GATT general exceptions clause. This tension </w:t>
      </w:r>
      <w:r w:rsidR="004240DC" w:rsidRPr="004737C5">
        <w:rPr>
          <w:rFonts w:cstheme="minorHAnsi"/>
        </w:rPr>
        <w:t>is explored further in chapter IX</w:t>
      </w:r>
      <w:r w:rsidRPr="004737C5">
        <w:rPr>
          <w:rFonts w:cstheme="minorHAnsi"/>
        </w:rPr>
        <w:t>, which also discusses the fears of developing countries that safety standards may be used against them.</w:t>
      </w:r>
      <w:r w:rsidRPr="004737C5">
        <w:rPr>
          <w:rFonts w:cstheme="minorHAnsi"/>
          <w:color w:val="000000"/>
        </w:rPr>
        <w:t xml:space="preserve"> Apart from the issue of tariffs, it has also been th</w:t>
      </w:r>
      <w:r w:rsidR="00B6142C" w:rsidRPr="004737C5">
        <w:rPr>
          <w:rFonts w:cstheme="minorHAnsi"/>
          <w:color w:val="000000"/>
        </w:rPr>
        <w:t xml:space="preserve">e case from the outset that </w:t>
      </w:r>
      <w:r w:rsidRPr="004737C5">
        <w:rPr>
          <w:rFonts w:cstheme="minorHAnsi"/>
          <w:color w:val="000000"/>
        </w:rPr>
        <w:t xml:space="preserve">GATT allowed for </w:t>
      </w:r>
      <w:r w:rsidRPr="004737C5">
        <w:rPr>
          <w:rFonts w:cstheme="minorHAnsi"/>
        </w:rPr>
        <w:t>consumer protection</w:t>
      </w:r>
      <w:r w:rsidRPr="004737C5">
        <w:rPr>
          <w:rFonts w:cstheme="minorHAnsi"/>
          <w:color w:val="000000"/>
        </w:rPr>
        <w:t xml:space="preserve"> measures to be taken by members, even if they had the effect of acting as barriers to trade. </w:t>
      </w:r>
      <w:r w:rsidRPr="004737C5">
        <w:rPr>
          <w:rFonts w:eastAsia="Calibri" w:cstheme="minorHAnsi"/>
          <w:bCs/>
          <w:color w:val="000000"/>
        </w:rPr>
        <w:t>Article 20</w:t>
      </w:r>
      <w:r w:rsidRPr="004737C5">
        <w:rPr>
          <w:rFonts w:eastAsia="Calibri" w:cstheme="minorHAnsi"/>
          <w:color w:val="000000"/>
        </w:rPr>
        <w:t xml:space="preserve"> (the </w:t>
      </w:r>
      <w:r w:rsidRPr="004737C5">
        <w:rPr>
          <w:rFonts w:eastAsia="Calibri" w:cstheme="minorHAnsi"/>
          <w:bCs/>
          <w:color w:val="000000"/>
        </w:rPr>
        <w:t>general exceptions clause</w:t>
      </w:r>
      <w:r w:rsidRPr="004737C5">
        <w:rPr>
          <w:rFonts w:eastAsia="Calibri" w:cstheme="minorHAnsi"/>
          <w:color w:val="000000"/>
        </w:rPr>
        <w:t>) allows measures to be taken to protect “human, animal or plant life or health” or for “the conservation of exhaustible natural resources if such measures are made effective in conjunction with restrictions on domestic production or consumption</w:t>
      </w:r>
      <w:r w:rsidR="00B6142C" w:rsidRPr="004737C5">
        <w:rPr>
          <w:rFonts w:eastAsia="Calibri" w:cstheme="minorHAnsi"/>
          <w:color w:val="000000"/>
        </w:rPr>
        <w:t>”.</w:t>
      </w:r>
      <w:r w:rsidRPr="004737C5">
        <w:rPr>
          <w:rFonts w:eastAsia="Calibri" w:cstheme="minorHAnsi"/>
          <w:color w:val="000000"/>
        </w:rPr>
        <w:t xml:space="preserve"> The consensus </w:t>
      </w:r>
      <w:r w:rsidRPr="004737C5">
        <w:rPr>
          <w:rFonts w:cstheme="minorHAnsi"/>
          <w:color w:val="000000"/>
        </w:rPr>
        <w:t>interpretation is that a country can apply</w:t>
      </w:r>
      <w:r w:rsidRPr="004737C5">
        <w:rPr>
          <w:rFonts w:eastAsia="Calibri" w:cstheme="minorHAnsi"/>
          <w:color w:val="000000"/>
        </w:rPr>
        <w:t xml:space="preserve"> </w:t>
      </w:r>
      <w:r w:rsidRPr="004737C5">
        <w:rPr>
          <w:rFonts w:cstheme="minorHAnsi"/>
          <w:color w:val="000000"/>
        </w:rPr>
        <w:t xml:space="preserve">the safety standards </w:t>
      </w:r>
      <w:r w:rsidRPr="004737C5">
        <w:rPr>
          <w:rFonts w:eastAsia="Calibri" w:cstheme="minorHAnsi"/>
          <w:color w:val="000000"/>
        </w:rPr>
        <w:t xml:space="preserve">to imports </w:t>
      </w:r>
      <w:r w:rsidRPr="004737C5">
        <w:rPr>
          <w:rFonts w:cstheme="minorHAnsi"/>
          <w:color w:val="000000"/>
        </w:rPr>
        <w:t>that it applies</w:t>
      </w:r>
      <w:r w:rsidRPr="004737C5">
        <w:rPr>
          <w:rFonts w:eastAsia="Calibri" w:cstheme="minorHAnsi"/>
          <w:color w:val="000000"/>
        </w:rPr>
        <w:t xml:space="preserve"> to its own products, which </w:t>
      </w:r>
      <w:r w:rsidRPr="004737C5">
        <w:rPr>
          <w:rFonts w:cstheme="minorHAnsi"/>
          <w:color w:val="000000"/>
        </w:rPr>
        <w:t xml:space="preserve">may result in refusal of entry. </w:t>
      </w:r>
      <w:r w:rsidRPr="004737C5">
        <w:rPr>
          <w:rFonts w:eastAsia="Calibri" w:cstheme="minorHAnsi"/>
          <w:color w:val="000000"/>
        </w:rPr>
        <w:t>However, unilateral action cannot be taken against other countries’ internal production processes, nor</w:t>
      </w:r>
      <w:r w:rsidR="00F37A69" w:rsidRPr="004737C5">
        <w:rPr>
          <w:rFonts w:eastAsia="Calibri" w:cstheme="minorHAnsi"/>
          <w:color w:val="000000"/>
        </w:rPr>
        <w:t xml:space="preserve"> can</w:t>
      </w:r>
      <w:r w:rsidRPr="004737C5">
        <w:rPr>
          <w:rFonts w:eastAsia="Calibri" w:cstheme="minorHAnsi"/>
          <w:color w:val="000000"/>
        </w:rPr>
        <w:t xml:space="preserve"> internal and imported products be treated in different ways</w:t>
      </w:r>
      <w:r w:rsidRPr="004737C5">
        <w:rPr>
          <w:rFonts w:cstheme="minorHAnsi"/>
          <w:color w:val="000000"/>
        </w:rPr>
        <w:t>, such as applying higher standards to imports than those applied to domestically produced products</w:t>
      </w:r>
      <w:r w:rsidRPr="004737C5">
        <w:rPr>
          <w:rFonts w:eastAsia="Calibri" w:cstheme="minorHAnsi"/>
          <w:color w:val="000000"/>
        </w:rPr>
        <w:t>.</w:t>
      </w:r>
    </w:p>
    <w:p w14:paraId="4C2CFB2A" w14:textId="77777777" w:rsidR="00843222" w:rsidRPr="004737C5" w:rsidRDefault="00843222" w:rsidP="00F37A69">
      <w:pPr>
        <w:rPr>
          <w:rFonts w:cstheme="minorHAnsi"/>
        </w:rPr>
      </w:pPr>
      <w:r w:rsidRPr="004737C5">
        <w:rPr>
          <w:rFonts w:cstheme="minorHAnsi"/>
          <w:color w:val="000000"/>
        </w:rPr>
        <w:t>Perhaps the low rates of tariffs prevailing at the ti</w:t>
      </w:r>
      <w:r w:rsidR="00B6142C" w:rsidRPr="004737C5">
        <w:rPr>
          <w:rFonts w:cstheme="minorHAnsi"/>
          <w:color w:val="000000"/>
        </w:rPr>
        <w:t>me of writing</w:t>
      </w:r>
      <w:r w:rsidRPr="004737C5">
        <w:rPr>
          <w:rFonts w:cstheme="minorHAnsi"/>
          <w:color w:val="000000"/>
        </w:rPr>
        <w:t xml:space="preserve"> have been the reason for the gradual shift in focus onto areas such as product standards, in particular product safety, and to regulatory measures that have become the major means of control of international trade in services, as governed by the WTO General Agreement on Trade in Services (GATS). </w:t>
      </w:r>
      <w:r w:rsidR="00B6142C" w:rsidRPr="004737C5">
        <w:rPr>
          <w:rFonts w:cstheme="minorHAnsi"/>
        </w:rPr>
        <w:t>One often cited example is the “necessity test”</w:t>
      </w:r>
      <w:r w:rsidR="003F4B7F" w:rsidRPr="004737C5">
        <w:rPr>
          <w:rFonts w:cstheme="minorHAnsi"/>
        </w:rPr>
        <w:t>, a</w:t>
      </w:r>
      <w:r w:rsidRPr="004737C5">
        <w:rPr>
          <w:rFonts w:cstheme="minorHAnsi"/>
        </w:rPr>
        <w:t>rticle 6.4 of GATS, which seeks to prevent regulatory rules from being used as spurious barriers to trade. Thus, a new debate has been sparked, one that relates to the international harmonization of standards and regulations. However, the WTO has ceased to be the sole focus of this debate. Coming to the fore at the time of writing are the provisions of the Trans-Atlantic Trade and Investment Partner</w:t>
      </w:r>
      <w:r w:rsidR="00B6142C" w:rsidRPr="004737C5">
        <w:rPr>
          <w:rFonts w:cstheme="minorHAnsi"/>
        </w:rPr>
        <w:t xml:space="preserve">ship (TTIP, </w:t>
      </w:r>
      <w:r w:rsidRPr="004737C5">
        <w:rPr>
          <w:rFonts w:cstheme="minorHAnsi"/>
        </w:rPr>
        <w:t>European Union and United States</w:t>
      </w:r>
      <w:r w:rsidR="00B6142C" w:rsidRPr="004737C5">
        <w:rPr>
          <w:rFonts w:cstheme="minorHAnsi"/>
        </w:rPr>
        <w:t xml:space="preserve"> of America</w:t>
      </w:r>
      <w:r w:rsidRPr="004737C5">
        <w:rPr>
          <w:rFonts w:cstheme="minorHAnsi"/>
        </w:rPr>
        <w:t xml:space="preserve">), the </w:t>
      </w:r>
      <w:r w:rsidR="00B6142C" w:rsidRPr="004737C5">
        <w:rPr>
          <w:rFonts w:cstheme="minorHAnsi"/>
        </w:rPr>
        <w:t>Trans-Pacific Partnership (TPP,</w:t>
      </w:r>
      <w:r w:rsidRPr="004737C5">
        <w:rPr>
          <w:rFonts w:cstheme="minorHAnsi"/>
        </w:rPr>
        <w:t xml:space="preserve"> 12 countries of the Pacific Rim) and the Trade in Services Agreement (European Union, United States</w:t>
      </w:r>
      <w:r w:rsidR="00B6142C" w:rsidRPr="004737C5">
        <w:rPr>
          <w:rFonts w:cstheme="minorHAnsi"/>
        </w:rPr>
        <w:t xml:space="preserve"> of America</w:t>
      </w:r>
      <w:r w:rsidRPr="004737C5">
        <w:rPr>
          <w:rFonts w:cstheme="minorHAnsi"/>
        </w:rPr>
        <w:t xml:space="preserve"> and 21 other jurisdictions). Concerns have been expressed by civil society, including consumer organizations, regarding the confidential nature of the negotiations and the way that they enter into regulatory policy.</w:t>
      </w:r>
      <w:r w:rsidRPr="004737C5">
        <w:rPr>
          <w:rStyle w:val="FootnoteReference"/>
          <w:rFonts w:cstheme="minorHAnsi"/>
        </w:rPr>
        <w:footnoteReference w:id="46"/>
      </w:r>
      <w:r w:rsidRPr="004737C5">
        <w:rPr>
          <w:rFonts w:cstheme="minorHAnsi"/>
        </w:rPr>
        <w:t xml:space="preserve"> The new negot</w:t>
      </w:r>
      <w:r w:rsidR="00B6142C" w:rsidRPr="004737C5">
        <w:rPr>
          <w:rFonts w:cstheme="minorHAnsi"/>
        </w:rPr>
        <w:t>iations are taking the form of preferential or regional trade a</w:t>
      </w:r>
      <w:r w:rsidRPr="004737C5">
        <w:rPr>
          <w:rFonts w:cstheme="minorHAnsi"/>
        </w:rPr>
        <w:t>greements (PTAs or RTAs) or bilateral agreements, often between rich and developing countries. By 2006, 197 PTAs with services commitments had been notified to GATT/WTO, with 106 of them having been notified since 20</w:t>
      </w:r>
      <w:r w:rsidR="00B6142C" w:rsidRPr="004737C5">
        <w:rPr>
          <w:rFonts w:cstheme="minorHAnsi"/>
        </w:rPr>
        <w:t>00. A WTO study suggested that “</w:t>
      </w:r>
      <w:r w:rsidRPr="004737C5">
        <w:rPr>
          <w:rFonts w:cstheme="minorHAnsi"/>
        </w:rPr>
        <w:t>it may well be that negotiations of the PTAs have to some extent diverted resources and attention from the Doha services negotiations</w:t>
      </w:r>
      <w:r w:rsidR="00B6142C" w:rsidRPr="004737C5">
        <w:rPr>
          <w:rFonts w:cstheme="minorHAnsi"/>
        </w:rPr>
        <w:t>”.</w:t>
      </w:r>
      <w:r w:rsidRPr="004737C5">
        <w:rPr>
          <w:rStyle w:val="FootnoteReference"/>
          <w:rFonts w:cstheme="minorHAnsi"/>
        </w:rPr>
        <w:footnoteReference w:id="47"/>
      </w:r>
    </w:p>
    <w:p w14:paraId="74AC475B" w14:textId="77777777" w:rsidR="00843222" w:rsidRPr="004737C5" w:rsidRDefault="007211F5" w:rsidP="00F37A69">
      <w:pPr>
        <w:pStyle w:val="Heading2"/>
        <w:spacing w:after="160"/>
        <w:rPr>
          <w:rFonts w:cstheme="minorHAnsi"/>
          <w:color w:val="auto"/>
          <w:sz w:val="24"/>
          <w:szCs w:val="24"/>
        </w:rPr>
      </w:pPr>
      <w:bookmarkStart w:id="33" w:name="_Toc492649986"/>
      <w:r w:rsidRPr="004737C5">
        <w:rPr>
          <w:rFonts w:cstheme="minorHAnsi"/>
          <w:color w:val="auto"/>
          <w:sz w:val="24"/>
          <w:szCs w:val="24"/>
        </w:rPr>
        <w:t>E.</w:t>
      </w:r>
      <w:r w:rsidR="00843222" w:rsidRPr="004737C5">
        <w:rPr>
          <w:rFonts w:cstheme="minorHAnsi"/>
          <w:color w:val="auto"/>
          <w:sz w:val="24"/>
          <w:szCs w:val="24"/>
        </w:rPr>
        <w:t xml:space="preserve"> Conclusion</w:t>
      </w:r>
      <w:bookmarkEnd w:id="33"/>
    </w:p>
    <w:p w14:paraId="103A6ABE" w14:textId="77777777" w:rsidR="00843222" w:rsidRPr="004737C5" w:rsidRDefault="00843222" w:rsidP="006D3BE8">
      <w:pPr>
        <w:rPr>
          <w:rFonts w:cstheme="minorHAnsi"/>
          <w:b/>
          <w:i/>
          <w:color w:val="FF0000"/>
        </w:rPr>
      </w:pPr>
      <w:r w:rsidRPr="004737C5">
        <w:rPr>
          <w:rFonts w:cstheme="minorHAnsi"/>
        </w:rPr>
        <w:t xml:space="preserve">The evolution of consumer protection law has been a complex process involving constitutional, framework and sectoral legislation. In turn, this synthesis will have to evolve in order to cope with </w:t>
      </w:r>
      <w:r w:rsidRPr="004737C5">
        <w:rPr>
          <w:rFonts w:cstheme="minorHAnsi"/>
        </w:rPr>
        <w:lastRenderedPageBreak/>
        <w:t xml:space="preserve">the interaction between national and international law and policy, as illustrated in the cases of trade and IP law. As economies become more integrated and as national consumer protection agencies struggle to keep pace with the cross-border nature of many consumer transactions, the international dimension operates at two levels. Firstly, there is a greater need for jurisdictions to agree on mechanisms for cross-border protection of individuals or categories </w:t>
      </w:r>
      <w:r w:rsidR="007211F5" w:rsidRPr="004737C5">
        <w:rPr>
          <w:rFonts w:cstheme="minorHAnsi"/>
        </w:rPr>
        <w:t>of consumers. Secondly, s</w:t>
      </w:r>
      <w:r w:rsidRPr="004737C5">
        <w:rPr>
          <w:rFonts w:cstheme="minorHAnsi"/>
        </w:rPr>
        <w:t xml:space="preserve">tates are currently negotiating more at the regional level than at the multilateral one. </w:t>
      </w:r>
      <w:r w:rsidRPr="004737C5">
        <w:rPr>
          <w:rFonts w:cstheme="minorHAnsi"/>
          <w:b/>
          <w:i/>
          <w:color w:val="FF0000"/>
        </w:rPr>
        <w:br w:type="page"/>
      </w:r>
    </w:p>
    <w:p w14:paraId="2C1DB817" w14:textId="77777777" w:rsidR="00843222" w:rsidRPr="004737C5" w:rsidRDefault="007211F5" w:rsidP="00B05EFA">
      <w:pPr>
        <w:rPr>
          <w:b/>
          <w:sz w:val="28"/>
          <w:szCs w:val="28"/>
        </w:rPr>
      </w:pPr>
      <w:bookmarkStart w:id="34" w:name="_Toc492649987"/>
      <w:r w:rsidRPr="004737C5">
        <w:rPr>
          <w:b/>
          <w:sz w:val="28"/>
          <w:szCs w:val="28"/>
        </w:rPr>
        <w:lastRenderedPageBreak/>
        <w:t>IV. Consumer protection a</w:t>
      </w:r>
      <w:r w:rsidR="00843222" w:rsidRPr="004737C5">
        <w:rPr>
          <w:b/>
          <w:sz w:val="28"/>
          <w:szCs w:val="28"/>
        </w:rPr>
        <w:t>gencies</w:t>
      </w:r>
      <w:bookmarkEnd w:id="34"/>
    </w:p>
    <w:p w14:paraId="0B2C259F" w14:textId="77777777" w:rsidR="00843222" w:rsidRPr="004737C5" w:rsidRDefault="007211F5" w:rsidP="00FC2F14">
      <w:pPr>
        <w:pStyle w:val="Heading2"/>
        <w:spacing w:before="0" w:after="160"/>
        <w:rPr>
          <w:rFonts w:cstheme="minorHAnsi"/>
          <w:color w:val="auto"/>
          <w:sz w:val="24"/>
          <w:szCs w:val="24"/>
        </w:rPr>
      </w:pPr>
      <w:bookmarkStart w:id="35" w:name="_Toc492649988"/>
      <w:r w:rsidRPr="004737C5">
        <w:rPr>
          <w:rFonts w:cstheme="minorHAnsi"/>
          <w:color w:val="auto"/>
          <w:sz w:val="24"/>
          <w:szCs w:val="24"/>
        </w:rPr>
        <w:t>A.</w:t>
      </w:r>
      <w:r w:rsidR="00843222" w:rsidRPr="004737C5">
        <w:rPr>
          <w:rFonts w:cstheme="minorHAnsi"/>
          <w:color w:val="auto"/>
          <w:sz w:val="24"/>
          <w:szCs w:val="24"/>
        </w:rPr>
        <w:t xml:space="preserve"> Consumer protection agencies in the United Nations Guidelines for Consumer Protection</w:t>
      </w:r>
      <w:bookmarkEnd w:id="35"/>
    </w:p>
    <w:p w14:paraId="37AC0161" w14:textId="0CCDC1C1" w:rsidR="00843222" w:rsidRPr="004737C5" w:rsidRDefault="00843222" w:rsidP="00B05EFA">
      <w:pPr>
        <w:rPr>
          <w:rFonts w:cstheme="minorHAnsi"/>
        </w:rPr>
      </w:pPr>
      <w:r w:rsidRPr="004737C5">
        <w:rPr>
          <w:rFonts w:cstheme="minorHAnsi"/>
        </w:rPr>
        <w:t>The UNGCP are non-prescriptive regarding the organization of consumer protection agenci</w:t>
      </w:r>
      <w:r w:rsidR="00924883" w:rsidRPr="004737C5">
        <w:rPr>
          <w:rFonts w:cstheme="minorHAnsi"/>
        </w:rPr>
        <w:t>es, for example setting out in g</w:t>
      </w:r>
      <w:r w:rsidRPr="004737C5">
        <w:rPr>
          <w:rFonts w:cstheme="minorHAnsi"/>
        </w:rPr>
        <w:t xml:space="preserve">uideline </w:t>
      </w:r>
      <w:r w:rsidR="00AE2786" w:rsidRPr="004737C5">
        <w:rPr>
          <w:rFonts w:cstheme="minorHAnsi"/>
        </w:rPr>
        <w:t>8</w:t>
      </w:r>
      <w:r w:rsidR="007211F5" w:rsidRPr="004737C5">
        <w:rPr>
          <w:rFonts w:cstheme="minorHAnsi"/>
        </w:rPr>
        <w:t xml:space="preserve"> that Member States should “</w:t>
      </w:r>
      <w:r w:rsidR="004D505A" w:rsidRPr="004737C5">
        <w:rPr>
          <w:rFonts w:cstheme="minorHAnsi"/>
        </w:rPr>
        <w:t>provide or maintain adequate infrastructure to develop, implement and monitor consumer protection policies</w:t>
      </w:r>
      <w:r w:rsidR="007211F5" w:rsidRPr="004737C5">
        <w:rPr>
          <w:rFonts w:cstheme="minorHAnsi"/>
        </w:rPr>
        <w:t>”.</w:t>
      </w:r>
      <w:r w:rsidRPr="004737C5">
        <w:rPr>
          <w:rFonts w:cstheme="minorHAnsi"/>
          <w:i/>
        </w:rPr>
        <w:t xml:space="preserve"> </w:t>
      </w:r>
      <w:r w:rsidRPr="004737C5">
        <w:rPr>
          <w:rFonts w:cstheme="minorHAnsi"/>
        </w:rPr>
        <w:t>The term infrastructure is rather apt and the analogy with physic</w:t>
      </w:r>
      <w:r w:rsidR="007211F5" w:rsidRPr="004737C5">
        <w:rPr>
          <w:rFonts w:cstheme="minorHAnsi"/>
        </w:rPr>
        <w:t>al infrastructure continues in</w:t>
      </w:r>
      <w:r w:rsidR="00924883" w:rsidRPr="004737C5">
        <w:rPr>
          <w:rFonts w:cstheme="minorHAnsi"/>
        </w:rPr>
        <w:t xml:space="preserve"> g</w:t>
      </w:r>
      <w:r w:rsidRPr="004737C5">
        <w:rPr>
          <w:rFonts w:cstheme="minorHAnsi"/>
        </w:rPr>
        <w:t>uid</w:t>
      </w:r>
      <w:r w:rsidR="007211F5" w:rsidRPr="004737C5">
        <w:rPr>
          <w:rFonts w:cstheme="minorHAnsi"/>
        </w:rPr>
        <w:t>eline 32, which indicates that Member S</w:t>
      </w:r>
      <w:r w:rsidRPr="004737C5">
        <w:rPr>
          <w:rFonts w:cstheme="minorHAnsi"/>
        </w:rPr>
        <w:t xml:space="preserve">tates should </w:t>
      </w:r>
      <w:r w:rsidR="007211F5" w:rsidRPr="004737C5">
        <w:rPr>
          <w:rFonts w:cstheme="minorHAnsi"/>
        </w:rPr>
        <w:t>“</w:t>
      </w:r>
      <w:r w:rsidR="004D505A" w:rsidRPr="004737C5">
        <w:rPr>
          <w:rFonts w:cstheme="minorHAnsi"/>
        </w:rPr>
        <w:t>assess the adequacy of the machinery for</w:t>
      </w:r>
      <w:r w:rsidR="007211F5" w:rsidRPr="004737C5">
        <w:rPr>
          <w:rFonts w:cstheme="minorHAnsi"/>
        </w:rPr>
        <w:t xml:space="preserve"> </w:t>
      </w:r>
      <w:r w:rsidR="004D505A" w:rsidRPr="004737C5">
        <w:rPr>
          <w:rFonts w:cstheme="minorHAnsi"/>
        </w:rPr>
        <w:t>… enforcement</w:t>
      </w:r>
      <w:r w:rsidR="00B05EFA" w:rsidRPr="004737C5">
        <w:rPr>
          <w:rFonts w:cstheme="minorHAnsi"/>
        </w:rPr>
        <w:t>”</w:t>
      </w:r>
      <w:r w:rsidRPr="004737C5">
        <w:rPr>
          <w:rFonts w:cstheme="minorHAnsi"/>
          <w:i/>
        </w:rPr>
        <w:t xml:space="preserve"> </w:t>
      </w:r>
      <w:r w:rsidRPr="004737C5">
        <w:rPr>
          <w:rFonts w:cstheme="minorHAnsi"/>
        </w:rPr>
        <w:t>of weights and measures legislation (one presumes that the same applies to other legislation)</w:t>
      </w:r>
      <w:r w:rsidRPr="004737C5">
        <w:rPr>
          <w:rFonts w:cstheme="minorHAnsi"/>
          <w:i/>
        </w:rPr>
        <w:t xml:space="preserve">. </w:t>
      </w:r>
      <w:r w:rsidR="00924883" w:rsidRPr="004737C5">
        <w:rPr>
          <w:rFonts w:cstheme="minorHAnsi"/>
        </w:rPr>
        <w:t>Section VI on international c</w:t>
      </w:r>
      <w:r w:rsidRPr="004737C5">
        <w:rPr>
          <w:rFonts w:cstheme="minorHAnsi"/>
        </w:rPr>
        <w:t xml:space="preserve">ooperation requires improved cooperation between agencies, again without specifying structures.  </w:t>
      </w:r>
    </w:p>
    <w:p w14:paraId="5CBDBE0E" w14:textId="77777777" w:rsidR="00843222" w:rsidRPr="004737C5" w:rsidRDefault="007211F5" w:rsidP="00B05EFA">
      <w:pPr>
        <w:pStyle w:val="Heading2"/>
        <w:spacing w:after="160"/>
        <w:rPr>
          <w:rFonts w:cstheme="minorHAnsi"/>
          <w:color w:val="auto"/>
          <w:sz w:val="24"/>
          <w:szCs w:val="24"/>
        </w:rPr>
      </w:pPr>
      <w:bookmarkStart w:id="36" w:name="_Toc492649989"/>
      <w:r w:rsidRPr="004737C5">
        <w:rPr>
          <w:rFonts w:cstheme="minorHAnsi"/>
          <w:color w:val="auto"/>
          <w:sz w:val="24"/>
          <w:szCs w:val="24"/>
        </w:rPr>
        <w:t>B.</w:t>
      </w:r>
      <w:r w:rsidR="00843222" w:rsidRPr="004737C5">
        <w:rPr>
          <w:rFonts w:cstheme="minorHAnsi"/>
          <w:color w:val="auto"/>
          <w:sz w:val="24"/>
          <w:szCs w:val="24"/>
        </w:rPr>
        <w:t xml:space="preserve"> Functions of consumer protection agencies</w:t>
      </w:r>
      <w:bookmarkEnd w:id="36"/>
    </w:p>
    <w:p w14:paraId="7630F46D" w14:textId="77777777" w:rsidR="00843222" w:rsidRPr="004737C5" w:rsidRDefault="00843222" w:rsidP="00B05EFA">
      <w:pPr>
        <w:pStyle w:val="TextBody"/>
        <w:spacing w:after="160" w:line="240" w:lineRule="auto"/>
        <w:rPr>
          <w:rFonts w:asciiTheme="minorHAnsi" w:hAnsiTheme="minorHAnsi" w:cstheme="minorHAnsi"/>
          <w:sz w:val="22"/>
        </w:rPr>
      </w:pPr>
      <w:r w:rsidRPr="004737C5">
        <w:rPr>
          <w:rFonts w:asciiTheme="minorHAnsi" w:hAnsiTheme="minorHAnsi" w:cstheme="minorHAnsi"/>
          <w:sz w:val="22"/>
        </w:rPr>
        <w:t>When an agency is delegated with both rule</w:t>
      </w:r>
      <w:r w:rsidR="007211F5" w:rsidRPr="004737C5">
        <w:rPr>
          <w:rFonts w:asciiTheme="minorHAnsi" w:hAnsiTheme="minorHAnsi" w:cstheme="minorHAnsi"/>
          <w:sz w:val="22"/>
        </w:rPr>
        <w:t>-</w:t>
      </w:r>
      <w:r w:rsidRPr="004737C5">
        <w:rPr>
          <w:rFonts w:asciiTheme="minorHAnsi" w:hAnsiTheme="minorHAnsi" w:cstheme="minorHAnsi"/>
          <w:sz w:val="22"/>
        </w:rPr>
        <w:t xml:space="preserve">making and administrative powers, </w:t>
      </w:r>
      <w:r w:rsidR="007211F5" w:rsidRPr="004737C5">
        <w:rPr>
          <w:rFonts w:asciiTheme="minorHAnsi" w:hAnsiTheme="minorHAnsi" w:cstheme="minorHAnsi"/>
          <w:sz w:val="22"/>
        </w:rPr>
        <w:t xml:space="preserve">it </w:t>
      </w:r>
      <w:r w:rsidRPr="004737C5">
        <w:rPr>
          <w:rFonts w:asciiTheme="minorHAnsi" w:hAnsiTheme="minorHAnsi" w:cstheme="minorHAnsi"/>
          <w:sz w:val="22"/>
        </w:rPr>
        <w:t xml:space="preserve">may </w:t>
      </w:r>
      <w:r w:rsidR="007211F5" w:rsidRPr="004737C5">
        <w:rPr>
          <w:rFonts w:asciiTheme="minorHAnsi" w:hAnsiTheme="minorHAnsi" w:cstheme="minorHAnsi"/>
          <w:sz w:val="22"/>
        </w:rPr>
        <w:t xml:space="preserve">be </w:t>
      </w:r>
      <w:r w:rsidR="00AE2786" w:rsidRPr="004737C5">
        <w:rPr>
          <w:rFonts w:asciiTheme="minorHAnsi" w:hAnsiTheme="minorHAnsi" w:cstheme="minorHAnsi"/>
          <w:sz w:val="22"/>
        </w:rPr>
        <w:t>mandate</w:t>
      </w:r>
      <w:r w:rsidR="00E72D3F" w:rsidRPr="004737C5">
        <w:rPr>
          <w:rFonts w:asciiTheme="minorHAnsi" w:hAnsiTheme="minorHAnsi" w:cstheme="minorHAnsi"/>
          <w:sz w:val="22"/>
        </w:rPr>
        <w:t>d</w:t>
      </w:r>
      <w:r w:rsidR="007211F5" w:rsidRPr="004737C5">
        <w:rPr>
          <w:rFonts w:asciiTheme="minorHAnsi" w:hAnsiTheme="minorHAnsi" w:cstheme="minorHAnsi"/>
          <w:sz w:val="22"/>
        </w:rPr>
        <w:t xml:space="preserve"> </w:t>
      </w:r>
      <w:r w:rsidR="00AE2786" w:rsidRPr="004737C5">
        <w:rPr>
          <w:rFonts w:asciiTheme="minorHAnsi" w:hAnsiTheme="minorHAnsi" w:cstheme="minorHAnsi"/>
          <w:sz w:val="22"/>
        </w:rPr>
        <w:t>to</w:t>
      </w:r>
      <w:r w:rsidRPr="004737C5">
        <w:rPr>
          <w:rFonts w:asciiTheme="minorHAnsi" w:hAnsiTheme="minorHAnsi" w:cstheme="minorHAnsi"/>
          <w:sz w:val="22"/>
        </w:rPr>
        <w:t>:</w:t>
      </w:r>
    </w:p>
    <w:p w14:paraId="4F1DF587"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 xml:space="preserve">Enforce consumer </w:t>
      </w:r>
      <w:r w:rsidR="007211F5" w:rsidRPr="004737C5">
        <w:rPr>
          <w:rFonts w:asciiTheme="minorHAnsi" w:hAnsiTheme="minorHAnsi" w:cstheme="minorHAnsi"/>
          <w:sz w:val="22"/>
        </w:rPr>
        <w:t>protection and competition laws</w:t>
      </w:r>
    </w:p>
    <w:p w14:paraId="4B6126AA"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Register and issue licences for certain designat</w:t>
      </w:r>
      <w:r w:rsidR="007211F5" w:rsidRPr="004737C5">
        <w:rPr>
          <w:rFonts w:asciiTheme="minorHAnsi" w:hAnsiTheme="minorHAnsi" w:cstheme="minorHAnsi"/>
          <w:sz w:val="22"/>
        </w:rPr>
        <w:t>ed types of business activities</w:t>
      </w:r>
      <w:r w:rsidRPr="004737C5">
        <w:rPr>
          <w:rFonts w:asciiTheme="minorHAnsi" w:hAnsiTheme="minorHAnsi" w:cstheme="minorHAnsi"/>
          <w:sz w:val="22"/>
        </w:rPr>
        <w:t xml:space="preserve"> </w:t>
      </w:r>
    </w:p>
    <w:p w14:paraId="691533CD"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Issue administrative rules to regulate conduct of business entities and ensure prot</w:t>
      </w:r>
      <w:r w:rsidR="007211F5" w:rsidRPr="004737C5">
        <w:rPr>
          <w:rFonts w:asciiTheme="minorHAnsi" w:hAnsiTheme="minorHAnsi" w:cstheme="minorHAnsi"/>
          <w:sz w:val="22"/>
        </w:rPr>
        <w:t>ection of the consumer interest</w:t>
      </w:r>
    </w:p>
    <w:p w14:paraId="6D713CD3" w14:textId="77777777" w:rsidR="00843222" w:rsidRPr="004737C5" w:rsidRDefault="007211F5"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Advise the g</w:t>
      </w:r>
      <w:r w:rsidR="00843222" w:rsidRPr="004737C5">
        <w:rPr>
          <w:rFonts w:asciiTheme="minorHAnsi" w:hAnsiTheme="minorHAnsi" w:cstheme="minorHAnsi"/>
          <w:sz w:val="22"/>
        </w:rPr>
        <w:t>overnment on appropriate m</w:t>
      </w:r>
      <w:r w:rsidRPr="004737C5">
        <w:rPr>
          <w:rFonts w:asciiTheme="minorHAnsi" w:hAnsiTheme="minorHAnsi" w:cstheme="minorHAnsi"/>
          <w:sz w:val="22"/>
        </w:rPr>
        <w:t>easures for consumer protection</w:t>
      </w:r>
    </w:p>
    <w:p w14:paraId="2C37666F"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Represent the consumer interest in oth</w:t>
      </w:r>
      <w:r w:rsidR="007211F5" w:rsidRPr="004737C5">
        <w:rPr>
          <w:rFonts w:asciiTheme="minorHAnsi" w:hAnsiTheme="minorHAnsi" w:cstheme="minorHAnsi"/>
          <w:sz w:val="22"/>
        </w:rPr>
        <w:t>er intergovernmental committees</w:t>
      </w:r>
    </w:p>
    <w:p w14:paraId="64618CDC"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Advise consumers and businesses of their rights and obligations under the re</w:t>
      </w:r>
      <w:r w:rsidR="007211F5" w:rsidRPr="004737C5">
        <w:rPr>
          <w:rFonts w:asciiTheme="minorHAnsi" w:hAnsiTheme="minorHAnsi" w:cstheme="minorHAnsi"/>
          <w:sz w:val="22"/>
        </w:rPr>
        <w:t>levant consumer protection laws</w:t>
      </w:r>
    </w:p>
    <w:p w14:paraId="0D65BA47" w14:textId="69DE0C29" w:rsidR="00843222" w:rsidRPr="004737C5" w:rsidRDefault="00B05EFA"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Conduct or commission</w:t>
      </w:r>
      <w:r w:rsidR="00843222" w:rsidRPr="004737C5">
        <w:rPr>
          <w:rFonts w:asciiTheme="minorHAnsi" w:hAnsiTheme="minorHAnsi" w:cstheme="minorHAnsi"/>
          <w:sz w:val="22"/>
        </w:rPr>
        <w:t xml:space="preserve"> market surveys and research in</w:t>
      </w:r>
      <w:r w:rsidR="007211F5" w:rsidRPr="004737C5">
        <w:rPr>
          <w:rFonts w:asciiTheme="minorHAnsi" w:hAnsiTheme="minorHAnsi" w:cstheme="minorHAnsi"/>
          <w:sz w:val="22"/>
        </w:rPr>
        <w:t>to consumer protection problems</w:t>
      </w:r>
    </w:p>
    <w:p w14:paraId="12A7EDEB"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Conduct or commission</w:t>
      </w:r>
      <w:r w:rsidRPr="004737C5">
        <w:rPr>
          <w:rFonts w:asciiTheme="minorHAnsi" w:hAnsiTheme="minorHAnsi" w:cstheme="minorHAnsi"/>
          <w:color w:val="FF0000"/>
          <w:sz w:val="22"/>
        </w:rPr>
        <w:t xml:space="preserve"> </w:t>
      </w:r>
      <w:r w:rsidRPr="004737C5">
        <w:rPr>
          <w:rFonts w:asciiTheme="minorHAnsi" w:hAnsiTheme="minorHAnsi" w:cstheme="minorHAnsi"/>
          <w:sz w:val="22"/>
        </w:rPr>
        <w:t>product testing for safety and quality and disse</w:t>
      </w:r>
      <w:r w:rsidR="007211F5" w:rsidRPr="004737C5">
        <w:rPr>
          <w:rFonts w:asciiTheme="minorHAnsi" w:hAnsiTheme="minorHAnsi" w:cstheme="minorHAnsi"/>
          <w:sz w:val="22"/>
        </w:rPr>
        <w:t>minate information to consumers</w:t>
      </w:r>
    </w:p>
    <w:p w14:paraId="4F5F05B8"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Manage and/or monitor the performance of consumer tribunals or other mechanisms for t</w:t>
      </w:r>
      <w:r w:rsidR="007211F5" w:rsidRPr="004737C5">
        <w:rPr>
          <w:rFonts w:asciiTheme="minorHAnsi" w:hAnsiTheme="minorHAnsi" w:cstheme="minorHAnsi"/>
          <w:sz w:val="22"/>
        </w:rPr>
        <w:t>he mediation of consumer claims</w:t>
      </w:r>
    </w:p>
    <w:p w14:paraId="0B6B4A46"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 xml:space="preserve">Consult with relevant stakeholders to understand consumer issues and develop </w:t>
      </w:r>
      <w:r w:rsidR="007211F5" w:rsidRPr="004737C5">
        <w:rPr>
          <w:rFonts w:asciiTheme="minorHAnsi" w:hAnsiTheme="minorHAnsi" w:cstheme="minorHAnsi"/>
          <w:sz w:val="22"/>
        </w:rPr>
        <w:t>policy to address problem areas</w:t>
      </w:r>
    </w:p>
    <w:p w14:paraId="2E0D1E85" w14:textId="77777777" w:rsidR="00843222" w:rsidRPr="004737C5" w:rsidRDefault="00843222" w:rsidP="00B05EFA">
      <w:pPr>
        <w:pStyle w:val="TextBody"/>
        <w:numPr>
          <w:ilvl w:val="0"/>
          <w:numId w:val="8"/>
        </w:numPr>
        <w:spacing w:line="240" w:lineRule="auto"/>
        <w:ind w:left="709" w:hanging="425"/>
        <w:rPr>
          <w:rFonts w:asciiTheme="minorHAnsi" w:hAnsiTheme="minorHAnsi" w:cstheme="minorHAnsi"/>
          <w:sz w:val="22"/>
        </w:rPr>
      </w:pPr>
      <w:r w:rsidRPr="004737C5">
        <w:rPr>
          <w:rFonts w:asciiTheme="minorHAnsi" w:hAnsiTheme="minorHAnsi" w:cstheme="minorHAnsi"/>
          <w:sz w:val="22"/>
        </w:rPr>
        <w:t>Organize public education and information programmes independently or in collaboration with consumer orga</w:t>
      </w:r>
      <w:r w:rsidR="007211F5" w:rsidRPr="004737C5">
        <w:rPr>
          <w:rFonts w:asciiTheme="minorHAnsi" w:hAnsiTheme="minorHAnsi" w:cstheme="minorHAnsi"/>
          <w:sz w:val="22"/>
        </w:rPr>
        <w:t>nizations or business entities</w:t>
      </w:r>
    </w:p>
    <w:p w14:paraId="4858ABE8" w14:textId="77777777" w:rsidR="00843222" w:rsidRPr="004737C5" w:rsidRDefault="00843222" w:rsidP="00B05EFA">
      <w:pPr>
        <w:pStyle w:val="TextBody"/>
        <w:numPr>
          <w:ilvl w:val="0"/>
          <w:numId w:val="8"/>
        </w:numPr>
        <w:spacing w:after="240" w:line="240" w:lineRule="auto"/>
        <w:ind w:left="709" w:hanging="425"/>
        <w:rPr>
          <w:rFonts w:asciiTheme="minorHAnsi" w:hAnsiTheme="minorHAnsi" w:cstheme="minorHAnsi"/>
          <w:sz w:val="22"/>
        </w:rPr>
      </w:pPr>
      <w:r w:rsidRPr="004737C5">
        <w:rPr>
          <w:rFonts w:asciiTheme="minorHAnsi" w:hAnsiTheme="minorHAnsi" w:cstheme="minorHAnsi"/>
          <w:sz w:val="22"/>
        </w:rPr>
        <w:t>Represent the national consumer interest at international negotiations on individual cases and disc</w:t>
      </w:r>
      <w:r w:rsidR="007211F5" w:rsidRPr="004737C5">
        <w:rPr>
          <w:rFonts w:asciiTheme="minorHAnsi" w:hAnsiTheme="minorHAnsi" w:cstheme="minorHAnsi"/>
          <w:sz w:val="22"/>
        </w:rPr>
        <w:t>ussions of international policy</w:t>
      </w:r>
    </w:p>
    <w:p w14:paraId="0CC7CA16" w14:textId="77777777" w:rsidR="00843222" w:rsidRPr="004737C5" w:rsidRDefault="00843222" w:rsidP="006D3BE8">
      <w:pPr>
        <w:pStyle w:val="TextBody"/>
        <w:spacing w:after="160" w:line="240" w:lineRule="auto"/>
        <w:rPr>
          <w:rFonts w:asciiTheme="minorHAnsi" w:hAnsiTheme="minorHAnsi" w:cstheme="minorHAnsi"/>
          <w:sz w:val="22"/>
        </w:rPr>
      </w:pPr>
      <w:r w:rsidRPr="004737C5">
        <w:rPr>
          <w:rFonts w:asciiTheme="minorHAnsi" w:hAnsiTheme="minorHAnsi" w:cstheme="minorHAnsi"/>
          <w:sz w:val="22"/>
        </w:rPr>
        <w:t xml:space="preserve">While not all the above functions are taken on by all consumer protection agencies, by and large most of these would be within their potential ambit. </w:t>
      </w:r>
    </w:p>
    <w:p w14:paraId="67A0698F" w14:textId="77777777" w:rsidR="00843222" w:rsidRPr="004737C5" w:rsidRDefault="007211F5" w:rsidP="006D3BE8">
      <w:pPr>
        <w:pStyle w:val="TextBody"/>
        <w:spacing w:after="160" w:line="240" w:lineRule="auto"/>
        <w:rPr>
          <w:rFonts w:asciiTheme="minorHAnsi" w:hAnsiTheme="minorHAnsi" w:cstheme="minorHAnsi"/>
          <w:sz w:val="22"/>
        </w:rPr>
      </w:pPr>
      <w:r w:rsidRPr="004737C5">
        <w:rPr>
          <w:rFonts w:asciiTheme="minorHAnsi" w:hAnsiTheme="minorHAnsi" w:cstheme="minorHAnsi"/>
          <w:sz w:val="22"/>
        </w:rPr>
        <w:t>Where an</w:t>
      </w:r>
      <w:r w:rsidR="00843222" w:rsidRPr="004737C5">
        <w:rPr>
          <w:rFonts w:asciiTheme="minorHAnsi" w:hAnsiTheme="minorHAnsi" w:cstheme="minorHAnsi"/>
          <w:sz w:val="22"/>
        </w:rPr>
        <w:t xml:space="preserve"> agency’s role is not interventionist in nature, its functions would be advisory to ensure that both businesses and consumers are informed of their rights and responsibilities through public education and information programmes. The agency would also pla</w:t>
      </w:r>
      <w:r w:rsidRPr="004737C5">
        <w:rPr>
          <w:rFonts w:asciiTheme="minorHAnsi" w:hAnsiTheme="minorHAnsi" w:cstheme="minorHAnsi"/>
          <w:sz w:val="22"/>
        </w:rPr>
        <w:t>y a representative role within g</w:t>
      </w:r>
      <w:r w:rsidR="00843222" w:rsidRPr="004737C5">
        <w:rPr>
          <w:rFonts w:asciiTheme="minorHAnsi" w:hAnsiTheme="minorHAnsi" w:cstheme="minorHAnsi"/>
          <w:sz w:val="22"/>
        </w:rPr>
        <w:t>overnment to comment and make recommendations on consumer protection laws and other related laws that would have an i</w:t>
      </w:r>
      <w:r w:rsidRPr="004737C5">
        <w:rPr>
          <w:rFonts w:asciiTheme="minorHAnsi" w:hAnsiTheme="minorHAnsi" w:cstheme="minorHAnsi"/>
          <w:sz w:val="22"/>
        </w:rPr>
        <w:t>mpact on the consumer interest.</w:t>
      </w:r>
      <w:r w:rsidR="00843222" w:rsidRPr="004737C5">
        <w:rPr>
          <w:rFonts w:asciiTheme="minorHAnsi" w:hAnsiTheme="minorHAnsi" w:cstheme="minorHAnsi"/>
          <w:sz w:val="22"/>
        </w:rPr>
        <w:t xml:space="preserve"> As discussed below, such a role can result in a high public profile.</w:t>
      </w:r>
    </w:p>
    <w:p w14:paraId="0FFE7C4D" w14:textId="6218D2B7" w:rsidR="00843222" w:rsidRPr="004737C5" w:rsidRDefault="00843222" w:rsidP="00B05EFA">
      <w:pPr>
        <w:rPr>
          <w:rFonts w:cstheme="minorHAnsi"/>
        </w:rPr>
      </w:pPr>
      <w:r w:rsidRPr="004737C5">
        <w:rPr>
          <w:rFonts w:cstheme="minorHAnsi"/>
        </w:rPr>
        <w:t>While there are several models to choose from, the functions of the consumer protection agency are quite similar whether it is part of th</w:t>
      </w:r>
      <w:r w:rsidR="007211F5" w:rsidRPr="004737C5">
        <w:rPr>
          <w:rFonts w:cstheme="minorHAnsi"/>
        </w:rPr>
        <w:t>e g</w:t>
      </w:r>
      <w:r w:rsidRPr="004737C5">
        <w:rPr>
          <w:rFonts w:cstheme="minorHAnsi"/>
        </w:rPr>
        <w:t>overnment or an autonomous entity. Some agencies</w:t>
      </w:r>
      <w:r w:rsidR="007211F5" w:rsidRPr="004737C5">
        <w:rPr>
          <w:rFonts w:cstheme="minorHAnsi"/>
        </w:rPr>
        <w:t>,</w:t>
      </w:r>
      <w:r w:rsidRPr="004737C5">
        <w:rPr>
          <w:rFonts w:cstheme="minorHAnsi"/>
        </w:rPr>
        <w:t xml:space="preserve"> though independent in structu</w:t>
      </w:r>
      <w:r w:rsidR="007211F5" w:rsidRPr="004737C5">
        <w:rPr>
          <w:rFonts w:cstheme="minorHAnsi"/>
        </w:rPr>
        <w:t>re, are still dependent on the g</w:t>
      </w:r>
      <w:r w:rsidRPr="004737C5">
        <w:rPr>
          <w:rFonts w:cstheme="minorHAnsi"/>
        </w:rPr>
        <w:t xml:space="preserve">overnment for their operating costs and are answerable to </w:t>
      </w:r>
      <w:r w:rsidR="00B05EFA" w:rsidRPr="004737C5">
        <w:rPr>
          <w:rFonts w:cstheme="minorHAnsi"/>
        </w:rPr>
        <w:t xml:space="preserve">a </w:t>
      </w:r>
      <w:r w:rsidRPr="004737C5">
        <w:rPr>
          <w:rFonts w:cstheme="minorHAnsi"/>
        </w:rPr>
        <w:t>minister a</w:t>
      </w:r>
      <w:r w:rsidR="009A244E" w:rsidRPr="004737C5">
        <w:rPr>
          <w:rFonts w:cstheme="minorHAnsi"/>
        </w:rPr>
        <w:t>s well</w:t>
      </w:r>
      <w:r w:rsidRPr="004737C5">
        <w:rPr>
          <w:rFonts w:cstheme="minorHAnsi"/>
        </w:rPr>
        <w:t xml:space="preserve"> as national parliaments or assemblies. This may result in </w:t>
      </w:r>
      <w:r w:rsidR="009A244E" w:rsidRPr="004737C5">
        <w:rPr>
          <w:rFonts w:cstheme="minorHAnsi"/>
        </w:rPr>
        <w:t>diminution</w:t>
      </w:r>
      <w:r w:rsidRPr="004737C5">
        <w:rPr>
          <w:rFonts w:cstheme="minorHAnsi"/>
        </w:rPr>
        <w:t xml:space="preserve"> of independence a</w:t>
      </w:r>
      <w:r w:rsidR="007211F5" w:rsidRPr="004737C5">
        <w:rPr>
          <w:rFonts w:cstheme="minorHAnsi"/>
        </w:rPr>
        <w:t>s directions may come from the g</w:t>
      </w:r>
      <w:r w:rsidRPr="004737C5">
        <w:rPr>
          <w:rFonts w:cstheme="minorHAnsi"/>
        </w:rPr>
        <w:t xml:space="preserve">overnment as to what the emphasis, if at all, </w:t>
      </w:r>
      <w:r w:rsidRPr="004737C5">
        <w:rPr>
          <w:rFonts w:cstheme="minorHAnsi"/>
        </w:rPr>
        <w:lastRenderedPageBreak/>
        <w:t>should be at any given moment. On the other hand, official recognition can give s</w:t>
      </w:r>
      <w:r w:rsidR="007211F5" w:rsidRPr="004737C5">
        <w:rPr>
          <w:rFonts w:cstheme="minorHAnsi"/>
        </w:rPr>
        <w:t>uch an agency a high degree of “clout”</w:t>
      </w:r>
      <w:r w:rsidRPr="004737C5">
        <w:rPr>
          <w:rFonts w:cstheme="minorHAnsi"/>
        </w:rPr>
        <w:t xml:space="preserve"> should the agency choose to use it.</w:t>
      </w:r>
    </w:p>
    <w:p w14:paraId="30F35849" w14:textId="77777777" w:rsidR="00843222" w:rsidRPr="004737C5" w:rsidRDefault="007211F5" w:rsidP="00B05EFA">
      <w:pPr>
        <w:pStyle w:val="Heading2"/>
        <w:spacing w:after="160"/>
        <w:rPr>
          <w:rFonts w:cstheme="minorHAnsi"/>
          <w:sz w:val="24"/>
          <w:szCs w:val="24"/>
        </w:rPr>
      </w:pPr>
      <w:bookmarkStart w:id="37" w:name="_Toc492649990"/>
      <w:r w:rsidRPr="004737C5">
        <w:rPr>
          <w:rFonts w:cstheme="minorHAnsi"/>
          <w:color w:val="auto"/>
          <w:sz w:val="24"/>
          <w:szCs w:val="24"/>
        </w:rPr>
        <w:t>C.</w:t>
      </w:r>
      <w:r w:rsidR="00843222" w:rsidRPr="004737C5">
        <w:rPr>
          <w:rFonts w:cstheme="minorHAnsi"/>
          <w:color w:val="auto"/>
          <w:sz w:val="24"/>
          <w:szCs w:val="24"/>
        </w:rPr>
        <w:t xml:space="preserve"> Organizational models for consumer protection agencies</w:t>
      </w:r>
      <w:bookmarkEnd w:id="37"/>
    </w:p>
    <w:p w14:paraId="028EB8D9" w14:textId="77777777" w:rsidR="00843222" w:rsidRPr="004737C5" w:rsidRDefault="00843222" w:rsidP="006D3BE8">
      <w:pPr>
        <w:rPr>
          <w:rFonts w:cstheme="minorHAnsi"/>
        </w:rPr>
      </w:pPr>
      <w:r w:rsidRPr="004737C5">
        <w:rPr>
          <w:rFonts w:cstheme="minorHAnsi"/>
        </w:rPr>
        <w:t xml:space="preserve">The UNGCP </w:t>
      </w:r>
      <w:r w:rsidR="007211F5" w:rsidRPr="004737C5">
        <w:rPr>
          <w:rFonts w:cstheme="minorHAnsi"/>
        </w:rPr>
        <w:t xml:space="preserve">include </w:t>
      </w:r>
      <w:r w:rsidRPr="004737C5">
        <w:rPr>
          <w:rFonts w:cstheme="minorHAnsi"/>
        </w:rPr>
        <w:t xml:space="preserve">a large degree of flexibility, </w:t>
      </w:r>
      <w:r w:rsidR="007211F5" w:rsidRPr="004737C5">
        <w:rPr>
          <w:rFonts w:cstheme="minorHAnsi"/>
        </w:rPr>
        <w:t>recognizing</w:t>
      </w:r>
      <w:r w:rsidRPr="004737C5">
        <w:rPr>
          <w:rFonts w:cstheme="minorHAnsi"/>
        </w:rPr>
        <w:t xml:space="preserve"> differences in national traditions and geographies, with a focus more on results than on the specifics of structures. Accordingly, there is a wide range of approaches to the precise location of consumer protection within the</w:t>
      </w:r>
      <w:r w:rsidR="007211F5" w:rsidRPr="004737C5">
        <w:rPr>
          <w:rFonts w:cstheme="minorHAnsi"/>
        </w:rPr>
        <w:t xml:space="preserve"> institutional architecture of g</w:t>
      </w:r>
      <w:r w:rsidRPr="004737C5">
        <w:rPr>
          <w:rFonts w:cstheme="minorHAnsi"/>
        </w:rPr>
        <w:t>overnment. Nevertheless, certain types</w:t>
      </w:r>
      <w:r w:rsidR="007211F5" w:rsidRPr="004737C5">
        <w:rPr>
          <w:rFonts w:cstheme="minorHAnsi"/>
        </w:rPr>
        <w:t xml:space="preserve"> of approach</w:t>
      </w:r>
      <w:r w:rsidRPr="004737C5">
        <w:rPr>
          <w:rFonts w:cstheme="minorHAnsi"/>
        </w:rPr>
        <w:t xml:space="preserve"> can be identified. </w:t>
      </w:r>
    </w:p>
    <w:p w14:paraId="38560585" w14:textId="2CA7651F" w:rsidR="00843222" w:rsidRPr="004737C5" w:rsidRDefault="00843222" w:rsidP="006D3BE8">
      <w:pPr>
        <w:rPr>
          <w:rFonts w:cstheme="minorHAnsi"/>
        </w:rPr>
      </w:pPr>
      <w:r w:rsidRPr="004737C5">
        <w:rPr>
          <w:rFonts w:cstheme="minorHAnsi"/>
        </w:rPr>
        <w:t>Various models have been adopted including</w:t>
      </w:r>
      <w:r w:rsidRPr="004737C5">
        <w:rPr>
          <w:rFonts w:cstheme="minorHAnsi"/>
          <w:color w:val="FF0000"/>
        </w:rPr>
        <w:t xml:space="preserve"> </w:t>
      </w:r>
      <w:r w:rsidRPr="004737C5">
        <w:rPr>
          <w:rFonts w:cstheme="minorHAnsi"/>
        </w:rPr>
        <w:t>a department within the Ministry of Commerce, a department within</w:t>
      </w:r>
      <w:r w:rsidR="007211F5" w:rsidRPr="004737C5">
        <w:rPr>
          <w:rFonts w:cstheme="minorHAnsi"/>
        </w:rPr>
        <w:t xml:space="preserve"> the Prime Minister’s Office,</w:t>
      </w:r>
      <w:r w:rsidRPr="004737C5">
        <w:rPr>
          <w:rFonts w:cstheme="minorHAnsi"/>
        </w:rPr>
        <w:t xml:space="preserve"> a separate agency or sometimes a Ministry of Consumer Affairs. Consumer protection has quite often been allocated to ministers with more than one portfolio,</w:t>
      </w:r>
      <w:r w:rsidRPr="004737C5">
        <w:rPr>
          <w:rStyle w:val="FootnoteAnchor"/>
          <w:rFonts w:cstheme="minorHAnsi"/>
        </w:rPr>
        <w:footnoteReference w:id="48"/>
      </w:r>
      <w:r w:rsidRPr="004737C5">
        <w:rPr>
          <w:rFonts w:cstheme="minorHAnsi"/>
        </w:rPr>
        <w:t xml:space="preserve"> for exa</w:t>
      </w:r>
      <w:r w:rsidR="007211F5" w:rsidRPr="004737C5">
        <w:rPr>
          <w:rFonts w:cstheme="minorHAnsi"/>
        </w:rPr>
        <w:t>mple</w:t>
      </w:r>
      <w:r w:rsidRPr="004737C5">
        <w:rPr>
          <w:rFonts w:cstheme="minorHAnsi"/>
        </w:rPr>
        <w:t xml:space="preserve"> the Minister for Women’s Affairs (Austria), Science and Tourism (Australia) and Children and Fam</w:t>
      </w:r>
      <w:r w:rsidR="007211F5" w:rsidRPr="004737C5">
        <w:rPr>
          <w:rFonts w:cstheme="minorHAnsi"/>
        </w:rPr>
        <w:t>ily Affairs (Norway). European commissioners for consumer p</w:t>
      </w:r>
      <w:r w:rsidRPr="004737C5">
        <w:rPr>
          <w:rFonts w:cstheme="minorHAnsi"/>
        </w:rPr>
        <w:t>rotection have also carried a variety of accompanying portfolio</w:t>
      </w:r>
      <w:r w:rsidR="007211F5" w:rsidRPr="004737C5">
        <w:rPr>
          <w:rFonts w:cstheme="minorHAnsi"/>
        </w:rPr>
        <w:t>s including, for a short time, nuclear safety. Even where the more “conventional”</w:t>
      </w:r>
      <w:r w:rsidRPr="004737C5">
        <w:rPr>
          <w:rFonts w:cstheme="minorHAnsi"/>
        </w:rPr>
        <w:t xml:space="preserve"> choice is made, such as within the Ministry of Trade and Industry, there is</w:t>
      </w:r>
      <w:r w:rsidR="007211F5" w:rsidRPr="004737C5">
        <w:rPr>
          <w:rFonts w:cstheme="minorHAnsi"/>
        </w:rPr>
        <w:t xml:space="preserve"> a recurring complaint that </w:t>
      </w:r>
      <w:r w:rsidRPr="004737C5">
        <w:rPr>
          <w:rFonts w:cstheme="minorHAnsi"/>
        </w:rPr>
        <w:t xml:space="preserve">responsibility for consumer protection gets subsumed within the larger role of promoting business. This </w:t>
      </w:r>
      <w:r w:rsidR="00B05EFA" w:rsidRPr="004737C5">
        <w:rPr>
          <w:rFonts w:cstheme="minorHAnsi"/>
        </w:rPr>
        <w:t>can cause conflicts within the m</w:t>
      </w:r>
      <w:r w:rsidRPr="004737C5">
        <w:rPr>
          <w:rFonts w:cstheme="minorHAnsi"/>
        </w:rPr>
        <w:t>inistry, from which consumer protection sometimes emerges as the weaker par</w:t>
      </w:r>
      <w:r w:rsidR="00431F5E" w:rsidRPr="004737C5">
        <w:rPr>
          <w:rFonts w:cstheme="minorHAnsi"/>
        </w:rPr>
        <w:t>tner. The same dynamic of built-</w:t>
      </w:r>
      <w:r w:rsidRPr="004737C5">
        <w:rPr>
          <w:rFonts w:cstheme="minorHAnsi"/>
        </w:rPr>
        <w:t xml:space="preserve">in conflict has emerged from sectoral agencies too. The financial crisis brought forward calls for consumer protection to be reinforced and this could lead to clashes over jurisdiction, between consumer protection agencies on the one hand and prudential supervision on the other, within the relevant ministries or central banks. </w:t>
      </w:r>
    </w:p>
    <w:p w14:paraId="571E8AFF" w14:textId="77777777" w:rsidR="00843222" w:rsidRPr="004737C5" w:rsidRDefault="00843222" w:rsidP="006D3BE8">
      <w:pPr>
        <w:rPr>
          <w:rFonts w:cstheme="minorHAnsi"/>
        </w:rPr>
      </w:pPr>
      <w:r w:rsidRPr="004737C5">
        <w:rPr>
          <w:rFonts w:cstheme="minorHAnsi"/>
        </w:rPr>
        <w:t>The difference between an agency and a ministry is important from the point of view of operation</w:t>
      </w:r>
      <w:r w:rsidR="00431F5E" w:rsidRPr="004737C5">
        <w:rPr>
          <w:rFonts w:cstheme="minorHAnsi"/>
        </w:rPr>
        <w:t>al autonomy and public profile.</w:t>
      </w:r>
      <w:r w:rsidRPr="004737C5">
        <w:rPr>
          <w:rFonts w:cstheme="minorHAnsi"/>
        </w:rPr>
        <w:t xml:space="preserve"> Even when acting as divisions within ministries, consumer protection agencies can still develop high profiles and there has been a steady movement towards clearer public identity. </w:t>
      </w:r>
    </w:p>
    <w:p w14:paraId="49C734A6" w14:textId="6E5DC845" w:rsidR="00843222" w:rsidRPr="004737C5" w:rsidRDefault="00843222" w:rsidP="00B05EFA">
      <w:pPr>
        <w:tabs>
          <w:tab w:val="left" w:pos="90"/>
        </w:tabs>
        <w:rPr>
          <w:rFonts w:cstheme="minorHAnsi"/>
        </w:rPr>
      </w:pPr>
      <w:r w:rsidRPr="004737C5">
        <w:rPr>
          <w:rFonts w:cstheme="minorHAnsi"/>
          <w:bCs/>
        </w:rPr>
        <w:t xml:space="preserve">One further model is for consumer policy to permeate all of </w:t>
      </w:r>
      <w:r w:rsidR="00431F5E" w:rsidRPr="004737C5">
        <w:rPr>
          <w:rFonts w:cstheme="minorHAnsi"/>
          <w:bCs/>
        </w:rPr>
        <w:t>g</w:t>
      </w:r>
      <w:r w:rsidRPr="004737C5">
        <w:rPr>
          <w:rFonts w:cstheme="minorHAnsi"/>
          <w:bCs/>
        </w:rPr>
        <w:t xml:space="preserve">overnment policy and for governmental </w:t>
      </w:r>
      <w:r w:rsidRPr="004737C5">
        <w:rPr>
          <w:rFonts w:cstheme="minorHAnsi"/>
        </w:rPr>
        <w:t xml:space="preserve">consumer protection </w:t>
      </w:r>
      <w:r w:rsidRPr="004737C5">
        <w:rPr>
          <w:rFonts w:cstheme="minorHAnsi"/>
          <w:bCs/>
        </w:rPr>
        <w:t>agencies to have a degree of jurisdiction across all the sectoral ministries, suc</w:t>
      </w:r>
      <w:r w:rsidR="00431F5E" w:rsidRPr="004737C5">
        <w:rPr>
          <w:rFonts w:cstheme="minorHAnsi"/>
          <w:bCs/>
        </w:rPr>
        <w:t>h as energy, telecommunications and</w:t>
      </w:r>
      <w:r w:rsidRPr="004737C5">
        <w:rPr>
          <w:rFonts w:cstheme="minorHAnsi"/>
          <w:bCs/>
        </w:rPr>
        <w:t xml:space="preserve"> agricul</w:t>
      </w:r>
      <w:r w:rsidR="00431F5E" w:rsidRPr="004737C5">
        <w:rPr>
          <w:rFonts w:cstheme="minorHAnsi"/>
          <w:bCs/>
        </w:rPr>
        <w:t>ture</w:t>
      </w:r>
      <w:r w:rsidRPr="004737C5">
        <w:rPr>
          <w:rFonts w:cstheme="minorHAnsi"/>
          <w:bCs/>
        </w:rPr>
        <w:t>. This has been achieved in Brazil and more recently in Peru (see below).</w:t>
      </w:r>
      <w:r w:rsidRPr="004737C5">
        <w:rPr>
          <w:rStyle w:val="FootnoteReference"/>
          <w:rFonts w:cstheme="minorHAnsi"/>
          <w:bCs/>
        </w:rPr>
        <w:footnoteReference w:id="49"/>
      </w:r>
      <w:r w:rsidRPr="004737C5">
        <w:rPr>
          <w:rFonts w:cstheme="minorHAnsi"/>
          <w:bCs/>
        </w:rPr>
        <w:t xml:space="preserve"> It </w:t>
      </w:r>
      <w:r w:rsidR="00B05EFA" w:rsidRPr="004737C5">
        <w:rPr>
          <w:rFonts w:cstheme="minorHAnsi"/>
          <w:bCs/>
        </w:rPr>
        <w:t>was</w:t>
      </w:r>
      <w:r w:rsidRPr="004737C5">
        <w:rPr>
          <w:rFonts w:cstheme="minorHAnsi"/>
          <w:bCs/>
        </w:rPr>
        <w:t xml:space="preserve"> attempted in Egypt during the early </w:t>
      </w:r>
      <w:r w:rsidR="006A5496" w:rsidRPr="004737C5">
        <w:rPr>
          <w:rFonts w:cstheme="minorHAnsi"/>
          <w:bCs/>
        </w:rPr>
        <w:t>twenty-first</w:t>
      </w:r>
      <w:r w:rsidRPr="004737C5">
        <w:rPr>
          <w:rFonts w:cstheme="minorHAnsi"/>
          <w:bCs/>
        </w:rPr>
        <w:t xml:space="preserve"> century, where the cross-cutting application of </w:t>
      </w:r>
      <w:r w:rsidRPr="004737C5">
        <w:rPr>
          <w:rFonts w:cstheme="minorHAnsi"/>
        </w:rPr>
        <w:t xml:space="preserve">consumer protection </w:t>
      </w:r>
      <w:r w:rsidRPr="004737C5">
        <w:rPr>
          <w:rFonts w:cstheme="minorHAnsi"/>
          <w:bCs/>
        </w:rPr>
        <w:t>law</w:t>
      </w:r>
      <w:r w:rsidR="00431F5E" w:rsidRPr="004737C5">
        <w:rPr>
          <w:rFonts w:cstheme="minorHAnsi"/>
          <w:bCs/>
        </w:rPr>
        <w:t xml:space="preserve"> has been</w:t>
      </w:r>
      <w:r w:rsidRPr="004737C5">
        <w:rPr>
          <w:rFonts w:cstheme="minorHAnsi"/>
          <w:bCs/>
        </w:rPr>
        <w:t xml:space="preserve"> overshadowed at sectoral level by sectoral ministries.</w:t>
      </w:r>
      <w:r w:rsidRPr="004737C5">
        <w:rPr>
          <w:rStyle w:val="FootnoteAnchor"/>
          <w:rFonts w:cstheme="minorHAnsi"/>
          <w:bCs/>
        </w:rPr>
        <w:footnoteReference w:id="50"/>
      </w:r>
      <w:r w:rsidRPr="004737C5">
        <w:rPr>
          <w:rFonts w:cstheme="minorHAnsi"/>
          <w:bCs/>
        </w:rPr>
        <w:t xml:space="preserve"> The revised </w:t>
      </w:r>
      <w:r w:rsidR="0084791E" w:rsidRPr="004737C5">
        <w:rPr>
          <w:rFonts w:cstheme="minorHAnsi"/>
          <w:bCs/>
        </w:rPr>
        <w:t xml:space="preserve">European Union </w:t>
      </w:r>
      <w:r w:rsidR="003F4B7F" w:rsidRPr="004737C5">
        <w:rPr>
          <w:rFonts w:cstheme="minorHAnsi"/>
          <w:bCs/>
        </w:rPr>
        <w:t>Treaty in 1997 provided under a</w:t>
      </w:r>
      <w:r w:rsidRPr="004737C5">
        <w:rPr>
          <w:rFonts w:cstheme="minorHAnsi"/>
          <w:bCs/>
        </w:rPr>
        <w:t>rticle 153 that</w:t>
      </w:r>
      <w:r w:rsidR="00431F5E" w:rsidRPr="004737C5">
        <w:rPr>
          <w:rFonts w:cstheme="minorHAnsi"/>
        </w:rPr>
        <w:t xml:space="preserve"> henceforward</w:t>
      </w:r>
      <w:r w:rsidRPr="004737C5">
        <w:rPr>
          <w:rFonts w:cstheme="minorHAnsi"/>
        </w:rPr>
        <w:t xml:space="preserve"> </w:t>
      </w:r>
      <w:r w:rsidR="00431F5E" w:rsidRPr="004737C5">
        <w:rPr>
          <w:rFonts w:cstheme="minorHAnsi"/>
        </w:rPr>
        <w:t>“</w:t>
      </w:r>
      <w:r w:rsidR="004D505A" w:rsidRPr="004737C5">
        <w:rPr>
          <w:rFonts w:cstheme="minorHAnsi"/>
        </w:rPr>
        <w:t>consumer protection requirements shall be taken into account in defining and implementing other Community policies and activities</w:t>
      </w:r>
      <w:r w:rsidR="00431F5E" w:rsidRPr="004737C5">
        <w:rPr>
          <w:rFonts w:cstheme="minorHAnsi"/>
        </w:rPr>
        <w:t>”.</w:t>
      </w:r>
      <w:r w:rsidRPr="004737C5">
        <w:rPr>
          <w:rStyle w:val="FootnoteAnchor"/>
          <w:rFonts w:cstheme="minorHAnsi"/>
        </w:rPr>
        <w:footnoteReference w:id="51"/>
      </w:r>
      <w:r w:rsidRPr="004737C5">
        <w:rPr>
          <w:rFonts w:cstheme="minorHAnsi"/>
          <w:b/>
        </w:rPr>
        <w:t xml:space="preserve"> </w:t>
      </w:r>
    </w:p>
    <w:p w14:paraId="7A3BA03D" w14:textId="77777777" w:rsidR="00843222" w:rsidRPr="004737C5" w:rsidRDefault="0026780F" w:rsidP="00B05EFA">
      <w:pPr>
        <w:pStyle w:val="Heading3"/>
        <w:spacing w:after="160" w:line="240" w:lineRule="auto"/>
        <w:rPr>
          <w:rFonts w:cstheme="minorHAnsi"/>
          <w:color w:val="auto"/>
        </w:rPr>
      </w:pPr>
      <w:bookmarkStart w:id="38" w:name="_Toc492649991"/>
      <w:r w:rsidRPr="004737C5">
        <w:rPr>
          <w:rFonts w:cstheme="minorHAnsi"/>
          <w:color w:val="auto"/>
        </w:rPr>
        <w:t>1</w:t>
      </w:r>
      <w:r w:rsidR="00431F5E" w:rsidRPr="004737C5">
        <w:rPr>
          <w:rFonts w:cstheme="minorHAnsi"/>
          <w:color w:val="auto"/>
        </w:rPr>
        <w:t>.</w:t>
      </w:r>
      <w:r w:rsidR="00843222" w:rsidRPr="004737C5">
        <w:rPr>
          <w:rFonts w:cstheme="minorHAnsi"/>
          <w:color w:val="auto"/>
        </w:rPr>
        <w:t xml:space="preserve"> </w:t>
      </w:r>
      <w:r w:rsidR="00775159" w:rsidRPr="004737C5">
        <w:rPr>
          <w:rFonts w:cstheme="minorHAnsi"/>
          <w:color w:val="auto"/>
        </w:rPr>
        <w:t>Examples of</w:t>
      </w:r>
      <w:r w:rsidR="00431F5E" w:rsidRPr="004737C5">
        <w:rPr>
          <w:rFonts w:cstheme="minorHAnsi"/>
          <w:color w:val="auto"/>
        </w:rPr>
        <w:t xml:space="preserve"> g</w:t>
      </w:r>
      <w:r w:rsidR="00843222" w:rsidRPr="004737C5">
        <w:rPr>
          <w:rFonts w:cstheme="minorHAnsi"/>
          <w:color w:val="auto"/>
        </w:rPr>
        <w:t>overnment agencies within ministries</w:t>
      </w:r>
      <w:bookmarkEnd w:id="38"/>
    </w:p>
    <w:p w14:paraId="5C7F3F7E" w14:textId="321B779E" w:rsidR="00843222" w:rsidRPr="004737C5" w:rsidRDefault="00843222" w:rsidP="006D3BE8">
      <w:pPr>
        <w:pStyle w:val="TextBody"/>
        <w:spacing w:after="160" w:line="240" w:lineRule="auto"/>
        <w:rPr>
          <w:rFonts w:asciiTheme="minorHAnsi" w:hAnsiTheme="minorHAnsi" w:cstheme="minorHAnsi"/>
          <w:sz w:val="22"/>
        </w:rPr>
      </w:pPr>
      <w:r w:rsidRPr="004737C5">
        <w:rPr>
          <w:rFonts w:asciiTheme="minorHAnsi" w:hAnsiTheme="minorHAnsi" w:cstheme="minorHAnsi"/>
          <w:sz w:val="22"/>
        </w:rPr>
        <w:t xml:space="preserve">In India, the Department of Consumer Affairs, set up in 1997, </w:t>
      </w:r>
      <w:r w:rsidR="009A244E" w:rsidRPr="004737C5">
        <w:rPr>
          <w:rFonts w:asciiTheme="minorHAnsi" w:hAnsiTheme="minorHAnsi" w:cstheme="minorHAnsi"/>
          <w:sz w:val="22"/>
        </w:rPr>
        <w:t xml:space="preserve">forms part of the Ministry of Consumer Affairs, Food and Public Distribution and </w:t>
      </w:r>
      <w:r w:rsidRPr="004737C5">
        <w:rPr>
          <w:rFonts w:asciiTheme="minorHAnsi" w:hAnsiTheme="minorHAnsi" w:cstheme="minorHAnsi"/>
          <w:sz w:val="22"/>
        </w:rPr>
        <w:t>is responsible for the development of the consumer protection portfolio. It formulates policies, monitors availability of essential commodities, supports the consumer movement, oversees statutory bodies such as</w:t>
      </w:r>
      <w:r w:rsidR="00431F5E" w:rsidRPr="004737C5">
        <w:rPr>
          <w:rFonts w:asciiTheme="minorHAnsi" w:hAnsiTheme="minorHAnsi" w:cstheme="minorHAnsi"/>
          <w:sz w:val="22"/>
        </w:rPr>
        <w:t xml:space="preserve"> the Bureau of Indian Standards</w:t>
      </w:r>
      <w:r w:rsidRPr="004737C5">
        <w:rPr>
          <w:rFonts w:asciiTheme="minorHAnsi" w:hAnsiTheme="minorHAnsi" w:cstheme="minorHAnsi"/>
          <w:sz w:val="22"/>
        </w:rPr>
        <w:t xml:space="preserve"> and </w:t>
      </w:r>
      <w:r w:rsidRPr="004737C5">
        <w:rPr>
          <w:rFonts w:asciiTheme="minorHAnsi" w:hAnsiTheme="minorHAnsi" w:cstheme="minorHAnsi"/>
          <w:sz w:val="22"/>
        </w:rPr>
        <w:lastRenderedPageBreak/>
        <w:t>enforces consumer protection, such as the prevention of unfair trade practices. India has a vibrant and inventive range of cons</w:t>
      </w:r>
      <w:r w:rsidR="00B05EFA" w:rsidRPr="004737C5">
        <w:rPr>
          <w:rFonts w:asciiTheme="minorHAnsi" w:hAnsiTheme="minorHAnsi" w:cstheme="minorHAnsi"/>
          <w:sz w:val="22"/>
        </w:rPr>
        <w:t>umer associations to which the d</w:t>
      </w:r>
      <w:r w:rsidRPr="004737C5">
        <w:rPr>
          <w:rFonts w:asciiTheme="minorHAnsi" w:hAnsiTheme="minorHAnsi" w:cstheme="minorHAnsi"/>
          <w:sz w:val="22"/>
        </w:rPr>
        <w:t xml:space="preserve">epartment responds. </w:t>
      </w:r>
    </w:p>
    <w:p w14:paraId="18B39E04" w14:textId="77777777" w:rsidR="00843222" w:rsidRPr="004737C5" w:rsidRDefault="00843222" w:rsidP="006D3BE8">
      <w:pPr>
        <w:pStyle w:val="TextBody"/>
        <w:spacing w:after="160" w:line="240" w:lineRule="auto"/>
        <w:rPr>
          <w:rFonts w:asciiTheme="minorHAnsi" w:hAnsiTheme="minorHAnsi" w:cstheme="minorHAnsi"/>
          <w:sz w:val="22"/>
          <w:szCs w:val="22"/>
        </w:rPr>
      </w:pPr>
      <w:r w:rsidRPr="004737C5">
        <w:rPr>
          <w:rFonts w:asciiTheme="minorHAnsi" w:hAnsiTheme="minorHAnsi" w:cstheme="minorHAnsi"/>
          <w:sz w:val="22"/>
        </w:rPr>
        <w:t xml:space="preserve">In </w:t>
      </w:r>
      <w:r w:rsidRPr="004737C5">
        <w:rPr>
          <w:rFonts w:asciiTheme="minorHAnsi" w:hAnsiTheme="minorHAnsi" w:cstheme="minorHAnsi"/>
          <w:sz w:val="22"/>
          <w:szCs w:val="22"/>
        </w:rPr>
        <w:t xml:space="preserve">New Zealand and South Africa, consumer protection was directly </w:t>
      </w:r>
      <w:r w:rsidR="00431F5E" w:rsidRPr="004737C5">
        <w:rPr>
          <w:rFonts w:asciiTheme="minorHAnsi" w:hAnsiTheme="minorHAnsi" w:cstheme="minorHAnsi"/>
          <w:sz w:val="22"/>
          <w:szCs w:val="22"/>
        </w:rPr>
        <w:t>administered from the relevant m</w:t>
      </w:r>
      <w:r w:rsidRPr="004737C5">
        <w:rPr>
          <w:rFonts w:asciiTheme="minorHAnsi" w:hAnsiTheme="minorHAnsi" w:cstheme="minorHAnsi"/>
          <w:sz w:val="22"/>
          <w:szCs w:val="22"/>
        </w:rPr>
        <w:t>inistries until relatively recently. They have developed</w:t>
      </w:r>
      <w:r w:rsidR="00431F5E" w:rsidRPr="004737C5">
        <w:rPr>
          <w:rFonts w:asciiTheme="minorHAnsi" w:hAnsiTheme="minorHAnsi" w:cstheme="minorHAnsi"/>
          <w:sz w:val="22"/>
          <w:szCs w:val="22"/>
        </w:rPr>
        <w:t xml:space="preserve"> clearly identifiable agencies,</w:t>
      </w:r>
      <w:r w:rsidRPr="004737C5">
        <w:rPr>
          <w:rFonts w:asciiTheme="minorHAnsi" w:hAnsiTheme="minorHAnsi" w:cstheme="minorHAnsi"/>
          <w:sz w:val="22"/>
          <w:szCs w:val="22"/>
        </w:rPr>
        <w:t xml:space="preserve"> Consumer Protection of New Zealand within the Ministry of Bus</w:t>
      </w:r>
      <w:r w:rsidR="00431F5E" w:rsidRPr="004737C5">
        <w:rPr>
          <w:rFonts w:asciiTheme="minorHAnsi" w:hAnsiTheme="minorHAnsi" w:cstheme="minorHAnsi"/>
          <w:sz w:val="22"/>
          <w:szCs w:val="22"/>
        </w:rPr>
        <w:t>iness Innovation and Employment</w:t>
      </w:r>
      <w:r w:rsidRPr="004737C5">
        <w:rPr>
          <w:rFonts w:asciiTheme="minorHAnsi" w:hAnsiTheme="minorHAnsi" w:cstheme="minorHAnsi"/>
          <w:sz w:val="22"/>
          <w:szCs w:val="22"/>
        </w:rPr>
        <w:t xml:space="preserve"> and the National Consumer Commission in South Africa</w:t>
      </w:r>
      <w:r w:rsidR="00431F5E" w:rsidRPr="004737C5">
        <w:rPr>
          <w:rFonts w:asciiTheme="minorHAnsi" w:hAnsiTheme="minorHAnsi" w:cstheme="minorHAnsi"/>
          <w:sz w:val="22"/>
          <w:szCs w:val="22"/>
        </w:rPr>
        <w:t>,</w:t>
      </w:r>
      <w:r w:rsidRPr="004737C5">
        <w:rPr>
          <w:rFonts w:asciiTheme="minorHAnsi" w:hAnsiTheme="minorHAnsi" w:cstheme="minorHAnsi"/>
          <w:sz w:val="22"/>
          <w:szCs w:val="22"/>
        </w:rPr>
        <w:t xml:space="preserve"> as </w:t>
      </w:r>
      <w:r w:rsidR="00431F5E" w:rsidRPr="004737C5">
        <w:rPr>
          <w:rFonts w:asciiTheme="minorHAnsi" w:hAnsiTheme="minorHAnsi" w:cstheme="minorHAnsi"/>
          <w:sz w:val="22"/>
          <w:szCs w:val="22"/>
        </w:rPr>
        <w:t>“</w:t>
      </w:r>
      <w:r w:rsidRPr="004737C5">
        <w:rPr>
          <w:rFonts w:asciiTheme="minorHAnsi" w:hAnsiTheme="minorHAnsi" w:cstheme="minorHAnsi"/>
          <w:sz w:val="22"/>
          <w:szCs w:val="22"/>
        </w:rPr>
        <w:t>institution</w:t>
      </w:r>
      <w:r w:rsidR="00431F5E" w:rsidRPr="004737C5">
        <w:rPr>
          <w:rFonts w:asciiTheme="minorHAnsi" w:hAnsiTheme="minorHAnsi" w:cstheme="minorHAnsi"/>
          <w:sz w:val="22"/>
          <w:szCs w:val="22"/>
        </w:rPr>
        <w:t>s outside public service”</w:t>
      </w:r>
      <w:r w:rsidRPr="004737C5">
        <w:rPr>
          <w:rFonts w:asciiTheme="minorHAnsi" w:hAnsiTheme="minorHAnsi" w:cstheme="minorHAnsi"/>
          <w:sz w:val="22"/>
          <w:szCs w:val="22"/>
        </w:rPr>
        <w:t xml:space="preserve"> performing many of the functions associated with consumer protection throughout the world, with competition going to a separate agency. </w:t>
      </w:r>
    </w:p>
    <w:p w14:paraId="3DC1BFBE" w14:textId="77777777" w:rsidR="00843222" w:rsidRPr="004737C5" w:rsidRDefault="00843222" w:rsidP="006D3BE8">
      <w:pPr>
        <w:rPr>
          <w:rFonts w:cstheme="minorHAnsi"/>
        </w:rPr>
      </w:pPr>
      <w:r w:rsidRPr="004737C5">
        <w:rPr>
          <w:rFonts w:cstheme="minorHAnsi"/>
        </w:rPr>
        <w:t xml:space="preserve">In Latin America, national agencies in Brazil and Chile have gradually developed high public profiles, their institutions now being quite mature. In Brazil, the </w:t>
      </w:r>
      <w:r w:rsidRPr="004737C5">
        <w:rPr>
          <w:rFonts w:cstheme="minorHAnsi"/>
          <w:iCs/>
        </w:rPr>
        <w:t>Secretaria Nacional do Consumidor</w:t>
      </w:r>
      <w:r w:rsidR="00775159" w:rsidRPr="004737C5">
        <w:rPr>
          <w:rFonts w:cstheme="minorHAnsi"/>
        </w:rPr>
        <w:t xml:space="preserve"> </w:t>
      </w:r>
      <w:r w:rsidR="00431F5E" w:rsidRPr="004737C5">
        <w:rPr>
          <w:rFonts w:cstheme="minorHAnsi"/>
        </w:rPr>
        <w:t>(SENACON) is a federal g</w:t>
      </w:r>
      <w:r w:rsidRPr="004737C5">
        <w:rPr>
          <w:rFonts w:cstheme="minorHAnsi"/>
        </w:rPr>
        <w:t>overnment agency under the Ministry of Justice. Its functions include receiving, collecting and disseminating information and advice to consumers, promoting consumer education, mounting investigations into consumer complaints and m</w:t>
      </w:r>
      <w:r w:rsidR="00431F5E" w:rsidRPr="004737C5">
        <w:rPr>
          <w:rFonts w:cstheme="minorHAnsi"/>
        </w:rPr>
        <w:t>aking recommendations to other g</w:t>
      </w:r>
      <w:r w:rsidRPr="004737C5">
        <w:rPr>
          <w:rFonts w:cstheme="minorHAnsi"/>
        </w:rPr>
        <w:t>overnment agencies about consumer protection. Under the terms of the Consumer Protection Code, which celebrated its 25</w:t>
      </w:r>
      <w:r w:rsidRPr="004737C5">
        <w:rPr>
          <w:rFonts w:cstheme="minorHAnsi"/>
          <w:vertAlign w:val="superscript"/>
        </w:rPr>
        <w:t>th</w:t>
      </w:r>
      <w:r w:rsidRPr="004737C5">
        <w:rPr>
          <w:rFonts w:cstheme="minorHAnsi"/>
        </w:rPr>
        <w:t xml:space="preserve"> anniversary in 2015, SENACON coordinates the National Consumer Defence System, which includes provincial consumer agencies (the PROCONs, which carry out much of the work on individual cases), public defenders and the relevant ministries.</w:t>
      </w:r>
      <w:r w:rsidRPr="004737C5">
        <w:rPr>
          <w:rStyle w:val="FootnoteReference"/>
          <w:rFonts w:cstheme="minorHAnsi"/>
        </w:rPr>
        <w:footnoteReference w:id="52"/>
      </w:r>
    </w:p>
    <w:p w14:paraId="4CE5B005" w14:textId="37E43054" w:rsidR="00843222" w:rsidRPr="004737C5" w:rsidRDefault="00843222" w:rsidP="006D3BE8">
      <w:pPr>
        <w:rPr>
          <w:rFonts w:cstheme="minorHAnsi"/>
        </w:rPr>
      </w:pPr>
      <w:r w:rsidRPr="004737C5">
        <w:rPr>
          <w:rFonts w:cstheme="minorHAnsi"/>
        </w:rPr>
        <w:t xml:space="preserve">In France, the </w:t>
      </w:r>
      <w:r w:rsidR="00431F5E" w:rsidRPr="004737C5">
        <w:rPr>
          <w:rFonts w:cstheme="minorHAnsi"/>
          <w:iCs/>
        </w:rPr>
        <w:t>Direction générale de la concurrence, la c</w:t>
      </w:r>
      <w:r w:rsidRPr="004737C5">
        <w:rPr>
          <w:rFonts w:cstheme="minorHAnsi"/>
          <w:iCs/>
        </w:rPr>
        <w:t xml:space="preserve">onsommation et la </w:t>
      </w:r>
      <w:r w:rsidR="00431F5E" w:rsidRPr="004737C5">
        <w:rPr>
          <w:rFonts w:cstheme="minorHAnsi"/>
          <w:iCs/>
        </w:rPr>
        <w:t>répression des f</w:t>
      </w:r>
      <w:r w:rsidRPr="004737C5">
        <w:rPr>
          <w:rFonts w:cstheme="minorHAnsi"/>
          <w:iCs/>
        </w:rPr>
        <w:t>raudes</w:t>
      </w:r>
      <w:r w:rsidRPr="004737C5">
        <w:rPr>
          <w:rFonts w:cstheme="minorHAnsi"/>
        </w:rPr>
        <w:t xml:space="preserve"> (DGCCRF) is attached </w:t>
      </w:r>
      <w:r w:rsidR="009540A6" w:rsidRPr="004737C5">
        <w:rPr>
          <w:rFonts w:cstheme="minorHAnsi"/>
        </w:rPr>
        <w:t xml:space="preserve">to the Ministry of the Economy and Finance </w:t>
      </w:r>
      <w:r w:rsidRPr="004737C5">
        <w:rPr>
          <w:rFonts w:cstheme="minorHAnsi"/>
        </w:rPr>
        <w:t>and has an extensive network of offices</w:t>
      </w:r>
      <w:r w:rsidR="00431F5E" w:rsidRPr="004737C5">
        <w:rPr>
          <w:rFonts w:cstheme="minorHAnsi"/>
        </w:rPr>
        <w:t xml:space="preserve"> in every </w:t>
      </w:r>
      <w:r w:rsidR="00431F5E" w:rsidRPr="004737C5">
        <w:rPr>
          <w:rFonts w:cstheme="minorHAnsi"/>
          <w:i/>
        </w:rPr>
        <w:t>département</w:t>
      </w:r>
      <w:r w:rsidR="00431F5E" w:rsidRPr="004737C5">
        <w:rPr>
          <w:rFonts w:cstheme="minorHAnsi"/>
        </w:rPr>
        <w:t xml:space="preserve"> of France:</w:t>
      </w:r>
      <w:r w:rsidRPr="004737C5">
        <w:rPr>
          <w:rFonts w:cstheme="minorHAnsi"/>
        </w:rPr>
        <w:t xml:space="preserve"> 96 outlets in all. It has responsibility for the r</w:t>
      </w:r>
      <w:r w:rsidR="00431F5E" w:rsidRPr="004737C5">
        <w:rPr>
          <w:rFonts w:cstheme="minorHAnsi"/>
        </w:rPr>
        <w:t>egulation of market competition</w:t>
      </w:r>
      <w:r w:rsidRPr="004737C5">
        <w:rPr>
          <w:rFonts w:cstheme="minorHAnsi"/>
        </w:rPr>
        <w:t xml:space="preserve"> (with powers t</w:t>
      </w:r>
      <w:r w:rsidR="00431F5E" w:rsidRPr="004737C5">
        <w:rPr>
          <w:rFonts w:cstheme="minorHAnsi"/>
        </w:rPr>
        <w:t>o refer case</w:t>
      </w:r>
      <w:r w:rsidR="00B05EFA" w:rsidRPr="004737C5">
        <w:rPr>
          <w:rFonts w:cstheme="minorHAnsi"/>
        </w:rPr>
        <w:t>s to the competition authority),</w:t>
      </w:r>
      <w:r w:rsidR="00431F5E" w:rsidRPr="004737C5">
        <w:rPr>
          <w:rFonts w:cstheme="minorHAnsi"/>
        </w:rPr>
        <w:t xml:space="preserve"> the</w:t>
      </w:r>
      <w:r w:rsidRPr="004737C5">
        <w:rPr>
          <w:rFonts w:cstheme="minorHAnsi"/>
        </w:rPr>
        <w:t xml:space="preserve"> economic protection of consumers, notably by encouraging the development of fair commercial practices,</w:t>
      </w:r>
      <w:r w:rsidR="00431F5E" w:rsidRPr="004737C5">
        <w:rPr>
          <w:rFonts w:cstheme="minorHAnsi"/>
        </w:rPr>
        <w:t xml:space="preserve"> the respect of consumer rights</w:t>
      </w:r>
      <w:r w:rsidRPr="004737C5">
        <w:rPr>
          <w:rFonts w:cstheme="minorHAnsi"/>
        </w:rPr>
        <w:t xml:space="preserve"> and product safety (including the European Rapid Alert system</w:t>
      </w:r>
      <w:r w:rsidR="00431F5E" w:rsidRPr="004737C5">
        <w:rPr>
          <w:rFonts w:cstheme="minorHAnsi"/>
        </w:rPr>
        <w:t>,</w:t>
      </w:r>
      <w:r w:rsidRPr="004737C5">
        <w:rPr>
          <w:rFonts w:cstheme="minorHAnsi"/>
        </w:rPr>
        <w:t xml:space="preserve"> RAPEX and the Food and Feed Safety Alerts</w:t>
      </w:r>
      <w:r w:rsidR="00431F5E" w:rsidRPr="004737C5">
        <w:rPr>
          <w:rFonts w:cstheme="minorHAnsi"/>
        </w:rPr>
        <w:t>,</w:t>
      </w:r>
      <w:r w:rsidRPr="004737C5">
        <w:rPr>
          <w:rFonts w:cstheme="minorHAnsi"/>
        </w:rPr>
        <w:t xml:space="preserve"> RASSF</w:t>
      </w:r>
      <w:r w:rsidR="00237E89" w:rsidRPr="004737C5">
        <w:rPr>
          <w:rFonts w:cstheme="minorHAnsi"/>
        </w:rPr>
        <w:t>).</w:t>
      </w:r>
      <w:r w:rsidRPr="004737C5">
        <w:rPr>
          <w:rFonts w:cstheme="minorHAnsi"/>
        </w:rPr>
        <w:t xml:space="preserve"> It covers particular sectors such as transport, tourism and financia</w:t>
      </w:r>
      <w:r w:rsidR="00431F5E" w:rsidRPr="004737C5">
        <w:rPr>
          <w:rFonts w:cstheme="minorHAnsi"/>
        </w:rPr>
        <w:t>l services. It acts as a policy</w:t>
      </w:r>
      <w:r w:rsidRPr="004737C5">
        <w:rPr>
          <w:rFonts w:cstheme="minorHAnsi"/>
        </w:rPr>
        <w:t xml:space="preserve">maker and enforcer. Its high public profile generated four million online contacts in 2015. </w:t>
      </w:r>
    </w:p>
    <w:p w14:paraId="229E7B0C" w14:textId="31BCAB89" w:rsidR="00843222" w:rsidRPr="004737C5" w:rsidRDefault="00431F5E" w:rsidP="00B05EFA">
      <w:pPr>
        <w:shd w:val="clear" w:color="auto" w:fill="FFFFFF"/>
        <w:rPr>
          <w:rFonts w:cstheme="minorHAnsi"/>
          <w:color w:val="222222"/>
        </w:rPr>
      </w:pPr>
      <w:r w:rsidRPr="004737C5">
        <w:rPr>
          <w:rFonts w:cstheme="minorHAnsi"/>
        </w:rPr>
        <w:t>In some former Soviet r</w:t>
      </w:r>
      <w:r w:rsidR="00843222" w:rsidRPr="004737C5">
        <w:rPr>
          <w:rFonts w:cstheme="minorHAnsi"/>
        </w:rPr>
        <w:t xml:space="preserve">epublics, consumer protection remains as a department </w:t>
      </w:r>
      <w:r w:rsidR="00450253" w:rsidRPr="004737C5">
        <w:rPr>
          <w:rFonts w:cstheme="minorHAnsi"/>
        </w:rPr>
        <w:t xml:space="preserve">or agency </w:t>
      </w:r>
      <w:r w:rsidR="00843222" w:rsidRPr="004737C5">
        <w:rPr>
          <w:rFonts w:cstheme="minorHAnsi"/>
        </w:rPr>
        <w:t xml:space="preserve">within ministries </w:t>
      </w:r>
      <w:r w:rsidR="00B05EFA" w:rsidRPr="004737C5">
        <w:rPr>
          <w:rFonts w:cstheme="minorHAnsi"/>
        </w:rPr>
        <w:t>(typically trade or e</w:t>
      </w:r>
      <w:r w:rsidR="00450253" w:rsidRPr="004737C5">
        <w:rPr>
          <w:rFonts w:cstheme="minorHAnsi"/>
        </w:rPr>
        <w:t xml:space="preserve">conomy) </w:t>
      </w:r>
      <w:r w:rsidR="00843222" w:rsidRPr="004737C5">
        <w:rPr>
          <w:rFonts w:cstheme="minorHAnsi"/>
        </w:rPr>
        <w:t>and has a low profile</w:t>
      </w:r>
      <w:r w:rsidR="00450253" w:rsidRPr="004737C5">
        <w:rPr>
          <w:rFonts w:cstheme="minorHAnsi"/>
        </w:rPr>
        <w:t xml:space="preserve"> within government</w:t>
      </w:r>
      <w:r w:rsidR="00843222" w:rsidRPr="004737C5">
        <w:rPr>
          <w:rFonts w:cstheme="minorHAnsi"/>
        </w:rPr>
        <w:t xml:space="preserve">. This is the case </w:t>
      </w:r>
      <w:r w:rsidR="003E47E8" w:rsidRPr="004737C5">
        <w:rPr>
          <w:rFonts w:cstheme="minorHAnsi"/>
        </w:rPr>
        <w:t>in Uzbekistan</w:t>
      </w:r>
      <w:r w:rsidR="00450253" w:rsidRPr="004737C5">
        <w:rPr>
          <w:rFonts w:cstheme="minorHAnsi"/>
        </w:rPr>
        <w:t xml:space="preserve">, </w:t>
      </w:r>
      <w:r w:rsidR="00843222" w:rsidRPr="004737C5">
        <w:rPr>
          <w:rFonts w:cstheme="minorHAnsi"/>
        </w:rPr>
        <w:t xml:space="preserve">Moldova, Belarus and Turkmenistan. </w:t>
      </w:r>
      <w:r w:rsidR="002149EA" w:rsidRPr="004737C5">
        <w:rPr>
          <w:rFonts w:cstheme="minorHAnsi"/>
        </w:rPr>
        <w:t xml:space="preserve">In Moldova, an </w:t>
      </w:r>
      <w:r w:rsidR="007672E8" w:rsidRPr="004737C5">
        <w:rPr>
          <w:rFonts w:cstheme="minorHAnsi"/>
        </w:rPr>
        <w:t>a</w:t>
      </w:r>
      <w:r w:rsidR="002149EA" w:rsidRPr="004737C5">
        <w:rPr>
          <w:rFonts w:cstheme="minorHAnsi"/>
        </w:rPr>
        <w:t xml:space="preserve">gency within the Ministry of Economy was formed in 2016. </w:t>
      </w:r>
    </w:p>
    <w:p w14:paraId="34E33CEC" w14:textId="77777777" w:rsidR="00843222" w:rsidRPr="004737C5" w:rsidRDefault="00843222" w:rsidP="00B05EFA">
      <w:pPr>
        <w:pStyle w:val="Heading3"/>
        <w:spacing w:after="160" w:line="240" w:lineRule="auto"/>
        <w:rPr>
          <w:rFonts w:cstheme="minorHAnsi"/>
        </w:rPr>
      </w:pPr>
      <w:bookmarkStart w:id="39" w:name="_Toc492649992"/>
      <w:r w:rsidRPr="004737C5">
        <w:rPr>
          <w:rFonts w:cstheme="minorHAnsi"/>
          <w:color w:val="auto"/>
        </w:rPr>
        <w:t>2</w:t>
      </w:r>
      <w:r w:rsidR="00431F5E" w:rsidRPr="004737C5">
        <w:rPr>
          <w:rFonts w:cstheme="minorHAnsi"/>
          <w:color w:val="auto"/>
        </w:rPr>
        <w:t>.</w:t>
      </w:r>
      <w:r w:rsidRPr="004737C5">
        <w:rPr>
          <w:rFonts w:cstheme="minorHAnsi"/>
          <w:color w:val="auto"/>
        </w:rPr>
        <w:t xml:space="preserve"> Consultation mechanisms</w:t>
      </w:r>
      <w:bookmarkEnd w:id="39"/>
    </w:p>
    <w:p w14:paraId="0CA5011B" w14:textId="71C946E0" w:rsidR="00843222" w:rsidRPr="004737C5" w:rsidRDefault="00843222" w:rsidP="006D3BE8">
      <w:pPr>
        <w:rPr>
          <w:rFonts w:cstheme="minorHAnsi"/>
        </w:rPr>
      </w:pPr>
      <w:r w:rsidRPr="004737C5">
        <w:rPr>
          <w:rFonts w:cstheme="minorHAnsi"/>
        </w:rPr>
        <w:t>As consumer protection has matured as a discipline, greater acceptance of consultation mechanisms</w:t>
      </w:r>
      <w:r w:rsidR="00B05EFA" w:rsidRPr="004737C5">
        <w:rPr>
          <w:rFonts w:cstheme="minorHAnsi"/>
        </w:rPr>
        <w:t xml:space="preserve"> has developed</w:t>
      </w:r>
      <w:r w:rsidRPr="004737C5">
        <w:rPr>
          <w:rFonts w:cstheme="minorHAnsi"/>
        </w:rPr>
        <w:t>. For example, in Indonesia, the</w:t>
      </w:r>
      <w:r w:rsidRPr="004737C5">
        <w:rPr>
          <w:rFonts w:cstheme="minorHAnsi"/>
          <w:b/>
        </w:rPr>
        <w:t xml:space="preserve"> </w:t>
      </w:r>
      <w:r w:rsidRPr="004737C5">
        <w:rPr>
          <w:rFonts w:cstheme="minorHAnsi"/>
        </w:rPr>
        <w:t>Directo</w:t>
      </w:r>
      <w:r w:rsidR="00431F5E" w:rsidRPr="004737C5">
        <w:rPr>
          <w:rFonts w:cstheme="minorHAnsi"/>
        </w:rPr>
        <w:t>rate of Consumer Protection, a g</w:t>
      </w:r>
      <w:r w:rsidRPr="004737C5">
        <w:rPr>
          <w:rFonts w:cstheme="minorHAnsi"/>
        </w:rPr>
        <w:t>overnment agency within the Ministry of Trade since 1999, has promoted consumer forums (initiated origi</w:t>
      </w:r>
      <w:r w:rsidR="00431F5E" w:rsidRPr="004737C5">
        <w:rPr>
          <w:rFonts w:cstheme="minorHAnsi"/>
        </w:rPr>
        <w:t xml:space="preserve">nally by NGOs) in particular sectors involving consumer associations, </w:t>
      </w:r>
      <w:r w:rsidRPr="004737C5">
        <w:rPr>
          <w:rFonts w:cstheme="minorHAnsi"/>
        </w:rPr>
        <w:t xml:space="preserve">where consumer grievances are aired publicly and solutions put forward. </w:t>
      </w:r>
    </w:p>
    <w:p w14:paraId="31281458" w14:textId="4CFA6339" w:rsidR="00843222" w:rsidRPr="004737C5" w:rsidRDefault="00843222" w:rsidP="006D3BE8">
      <w:pPr>
        <w:rPr>
          <w:rFonts w:cstheme="minorHAnsi"/>
        </w:rPr>
      </w:pPr>
      <w:r w:rsidRPr="004737C5">
        <w:rPr>
          <w:rFonts w:cstheme="minorHAnsi"/>
        </w:rPr>
        <w:t>Consultations ca</w:t>
      </w:r>
      <w:r w:rsidR="00431F5E" w:rsidRPr="004737C5">
        <w:rPr>
          <w:rFonts w:cstheme="minorHAnsi"/>
        </w:rPr>
        <w:t>n</w:t>
      </w:r>
      <w:r w:rsidR="00B05EFA" w:rsidRPr="004737C5">
        <w:rPr>
          <w:rFonts w:cstheme="minorHAnsi"/>
        </w:rPr>
        <w:t>,</w:t>
      </w:r>
      <w:r w:rsidR="00431F5E" w:rsidRPr="004737C5">
        <w:rPr>
          <w:rFonts w:cstheme="minorHAnsi"/>
        </w:rPr>
        <w:t xml:space="preserve"> of course, refer down within g</w:t>
      </w:r>
      <w:r w:rsidRPr="004737C5">
        <w:rPr>
          <w:rFonts w:cstheme="minorHAnsi"/>
        </w:rPr>
        <w:t xml:space="preserve">overnment as well as up from consumers. Some jurisdictions have set up consultative forums at very high levels. </w:t>
      </w:r>
    </w:p>
    <w:p w14:paraId="69A13BE6" w14:textId="2A69E15B" w:rsidR="00843222" w:rsidRPr="004737C5" w:rsidRDefault="00843222" w:rsidP="006D3BE8">
      <w:pPr>
        <w:pStyle w:val="TextBody"/>
        <w:spacing w:after="160" w:line="240" w:lineRule="auto"/>
        <w:rPr>
          <w:rFonts w:asciiTheme="minorHAnsi" w:hAnsiTheme="minorHAnsi" w:cstheme="minorHAnsi"/>
          <w:sz w:val="22"/>
          <w:szCs w:val="22"/>
        </w:rPr>
      </w:pPr>
      <w:r w:rsidRPr="004737C5">
        <w:rPr>
          <w:rFonts w:asciiTheme="minorHAnsi" w:hAnsiTheme="minorHAnsi" w:cstheme="minorHAnsi"/>
          <w:iCs/>
          <w:sz w:val="22"/>
          <w:szCs w:val="22"/>
        </w:rPr>
        <w:t>In Japan, t</w:t>
      </w:r>
      <w:r w:rsidRPr="004737C5">
        <w:rPr>
          <w:rFonts w:asciiTheme="minorHAnsi" w:hAnsiTheme="minorHAnsi" w:cstheme="minorHAnsi"/>
          <w:sz w:val="22"/>
          <w:szCs w:val="22"/>
        </w:rPr>
        <w:t xml:space="preserve">he Consumer Policy Council was set up under the Prime Minister’s Office under the Consumer Protection Fundamental </w:t>
      </w:r>
      <w:r w:rsidR="00431F5E" w:rsidRPr="004737C5">
        <w:rPr>
          <w:rFonts w:asciiTheme="minorHAnsi" w:hAnsiTheme="minorHAnsi" w:cstheme="minorHAnsi"/>
          <w:sz w:val="22"/>
          <w:szCs w:val="22"/>
        </w:rPr>
        <w:t>Act 1968. It is chaired by the prime m</w:t>
      </w:r>
      <w:r w:rsidRPr="004737C5">
        <w:rPr>
          <w:rFonts w:asciiTheme="minorHAnsi" w:hAnsiTheme="minorHAnsi" w:cstheme="minorHAnsi"/>
          <w:sz w:val="22"/>
          <w:szCs w:val="22"/>
        </w:rPr>
        <w:t>inister and</w:t>
      </w:r>
      <w:r w:rsidR="00B05EFA" w:rsidRPr="004737C5">
        <w:rPr>
          <w:rFonts w:asciiTheme="minorHAnsi" w:hAnsiTheme="minorHAnsi" w:cstheme="minorHAnsi"/>
          <w:sz w:val="22"/>
          <w:szCs w:val="22"/>
        </w:rPr>
        <w:t xml:space="preserve"> is comprised of</w:t>
      </w:r>
      <w:r w:rsidRPr="004737C5">
        <w:rPr>
          <w:rFonts w:asciiTheme="minorHAnsi" w:hAnsiTheme="minorHAnsi" w:cstheme="minorHAnsi"/>
          <w:sz w:val="22"/>
          <w:szCs w:val="22"/>
        </w:rPr>
        <w:t xml:space="preserve"> ministers, all of whom have r</w:t>
      </w:r>
      <w:r w:rsidR="00431F5E" w:rsidRPr="004737C5">
        <w:rPr>
          <w:rFonts w:asciiTheme="minorHAnsi" w:hAnsiTheme="minorHAnsi" w:cstheme="minorHAnsi"/>
          <w:sz w:val="22"/>
          <w:szCs w:val="22"/>
        </w:rPr>
        <w:t>oles in the development of the g</w:t>
      </w:r>
      <w:r w:rsidRPr="004737C5">
        <w:rPr>
          <w:rFonts w:asciiTheme="minorHAnsi" w:hAnsiTheme="minorHAnsi" w:cstheme="minorHAnsi"/>
          <w:sz w:val="22"/>
          <w:szCs w:val="22"/>
        </w:rPr>
        <w:t>overnment’s consum</w:t>
      </w:r>
      <w:r w:rsidR="00431F5E" w:rsidRPr="004737C5">
        <w:rPr>
          <w:rFonts w:asciiTheme="minorHAnsi" w:hAnsiTheme="minorHAnsi" w:cstheme="minorHAnsi"/>
          <w:sz w:val="22"/>
          <w:szCs w:val="22"/>
        </w:rPr>
        <w:t>er policy. The function of the c</w:t>
      </w:r>
      <w:r w:rsidRPr="004737C5">
        <w:rPr>
          <w:rFonts w:asciiTheme="minorHAnsi" w:hAnsiTheme="minorHAnsi" w:cstheme="minorHAnsi"/>
          <w:sz w:val="22"/>
          <w:szCs w:val="22"/>
        </w:rPr>
        <w:t xml:space="preserve">ouncil is to plan </w:t>
      </w:r>
      <w:r w:rsidR="00431F5E" w:rsidRPr="004737C5">
        <w:rPr>
          <w:rFonts w:asciiTheme="minorHAnsi" w:hAnsiTheme="minorHAnsi" w:cstheme="minorHAnsi"/>
          <w:sz w:val="22"/>
          <w:szCs w:val="22"/>
        </w:rPr>
        <w:t>and draft the direction of the g</w:t>
      </w:r>
      <w:r w:rsidRPr="004737C5">
        <w:rPr>
          <w:rFonts w:asciiTheme="minorHAnsi" w:hAnsiTheme="minorHAnsi" w:cstheme="minorHAnsi"/>
          <w:sz w:val="22"/>
          <w:szCs w:val="22"/>
        </w:rPr>
        <w:t>overnment’s consumer policy and to pr</w:t>
      </w:r>
      <w:r w:rsidR="00431F5E" w:rsidRPr="004737C5">
        <w:rPr>
          <w:rFonts w:asciiTheme="minorHAnsi" w:hAnsiTheme="minorHAnsi" w:cstheme="minorHAnsi"/>
          <w:sz w:val="22"/>
          <w:szCs w:val="22"/>
        </w:rPr>
        <w:t xml:space="preserve">omote related policy measures. </w:t>
      </w:r>
      <w:r w:rsidRPr="004737C5">
        <w:rPr>
          <w:rFonts w:asciiTheme="minorHAnsi" w:hAnsiTheme="minorHAnsi" w:cstheme="minorHAnsi"/>
          <w:sz w:val="22"/>
          <w:szCs w:val="22"/>
        </w:rPr>
        <w:t xml:space="preserve">The </w:t>
      </w:r>
      <w:r w:rsidR="009A244E" w:rsidRPr="004737C5">
        <w:rPr>
          <w:rFonts w:asciiTheme="minorHAnsi" w:hAnsiTheme="minorHAnsi" w:cstheme="minorHAnsi"/>
          <w:sz w:val="22"/>
          <w:szCs w:val="22"/>
        </w:rPr>
        <w:t>link</w:t>
      </w:r>
      <w:r w:rsidRPr="004737C5">
        <w:rPr>
          <w:rFonts w:asciiTheme="minorHAnsi" w:hAnsiTheme="minorHAnsi" w:cstheme="minorHAnsi"/>
          <w:sz w:val="22"/>
          <w:szCs w:val="22"/>
        </w:rPr>
        <w:t>ed Quality-of-Life Policy Council, also hous</w:t>
      </w:r>
      <w:r w:rsidR="00B05EFA" w:rsidRPr="004737C5">
        <w:rPr>
          <w:rFonts w:asciiTheme="minorHAnsi" w:hAnsiTheme="minorHAnsi" w:cstheme="minorHAnsi"/>
          <w:sz w:val="22"/>
          <w:szCs w:val="22"/>
        </w:rPr>
        <w:t>ed within the Prime Minister’s Cabinet O</w:t>
      </w:r>
      <w:r w:rsidRPr="004737C5">
        <w:rPr>
          <w:rFonts w:asciiTheme="minorHAnsi" w:hAnsiTheme="minorHAnsi" w:cstheme="minorHAnsi"/>
          <w:sz w:val="22"/>
          <w:szCs w:val="22"/>
        </w:rPr>
        <w:t xml:space="preserve">ffice, comprises experts in the field of consumer protection, namely </w:t>
      </w:r>
      <w:r w:rsidRPr="004737C5">
        <w:rPr>
          <w:rFonts w:asciiTheme="minorHAnsi" w:hAnsiTheme="minorHAnsi" w:cstheme="minorHAnsi"/>
          <w:sz w:val="22"/>
          <w:szCs w:val="22"/>
        </w:rPr>
        <w:lastRenderedPageBreak/>
        <w:t>scholars, representatives of consumer organizations and representatives of major industries. It studies and deliberates issues relating to consumer protection policy. As el</w:t>
      </w:r>
      <w:r w:rsidR="001F38EB" w:rsidRPr="004737C5">
        <w:rPr>
          <w:rFonts w:asciiTheme="minorHAnsi" w:hAnsiTheme="minorHAnsi" w:cstheme="minorHAnsi"/>
          <w:sz w:val="22"/>
          <w:szCs w:val="22"/>
        </w:rPr>
        <w:t>sewhere, an executive national c</w:t>
      </w:r>
      <w:r w:rsidRPr="004737C5">
        <w:rPr>
          <w:rFonts w:asciiTheme="minorHAnsi" w:hAnsiTheme="minorHAnsi" w:cstheme="minorHAnsi"/>
          <w:sz w:val="22"/>
          <w:szCs w:val="22"/>
        </w:rPr>
        <w:t>onsume</w:t>
      </w:r>
      <w:r w:rsidR="001F38EB" w:rsidRPr="004737C5">
        <w:rPr>
          <w:rFonts w:asciiTheme="minorHAnsi" w:hAnsiTheme="minorHAnsi" w:cstheme="minorHAnsi"/>
          <w:sz w:val="22"/>
          <w:szCs w:val="22"/>
        </w:rPr>
        <w:t>r statutory body funded by the g</w:t>
      </w:r>
      <w:r w:rsidRPr="004737C5">
        <w:rPr>
          <w:rFonts w:asciiTheme="minorHAnsi" w:hAnsiTheme="minorHAnsi" w:cstheme="minorHAnsi"/>
          <w:sz w:val="22"/>
          <w:szCs w:val="22"/>
        </w:rPr>
        <w:t>overnment and local consumer centres in all the prefectures and major cities and towns deal</w:t>
      </w:r>
      <w:r w:rsidR="001F38EB" w:rsidRPr="004737C5">
        <w:rPr>
          <w:rFonts w:asciiTheme="minorHAnsi" w:hAnsiTheme="minorHAnsi" w:cstheme="minorHAnsi"/>
          <w:sz w:val="22"/>
          <w:szCs w:val="22"/>
        </w:rPr>
        <w:t>s</w:t>
      </w:r>
      <w:r w:rsidRPr="004737C5">
        <w:rPr>
          <w:rFonts w:asciiTheme="minorHAnsi" w:hAnsiTheme="minorHAnsi" w:cstheme="minorHAnsi"/>
          <w:sz w:val="22"/>
          <w:szCs w:val="22"/>
        </w:rPr>
        <w:t xml:space="preserve"> with consumer complaints, product testing, consumer education and information for consumers.</w:t>
      </w:r>
    </w:p>
    <w:p w14:paraId="6983CEC7" w14:textId="77777777" w:rsidR="00843222" w:rsidRPr="004737C5" w:rsidRDefault="00843222" w:rsidP="00B05EFA">
      <w:pPr>
        <w:rPr>
          <w:rFonts w:cstheme="minorHAnsi"/>
        </w:rPr>
      </w:pPr>
      <w:r w:rsidRPr="004737C5">
        <w:rPr>
          <w:rFonts w:cstheme="minorHAnsi"/>
          <w:iCs/>
        </w:rPr>
        <w:t>In Thailand, the</w:t>
      </w:r>
      <w:r w:rsidR="001F38EB" w:rsidRPr="004737C5">
        <w:rPr>
          <w:rFonts w:cstheme="minorHAnsi"/>
        </w:rPr>
        <w:t xml:space="preserve"> Consumer Protection Board wa</w:t>
      </w:r>
      <w:r w:rsidRPr="004737C5">
        <w:rPr>
          <w:rFonts w:cstheme="minorHAnsi"/>
        </w:rPr>
        <w:t xml:space="preserve">s established under the Consumer Protection Act 1979. It also comes under the </w:t>
      </w:r>
      <w:r w:rsidR="009A244E" w:rsidRPr="004737C5">
        <w:rPr>
          <w:rFonts w:cstheme="minorHAnsi"/>
        </w:rPr>
        <w:t xml:space="preserve">office of the </w:t>
      </w:r>
      <w:r w:rsidR="001F38EB" w:rsidRPr="004737C5">
        <w:rPr>
          <w:rFonts w:cstheme="minorHAnsi"/>
        </w:rPr>
        <w:t>Prime Minister, who chairs the b</w:t>
      </w:r>
      <w:r w:rsidRPr="004737C5">
        <w:rPr>
          <w:rFonts w:cstheme="minorHAnsi"/>
        </w:rPr>
        <w:t>oard. This structure is unusual in that it combines the highest level of ministerial function with executive responsibility. However, the actual functions are similar to those of many other consumer protection agencies, such as handli</w:t>
      </w:r>
      <w:r w:rsidR="001F38EB" w:rsidRPr="004737C5">
        <w:rPr>
          <w:rFonts w:cstheme="minorHAnsi"/>
        </w:rPr>
        <w:t>ng consumer complaints, publiciz</w:t>
      </w:r>
      <w:r w:rsidRPr="004737C5">
        <w:rPr>
          <w:rFonts w:cstheme="minorHAnsi"/>
        </w:rPr>
        <w:t>ing information on goods and services that may be harmful to consumers, instituting legal proceedings relating to infringeme</w:t>
      </w:r>
      <w:r w:rsidR="001F38EB" w:rsidRPr="004737C5">
        <w:rPr>
          <w:rFonts w:cstheme="minorHAnsi"/>
        </w:rPr>
        <w:t>nts of consumer rights, recogniz</w:t>
      </w:r>
      <w:r w:rsidRPr="004737C5">
        <w:rPr>
          <w:rFonts w:cstheme="minorHAnsi"/>
        </w:rPr>
        <w:t>ing consumer</w:t>
      </w:r>
      <w:r w:rsidR="001F38EB" w:rsidRPr="004737C5">
        <w:rPr>
          <w:rFonts w:cstheme="minorHAnsi"/>
        </w:rPr>
        <w:t xml:space="preserve"> associations</w:t>
      </w:r>
      <w:r w:rsidRPr="004737C5">
        <w:rPr>
          <w:rFonts w:cstheme="minorHAnsi"/>
        </w:rPr>
        <w:t xml:space="preserve"> and submitting opinions on policies and measures to the Council of Ministers. This last function is of course privileged by </w:t>
      </w:r>
      <w:r w:rsidR="001F38EB" w:rsidRPr="004737C5">
        <w:rPr>
          <w:rFonts w:cstheme="minorHAnsi"/>
        </w:rPr>
        <w:t>its</w:t>
      </w:r>
      <w:r w:rsidRPr="004737C5">
        <w:rPr>
          <w:rFonts w:cstheme="minorHAnsi"/>
        </w:rPr>
        <w:t xml:space="preserve"> location in the Prime Minister’s office.</w:t>
      </w:r>
    </w:p>
    <w:p w14:paraId="00A09B89" w14:textId="77777777" w:rsidR="00843222" w:rsidRPr="004737C5" w:rsidRDefault="00843222" w:rsidP="00B05EFA">
      <w:pPr>
        <w:pStyle w:val="Heading3"/>
        <w:spacing w:after="160" w:line="240" w:lineRule="auto"/>
        <w:rPr>
          <w:rFonts w:cstheme="minorHAnsi"/>
          <w:color w:val="auto"/>
        </w:rPr>
      </w:pPr>
      <w:bookmarkStart w:id="40" w:name="_Toc492649993"/>
      <w:r w:rsidRPr="004737C5">
        <w:rPr>
          <w:rFonts w:cstheme="minorHAnsi"/>
          <w:color w:val="auto"/>
        </w:rPr>
        <w:t>3</w:t>
      </w:r>
      <w:r w:rsidR="001F38EB" w:rsidRPr="004737C5">
        <w:rPr>
          <w:rFonts w:cstheme="minorHAnsi"/>
          <w:color w:val="auto"/>
        </w:rPr>
        <w:t>.</w:t>
      </w:r>
      <w:r w:rsidRPr="004737C5">
        <w:rPr>
          <w:rFonts w:cstheme="minorHAnsi"/>
          <w:color w:val="auto"/>
        </w:rPr>
        <w:t xml:space="preserve"> Operational autonomy</w:t>
      </w:r>
      <w:bookmarkEnd w:id="40"/>
    </w:p>
    <w:p w14:paraId="2C7B982F" w14:textId="0BF45CA8" w:rsidR="00843222" w:rsidRPr="004737C5" w:rsidRDefault="00843222" w:rsidP="006D3BE8">
      <w:pPr>
        <w:rPr>
          <w:rFonts w:cstheme="minorHAnsi"/>
        </w:rPr>
      </w:pPr>
      <w:r w:rsidRPr="004737C5">
        <w:rPr>
          <w:rFonts w:cstheme="minorHAnsi"/>
        </w:rPr>
        <w:t>In recognit</w:t>
      </w:r>
      <w:r w:rsidR="00B05EFA" w:rsidRPr="004737C5">
        <w:rPr>
          <w:rFonts w:cstheme="minorHAnsi"/>
        </w:rPr>
        <w:t xml:space="preserve">ion of the vulnerability of </w:t>
      </w:r>
      <w:r w:rsidRPr="004737C5">
        <w:rPr>
          <w:rFonts w:cstheme="minorHAnsi"/>
        </w:rPr>
        <w:t>co</w:t>
      </w:r>
      <w:r w:rsidR="00B05EFA" w:rsidRPr="004737C5">
        <w:rPr>
          <w:rFonts w:cstheme="minorHAnsi"/>
        </w:rPr>
        <w:t>nsumer protection</w:t>
      </w:r>
      <w:r w:rsidRPr="004737C5">
        <w:rPr>
          <w:rFonts w:cstheme="minorHAnsi"/>
        </w:rPr>
        <w:t xml:space="preserve"> </w:t>
      </w:r>
      <w:r w:rsidR="000337E5" w:rsidRPr="004737C5">
        <w:rPr>
          <w:rFonts w:cstheme="minorHAnsi"/>
        </w:rPr>
        <w:t xml:space="preserve">faced with </w:t>
      </w:r>
      <w:r w:rsidRPr="004737C5">
        <w:rPr>
          <w:rFonts w:cstheme="minorHAnsi"/>
        </w:rPr>
        <w:t>broader commercial and political forces, some countries have opted for the model of a statutory body, set up by law and designated with specific powers and functions for consumer protection and with a high degree of operational autonomy</w:t>
      </w:r>
      <w:r w:rsidR="000337E5" w:rsidRPr="004737C5">
        <w:rPr>
          <w:rFonts w:cstheme="minorHAnsi"/>
        </w:rPr>
        <w:t>, often represented by a high-</w:t>
      </w:r>
      <w:r w:rsidRPr="004737C5">
        <w:rPr>
          <w:rFonts w:cstheme="minorHAnsi"/>
        </w:rPr>
        <w:t>profile director general.</w:t>
      </w:r>
      <w:r w:rsidRPr="004737C5">
        <w:rPr>
          <w:rFonts w:cstheme="minorHAnsi"/>
          <w:color w:val="FF0000"/>
        </w:rPr>
        <w:t xml:space="preserve"> </w:t>
      </w:r>
      <w:r w:rsidRPr="004737C5">
        <w:rPr>
          <w:rFonts w:cstheme="minorHAnsi"/>
        </w:rPr>
        <w:t xml:space="preserve">These bodies tend to have a higher public profile than equivalent offices within ministries, even though they may have a formal attachment to a parent ministry. </w:t>
      </w:r>
    </w:p>
    <w:p w14:paraId="1C8A0C82" w14:textId="6E500835" w:rsidR="00843222" w:rsidRPr="004737C5" w:rsidRDefault="00843222" w:rsidP="006D3BE8">
      <w:pPr>
        <w:rPr>
          <w:rFonts w:cstheme="minorHAnsi"/>
        </w:rPr>
      </w:pPr>
      <w:r w:rsidRPr="004737C5">
        <w:rPr>
          <w:rFonts w:cstheme="minorHAnsi"/>
          <w:bCs/>
        </w:rPr>
        <w:t>In Mexico</w:t>
      </w:r>
      <w:r w:rsidRPr="004737C5">
        <w:rPr>
          <w:rFonts w:cstheme="minorHAnsi"/>
        </w:rPr>
        <w:t xml:space="preserve">, the </w:t>
      </w:r>
      <w:r w:rsidRPr="004737C5">
        <w:rPr>
          <w:rFonts w:cstheme="minorHAnsi"/>
          <w:iCs/>
        </w:rPr>
        <w:t>Procuraduria Federal del Consumidor</w:t>
      </w:r>
      <w:r w:rsidRPr="004737C5">
        <w:rPr>
          <w:rFonts w:cstheme="minorHAnsi"/>
        </w:rPr>
        <w:t xml:space="preserve"> (PROFECO</w:t>
      </w:r>
      <w:r w:rsidR="000337E5" w:rsidRPr="004737C5">
        <w:rPr>
          <w:rFonts w:cstheme="minorHAnsi"/>
        </w:rPr>
        <w:t>) is the leading g</w:t>
      </w:r>
      <w:r w:rsidRPr="004737C5">
        <w:rPr>
          <w:rFonts w:cstheme="minorHAnsi"/>
        </w:rPr>
        <w:t>overnment agency in charge of protecting consumers, under the aegis of the Federal Attorney’s office. It has the power to mediate disputes, investigate consumer complaints, order hearings, levy fines and do price-check inspections of merchants. It has had a presence in every one of</w:t>
      </w:r>
      <w:r w:rsidR="000337E5" w:rsidRPr="004737C5">
        <w:rPr>
          <w:rFonts w:cstheme="minorHAnsi"/>
        </w:rPr>
        <w:t xml:space="preserve"> the 31 states plus the capital</w:t>
      </w:r>
      <w:r w:rsidRPr="004737C5">
        <w:rPr>
          <w:rFonts w:cstheme="minorHAnsi"/>
        </w:rPr>
        <w:t xml:space="preserve"> since 1982. Operational autonomy has often been hugely complica</w:t>
      </w:r>
      <w:r w:rsidR="00B05EFA" w:rsidRPr="004737C5">
        <w:rPr>
          <w:rFonts w:cstheme="minorHAnsi"/>
        </w:rPr>
        <w:t>ted in practice by the national/</w:t>
      </w:r>
      <w:r w:rsidRPr="004737C5">
        <w:rPr>
          <w:rFonts w:cstheme="minorHAnsi"/>
        </w:rPr>
        <w:t xml:space="preserve">local dichotomy. Policy is usually national </w:t>
      </w:r>
      <w:r w:rsidR="000337E5" w:rsidRPr="004737C5">
        <w:rPr>
          <w:rFonts w:cstheme="minorHAnsi"/>
        </w:rPr>
        <w:t>but</w:t>
      </w:r>
      <w:r w:rsidRPr="004737C5">
        <w:rPr>
          <w:rFonts w:cstheme="minorHAnsi"/>
        </w:rPr>
        <w:t xml:space="preserve"> enforcement always has a local angle. </w:t>
      </w:r>
    </w:p>
    <w:p w14:paraId="770E9680" w14:textId="77777777" w:rsidR="00843222" w:rsidRPr="004737C5" w:rsidRDefault="00843222" w:rsidP="006D3BE8">
      <w:pPr>
        <w:rPr>
          <w:rFonts w:cstheme="minorHAnsi"/>
        </w:rPr>
      </w:pPr>
      <w:r w:rsidRPr="004737C5">
        <w:rPr>
          <w:rFonts w:cstheme="minorHAnsi"/>
        </w:rPr>
        <w:t>The location of responsibility for consumer protection became a matter of urgency after the col</w:t>
      </w:r>
      <w:r w:rsidR="000337E5" w:rsidRPr="004737C5">
        <w:rPr>
          <w:rFonts w:cstheme="minorHAnsi"/>
        </w:rPr>
        <w:t>lapse of communism in the late 1980s and early 19</w:t>
      </w:r>
      <w:r w:rsidRPr="004737C5">
        <w:rPr>
          <w:rFonts w:cstheme="minorHAnsi"/>
        </w:rPr>
        <w:t>90s in Central and Eastern Europe, where new systems had to be developed rapidly as economie</w:t>
      </w:r>
      <w:r w:rsidR="000337E5" w:rsidRPr="004737C5">
        <w:rPr>
          <w:rFonts w:cstheme="minorHAnsi"/>
        </w:rPr>
        <w:t>s shifted towards a more market-</w:t>
      </w:r>
      <w:r w:rsidRPr="004737C5">
        <w:rPr>
          <w:rFonts w:cstheme="minorHAnsi"/>
        </w:rPr>
        <w:t xml:space="preserve">based orientation. In these transitional economies, a tension soon developed between institutions based on local market inspectorates and </w:t>
      </w:r>
      <w:r w:rsidR="004B0DAC" w:rsidRPr="004737C5">
        <w:rPr>
          <w:rFonts w:cstheme="minorHAnsi"/>
        </w:rPr>
        <w:t>high-</w:t>
      </w:r>
      <w:r w:rsidRPr="004737C5">
        <w:rPr>
          <w:rFonts w:cstheme="minorHAnsi"/>
        </w:rPr>
        <w:t>level policy bodies, which tried to push towards greater reliance on market forces.</w:t>
      </w:r>
    </w:p>
    <w:p w14:paraId="05B0A8B3" w14:textId="1826FCE4" w:rsidR="00843222" w:rsidRPr="004737C5" w:rsidRDefault="00843222" w:rsidP="006D3BE8">
      <w:pPr>
        <w:rPr>
          <w:rFonts w:cstheme="minorHAnsi"/>
        </w:rPr>
      </w:pPr>
      <w:r w:rsidRPr="004737C5">
        <w:rPr>
          <w:rFonts w:cstheme="minorHAnsi"/>
        </w:rPr>
        <w:t>One possible resolution of these dilemmas was to rely on a single national body for market surveillance, as in Hungary in the 1990s, where the General Inspectorate for Consumer Protection carried out local market surveillance under c</w:t>
      </w:r>
      <w:r w:rsidR="00AE2519" w:rsidRPr="004737C5">
        <w:rPr>
          <w:rFonts w:cstheme="minorHAnsi"/>
        </w:rPr>
        <w:t>entral direction. This resembles</w:t>
      </w:r>
      <w:r w:rsidRPr="004737C5">
        <w:rPr>
          <w:rFonts w:cstheme="minorHAnsi"/>
        </w:rPr>
        <w:t xml:space="preserve"> the approach in France, where the DGCCRF (see above</w:t>
      </w:r>
      <w:r w:rsidRPr="004737C5">
        <w:rPr>
          <w:rFonts w:cstheme="minorHAnsi"/>
          <w:iCs/>
        </w:rPr>
        <w:t>)</w:t>
      </w:r>
      <w:r w:rsidRPr="004737C5">
        <w:rPr>
          <w:rFonts w:cstheme="minorHAnsi"/>
          <w:i/>
          <w:iCs/>
        </w:rPr>
        <w:t xml:space="preserve"> </w:t>
      </w:r>
      <w:r w:rsidRPr="004737C5">
        <w:rPr>
          <w:rFonts w:cstheme="minorHAnsi"/>
        </w:rPr>
        <w:t>carries out local market surveillance even though it is a national body. In contrast, in the United Kingdom</w:t>
      </w:r>
      <w:r w:rsidR="00AE2519" w:rsidRPr="004737C5">
        <w:rPr>
          <w:rFonts w:cstheme="minorHAnsi"/>
        </w:rPr>
        <w:t xml:space="preserve"> of Great Britain and Northern Ireland</w:t>
      </w:r>
      <w:r w:rsidRPr="004737C5">
        <w:rPr>
          <w:rFonts w:cstheme="minorHAnsi"/>
        </w:rPr>
        <w:t xml:space="preserve"> local market surveillance is, traditionally, the job of the local electe</w:t>
      </w:r>
      <w:r w:rsidR="00AE2519" w:rsidRPr="004737C5">
        <w:rPr>
          <w:rFonts w:cstheme="minorHAnsi"/>
        </w:rPr>
        <w:t>d municipalities through their trading standards o</w:t>
      </w:r>
      <w:r w:rsidRPr="004737C5">
        <w:rPr>
          <w:rFonts w:cstheme="minorHAnsi"/>
        </w:rPr>
        <w:t xml:space="preserve">fficers (although they are currently developing a more central function). </w:t>
      </w:r>
      <w:r w:rsidRPr="004737C5">
        <w:rPr>
          <w:rFonts w:cstheme="minorHAnsi"/>
          <w:bCs/>
        </w:rPr>
        <w:t>The application of local market surveillance by national bodies tends to reflect the tradition of public administration based on a prefectural system as in France and the Russian Federation</w:t>
      </w:r>
      <w:r w:rsidR="00AE2519" w:rsidRPr="004737C5">
        <w:rPr>
          <w:rFonts w:cstheme="minorHAnsi"/>
          <w:bCs/>
        </w:rPr>
        <w:t>. In contrast, the local g</w:t>
      </w:r>
      <w:r w:rsidRPr="004737C5">
        <w:rPr>
          <w:rFonts w:cstheme="minorHAnsi"/>
          <w:bCs/>
        </w:rPr>
        <w:t>overnment-based tradition, already mentioned in the United Kingdom</w:t>
      </w:r>
      <w:r w:rsidR="00AE2519" w:rsidRPr="004737C5">
        <w:rPr>
          <w:rFonts w:cstheme="minorHAnsi"/>
          <w:bCs/>
        </w:rPr>
        <w:t xml:space="preserve"> of Great Britain and Northern Ireland</w:t>
      </w:r>
      <w:r w:rsidRPr="004737C5">
        <w:rPr>
          <w:rFonts w:cstheme="minorHAnsi"/>
          <w:bCs/>
        </w:rPr>
        <w:t xml:space="preserve">, has developed in Poland in the form </w:t>
      </w:r>
      <w:r w:rsidR="00AE2519" w:rsidRPr="004737C5">
        <w:rPr>
          <w:rFonts w:cstheme="minorHAnsi"/>
        </w:rPr>
        <w:t>of strong local consumer o</w:t>
      </w:r>
      <w:r w:rsidRPr="004737C5">
        <w:rPr>
          <w:rFonts w:cstheme="minorHAnsi"/>
        </w:rPr>
        <w:t>mbudsmen.  It is</w:t>
      </w:r>
      <w:r w:rsidR="00AE2519" w:rsidRPr="004737C5">
        <w:rPr>
          <w:rFonts w:cstheme="minorHAnsi"/>
        </w:rPr>
        <w:t xml:space="preserve"> the name “o</w:t>
      </w:r>
      <w:r w:rsidRPr="004737C5">
        <w:rPr>
          <w:rFonts w:cstheme="minorHAnsi"/>
        </w:rPr>
        <w:t>mbudsman</w:t>
      </w:r>
      <w:r w:rsidR="00AE2519" w:rsidRPr="004737C5">
        <w:rPr>
          <w:rFonts w:cstheme="minorHAnsi"/>
        </w:rPr>
        <w:t>”</w:t>
      </w:r>
      <w:r w:rsidRPr="004737C5">
        <w:rPr>
          <w:rFonts w:cstheme="minorHAnsi"/>
        </w:rPr>
        <w:t>, with its connotation of being on the side of the ordinary person</w:t>
      </w:r>
      <w:r w:rsidR="00AE2519" w:rsidRPr="004737C5">
        <w:rPr>
          <w:rFonts w:cstheme="minorHAnsi"/>
        </w:rPr>
        <w:t>,</w:t>
      </w:r>
      <w:r w:rsidRPr="004737C5">
        <w:rPr>
          <w:rFonts w:cstheme="minorHAnsi"/>
        </w:rPr>
        <w:t xml:space="preserve"> that has given a boost to the</w:t>
      </w:r>
      <w:r w:rsidR="00AE2519" w:rsidRPr="004737C5">
        <w:rPr>
          <w:rFonts w:cstheme="minorHAnsi"/>
        </w:rPr>
        <w:t xml:space="preserve"> idea of the people’s watchdog.</w:t>
      </w:r>
      <w:r w:rsidRPr="004737C5">
        <w:rPr>
          <w:rFonts w:cstheme="minorHAnsi"/>
        </w:rPr>
        <w:t xml:space="preserve"> In this context it is worth no</w:t>
      </w:r>
      <w:r w:rsidR="00AE2519" w:rsidRPr="004737C5">
        <w:rPr>
          <w:rFonts w:cstheme="minorHAnsi"/>
        </w:rPr>
        <w:t>ting that in Latin America</w:t>
      </w:r>
      <w:r w:rsidR="00B05EFA" w:rsidRPr="004737C5">
        <w:rPr>
          <w:rFonts w:cstheme="minorHAnsi"/>
        </w:rPr>
        <w:t>,</w:t>
      </w:r>
      <w:r w:rsidR="00AE2519" w:rsidRPr="004737C5">
        <w:rPr>
          <w:rFonts w:cstheme="minorHAnsi"/>
        </w:rPr>
        <w:t xml:space="preserve"> the o</w:t>
      </w:r>
      <w:r w:rsidRPr="004737C5">
        <w:rPr>
          <w:rFonts w:cstheme="minorHAnsi"/>
        </w:rPr>
        <w:t xml:space="preserve">mbudsman for public services is known as </w:t>
      </w:r>
      <w:r w:rsidRPr="004737C5">
        <w:rPr>
          <w:rFonts w:cstheme="minorHAnsi"/>
          <w:i/>
        </w:rPr>
        <w:t>El Defensor del Pueblo</w:t>
      </w:r>
      <w:r w:rsidR="00B05EFA" w:rsidRPr="004737C5">
        <w:rPr>
          <w:rFonts w:cstheme="minorHAnsi"/>
        </w:rPr>
        <w:t xml:space="preserve"> (the defender of the p</w:t>
      </w:r>
      <w:r w:rsidRPr="004737C5">
        <w:rPr>
          <w:rFonts w:cstheme="minorHAnsi"/>
        </w:rPr>
        <w:t>eople) and in some jurisdictions, notably in Ecuador, has become a major public figure in a relatively short period of time.</w:t>
      </w:r>
    </w:p>
    <w:p w14:paraId="65447E04" w14:textId="6B0BDCC3" w:rsidR="00843222" w:rsidRPr="004737C5" w:rsidRDefault="00AE2519" w:rsidP="006D3BE8">
      <w:pPr>
        <w:rPr>
          <w:rFonts w:cstheme="minorHAnsi"/>
        </w:rPr>
      </w:pPr>
      <w:r w:rsidRPr="004737C5">
        <w:rPr>
          <w:rFonts w:cstheme="minorHAnsi"/>
        </w:rPr>
        <w:lastRenderedPageBreak/>
        <w:t>The development of the ombudsman concept</w:t>
      </w:r>
      <w:r w:rsidR="00843222" w:rsidRPr="004737C5">
        <w:rPr>
          <w:rFonts w:cstheme="minorHAnsi"/>
        </w:rPr>
        <w:t xml:space="preserve"> originated in Swed</w:t>
      </w:r>
      <w:r w:rsidR="00B05EFA" w:rsidRPr="004737C5">
        <w:rPr>
          <w:rFonts w:cstheme="minorHAnsi"/>
        </w:rPr>
        <w:t>en, where the consumer agency (</w:t>
      </w:r>
      <w:r w:rsidR="00843222" w:rsidRPr="004737C5">
        <w:rPr>
          <w:rFonts w:cstheme="minorHAnsi"/>
          <w:iCs/>
        </w:rPr>
        <w:t>Konsumentverket</w:t>
      </w:r>
      <w:r w:rsidR="00843222" w:rsidRPr="004737C5">
        <w:rPr>
          <w:rFonts w:cstheme="minorHAnsi"/>
        </w:rPr>
        <w:t xml:space="preserve">) is a </w:t>
      </w:r>
      <w:r w:rsidRPr="004737C5">
        <w:rPr>
          <w:rFonts w:cstheme="minorHAnsi"/>
        </w:rPr>
        <w:t>government body whose director general is also the consumer o</w:t>
      </w:r>
      <w:r w:rsidR="00843222" w:rsidRPr="004737C5">
        <w:rPr>
          <w:rFonts w:cstheme="minorHAnsi"/>
        </w:rPr>
        <w:t xml:space="preserve">mbudsman. The </w:t>
      </w:r>
      <w:r w:rsidR="00843222" w:rsidRPr="004737C5">
        <w:rPr>
          <w:rFonts w:cstheme="minorHAnsi"/>
          <w:iCs/>
        </w:rPr>
        <w:t>Konsumentverket</w:t>
      </w:r>
      <w:r w:rsidR="00843222" w:rsidRPr="004737C5">
        <w:rPr>
          <w:rFonts w:cstheme="minorHAnsi"/>
        </w:rPr>
        <w:t xml:space="preserve"> is empowered to represent the consumer interest under various consumer protection l</w:t>
      </w:r>
      <w:r w:rsidRPr="004737C5">
        <w:rPr>
          <w:rFonts w:cstheme="minorHAnsi"/>
        </w:rPr>
        <w:t>aws. It supports and draws upon</w:t>
      </w:r>
      <w:r w:rsidR="00843222" w:rsidRPr="004737C5">
        <w:rPr>
          <w:rFonts w:cstheme="minorHAnsi"/>
        </w:rPr>
        <w:t xml:space="preserve"> the work of local consumer advice centres across the country and administers the National Board for Consumer Complaints, a consumer redress agency.</w:t>
      </w:r>
      <w:r w:rsidR="00843222" w:rsidRPr="004737C5">
        <w:rPr>
          <w:rFonts w:cstheme="minorHAnsi"/>
          <w:sz w:val="24"/>
        </w:rPr>
        <w:t xml:space="preserve"> </w:t>
      </w:r>
      <w:r w:rsidR="00843222" w:rsidRPr="004737C5">
        <w:rPr>
          <w:rFonts w:cstheme="minorHAnsi"/>
        </w:rPr>
        <w:t>As in Poland, the evidence base rep</w:t>
      </w:r>
      <w:r w:rsidRPr="004737C5">
        <w:rPr>
          <w:rFonts w:cstheme="minorHAnsi"/>
        </w:rPr>
        <w:t>resented by the local case work</w:t>
      </w:r>
      <w:r w:rsidR="00843222" w:rsidRPr="004737C5">
        <w:rPr>
          <w:rFonts w:cstheme="minorHAnsi"/>
        </w:rPr>
        <w:t xml:space="preserve"> </w:t>
      </w:r>
      <w:r w:rsidRPr="004737C5">
        <w:rPr>
          <w:rFonts w:cstheme="minorHAnsi"/>
        </w:rPr>
        <w:t>feeds up into national policy. The o</w:t>
      </w:r>
      <w:r w:rsidR="00843222" w:rsidRPr="004737C5">
        <w:rPr>
          <w:rFonts w:cstheme="minorHAnsi"/>
        </w:rPr>
        <w:t xml:space="preserve">mbudsman concept is discussed </w:t>
      </w:r>
      <w:r w:rsidRPr="004737C5">
        <w:rPr>
          <w:rFonts w:cstheme="minorHAnsi"/>
        </w:rPr>
        <w:t xml:space="preserve">further </w:t>
      </w:r>
      <w:r w:rsidR="004240DC" w:rsidRPr="004737C5">
        <w:rPr>
          <w:rFonts w:cstheme="minorHAnsi"/>
        </w:rPr>
        <w:t>in chapter XI</w:t>
      </w:r>
      <w:r w:rsidR="00843222" w:rsidRPr="004737C5">
        <w:rPr>
          <w:rFonts w:cstheme="minorHAnsi"/>
        </w:rPr>
        <w:t xml:space="preserve">. </w:t>
      </w:r>
    </w:p>
    <w:p w14:paraId="0FA358FD" w14:textId="77777777" w:rsidR="00843222" w:rsidRPr="004737C5" w:rsidRDefault="00843222" w:rsidP="00B05EFA">
      <w:pPr>
        <w:pStyle w:val="Heading3"/>
        <w:spacing w:after="160" w:line="240" w:lineRule="auto"/>
        <w:rPr>
          <w:rFonts w:cstheme="minorHAnsi"/>
          <w:color w:val="auto"/>
        </w:rPr>
      </w:pPr>
      <w:bookmarkStart w:id="41" w:name="_Toc492649994"/>
      <w:r w:rsidRPr="004737C5">
        <w:rPr>
          <w:rFonts w:cstheme="minorHAnsi"/>
          <w:color w:val="auto"/>
        </w:rPr>
        <w:t>4</w:t>
      </w:r>
      <w:r w:rsidR="00AE2519" w:rsidRPr="004737C5">
        <w:rPr>
          <w:rFonts w:cstheme="minorHAnsi"/>
          <w:color w:val="auto"/>
        </w:rPr>
        <w:t>.</w:t>
      </w:r>
      <w:r w:rsidRPr="004737C5">
        <w:rPr>
          <w:rFonts w:cstheme="minorHAnsi"/>
          <w:color w:val="auto"/>
        </w:rPr>
        <w:t xml:space="preserve"> The link with competition</w:t>
      </w:r>
      <w:bookmarkEnd w:id="41"/>
    </w:p>
    <w:p w14:paraId="0899AD38" w14:textId="77777777" w:rsidR="00B333C0" w:rsidRPr="004737C5" w:rsidRDefault="00843222" w:rsidP="006D3BE8">
      <w:pPr>
        <w:shd w:val="clear" w:color="auto" w:fill="FFFFFF"/>
        <w:rPr>
          <w:rFonts w:cstheme="minorHAnsi"/>
          <w:color w:val="222222"/>
          <w:sz w:val="19"/>
          <w:szCs w:val="19"/>
        </w:rPr>
      </w:pPr>
      <w:r w:rsidRPr="004737C5">
        <w:rPr>
          <w:rFonts w:cstheme="minorHAnsi"/>
          <w:bCs/>
        </w:rPr>
        <w:t xml:space="preserve">Further challenges arise </w:t>
      </w:r>
      <w:r w:rsidR="00AE2519" w:rsidRPr="004737C5">
        <w:rPr>
          <w:rFonts w:cstheme="minorHAnsi"/>
          <w:bCs/>
        </w:rPr>
        <w:t xml:space="preserve">in relation </w:t>
      </w:r>
      <w:r w:rsidRPr="004737C5">
        <w:rPr>
          <w:rFonts w:cstheme="minorHAnsi"/>
          <w:bCs/>
        </w:rPr>
        <w:t>to the benefit of separation or conjunction of responsi</w:t>
      </w:r>
      <w:r w:rsidR="00AE2519" w:rsidRPr="004737C5">
        <w:rPr>
          <w:rFonts w:cstheme="minorHAnsi"/>
          <w:bCs/>
        </w:rPr>
        <w:t>bility over consumer protection</w:t>
      </w:r>
      <w:r w:rsidRPr="004737C5">
        <w:rPr>
          <w:rFonts w:cstheme="minorHAnsi"/>
          <w:bCs/>
        </w:rPr>
        <w:t xml:space="preserve"> on the one hand, and competition policy on the other.</w:t>
      </w:r>
      <w:r w:rsidRPr="004737C5">
        <w:rPr>
          <w:rFonts w:cstheme="minorHAnsi"/>
          <w:b/>
          <w:bCs/>
        </w:rPr>
        <w:t xml:space="preserve"> </w:t>
      </w:r>
      <w:r w:rsidRPr="004737C5">
        <w:rPr>
          <w:rFonts w:cstheme="minorHAnsi"/>
          <w:bCs/>
        </w:rPr>
        <w:t>The</w:t>
      </w:r>
      <w:r w:rsidRPr="004737C5">
        <w:rPr>
          <w:rFonts w:cstheme="minorHAnsi"/>
        </w:rPr>
        <w:t xml:space="preserve"> approach to the latter taken by Polan</w:t>
      </w:r>
      <w:r w:rsidR="00AE2519" w:rsidRPr="004737C5">
        <w:rPr>
          <w:rFonts w:cstheme="minorHAnsi"/>
        </w:rPr>
        <w:t>d and by some countries in the f</w:t>
      </w:r>
      <w:r w:rsidRPr="004737C5">
        <w:rPr>
          <w:rFonts w:cstheme="minorHAnsi"/>
        </w:rPr>
        <w:t xml:space="preserve">ormer Soviet Union, including </w:t>
      </w:r>
      <w:r w:rsidRPr="004737C5">
        <w:rPr>
          <w:rFonts w:cstheme="minorHAnsi"/>
          <w:bCs/>
        </w:rPr>
        <w:t>the Russian Federation</w:t>
      </w:r>
      <w:r w:rsidRPr="004737C5">
        <w:rPr>
          <w:rFonts w:cstheme="minorHAnsi"/>
        </w:rPr>
        <w:t xml:space="preserve">, Kazakhstan and Georgia, after the </w:t>
      </w:r>
      <w:r w:rsidR="00AE2519" w:rsidRPr="004737C5">
        <w:rPr>
          <w:rFonts w:cstheme="minorHAnsi"/>
        </w:rPr>
        <w:t>dramatic changes in that region</w:t>
      </w:r>
      <w:r w:rsidRPr="004737C5">
        <w:rPr>
          <w:rFonts w:cstheme="minorHAnsi"/>
        </w:rPr>
        <w:t xml:space="preserve"> was to set up a</w:t>
      </w:r>
      <w:r w:rsidRPr="004737C5">
        <w:rPr>
          <w:rFonts w:cstheme="minorHAnsi"/>
          <w:bCs/>
        </w:rPr>
        <w:t>n autonomous</w:t>
      </w:r>
      <w:r w:rsidR="00AE2519" w:rsidRPr="004737C5">
        <w:rPr>
          <w:rFonts w:cstheme="minorHAnsi"/>
        </w:rPr>
        <w:t xml:space="preserve"> state anti-m</w:t>
      </w:r>
      <w:r w:rsidRPr="004737C5">
        <w:rPr>
          <w:rFonts w:cstheme="minorHAnsi"/>
        </w:rPr>
        <w:t xml:space="preserve">onopoly </w:t>
      </w:r>
      <w:r w:rsidR="00AE2519" w:rsidRPr="004737C5">
        <w:rPr>
          <w:rFonts w:cstheme="minorHAnsi"/>
        </w:rPr>
        <w:t>c</w:t>
      </w:r>
      <w:r w:rsidRPr="004737C5">
        <w:rPr>
          <w:rFonts w:cstheme="minorHAnsi"/>
        </w:rPr>
        <w:t>ommittee charged both with competition policy and consumer protection.</w:t>
      </w:r>
      <w:r w:rsidRPr="004737C5">
        <w:rPr>
          <w:rStyle w:val="FootnoteReference"/>
          <w:rFonts w:cstheme="minorHAnsi"/>
        </w:rPr>
        <w:footnoteReference w:id="53"/>
      </w:r>
      <w:r w:rsidRPr="004737C5">
        <w:rPr>
          <w:rFonts w:cstheme="minorHAnsi"/>
          <w:b/>
          <w:bCs/>
        </w:rPr>
        <w:t xml:space="preserve"> </w:t>
      </w:r>
      <w:r w:rsidRPr="004737C5">
        <w:rPr>
          <w:rFonts w:cstheme="minorHAnsi"/>
        </w:rPr>
        <w:t>In 1996</w:t>
      </w:r>
      <w:r w:rsidR="00AE2519" w:rsidRPr="004737C5">
        <w:rPr>
          <w:rFonts w:cstheme="minorHAnsi"/>
        </w:rPr>
        <w:t>,</w:t>
      </w:r>
      <w:r w:rsidRPr="004737C5">
        <w:rPr>
          <w:rFonts w:cstheme="minorHAnsi"/>
        </w:rPr>
        <w:t xml:space="preserve"> the Polish anti-monopoly office evolved into the Office of Competition and Consumer Protection. In contrast, </w:t>
      </w:r>
      <w:r w:rsidR="00AE2519" w:rsidRPr="004737C5">
        <w:rPr>
          <w:rFonts w:cstheme="minorHAnsi"/>
          <w:bCs/>
        </w:rPr>
        <w:t>the Russian Federation’</w:t>
      </w:r>
      <w:r w:rsidRPr="004737C5">
        <w:rPr>
          <w:rFonts w:cstheme="minorHAnsi"/>
          <w:bCs/>
        </w:rPr>
        <w:t>s</w:t>
      </w:r>
      <w:r w:rsidRPr="004737C5" w:rsidDel="00152EAD">
        <w:rPr>
          <w:rFonts w:cstheme="minorHAnsi"/>
        </w:rPr>
        <w:t xml:space="preserve"> </w:t>
      </w:r>
      <w:r w:rsidRPr="004737C5">
        <w:rPr>
          <w:rFonts w:cstheme="minorHAnsi"/>
        </w:rPr>
        <w:t xml:space="preserve">anti-monopoly committee separated from consumer protection, which was entrusted to an autonomous agency, </w:t>
      </w:r>
      <w:r w:rsidRPr="004737C5">
        <w:rPr>
          <w:rFonts w:cstheme="minorHAnsi"/>
          <w:iCs/>
        </w:rPr>
        <w:t>Rozpotrebnadzor</w:t>
      </w:r>
      <w:r w:rsidRPr="004737C5">
        <w:rPr>
          <w:rFonts w:cstheme="minorHAnsi"/>
        </w:rPr>
        <w:t>.</w:t>
      </w:r>
      <w:r w:rsidRPr="004737C5">
        <w:rPr>
          <w:rStyle w:val="FootnoteAnchor"/>
          <w:rFonts w:cstheme="minorHAnsi"/>
        </w:rPr>
        <w:footnoteReference w:id="54"/>
      </w:r>
      <w:r w:rsidR="00B333C0" w:rsidRPr="004737C5">
        <w:rPr>
          <w:rFonts w:cstheme="minorHAnsi"/>
        </w:rPr>
        <w:t xml:space="preserve"> </w:t>
      </w:r>
      <w:r w:rsidR="00B333C0" w:rsidRPr="004737C5">
        <w:rPr>
          <w:rFonts w:cstheme="minorHAnsi"/>
          <w:color w:val="00000A"/>
        </w:rPr>
        <w:t xml:space="preserve">Kazakhstan followed </w:t>
      </w:r>
      <w:r w:rsidR="00007A5E" w:rsidRPr="004737C5">
        <w:rPr>
          <w:rFonts w:cstheme="minorHAnsi"/>
          <w:bCs/>
        </w:rPr>
        <w:t>the Russian Federation</w:t>
      </w:r>
      <w:r w:rsidR="00B333C0" w:rsidRPr="004737C5">
        <w:rPr>
          <w:rFonts w:cstheme="minorHAnsi"/>
          <w:color w:val="00000A"/>
        </w:rPr>
        <w:t>’s example when setting up its Committee</w:t>
      </w:r>
      <w:r w:rsidR="00AE2519" w:rsidRPr="004737C5">
        <w:rPr>
          <w:rFonts w:cstheme="minorHAnsi"/>
          <w:color w:val="00000A"/>
        </w:rPr>
        <w:t xml:space="preserve"> on Consumer Protection in 2015</w:t>
      </w:r>
      <w:r w:rsidR="00B333C0" w:rsidRPr="004737C5">
        <w:rPr>
          <w:rFonts w:cstheme="minorHAnsi"/>
          <w:color w:val="00000A"/>
        </w:rPr>
        <w:t xml:space="preserve"> within the Ministry of National Economy, with competition under a separate body.  </w:t>
      </w:r>
    </w:p>
    <w:p w14:paraId="0A96DF84" w14:textId="77777777" w:rsidR="00843222" w:rsidRPr="004737C5" w:rsidRDefault="00843222" w:rsidP="006D3BE8">
      <w:pPr>
        <w:rPr>
          <w:rFonts w:cstheme="minorHAnsi"/>
        </w:rPr>
      </w:pPr>
      <w:r w:rsidRPr="004737C5">
        <w:rPr>
          <w:rFonts w:cstheme="minorHAnsi"/>
        </w:rPr>
        <w:t xml:space="preserve">It is interesting </w:t>
      </w:r>
      <w:r w:rsidRPr="004737C5">
        <w:rPr>
          <w:rFonts w:cstheme="minorHAnsi"/>
          <w:bCs/>
        </w:rPr>
        <w:t>then</w:t>
      </w:r>
      <w:r w:rsidRPr="004737C5">
        <w:rPr>
          <w:rFonts w:cstheme="minorHAnsi"/>
        </w:rPr>
        <w:t xml:space="preserve"> to observe that the convergence that took place in Poland in the 1990s is not unlike that in Australia, where the two dimensions of consumer protection and competition have been brought together. T</w:t>
      </w:r>
      <w:r w:rsidR="00AE2519" w:rsidRPr="004737C5">
        <w:rPr>
          <w:rFonts w:cstheme="minorHAnsi"/>
        </w:rPr>
        <w:t>here are then</w:t>
      </w:r>
      <w:r w:rsidRPr="004737C5">
        <w:rPr>
          <w:rFonts w:cstheme="minorHAnsi"/>
        </w:rPr>
        <w:t xml:space="preserve"> instances of convergence and of separation</w:t>
      </w:r>
      <w:r w:rsidR="00AE2519" w:rsidRPr="004737C5">
        <w:rPr>
          <w:rFonts w:cstheme="minorHAnsi"/>
        </w:rPr>
        <w:t>,</w:t>
      </w:r>
      <w:r w:rsidRPr="004737C5">
        <w:rPr>
          <w:rFonts w:cstheme="minorHAnsi"/>
        </w:rPr>
        <w:t xml:space="preserve"> but the move towards higher public profile for agencies is steady, if not always smooth. The place of competition policy is discussed in ch</w:t>
      </w:r>
      <w:r w:rsidR="004240DC" w:rsidRPr="004737C5">
        <w:rPr>
          <w:rFonts w:cstheme="minorHAnsi"/>
        </w:rPr>
        <w:t>apter VII</w:t>
      </w:r>
      <w:r w:rsidRPr="004737C5">
        <w:rPr>
          <w:rFonts w:cstheme="minorHAnsi"/>
        </w:rPr>
        <w:t xml:space="preserve">. Examples of some autonomous consumer protection bodies </w:t>
      </w:r>
      <w:r w:rsidRPr="004737C5">
        <w:rPr>
          <w:rFonts w:cstheme="minorHAnsi"/>
          <w:bCs/>
        </w:rPr>
        <w:t xml:space="preserve">(with statutory powers taking in competition and consumer protection) </w:t>
      </w:r>
      <w:r w:rsidRPr="004737C5">
        <w:rPr>
          <w:rFonts w:cstheme="minorHAnsi"/>
        </w:rPr>
        <w:t>in selected countries are described below.</w:t>
      </w:r>
    </w:p>
    <w:p w14:paraId="590977D5" w14:textId="249698E5" w:rsidR="00843222" w:rsidRPr="004737C5" w:rsidRDefault="00843222" w:rsidP="006D3BE8">
      <w:pPr>
        <w:rPr>
          <w:rFonts w:cstheme="minorHAnsi"/>
        </w:rPr>
      </w:pPr>
      <w:r w:rsidRPr="004737C5">
        <w:rPr>
          <w:rFonts w:cstheme="minorHAnsi"/>
        </w:rPr>
        <w:t>The Australian Competition and Consumer Commi</w:t>
      </w:r>
      <w:r w:rsidR="00AE2519" w:rsidRPr="004737C5">
        <w:rPr>
          <w:rFonts w:cstheme="minorHAnsi"/>
        </w:rPr>
        <w:t>ssion (ACCC) is an independent federal statutory a</w:t>
      </w:r>
      <w:r w:rsidRPr="004737C5">
        <w:rPr>
          <w:rFonts w:cstheme="minorHAnsi"/>
        </w:rPr>
        <w:t xml:space="preserve">uthority, established in 1995 to administer the Trade Practices Act 1974 (now </w:t>
      </w:r>
      <w:r w:rsidR="00AE2519" w:rsidRPr="004737C5">
        <w:rPr>
          <w:rFonts w:cstheme="minorHAnsi"/>
        </w:rPr>
        <w:t>encompassed</w:t>
      </w:r>
      <w:r w:rsidRPr="004737C5">
        <w:rPr>
          <w:rFonts w:cstheme="minorHAnsi"/>
        </w:rPr>
        <w:t xml:space="preserve"> in the Competition and Consumer Act 2010) and other legislation promoting fair trading. The ACCC is the only national agency in Australia with responsibility for anti-competitive and unfair market practices, mergers or acquisitions of companies, product safety/liability and third party access to facilities of national significance, such as the telecoms network. Its consumer prote</w:t>
      </w:r>
      <w:r w:rsidR="00AE2519" w:rsidRPr="004737C5">
        <w:rPr>
          <w:rFonts w:cstheme="minorHAnsi"/>
        </w:rPr>
        <w:t>ction work complements that of state and t</w:t>
      </w:r>
      <w:r w:rsidRPr="004737C5">
        <w:rPr>
          <w:rFonts w:cstheme="minorHAnsi"/>
        </w:rPr>
        <w:t>erritory consumer affairs agencies. Although its local pre</w:t>
      </w:r>
      <w:r w:rsidR="00AE2519" w:rsidRPr="004737C5">
        <w:rPr>
          <w:rFonts w:cstheme="minorHAnsi"/>
        </w:rPr>
        <w:t>sence is limited to offices in s</w:t>
      </w:r>
      <w:r w:rsidRPr="004737C5">
        <w:rPr>
          <w:rFonts w:cstheme="minorHAnsi"/>
        </w:rPr>
        <w:t>tate capitals, it accepts complaint</w:t>
      </w:r>
      <w:r w:rsidR="00CA2594" w:rsidRPr="004737C5">
        <w:rPr>
          <w:rFonts w:cstheme="minorHAnsi"/>
        </w:rPr>
        <w:t>s directly from consumers and</w:t>
      </w:r>
      <w:r w:rsidRPr="004737C5">
        <w:rPr>
          <w:rFonts w:cstheme="minorHAnsi"/>
        </w:rPr>
        <w:t xml:space="preserve"> has a very high public profile. </w:t>
      </w:r>
    </w:p>
    <w:p w14:paraId="5B471F03" w14:textId="52560D1A" w:rsidR="00843222" w:rsidRPr="004737C5" w:rsidRDefault="00843222" w:rsidP="006D3BE8">
      <w:pPr>
        <w:pStyle w:val="TextBody"/>
        <w:spacing w:after="160" w:line="240" w:lineRule="auto"/>
        <w:rPr>
          <w:rFonts w:asciiTheme="minorHAnsi" w:hAnsiTheme="minorHAnsi" w:cstheme="minorHAnsi"/>
          <w:sz w:val="22"/>
          <w:szCs w:val="22"/>
        </w:rPr>
      </w:pPr>
      <w:r w:rsidRPr="004737C5">
        <w:rPr>
          <w:rFonts w:asciiTheme="minorHAnsi" w:hAnsiTheme="minorHAnsi" w:cstheme="minorHAnsi"/>
          <w:bCs/>
          <w:iCs/>
          <w:sz w:val="22"/>
          <w:szCs w:val="22"/>
        </w:rPr>
        <w:t xml:space="preserve">The </w:t>
      </w:r>
      <w:r w:rsidRPr="004737C5">
        <w:rPr>
          <w:rFonts w:asciiTheme="minorHAnsi" w:hAnsiTheme="minorHAnsi" w:cstheme="minorHAnsi"/>
          <w:sz w:val="22"/>
          <w:szCs w:val="22"/>
        </w:rPr>
        <w:t xml:space="preserve">Federal Trade Commission (FTC) is an independent agency of the </w:t>
      </w:r>
      <w:r w:rsidR="00AE2519" w:rsidRPr="004737C5">
        <w:rPr>
          <w:rFonts w:asciiTheme="minorHAnsi" w:hAnsiTheme="minorHAnsi" w:cstheme="minorHAnsi"/>
          <w:sz w:val="22"/>
          <w:szCs w:val="22"/>
        </w:rPr>
        <w:t xml:space="preserve">Government of the </w:t>
      </w:r>
      <w:r w:rsidRPr="004737C5">
        <w:rPr>
          <w:rFonts w:asciiTheme="minorHAnsi" w:hAnsiTheme="minorHAnsi" w:cstheme="minorHAnsi"/>
          <w:sz w:val="22"/>
          <w:szCs w:val="22"/>
        </w:rPr>
        <w:t xml:space="preserve">United States </w:t>
      </w:r>
      <w:r w:rsidR="00AE2519" w:rsidRPr="004737C5">
        <w:rPr>
          <w:rFonts w:asciiTheme="minorHAnsi" w:hAnsiTheme="minorHAnsi" w:cstheme="minorHAnsi"/>
          <w:sz w:val="22"/>
          <w:szCs w:val="22"/>
        </w:rPr>
        <w:t xml:space="preserve">of America </w:t>
      </w:r>
      <w:r w:rsidRPr="004737C5">
        <w:rPr>
          <w:rFonts w:asciiTheme="minorHAnsi" w:hAnsiTheme="minorHAnsi" w:cstheme="minorHAnsi"/>
          <w:sz w:val="22"/>
          <w:szCs w:val="22"/>
        </w:rPr>
        <w:t>est</w:t>
      </w:r>
      <w:r w:rsidR="003352D0" w:rsidRPr="004737C5">
        <w:rPr>
          <w:rFonts w:asciiTheme="minorHAnsi" w:hAnsiTheme="minorHAnsi" w:cstheme="minorHAnsi"/>
          <w:sz w:val="22"/>
          <w:szCs w:val="22"/>
        </w:rPr>
        <w:t>ablished in 1915.</w:t>
      </w:r>
      <w:r w:rsidRPr="004737C5">
        <w:rPr>
          <w:rFonts w:asciiTheme="minorHAnsi" w:hAnsiTheme="minorHAnsi" w:cstheme="minorHAnsi"/>
          <w:sz w:val="22"/>
          <w:szCs w:val="22"/>
        </w:rPr>
        <w:t xml:space="preserve"> The FTC’s mission is to protect consumers and promote competition. It uses three main divisions to fulfil its mandate – the Bureaus of Consumer Protection, Competition and Economics – and enforces over 70 federal laws and regulations. The consumer protection authority, including consumer privacy and data security, protects consumers against unfair and deceptive or fraudulent business practices. The FTC’s consumer protection actions include individual company and industry-wide investigations, administrative and federal court litigation, as well as rule</w:t>
      </w:r>
      <w:r w:rsidR="003352D0" w:rsidRPr="004737C5">
        <w:rPr>
          <w:rFonts w:asciiTheme="minorHAnsi" w:hAnsiTheme="minorHAnsi" w:cstheme="minorHAnsi"/>
          <w:sz w:val="22"/>
          <w:szCs w:val="22"/>
        </w:rPr>
        <w:t>-</w:t>
      </w:r>
      <w:r w:rsidRPr="004737C5">
        <w:rPr>
          <w:rFonts w:asciiTheme="minorHAnsi" w:hAnsiTheme="minorHAnsi" w:cstheme="minorHAnsi"/>
          <w:sz w:val="22"/>
          <w:szCs w:val="22"/>
        </w:rPr>
        <w:t>making proceedings. The FTC also takes complaints from the public, gives advice to consumers and to businesses and often obtains redress and/or refu</w:t>
      </w:r>
      <w:r w:rsidR="003352D0" w:rsidRPr="004737C5">
        <w:rPr>
          <w:rFonts w:asciiTheme="minorHAnsi" w:hAnsiTheme="minorHAnsi" w:cstheme="minorHAnsi"/>
          <w:sz w:val="22"/>
          <w:szCs w:val="22"/>
        </w:rPr>
        <w:t>nds as a result of its actions.</w:t>
      </w:r>
      <w:r w:rsidRPr="004737C5">
        <w:rPr>
          <w:rFonts w:asciiTheme="minorHAnsi" w:hAnsiTheme="minorHAnsi" w:cstheme="minorHAnsi"/>
          <w:sz w:val="22"/>
          <w:szCs w:val="22"/>
        </w:rPr>
        <w:t xml:space="preserve"> The </w:t>
      </w:r>
      <w:r w:rsidRPr="004737C5">
        <w:rPr>
          <w:rFonts w:asciiTheme="minorHAnsi" w:hAnsiTheme="minorHAnsi" w:cstheme="minorHAnsi"/>
          <w:sz w:val="22"/>
          <w:szCs w:val="22"/>
        </w:rPr>
        <w:lastRenderedPageBreak/>
        <w:t>agency also enforces federal antitrust (or competition) laws that prohibit anti-competitive mergers and other business practices that restrict competition and harm consumers. The Bureau of Economics provides economic analysis and support for consumer protection a</w:t>
      </w:r>
      <w:r w:rsidR="003352D0" w:rsidRPr="004737C5">
        <w:rPr>
          <w:rFonts w:asciiTheme="minorHAnsi" w:hAnsiTheme="minorHAnsi" w:cstheme="minorHAnsi"/>
          <w:sz w:val="22"/>
          <w:szCs w:val="22"/>
        </w:rPr>
        <w:t>nd anti-trust matters.</w:t>
      </w:r>
      <w:r w:rsidRPr="004737C5">
        <w:rPr>
          <w:rFonts w:asciiTheme="minorHAnsi" w:hAnsiTheme="minorHAnsi" w:cstheme="minorHAnsi"/>
          <w:sz w:val="22"/>
          <w:szCs w:val="22"/>
        </w:rPr>
        <w:t xml:space="preserve"> The FTC has seven regional offices and an Office of Technological Research and Investigation, which provides technical expertise and researches the implications of technology and technical change for consumers.  </w:t>
      </w:r>
    </w:p>
    <w:p w14:paraId="527DA0DD" w14:textId="6E21410F" w:rsidR="00843222" w:rsidRPr="004737C5" w:rsidRDefault="00DD4461" w:rsidP="006D3BE8">
      <w:pPr>
        <w:pStyle w:val="BodyText2"/>
        <w:spacing w:after="160"/>
        <w:rPr>
          <w:rFonts w:asciiTheme="minorHAnsi" w:hAnsiTheme="minorHAnsi" w:cstheme="minorHAnsi"/>
          <w:color w:val="00000A"/>
          <w:szCs w:val="22"/>
        </w:rPr>
      </w:pPr>
      <w:r w:rsidRPr="004737C5">
        <w:rPr>
          <w:rFonts w:asciiTheme="minorHAnsi" w:hAnsiTheme="minorHAnsi" w:cstheme="minorHAnsi"/>
          <w:color w:val="00000A"/>
          <w:szCs w:val="22"/>
        </w:rPr>
        <w:t>Peru’</w:t>
      </w:r>
      <w:r w:rsidR="00843222" w:rsidRPr="004737C5">
        <w:rPr>
          <w:rFonts w:asciiTheme="minorHAnsi" w:hAnsiTheme="minorHAnsi" w:cstheme="minorHAnsi"/>
          <w:color w:val="00000A"/>
          <w:szCs w:val="22"/>
        </w:rPr>
        <w:t xml:space="preserve">s </w:t>
      </w:r>
      <w:r w:rsidR="00843222" w:rsidRPr="004737C5">
        <w:rPr>
          <w:rFonts w:asciiTheme="minorHAnsi" w:hAnsiTheme="minorHAnsi" w:cstheme="minorHAnsi"/>
          <w:iCs/>
          <w:color w:val="00000A"/>
          <w:szCs w:val="22"/>
        </w:rPr>
        <w:t>Instituto Nacional de Defensa de la Competencia y Protección de la Propiedad Intelectual</w:t>
      </w:r>
      <w:r w:rsidR="00843222" w:rsidRPr="004737C5">
        <w:rPr>
          <w:rFonts w:asciiTheme="minorHAnsi" w:hAnsiTheme="minorHAnsi" w:cstheme="minorHAnsi"/>
          <w:color w:val="00000A"/>
          <w:szCs w:val="22"/>
        </w:rPr>
        <w:t xml:space="preserve"> (INDECOPI) oversees a </w:t>
      </w:r>
      <w:r w:rsidR="003352D0" w:rsidRPr="004737C5">
        <w:rPr>
          <w:rFonts w:asciiTheme="minorHAnsi" w:hAnsiTheme="minorHAnsi" w:cstheme="minorHAnsi"/>
          <w:color w:val="00000A"/>
          <w:szCs w:val="22"/>
        </w:rPr>
        <w:t>wide range of issues, including</w:t>
      </w:r>
      <w:r w:rsidR="00843222" w:rsidRPr="004737C5">
        <w:rPr>
          <w:rFonts w:asciiTheme="minorHAnsi" w:hAnsiTheme="minorHAnsi" w:cstheme="minorHAnsi"/>
          <w:color w:val="00000A"/>
          <w:szCs w:val="22"/>
        </w:rPr>
        <w:t xml:space="preserve"> consumer protection, competition, the elimination of bureaucratic barrier measures (with a view to simplification), anti-dumping (</w:t>
      </w:r>
      <w:r w:rsidR="003352D0" w:rsidRPr="004737C5">
        <w:rPr>
          <w:rFonts w:asciiTheme="minorHAnsi" w:hAnsiTheme="minorHAnsi" w:cstheme="minorHAnsi"/>
          <w:color w:val="00000A"/>
          <w:szCs w:val="22"/>
        </w:rPr>
        <w:t>applying the relevant WTO code)</w:t>
      </w:r>
      <w:r w:rsidR="00843222" w:rsidRPr="004737C5">
        <w:rPr>
          <w:rFonts w:asciiTheme="minorHAnsi" w:hAnsiTheme="minorHAnsi" w:cstheme="minorHAnsi"/>
          <w:color w:val="00000A"/>
          <w:szCs w:val="22"/>
        </w:rPr>
        <w:t xml:space="preserve"> and intellectual pr</w:t>
      </w:r>
      <w:r w:rsidR="003352D0" w:rsidRPr="004737C5">
        <w:rPr>
          <w:rFonts w:asciiTheme="minorHAnsi" w:hAnsiTheme="minorHAnsi" w:cstheme="minorHAnsi"/>
          <w:color w:val="00000A"/>
          <w:szCs w:val="22"/>
        </w:rPr>
        <w:t>operty. It has the status of a “specialized public agency”</w:t>
      </w:r>
      <w:r w:rsidR="00843222" w:rsidRPr="004737C5">
        <w:rPr>
          <w:rFonts w:asciiTheme="minorHAnsi" w:hAnsiTheme="minorHAnsi" w:cstheme="minorHAnsi"/>
          <w:color w:val="00000A"/>
          <w:szCs w:val="22"/>
        </w:rPr>
        <w:t xml:space="preserve"> attached to the off</w:t>
      </w:r>
      <w:r w:rsidR="003352D0" w:rsidRPr="004737C5">
        <w:rPr>
          <w:rFonts w:asciiTheme="minorHAnsi" w:hAnsiTheme="minorHAnsi" w:cstheme="minorHAnsi"/>
          <w:color w:val="00000A"/>
          <w:szCs w:val="22"/>
        </w:rPr>
        <w:t>ice of the Prime Minister with “</w:t>
      </w:r>
      <w:r w:rsidR="00843222" w:rsidRPr="004737C5">
        <w:rPr>
          <w:rFonts w:asciiTheme="minorHAnsi" w:hAnsiTheme="minorHAnsi" w:cstheme="minorHAnsi"/>
          <w:color w:val="00000A"/>
          <w:szCs w:val="22"/>
        </w:rPr>
        <w:t>independen</w:t>
      </w:r>
      <w:r w:rsidR="003352D0" w:rsidRPr="004737C5">
        <w:rPr>
          <w:rFonts w:asciiTheme="minorHAnsi" w:hAnsiTheme="minorHAnsi" w:cstheme="minorHAnsi"/>
          <w:color w:val="00000A"/>
          <w:szCs w:val="22"/>
        </w:rPr>
        <w:t>t status of internal public law”. It enjoys “</w:t>
      </w:r>
      <w:r w:rsidR="00843222" w:rsidRPr="004737C5">
        <w:rPr>
          <w:rFonts w:asciiTheme="minorHAnsi" w:hAnsiTheme="minorHAnsi" w:cstheme="minorHAnsi"/>
          <w:color w:val="00000A"/>
          <w:szCs w:val="22"/>
        </w:rPr>
        <w:t>functional, technical, economic, budgetary and administrative autonomy</w:t>
      </w:r>
      <w:r w:rsidR="003352D0" w:rsidRPr="004737C5">
        <w:rPr>
          <w:rFonts w:asciiTheme="minorHAnsi" w:hAnsiTheme="minorHAnsi" w:cstheme="minorHAnsi"/>
          <w:color w:val="00000A"/>
          <w:szCs w:val="22"/>
        </w:rPr>
        <w:t>”.</w:t>
      </w:r>
      <w:r w:rsidR="00843222" w:rsidRPr="004737C5">
        <w:rPr>
          <w:rFonts w:asciiTheme="minorHAnsi" w:hAnsiTheme="minorHAnsi" w:cstheme="minorHAnsi"/>
          <w:color w:val="00000A"/>
          <w:szCs w:val="22"/>
        </w:rPr>
        <w:t xml:space="preserve"> Its independence in managin</w:t>
      </w:r>
      <w:r w:rsidR="003352D0" w:rsidRPr="004737C5">
        <w:rPr>
          <w:rFonts w:asciiTheme="minorHAnsi" w:hAnsiTheme="minorHAnsi" w:cstheme="minorHAnsi"/>
          <w:color w:val="00000A"/>
          <w:szCs w:val="22"/>
        </w:rPr>
        <w:t>g its resources gives it great</w:t>
      </w:r>
      <w:r w:rsidR="00843222" w:rsidRPr="004737C5">
        <w:rPr>
          <w:rFonts w:asciiTheme="minorHAnsi" w:hAnsiTheme="minorHAnsi" w:cstheme="minorHAnsi"/>
          <w:color w:val="00000A"/>
          <w:szCs w:val="22"/>
        </w:rPr>
        <w:t xml:space="preserve"> possibilities for outreach</w:t>
      </w:r>
      <w:r w:rsidR="003352D0" w:rsidRPr="004737C5">
        <w:rPr>
          <w:rFonts w:asciiTheme="minorHAnsi" w:hAnsiTheme="minorHAnsi" w:cstheme="minorHAnsi"/>
          <w:color w:val="00000A"/>
          <w:szCs w:val="22"/>
        </w:rPr>
        <w:t>.</w:t>
      </w:r>
      <w:r w:rsidR="00843222" w:rsidRPr="004737C5">
        <w:rPr>
          <w:rFonts w:asciiTheme="minorHAnsi" w:hAnsiTheme="minorHAnsi" w:cstheme="minorHAnsi"/>
          <w:color w:val="00000A"/>
          <w:szCs w:val="22"/>
        </w:rPr>
        <w:t xml:space="preserve"> </w:t>
      </w:r>
      <w:r w:rsidR="003352D0" w:rsidRPr="004737C5">
        <w:rPr>
          <w:rFonts w:asciiTheme="minorHAnsi" w:hAnsiTheme="minorHAnsi" w:cstheme="minorHAnsi"/>
          <w:color w:val="00000A"/>
          <w:szCs w:val="22"/>
        </w:rPr>
        <w:t>S</w:t>
      </w:r>
      <w:r w:rsidR="00843222" w:rsidRPr="004737C5">
        <w:rPr>
          <w:rFonts w:asciiTheme="minorHAnsi" w:hAnsiTheme="minorHAnsi" w:cstheme="minorHAnsi"/>
          <w:color w:val="00000A"/>
          <w:szCs w:val="22"/>
        </w:rPr>
        <w:t xml:space="preserve">ince its establishment in 1992, </w:t>
      </w:r>
      <w:r w:rsidR="003352D0" w:rsidRPr="004737C5">
        <w:rPr>
          <w:rFonts w:asciiTheme="minorHAnsi" w:hAnsiTheme="minorHAnsi" w:cstheme="minorHAnsi"/>
          <w:color w:val="00000A"/>
          <w:szCs w:val="22"/>
        </w:rPr>
        <w:t xml:space="preserve">it </w:t>
      </w:r>
      <w:r w:rsidR="00843222" w:rsidRPr="004737C5">
        <w:rPr>
          <w:rFonts w:asciiTheme="minorHAnsi" w:hAnsiTheme="minorHAnsi" w:cstheme="minorHAnsi"/>
          <w:color w:val="00000A"/>
          <w:szCs w:val="22"/>
        </w:rPr>
        <w:t>has developed a high public profile and is currently one of the best regard</w:t>
      </w:r>
      <w:r w:rsidR="003352D0" w:rsidRPr="004737C5">
        <w:rPr>
          <w:rFonts w:asciiTheme="minorHAnsi" w:hAnsiTheme="minorHAnsi" w:cstheme="minorHAnsi"/>
          <w:color w:val="00000A"/>
          <w:szCs w:val="22"/>
        </w:rPr>
        <w:t>ed s</w:t>
      </w:r>
      <w:r w:rsidR="00843222" w:rsidRPr="004737C5">
        <w:rPr>
          <w:rFonts w:asciiTheme="minorHAnsi" w:hAnsiTheme="minorHAnsi" w:cstheme="minorHAnsi"/>
          <w:color w:val="00000A"/>
          <w:szCs w:val="22"/>
        </w:rPr>
        <w:t>tate institutions in the country.</w:t>
      </w:r>
      <w:r w:rsidR="00843222" w:rsidRPr="004737C5">
        <w:rPr>
          <w:rStyle w:val="FootnoteReference"/>
          <w:rFonts w:asciiTheme="minorHAnsi" w:eastAsiaTheme="minorHAnsi" w:hAnsiTheme="minorHAnsi" w:cstheme="minorHAnsi"/>
          <w:color w:val="auto"/>
        </w:rPr>
        <w:footnoteReference w:id="55"/>
      </w:r>
    </w:p>
    <w:p w14:paraId="389111E8" w14:textId="4A7BFCC6" w:rsidR="00843222" w:rsidRPr="004737C5" w:rsidRDefault="00843222" w:rsidP="00DD4461">
      <w:pPr>
        <w:pStyle w:val="BodyText2"/>
        <w:spacing w:after="160"/>
        <w:rPr>
          <w:rFonts w:asciiTheme="minorHAnsi" w:hAnsiTheme="minorHAnsi" w:cstheme="minorHAnsi"/>
          <w:color w:val="00000A"/>
          <w:szCs w:val="22"/>
        </w:rPr>
      </w:pPr>
      <w:r w:rsidRPr="004737C5">
        <w:rPr>
          <w:rFonts w:asciiTheme="minorHAnsi" w:hAnsiTheme="minorHAnsi" w:cstheme="minorHAnsi"/>
          <w:color w:val="00000A"/>
          <w:szCs w:val="22"/>
        </w:rPr>
        <w:t>The Chinese Consumer Associ</w:t>
      </w:r>
      <w:r w:rsidR="003352D0" w:rsidRPr="004737C5">
        <w:rPr>
          <w:rFonts w:asciiTheme="minorHAnsi" w:hAnsiTheme="minorHAnsi" w:cstheme="minorHAnsi"/>
          <w:color w:val="00000A"/>
          <w:szCs w:val="22"/>
        </w:rPr>
        <w:t>ation (CCA) is a generic quasi-g</w:t>
      </w:r>
      <w:r w:rsidRPr="004737C5">
        <w:rPr>
          <w:rFonts w:asciiTheme="minorHAnsi" w:hAnsiTheme="minorHAnsi" w:cstheme="minorHAnsi"/>
          <w:color w:val="00000A"/>
          <w:szCs w:val="22"/>
        </w:rPr>
        <w:t>overnment</w:t>
      </w:r>
      <w:r w:rsidR="003352D0" w:rsidRPr="004737C5">
        <w:rPr>
          <w:rFonts w:asciiTheme="minorHAnsi" w:hAnsiTheme="minorHAnsi" w:cstheme="minorHAnsi"/>
          <w:color w:val="00000A"/>
          <w:szCs w:val="22"/>
        </w:rPr>
        <w:t>al</w:t>
      </w:r>
      <w:r w:rsidRPr="004737C5">
        <w:rPr>
          <w:rFonts w:asciiTheme="minorHAnsi" w:hAnsiTheme="minorHAnsi" w:cstheme="minorHAnsi"/>
          <w:color w:val="00000A"/>
          <w:szCs w:val="22"/>
        </w:rPr>
        <w:t xml:space="preserve"> organization, with no individual consumer members, performing a public interest function. In 2014, under the terms of an amendment to the Chinese C</w:t>
      </w:r>
      <w:r w:rsidR="003352D0" w:rsidRPr="004737C5">
        <w:rPr>
          <w:rFonts w:asciiTheme="minorHAnsi" w:hAnsiTheme="minorHAnsi" w:cstheme="minorHAnsi"/>
          <w:color w:val="00000A"/>
          <w:szCs w:val="22"/>
        </w:rPr>
        <w:t>onsumer Protection Law</w:t>
      </w:r>
      <w:r w:rsidRPr="004737C5">
        <w:rPr>
          <w:rFonts w:asciiTheme="minorHAnsi" w:hAnsiTheme="minorHAnsi" w:cstheme="minorHAnsi"/>
          <w:color w:val="00000A"/>
          <w:szCs w:val="22"/>
        </w:rPr>
        <w:t xml:space="preserve"> (originally adopted in 1993)</w:t>
      </w:r>
      <w:r w:rsidR="00DD4461" w:rsidRPr="004737C5">
        <w:rPr>
          <w:rFonts w:asciiTheme="minorHAnsi" w:hAnsiTheme="minorHAnsi" w:cstheme="minorHAnsi"/>
          <w:color w:val="00000A"/>
          <w:szCs w:val="22"/>
        </w:rPr>
        <w:t>,</w:t>
      </w:r>
      <w:r w:rsidRPr="004737C5">
        <w:rPr>
          <w:rFonts w:asciiTheme="minorHAnsi" w:hAnsiTheme="minorHAnsi" w:cstheme="minorHAnsi"/>
          <w:color w:val="00000A"/>
          <w:szCs w:val="22"/>
        </w:rPr>
        <w:t xml:space="preserve"> several significant modifications came into effect. The amendment characterizes the CCA as a “social organization” rather than an association. With this new legal status, the CCA is, for the first time, authorized by statute to be both funded by the </w:t>
      </w:r>
      <w:r w:rsidR="00775159" w:rsidRPr="004737C5">
        <w:rPr>
          <w:rFonts w:asciiTheme="minorHAnsi" w:hAnsiTheme="minorHAnsi" w:cstheme="minorHAnsi"/>
          <w:color w:val="00000A"/>
          <w:szCs w:val="22"/>
        </w:rPr>
        <w:t>G</w:t>
      </w:r>
      <w:r w:rsidR="003352D0" w:rsidRPr="004737C5">
        <w:rPr>
          <w:rFonts w:asciiTheme="minorHAnsi" w:hAnsiTheme="minorHAnsi" w:cstheme="minorHAnsi"/>
          <w:color w:val="00000A"/>
          <w:szCs w:val="22"/>
        </w:rPr>
        <w:t>overnment</w:t>
      </w:r>
      <w:r w:rsidRPr="004737C5">
        <w:rPr>
          <w:rFonts w:asciiTheme="minorHAnsi" w:hAnsiTheme="minorHAnsi" w:cstheme="minorHAnsi"/>
          <w:color w:val="00000A"/>
          <w:szCs w:val="22"/>
        </w:rPr>
        <w:t xml:space="preserve"> and to be an active participant in the legislative process. Beside the dispute resolution functions stipulated by the former law, the CCA and its provincial branches </w:t>
      </w:r>
      <w:r w:rsidR="003352D0" w:rsidRPr="004737C5">
        <w:rPr>
          <w:rFonts w:asciiTheme="minorHAnsi" w:hAnsiTheme="minorHAnsi" w:cstheme="minorHAnsi"/>
          <w:color w:val="00000A"/>
          <w:szCs w:val="22"/>
        </w:rPr>
        <w:t>have the</w:t>
      </w:r>
      <w:r w:rsidRPr="004737C5">
        <w:rPr>
          <w:rFonts w:asciiTheme="minorHAnsi" w:hAnsiTheme="minorHAnsi" w:cstheme="minorHAnsi"/>
          <w:color w:val="00000A"/>
          <w:szCs w:val="22"/>
        </w:rPr>
        <w:t xml:space="preserve"> power to bring class action litigation against behaviour considered detrimental to the public as consumers. The CCA is effectively a department of the State Administration for Industry and Commerce (SAIC). It carries responsibility for anti-monopoly enforcement, although its most public actions tend to be around enforcement of product safety.</w:t>
      </w:r>
    </w:p>
    <w:p w14:paraId="3068C008" w14:textId="77777777" w:rsidR="00843222" w:rsidRPr="004737C5" w:rsidRDefault="00843222" w:rsidP="00DD4461">
      <w:pPr>
        <w:pStyle w:val="Heading3"/>
        <w:spacing w:after="160" w:line="240" w:lineRule="auto"/>
        <w:rPr>
          <w:rFonts w:cstheme="minorHAnsi"/>
          <w:color w:val="auto"/>
        </w:rPr>
      </w:pPr>
      <w:bookmarkStart w:id="42" w:name="_Toc492649995"/>
      <w:r w:rsidRPr="004737C5">
        <w:rPr>
          <w:rFonts w:cstheme="minorHAnsi"/>
          <w:color w:val="auto"/>
        </w:rPr>
        <w:t>5</w:t>
      </w:r>
      <w:r w:rsidR="003352D0" w:rsidRPr="004737C5">
        <w:rPr>
          <w:rFonts w:cstheme="minorHAnsi"/>
          <w:color w:val="auto"/>
        </w:rPr>
        <w:t>.</w:t>
      </w:r>
      <w:r w:rsidRPr="004737C5">
        <w:rPr>
          <w:rFonts w:cstheme="minorHAnsi"/>
          <w:color w:val="auto"/>
        </w:rPr>
        <w:t xml:space="preserve"> Non-statutory public bodies</w:t>
      </w:r>
      <w:bookmarkEnd w:id="42"/>
    </w:p>
    <w:p w14:paraId="3D9BC913" w14:textId="77777777" w:rsidR="00843222" w:rsidRPr="004737C5" w:rsidRDefault="00843222" w:rsidP="006D3BE8">
      <w:pPr>
        <w:pStyle w:val="TextBody"/>
        <w:spacing w:after="160" w:line="240" w:lineRule="auto"/>
        <w:rPr>
          <w:rFonts w:asciiTheme="minorHAnsi" w:hAnsiTheme="minorHAnsi" w:cstheme="minorHAnsi"/>
          <w:sz w:val="22"/>
          <w:szCs w:val="22"/>
        </w:rPr>
      </w:pPr>
      <w:r w:rsidRPr="004737C5">
        <w:rPr>
          <w:rFonts w:asciiTheme="minorHAnsi" w:hAnsiTheme="minorHAnsi" w:cstheme="minorHAnsi"/>
          <w:sz w:val="22"/>
          <w:szCs w:val="22"/>
        </w:rPr>
        <w:t>As described above, many ministerial agencies have managed to incorporate consumer feedback and consultation. As consumer protection has moved away from weights and measures and basic market surveillance to wider economic and social policy, a m</w:t>
      </w:r>
      <w:r w:rsidR="003352D0" w:rsidRPr="004737C5">
        <w:rPr>
          <w:rFonts w:asciiTheme="minorHAnsi" w:hAnsiTheme="minorHAnsi" w:cstheme="minorHAnsi"/>
          <w:sz w:val="22"/>
          <w:szCs w:val="22"/>
        </w:rPr>
        <w:t xml:space="preserve">ore flexible discourse has </w:t>
      </w:r>
      <w:r w:rsidRPr="004737C5">
        <w:rPr>
          <w:rFonts w:asciiTheme="minorHAnsi" w:hAnsiTheme="minorHAnsi" w:cstheme="minorHAnsi"/>
          <w:sz w:val="22"/>
          <w:szCs w:val="22"/>
        </w:rPr>
        <w:t xml:space="preserve">developed, one which has </w:t>
      </w:r>
      <w:r w:rsidR="003352D0" w:rsidRPr="004737C5">
        <w:rPr>
          <w:rFonts w:asciiTheme="minorHAnsi" w:hAnsiTheme="minorHAnsi" w:cstheme="minorHAnsi"/>
          <w:sz w:val="22"/>
          <w:szCs w:val="22"/>
        </w:rPr>
        <w:t xml:space="preserve">encompassed </w:t>
      </w:r>
      <w:r w:rsidRPr="004737C5">
        <w:rPr>
          <w:rFonts w:asciiTheme="minorHAnsi" w:hAnsiTheme="minorHAnsi" w:cstheme="minorHAnsi"/>
          <w:sz w:val="22"/>
          <w:szCs w:val="22"/>
        </w:rPr>
        <w:t xml:space="preserve">a wider range of public stakeholders and encouraged discussion in the media. Some such bodies have managed to achieve a high public profile and an outspoken style while being publicly funded. </w:t>
      </w:r>
      <w:r w:rsidRPr="004737C5">
        <w:rPr>
          <w:rFonts w:asciiTheme="minorHAnsi" w:hAnsiTheme="minorHAnsi" w:cstheme="minorHAnsi"/>
          <w:bCs/>
          <w:sz w:val="22"/>
          <w:szCs w:val="22"/>
        </w:rPr>
        <w:t>Such autonomous public bodies</w:t>
      </w:r>
      <w:r w:rsidRPr="004737C5">
        <w:rPr>
          <w:rFonts w:asciiTheme="minorHAnsi" w:hAnsiTheme="minorHAnsi" w:cstheme="minorHAnsi"/>
          <w:b/>
          <w:bCs/>
          <w:sz w:val="22"/>
          <w:szCs w:val="22"/>
        </w:rPr>
        <w:t xml:space="preserve"> </w:t>
      </w:r>
      <w:r w:rsidRPr="004737C5">
        <w:rPr>
          <w:rFonts w:asciiTheme="minorHAnsi" w:hAnsiTheme="minorHAnsi" w:cstheme="minorHAnsi"/>
          <w:bCs/>
          <w:sz w:val="22"/>
          <w:szCs w:val="22"/>
        </w:rPr>
        <w:t xml:space="preserve">do not have statutory powers, but have the power to make policy recommendations, generally based on research often derived </w:t>
      </w:r>
      <w:r w:rsidR="009A244E" w:rsidRPr="004737C5">
        <w:rPr>
          <w:rFonts w:asciiTheme="minorHAnsi" w:hAnsiTheme="minorHAnsi" w:cstheme="minorHAnsi"/>
          <w:bCs/>
          <w:sz w:val="22"/>
          <w:szCs w:val="22"/>
        </w:rPr>
        <w:t>from</w:t>
      </w:r>
      <w:r w:rsidRPr="004737C5">
        <w:rPr>
          <w:rFonts w:asciiTheme="minorHAnsi" w:hAnsiTheme="minorHAnsi" w:cstheme="minorHAnsi"/>
          <w:bCs/>
          <w:sz w:val="22"/>
          <w:szCs w:val="22"/>
        </w:rPr>
        <w:t xml:space="preserve"> complaints from the public.</w:t>
      </w:r>
      <w:r w:rsidRPr="004737C5">
        <w:rPr>
          <w:rFonts w:asciiTheme="minorHAnsi" w:hAnsiTheme="minorHAnsi" w:cstheme="minorHAnsi"/>
          <w:sz w:val="22"/>
          <w:szCs w:val="22"/>
        </w:rPr>
        <w:t xml:space="preserve"> </w:t>
      </w:r>
    </w:p>
    <w:p w14:paraId="1C7DB366" w14:textId="77777777" w:rsidR="00843222" w:rsidRPr="004737C5" w:rsidRDefault="00843222" w:rsidP="006D3BE8">
      <w:pPr>
        <w:rPr>
          <w:rFonts w:cstheme="minorHAnsi"/>
        </w:rPr>
      </w:pPr>
      <w:r w:rsidRPr="004737C5">
        <w:rPr>
          <w:rFonts w:cstheme="minorHAnsi"/>
          <w:iCs/>
        </w:rPr>
        <w:t xml:space="preserve">Fiji's </w:t>
      </w:r>
      <w:r w:rsidRPr="004737C5">
        <w:rPr>
          <w:rFonts w:cstheme="minorHAnsi"/>
        </w:rPr>
        <w:t xml:space="preserve">Consumer Council was established under the Consumer Council of Fiji Act 1976 as a statutory body funded by the Government. It has an advisory role and no enforcement powers. Among its functions are advising </w:t>
      </w:r>
      <w:r w:rsidR="003352D0" w:rsidRPr="004737C5">
        <w:rPr>
          <w:rFonts w:cstheme="minorHAnsi"/>
        </w:rPr>
        <w:t xml:space="preserve">ministers, </w:t>
      </w:r>
      <w:r w:rsidRPr="004737C5">
        <w:rPr>
          <w:rFonts w:cstheme="minorHAnsi"/>
        </w:rPr>
        <w:t xml:space="preserve">making recommendations to </w:t>
      </w:r>
      <w:r w:rsidR="003352D0" w:rsidRPr="004737C5">
        <w:rPr>
          <w:rFonts w:cstheme="minorHAnsi"/>
        </w:rPr>
        <w:t xml:space="preserve">ministers, </w:t>
      </w:r>
      <w:r w:rsidRPr="004737C5">
        <w:rPr>
          <w:rFonts w:cstheme="minorHAnsi"/>
        </w:rPr>
        <w:t>making re</w:t>
      </w:r>
      <w:r w:rsidR="005A2086" w:rsidRPr="004737C5">
        <w:rPr>
          <w:rFonts w:cstheme="minorHAnsi"/>
        </w:rPr>
        <w:t>presentations to the G</w:t>
      </w:r>
      <w:r w:rsidRPr="004737C5">
        <w:rPr>
          <w:rFonts w:cstheme="minorHAnsi"/>
        </w:rPr>
        <w:t>overnment or giving evidence at any investigation or inquiry, collecting, collating and disseminating information, a</w:t>
      </w:r>
      <w:r w:rsidR="003352D0" w:rsidRPr="004737C5">
        <w:rPr>
          <w:rFonts w:cstheme="minorHAnsi"/>
        </w:rPr>
        <w:t>dvising and assisting consumers</w:t>
      </w:r>
      <w:r w:rsidRPr="004737C5">
        <w:rPr>
          <w:rFonts w:cstheme="minorHAnsi"/>
        </w:rPr>
        <w:t xml:space="preserve"> and supporting and maintaining legal proceedings contemplated or initiated by consumers. It has </w:t>
      </w:r>
      <w:r w:rsidR="003352D0" w:rsidRPr="004737C5">
        <w:rPr>
          <w:rFonts w:cstheme="minorHAnsi"/>
        </w:rPr>
        <w:t>a very prominent public profile and campaigns</w:t>
      </w:r>
      <w:r w:rsidRPr="004737C5">
        <w:rPr>
          <w:rFonts w:cstheme="minorHAnsi"/>
        </w:rPr>
        <w:t xml:space="preserve"> on financial services and nutrition</w:t>
      </w:r>
      <w:r w:rsidR="003352D0" w:rsidRPr="004737C5">
        <w:rPr>
          <w:rFonts w:cstheme="minorHAnsi"/>
        </w:rPr>
        <w:t>,</w:t>
      </w:r>
      <w:r w:rsidRPr="004737C5">
        <w:rPr>
          <w:rFonts w:cstheme="minorHAnsi"/>
        </w:rPr>
        <w:t xml:space="preserve"> for example. Its negotiations with banks regarding the development of codes of practice for consumer protection were particularly public.</w:t>
      </w:r>
      <w:r w:rsidRPr="004737C5">
        <w:rPr>
          <w:rStyle w:val="FootnoteAnchor"/>
          <w:rFonts w:cstheme="minorHAnsi"/>
        </w:rPr>
        <w:footnoteReference w:id="56"/>
      </w:r>
    </w:p>
    <w:p w14:paraId="1D580D33" w14:textId="242DD771" w:rsidR="00843222" w:rsidRPr="004737C5" w:rsidRDefault="00843222" w:rsidP="00DD4461">
      <w:pPr>
        <w:rPr>
          <w:rFonts w:cstheme="minorHAnsi"/>
        </w:rPr>
      </w:pPr>
      <w:r w:rsidRPr="004737C5">
        <w:rPr>
          <w:rFonts w:cstheme="minorHAnsi"/>
          <w:iCs/>
        </w:rPr>
        <w:lastRenderedPageBreak/>
        <w:t>The Consumer</w:t>
      </w:r>
      <w:r w:rsidRPr="004737C5">
        <w:rPr>
          <w:rFonts w:cstheme="minorHAnsi"/>
          <w:bCs/>
          <w:iCs/>
        </w:rPr>
        <w:t xml:space="preserve"> Council of </w:t>
      </w:r>
      <w:r w:rsidR="003352D0" w:rsidRPr="004737C5">
        <w:rPr>
          <w:rFonts w:cstheme="minorHAnsi"/>
          <w:iCs/>
        </w:rPr>
        <w:t>Hong Kong</w:t>
      </w:r>
      <w:r w:rsidRPr="004737C5">
        <w:rPr>
          <w:rFonts w:cstheme="minorHAnsi"/>
          <w:iCs/>
        </w:rPr>
        <w:t xml:space="preserve"> </w:t>
      </w:r>
      <w:r w:rsidR="003352D0" w:rsidRPr="004737C5">
        <w:rPr>
          <w:rFonts w:cstheme="minorHAnsi"/>
          <w:iCs/>
        </w:rPr>
        <w:t>(</w:t>
      </w:r>
      <w:r w:rsidRPr="004737C5">
        <w:rPr>
          <w:rFonts w:cstheme="minorHAnsi"/>
          <w:iCs/>
        </w:rPr>
        <w:t>China</w:t>
      </w:r>
      <w:r w:rsidR="003352D0" w:rsidRPr="004737C5">
        <w:rPr>
          <w:rFonts w:cstheme="minorHAnsi"/>
          <w:iCs/>
        </w:rPr>
        <w:t>)</w:t>
      </w:r>
      <w:r w:rsidRPr="004737C5">
        <w:rPr>
          <w:rFonts w:cstheme="minorHAnsi"/>
          <w:iCs/>
        </w:rPr>
        <w:t xml:space="preserve"> </w:t>
      </w:r>
      <w:r w:rsidRPr="004737C5">
        <w:rPr>
          <w:rFonts w:cstheme="minorHAnsi"/>
          <w:bCs/>
          <w:iCs/>
        </w:rPr>
        <w:t xml:space="preserve">(HKCC) </w:t>
      </w:r>
      <w:r w:rsidRPr="004737C5">
        <w:rPr>
          <w:rFonts w:cstheme="minorHAnsi"/>
        </w:rPr>
        <w:t>was set up as a statutory body in 1974. It does not have enforcement powers. Its functions include collecting, receiving and disseminating information on goods, services and housing. It handles complaints through its network of local advice centres and gives advice to consumers including spe</w:t>
      </w:r>
      <w:r w:rsidR="003352D0" w:rsidRPr="004737C5">
        <w:rPr>
          <w:rFonts w:cstheme="minorHAnsi"/>
        </w:rPr>
        <w:t>cial services to visitors from m</w:t>
      </w:r>
      <w:r w:rsidR="00DD4461" w:rsidRPr="004737C5">
        <w:rPr>
          <w:rFonts w:cstheme="minorHAnsi"/>
        </w:rPr>
        <w:t>ainland China. The c</w:t>
      </w:r>
      <w:r w:rsidRPr="004737C5">
        <w:rPr>
          <w:rFonts w:cstheme="minorHAnsi"/>
        </w:rPr>
        <w:t xml:space="preserve">ouncil advises the Government </w:t>
      </w:r>
      <w:r w:rsidR="00434389" w:rsidRPr="004737C5">
        <w:rPr>
          <w:rFonts w:cstheme="minorHAnsi"/>
        </w:rPr>
        <w:t xml:space="preserve">of Hong Kong (China) </w:t>
      </w:r>
      <w:r w:rsidRPr="004737C5">
        <w:rPr>
          <w:rFonts w:cstheme="minorHAnsi"/>
        </w:rPr>
        <w:t>or any relevant public office, for example the</w:t>
      </w:r>
      <w:r w:rsidR="003352D0" w:rsidRPr="004737C5">
        <w:rPr>
          <w:rFonts w:cstheme="minorHAnsi"/>
        </w:rPr>
        <w:t xml:space="preserve"> ministry responsible for energy p</w:t>
      </w:r>
      <w:r w:rsidRPr="004737C5">
        <w:rPr>
          <w:rFonts w:cstheme="minorHAnsi"/>
        </w:rPr>
        <w:t>olicy</w:t>
      </w:r>
      <w:r w:rsidR="003352D0" w:rsidRPr="004737C5">
        <w:rPr>
          <w:rFonts w:cstheme="minorHAnsi"/>
        </w:rPr>
        <w:t>,</w:t>
      </w:r>
      <w:r w:rsidRPr="004737C5">
        <w:rPr>
          <w:rFonts w:cstheme="minorHAnsi"/>
        </w:rPr>
        <w:t xml:space="preserve"> on which </w:t>
      </w:r>
      <w:r w:rsidR="00434389" w:rsidRPr="004737C5">
        <w:rPr>
          <w:rFonts w:cstheme="minorHAnsi"/>
        </w:rPr>
        <w:t>the Government of Hong Kong (China)</w:t>
      </w:r>
      <w:r w:rsidR="000843A2" w:rsidRPr="004737C5">
        <w:rPr>
          <w:rFonts w:cstheme="minorHAnsi"/>
        </w:rPr>
        <w:t xml:space="preserve"> </w:t>
      </w:r>
      <w:r w:rsidRPr="004737C5">
        <w:rPr>
          <w:rFonts w:cstheme="minorHAnsi"/>
        </w:rPr>
        <w:t>car</w:t>
      </w:r>
      <w:r w:rsidR="003352D0" w:rsidRPr="004737C5">
        <w:rPr>
          <w:rFonts w:cstheme="minorHAnsi"/>
        </w:rPr>
        <w:t>ried out a major review in 2014‒</w:t>
      </w:r>
      <w:r w:rsidRPr="004737C5">
        <w:rPr>
          <w:rFonts w:cstheme="minorHAnsi"/>
        </w:rPr>
        <w:t>15</w:t>
      </w:r>
      <w:r w:rsidR="003352D0" w:rsidRPr="004737C5">
        <w:rPr>
          <w:rFonts w:cstheme="minorHAnsi"/>
        </w:rPr>
        <w:t>,</w:t>
      </w:r>
      <w:r w:rsidRPr="004737C5">
        <w:rPr>
          <w:rFonts w:cstheme="minorHAnsi"/>
        </w:rPr>
        <w:t xml:space="preserve"> to which HKCC gave extensive evidence with high profile publicity in </w:t>
      </w:r>
      <w:r w:rsidR="003352D0" w:rsidRPr="004737C5">
        <w:rPr>
          <w:rFonts w:cstheme="minorHAnsi"/>
        </w:rPr>
        <w:t xml:space="preserve">the </w:t>
      </w:r>
      <w:r w:rsidRPr="004737C5">
        <w:rPr>
          <w:rFonts w:cstheme="minorHAnsi"/>
        </w:rPr>
        <w:t xml:space="preserve">press and </w:t>
      </w:r>
      <w:r w:rsidR="003352D0" w:rsidRPr="004737C5">
        <w:rPr>
          <w:rFonts w:cstheme="minorHAnsi"/>
        </w:rPr>
        <w:t>on television</w:t>
      </w:r>
      <w:r w:rsidRPr="004737C5">
        <w:rPr>
          <w:rFonts w:cstheme="minorHAnsi"/>
        </w:rPr>
        <w:t>.</w:t>
      </w:r>
      <w:r w:rsidRPr="004737C5">
        <w:rPr>
          <w:rStyle w:val="FootnoteReference"/>
          <w:rFonts w:cstheme="minorHAnsi"/>
        </w:rPr>
        <w:footnoteReference w:id="57"/>
      </w:r>
      <w:r w:rsidR="009331A3" w:rsidRPr="004737C5">
        <w:rPr>
          <w:rFonts w:cstheme="minorHAnsi"/>
        </w:rPr>
        <w:t xml:space="preserve"> The c</w:t>
      </w:r>
      <w:r w:rsidRPr="004737C5">
        <w:rPr>
          <w:rFonts w:cstheme="minorHAnsi"/>
        </w:rPr>
        <w:t xml:space="preserve">ouncil encourages business and professional associations to establish codes of practice, </w:t>
      </w:r>
      <w:r w:rsidR="009331A3" w:rsidRPr="004737C5">
        <w:rPr>
          <w:rFonts w:cstheme="minorHAnsi"/>
        </w:rPr>
        <w:t xml:space="preserve">which is </w:t>
      </w:r>
      <w:r w:rsidRPr="004737C5">
        <w:rPr>
          <w:rFonts w:cstheme="minorHAnsi"/>
        </w:rPr>
        <w:t xml:space="preserve">especially important in </w:t>
      </w:r>
      <w:r w:rsidRPr="004737C5">
        <w:rPr>
          <w:rFonts w:cstheme="minorHAnsi"/>
          <w:iCs/>
        </w:rPr>
        <w:t>Hong Kong (China)</w:t>
      </w:r>
      <w:r w:rsidRPr="004737C5">
        <w:rPr>
          <w:rFonts w:cstheme="minorHAnsi"/>
        </w:rPr>
        <w:t xml:space="preserve"> because of the absence of a Consumer Protection Act. It performed a particularly important role during the financial crisis of 2008</w:t>
      </w:r>
      <w:r w:rsidR="009331A3" w:rsidRPr="004737C5">
        <w:rPr>
          <w:rFonts w:cstheme="minorHAnsi"/>
        </w:rPr>
        <w:t>,</w:t>
      </w:r>
      <w:r w:rsidRPr="004737C5">
        <w:rPr>
          <w:rFonts w:cstheme="minorHAnsi"/>
        </w:rPr>
        <w:t xml:space="preserve"> giving advice to thousands of consumers. The sale of minibonds, for example, gave rise to some 20,000 consumer complaints and HKCC sponsored a legal action through its Consumer Legal Action Fund.</w:t>
      </w:r>
      <w:r w:rsidRPr="004737C5">
        <w:rPr>
          <w:rStyle w:val="FootnoteAnchor"/>
          <w:rFonts w:cstheme="minorHAnsi"/>
        </w:rPr>
        <w:footnoteReference w:id="58"/>
      </w:r>
    </w:p>
    <w:p w14:paraId="55FF1965" w14:textId="77777777" w:rsidR="00843222" w:rsidRPr="004737C5" w:rsidRDefault="009331A3" w:rsidP="00DD4461">
      <w:pPr>
        <w:pStyle w:val="Heading2"/>
        <w:spacing w:after="160"/>
        <w:rPr>
          <w:rFonts w:cstheme="minorHAnsi"/>
          <w:color w:val="auto"/>
          <w:sz w:val="24"/>
          <w:szCs w:val="24"/>
        </w:rPr>
      </w:pPr>
      <w:bookmarkStart w:id="43" w:name="_Toc492649996"/>
      <w:r w:rsidRPr="004737C5">
        <w:rPr>
          <w:rFonts w:cstheme="minorHAnsi"/>
          <w:color w:val="auto"/>
          <w:sz w:val="24"/>
          <w:szCs w:val="24"/>
        </w:rPr>
        <w:t>D.</w:t>
      </w:r>
      <w:r w:rsidR="00843222" w:rsidRPr="004737C5">
        <w:rPr>
          <w:rFonts w:cstheme="minorHAnsi"/>
          <w:color w:val="auto"/>
          <w:sz w:val="24"/>
          <w:szCs w:val="24"/>
        </w:rPr>
        <w:t xml:space="preserve"> The changing scope of consumer protection</w:t>
      </w:r>
      <w:bookmarkEnd w:id="43"/>
    </w:p>
    <w:p w14:paraId="367E168D" w14:textId="77777777" w:rsidR="00843222" w:rsidRPr="004737C5" w:rsidRDefault="009331A3" w:rsidP="006D3BE8">
      <w:pPr>
        <w:rPr>
          <w:rFonts w:cstheme="minorHAnsi"/>
        </w:rPr>
      </w:pPr>
      <w:r w:rsidRPr="004737C5">
        <w:rPr>
          <w:rFonts w:cstheme="minorHAnsi"/>
        </w:rPr>
        <w:t>Since around the turn of the m</w:t>
      </w:r>
      <w:r w:rsidR="00843222" w:rsidRPr="004737C5">
        <w:rPr>
          <w:rFonts w:cstheme="minorHAnsi"/>
        </w:rPr>
        <w:t xml:space="preserve">illennium, sectoral regulators in the services area in particular, as opposed to consumer protection agencies, have taken on responsibility for the protection of consumers in their respective domains. The clearest examples are to be found in utility services such as water and energy, especially where ownership is in flux and regulators have powers to regulate private operators. </w:t>
      </w:r>
    </w:p>
    <w:p w14:paraId="1E33F76A" w14:textId="050B0BA1" w:rsidR="00843222" w:rsidRPr="004737C5" w:rsidRDefault="00843222" w:rsidP="006D3BE8">
      <w:pPr>
        <w:rPr>
          <w:rFonts w:cstheme="minorHAnsi"/>
        </w:rPr>
      </w:pPr>
      <w:r w:rsidRPr="004737C5">
        <w:rPr>
          <w:rFonts w:cstheme="minorHAnsi"/>
        </w:rPr>
        <w:t>Two areas have seen parti</w:t>
      </w:r>
      <w:r w:rsidR="00DD4461" w:rsidRPr="004737C5">
        <w:rPr>
          <w:rFonts w:cstheme="minorHAnsi"/>
        </w:rPr>
        <w:t>cularly visible changes. First,</w:t>
      </w:r>
      <w:r w:rsidRPr="004737C5">
        <w:rPr>
          <w:rFonts w:cstheme="minorHAnsi"/>
        </w:rPr>
        <w:t xml:space="preserve"> in telecommunications, the erosion of the fixed line monopoly by the growth of mobile telephony has increasingly led to regulation by competition offices as th</w:t>
      </w:r>
      <w:r w:rsidR="00DD4461" w:rsidRPr="004737C5">
        <w:rPr>
          <w:rFonts w:cstheme="minorHAnsi"/>
        </w:rPr>
        <w:t>e service becomes less and less</w:t>
      </w:r>
      <w:r w:rsidR="009331A3" w:rsidRPr="004737C5">
        <w:rPr>
          <w:rFonts w:cstheme="minorHAnsi"/>
        </w:rPr>
        <w:t xml:space="preserve"> </w:t>
      </w:r>
      <w:r w:rsidR="00DD4461" w:rsidRPr="004737C5">
        <w:rPr>
          <w:rFonts w:cstheme="minorHAnsi"/>
        </w:rPr>
        <w:t>a natural monopoly. Second</w:t>
      </w:r>
      <w:r w:rsidRPr="004737C5">
        <w:rPr>
          <w:rFonts w:cstheme="minorHAnsi"/>
        </w:rPr>
        <w:t>, since the onset of the financial crisis, financial service regulators have been given greater powers and a stronger consumer focus as regulatory functions are divided up</w:t>
      </w:r>
      <w:r w:rsidR="00C95983" w:rsidRPr="004737C5">
        <w:rPr>
          <w:rFonts w:cstheme="minorHAnsi"/>
        </w:rPr>
        <w:t>,</w:t>
      </w:r>
      <w:r w:rsidRPr="004737C5">
        <w:rPr>
          <w:rFonts w:cstheme="minorHAnsi"/>
        </w:rPr>
        <w:t xml:space="preserve"> separat</w:t>
      </w:r>
      <w:r w:rsidR="00C95983" w:rsidRPr="004737C5">
        <w:rPr>
          <w:rFonts w:cstheme="minorHAnsi"/>
        </w:rPr>
        <w:t>ing</w:t>
      </w:r>
      <w:r w:rsidRPr="004737C5">
        <w:rPr>
          <w:rFonts w:cstheme="minorHAnsi"/>
        </w:rPr>
        <w:t xml:space="preserve"> prudential regulation from conduct regulation, notably in the United States</w:t>
      </w:r>
      <w:r w:rsidR="009331A3" w:rsidRPr="004737C5">
        <w:rPr>
          <w:rFonts w:cstheme="minorHAnsi"/>
        </w:rPr>
        <w:t xml:space="preserve"> of America </w:t>
      </w:r>
      <w:r w:rsidRPr="004737C5">
        <w:rPr>
          <w:rFonts w:cstheme="minorHAnsi"/>
        </w:rPr>
        <w:t>and the United Kingdom</w:t>
      </w:r>
      <w:r w:rsidR="009331A3" w:rsidRPr="004737C5">
        <w:rPr>
          <w:rFonts w:cstheme="minorHAnsi"/>
        </w:rPr>
        <w:t xml:space="preserve"> of Great Britain and Northern Ireland</w:t>
      </w:r>
      <w:r w:rsidRPr="004737C5">
        <w:rPr>
          <w:rFonts w:cstheme="minorHAnsi"/>
        </w:rPr>
        <w:t xml:space="preserve">. </w:t>
      </w:r>
    </w:p>
    <w:p w14:paraId="4AA76F54" w14:textId="45535A2E" w:rsidR="00843222" w:rsidRPr="004737C5" w:rsidRDefault="00843222" w:rsidP="006D3BE8">
      <w:pPr>
        <w:rPr>
          <w:rFonts w:cstheme="minorHAnsi"/>
        </w:rPr>
      </w:pPr>
      <w:r w:rsidRPr="004737C5">
        <w:rPr>
          <w:rFonts w:cstheme="minorHAnsi"/>
        </w:rPr>
        <w:t xml:space="preserve">However, there have been </w:t>
      </w:r>
      <w:r w:rsidR="009331A3" w:rsidRPr="004737C5">
        <w:rPr>
          <w:rFonts w:cstheme="minorHAnsi"/>
        </w:rPr>
        <w:t>further evolutions driven by</w:t>
      </w:r>
      <w:r w:rsidRPr="004737C5">
        <w:rPr>
          <w:rFonts w:cstheme="minorHAnsi"/>
        </w:rPr>
        <w:t xml:space="preserve"> rapid change</w:t>
      </w:r>
      <w:r w:rsidR="009331A3" w:rsidRPr="004737C5">
        <w:rPr>
          <w:rFonts w:cstheme="minorHAnsi"/>
        </w:rPr>
        <w:t>s</w:t>
      </w:r>
      <w:r w:rsidRPr="004737C5">
        <w:rPr>
          <w:rFonts w:cstheme="minorHAnsi"/>
        </w:rPr>
        <w:t xml:space="preserve"> in </w:t>
      </w:r>
      <w:r w:rsidR="009331A3" w:rsidRPr="004737C5">
        <w:rPr>
          <w:rFonts w:cstheme="minorHAnsi"/>
        </w:rPr>
        <w:t>technology and</w:t>
      </w:r>
      <w:r w:rsidR="005A2086" w:rsidRPr="004737C5">
        <w:rPr>
          <w:rFonts w:cstheme="minorHAnsi"/>
        </w:rPr>
        <w:t xml:space="preserve"> attemp</w:t>
      </w:r>
      <w:r w:rsidR="009331A3" w:rsidRPr="004737C5">
        <w:rPr>
          <w:rFonts w:cstheme="minorHAnsi"/>
        </w:rPr>
        <w:t>ts by g</w:t>
      </w:r>
      <w:r w:rsidRPr="004737C5">
        <w:rPr>
          <w:rFonts w:cstheme="minorHAnsi"/>
        </w:rPr>
        <w:t>overnments to keep up. As telecoms become</w:t>
      </w:r>
      <w:r w:rsidR="009331A3" w:rsidRPr="004737C5">
        <w:rPr>
          <w:rFonts w:cstheme="minorHAnsi"/>
        </w:rPr>
        <w:t>s</w:t>
      </w:r>
      <w:r w:rsidRPr="004737C5">
        <w:rPr>
          <w:rFonts w:cstheme="minorHAnsi"/>
        </w:rPr>
        <w:t xml:space="preserve"> a multi-functional bundle of </w:t>
      </w:r>
      <w:r w:rsidR="00DD4461" w:rsidRPr="004737C5">
        <w:rPr>
          <w:rFonts w:cstheme="minorHAnsi"/>
        </w:rPr>
        <w:t xml:space="preserve">information and communication </w:t>
      </w:r>
      <w:r w:rsidRPr="004737C5">
        <w:rPr>
          <w:rFonts w:cstheme="minorHAnsi"/>
        </w:rPr>
        <w:t>services rather than a simple communication device, offices of communication</w:t>
      </w:r>
      <w:r w:rsidR="009331A3" w:rsidRPr="004737C5">
        <w:rPr>
          <w:rFonts w:cstheme="minorHAnsi"/>
        </w:rPr>
        <w:t>, such as OFCOM</w:t>
      </w:r>
      <w:r w:rsidR="00DD4461" w:rsidRPr="004737C5">
        <w:rPr>
          <w:rFonts w:cstheme="minorHAnsi"/>
        </w:rPr>
        <w:t xml:space="preserve"> in the United Kingdom of Great Britain and Northern Ireland</w:t>
      </w:r>
      <w:r w:rsidR="009331A3" w:rsidRPr="004737C5">
        <w:rPr>
          <w:rFonts w:cstheme="minorHAnsi"/>
        </w:rPr>
        <w:t>,</w:t>
      </w:r>
      <w:r w:rsidRPr="004737C5">
        <w:rPr>
          <w:rFonts w:cstheme="minorHAnsi"/>
        </w:rPr>
        <w:t xml:space="preserve"> are bringing telecom</w:t>
      </w:r>
      <w:r w:rsidR="00DD4461" w:rsidRPr="004737C5">
        <w:rPr>
          <w:rFonts w:cstheme="minorHAnsi"/>
        </w:rPr>
        <w:t>munication</w:t>
      </w:r>
      <w:r w:rsidRPr="004737C5">
        <w:rPr>
          <w:rFonts w:cstheme="minorHAnsi"/>
        </w:rPr>
        <w:t>s and other services such as broadband together</w:t>
      </w:r>
      <w:r w:rsidR="00237E89" w:rsidRPr="004737C5">
        <w:rPr>
          <w:rFonts w:cstheme="minorHAnsi"/>
        </w:rPr>
        <w:t>.</w:t>
      </w:r>
      <w:r w:rsidRPr="004737C5">
        <w:rPr>
          <w:rFonts w:cstheme="minorHAnsi"/>
        </w:rPr>
        <w:t xml:space="preserve"> Furthermore, particularly in developing countries, financial services and telecom</w:t>
      </w:r>
      <w:r w:rsidR="00DD4461" w:rsidRPr="004737C5">
        <w:rPr>
          <w:rFonts w:cstheme="minorHAnsi"/>
        </w:rPr>
        <w:t>munication</w:t>
      </w:r>
      <w:r w:rsidRPr="004737C5">
        <w:rPr>
          <w:rFonts w:cstheme="minorHAnsi"/>
        </w:rPr>
        <w:t>s are also converging, due to the rapid development of mobile banking. This presents a dilemma for national policy as to whether regulation should be part of financial or communication regulation. In India and South Africa, mobile money is seen as part of the Central Bank functions. In Kenya it has largely operated under self-regulation. Concerns are now emerging in K</w:t>
      </w:r>
      <w:r w:rsidR="009331A3" w:rsidRPr="004737C5">
        <w:rPr>
          <w:rFonts w:cstheme="minorHAnsi"/>
        </w:rPr>
        <w:t xml:space="preserve">enya about the dominance of </w:t>
      </w:r>
      <w:r w:rsidRPr="004737C5">
        <w:rPr>
          <w:rFonts w:cstheme="minorHAnsi"/>
        </w:rPr>
        <w:t>joint telecom</w:t>
      </w:r>
      <w:r w:rsidR="00DD4461" w:rsidRPr="004737C5">
        <w:rPr>
          <w:rFonts w:cstheme="minorHAnsi"/>
        </w:rPr>
        <w:t>munication</w:t>
      </w:r>
      <w:r w:rsidRPr="004737C5">
        <w:rPr>
          <w:rFonts w:cstheme="minorHAnsi"/>
        </w:rPr>
        <w:t xml:space="preserve">s/financial service providers, a concern which is even more pronounced in neighbouring Somalia where mobile telephony is one of the few vectors of communication that functions in commercial terms. </w:t>
      </w:r>
    </w:p>
    <w:p w14:paraId="1466D0D8" w14:textId="77777777" w:rsidR="00843222" w:rsidRPr="004737C5" w:rsidRDefault="00843222" w:rsidP="00906333">
      <w:pPr>
        <w:rPr>
          <w:rFonts w:cstheme="minorHAnsi"/>
          <w:bCs/>
        </w:rPr>
      </w:pPr>
      <w:r w:rsidRPr="004737C5">
        <w:rPr>
          <w:rFonts w:cstheme="minorHAnsi"/>
        </w:rPr>
        <w:t>Such</w:t>
      </w:r>
      <w:r w:rsidR="009331A3" w:rsidRPr="004737C5">
        <w:rPr>
          <w:rFonts w:cstheme="minorHAnsi"/>
        </w:rPr>
        <w:t xml:space="preserve"> changes pose huge challenges for</w:t>
      </w:r>
      <w:r w:rsidRPr="004737C5">
        <w:rPr>
          <w:rFonts w:cstheme="minorHAnsi"/>
        </w:rPr>
        <w:t xml:space="preserve"> national agenc</w:t>
      </w:r>
      <w:r w:rsidR="009331A3" w:rsidRPr="004737C5">
        <w:rPr>
          <w:rFonts w:cstheme="minorHAnsi"/>
        </w:rPr>
        <w:t>ies</w:t>
      </w:r>
      <w:r w:rsidRPr="004737C5">
        <w:rPr>
          <w:rFonts w:cstheme="minorHAnsi"/>
        </w:rPr>
        <w:t xml:space="preserve"> </w:t>
      </w:r>
      <w:r w:rsidR="009331A3" w:rsidRPr="004737C5">
        <w:rPr>
          <w:rFonts w:cstheme="minorHAnsi"/>
        </w:rPr>
        <w:t xml:space="preserve">and </w:t>
      </w:r>
      <w:r w:rsidRPr="004737C5">
        <w:rPr>
          <w:rFonts w:cstheme="minorHAnsi"/>
        </w:rPr>
        <w:t>bodies such as the G20 and the Financial Stability Board</w:t>
      </w:r>
      <w:r w:rsidR="009331A3" w:rsidRPr="004737C5">
        <w:rPr>
          <w:rFonts w:cstheme="minorHAnsi"/>
        </w:rPr>
        <w:t xml:space="preserve"> that have been attempting to develop international guidelines</w:t>
      </w:r>
      <w:r w:rsidRPr="004737C5">
        <w:rPr>
          <w:rFonts w:cstheme="minorHAnsi"/>
        </w:rPr>
        <w:t xml:space="preserve">. </w:t>
      </w:r>
      <w:r w:rsidRPr="004737C5">
        <w:rPr>
          <w:rFonts w:cstheme="minorHAnsi"/>
          <w:lang w:eastAsia="zh-CN"/>
        </w:rPr>
        <w:t xml:space="preserve">There have been attempts to approach the need for </w:t>
      </w:r>
      <w:r w:rsidRPr="004737C5">
        <w:rPr>
          <w:rFonts w:cstheme="minorHAnsi"/>
        </w:rPr>
        <w:t xml:space="preserve">consumer protection </w:t>
      </w:r>
      <w:r w:rsidRPr="004737C5">
        <w:rPr>
          <w:rFonts w:cstheme="minorHAnsi"/>
          <w:lang w:eastAsia="zh-CN"/>
        </w:rPr>
        <w:t>by appealing directly to companies through international guidelines such as the OECD Guidelines for Multi-National Enterprises and ISO 26000 on Social Responsib</w:t>
      </w:r>
      <w:r w:rsidR="004240DC" w:rsidRPr="004737C5">
        <w:rPr>
          <w:rFonts w:cstheme="minorHAnsi"/>
          <w:lang w:eastAsia="zh-CN"/>
        </w:rPr>
        <w:t>ility, as discussed in chapter VI</w:t>
      </w:r>
      <w:r w:rsidRPr="004737C5">
        <w:rPr>
          <w:rFonts w:cstheme="minorHAnsi"/>
          <w:lang w:eastAsia="zh-CN"/>
        </w:rPr>
        <w:t xml:space="preserve"> on business conduct. </w:t>
      </w:r>
    </w:p>
    <w:p w14:paraId="4766B474" w14:textId="77777777" w:rsidR="00843222" w:rsidRPr="004737C5" w:rsidRDefault="009331A3" w:rsidP="00906333">
      <w:pPr>
        <w:pStyle w:val="Heading2"/>
        <w:spacing w:after="160"/>
        <w:rPr>
          <w:rFonts w:cstheme="minorHAnsi"/>
          <w:color w:val="auto"/>
          <w:sz w:val="24"/>
          <w:szCs w:val="24"/>
        </w:rPr>
      </w:pPr>
      <w:bookmarkStart w:id="44" w:name="_Toc492649997"/>
      <w:r w:rsidRPr="004737C5">
        <w:rPr>
          <w:rFonts w:cstheme="minorHAnsi"/>
          <w:color w:val="auto"/>
          <w:sz w:val="24"/>
          <w:szCs w:val="24"/>
        </w:rPr>
        <w:lastRenderedPageBreak/>
        <w:t>E.</w:t>
      </w:r>
      <w:r w:rsidR="00843222" w:rsidRPr="004737C5">
        <w:rPr>
          <w:rFonts w:cstheme="minorHAnsi"/>
          <w:color w:val="auto"/>
          <w:sz w:val="24"/>
          <w:szCs w:val="24"/>
        </w:rPr>
        <w:t xml:space="preserve"> Conclusion</w:t>
      </w:r>
      <w:bookmarkEnd w:id="44"/>
    </w:p>
    <w:p w14:paraId="4A2592A4" w14:textId="77777777" w:rsidR="00843222" w:rsidRPr="004737C5" w:rsidRDefault="00843222" w:rsidP="006D3BE8">
      <w:pPr>
        <w:rPr>
          <w:rFonts w:cstheme="minorHAnsi"/>
          <w:lang w:eastAsia="zh-CN"/>
        </w:rPr>
      </w:pPr>
      <w:r w:rsidRPr="004737C5">
        <w:rPr>
          <w:rFonts w:cstheme="minorHAnsi"/>
          <w:lang w:eastAsia="zh-CN"/>
        </w:rPr>
        <w:t xml:space="preserve">There is no single best model for </w:t>
      </w:r>
      <w:r w:rsidRPr="004737C5">
        <w:rPr>
          <w:rFonts w:cstheme="minorHAnsi"/>
        </w:rPr>
        <w:t xml:space="preserve">consumer protection </w:t>
      </w:r>
      <w:r w:rsidRPr="004737C5">
        <w:rPr>
          <w:rFonts w:cstheme="minorHAnsi"/>
          <w:lang w:eastAsia="zh-CN"/>
        </w:rPr>
        <w:t xml:space="preserve">agencies, as history and geography are legitimate influences on structures. Nevertheless, certain trends can be discerned. One is that </w:t>
      </w:r>
      <w:r w:rsidR="00C95983" w:rsidRPr="004737C5">
        <w:rPr>
          <w:rFonts w:cstheme="minorHAnsi"/>
          <w:lang w:eastAsia="zh-CN"/>
        </w:rPr>
        <w:t>the</w:t>
      </w:r>
      <w:r w:rsidRPr="004737C5">
        <w:rPr>
          <w:rFonts w:cstheme="minorHAnsi"/>
          <w:lang w:eastAsia="zh-CN"/>
        </w:rPr>
        <w:t xml:space="preserve"> autonomous functioning of a consumer protection agency allows it to develop a high public profile which brings consumers into contact and allows their experience to bear directly on policy. In this regard, a local presence of some kind is a big advantage, as many markets remain local, especially for the poor, despite the sophistication of modern electronic commercial relations. It is interesting to note that many </w:t>
      </w:r>
      <w:r w:rsidR="009331A3" w:rsidRPr="004737C5">
        <w:rPr>
          <w:rFonts w:cstheme="minorHAnsi"/>
          <w:lang w:eastAsia="zh-CN"/>
        </w:rPr>
        <w:t>of the agencies located within m</w:t>
      </w:r>
      <w:r w:rsidRPr="004737C5">
        <w:rPr>
          <w:rFonts w:cstheme="minorHAnsi"/>
          <w:lang w:eastAsia="zh-CN"/>
        </w:rPr>
        <w:t>inistries have high public profiles, as do others that are described above which have a more autonomous pos</w:t>
      </w:r>
      <w:r w:rsidR="009331A3" w:rsidRPr="004737C5">
        <w:rPr>
          <w:rFonts w:cstheme="minorHAnsi"/>
          <w:lang w:eastAsia="zh-CN"/>
        </w:rPr>
        <w:t>ition in formal or legal terms.</w:t>
      </w:r>
      <w:r w:rsidRPr="004737C5">
        <w:rPr>
          <w:rFonts w:cstheme="minorHAnsi"/>
          <w:lang w:eastAsia="zh-CN"/>
        </w:rPr>
        <w:t xml:space="preserve"> The precise form of the institutional architecture does not seem to be the determinin</w:t>
      </w:r>
      <w:r w:rsidR="009331A3" w:rsidRPr="004737C5">
        <w:rPr>
          <w:rFonts w:cstheme="minorHAnsi"/>
          <w:lang w:eastAsia="zh-CN"/>
        </w:rPr>
        <w:t>g factor in public recognition;</w:t>
      </w:r>
      <w:r w:rsidRPr="004737C5">
        <w:rPr>
          <w:rFonts w:cstheme="minorHAnsi"/>
          <w:lang w:eastAsia="zh-CN"/>
        </w:rPr>
        <w:t xml:space="preserve"> what matters is that such recognition is possible. </w:t>
      </w:r>
    </w:p>
    <w:p w14:paraId="1E7788E1" w14:textId="24CBB244" w:rsidR="00843222" w:rsidRPr="004737C5" w:rsidRDefault="00843222" w:rsidP="006D3BE8">
      <w:pPr>
        <w:rPr>
          <w:rFonts w:cstheme="minorHAnsi"/>
          <w:lang w:eastAsia="zh-CN"/>
        </w:rPr>
      </w:pPr>
      <w:r w:rsidRPr="004737C5">
        <w:rPr>
          <w:rFonts w:cstheme="minorHAnsi"/>
          <w:lang w:eastAsia="zh-CN"/>
        </w:rPr>
        <w:t xml:space="preserve">The second trend is that while the partnering of competition and </w:t>
      </w:r>
      <w:r w:rsidRPr="004737C5">
        <w:rPr>
          <w:rFonts w:cstheme="minorHAnsi"/>
        </w:rPr>
        <w:t xml:space="preserve">consumer protection </w:t>
      </w:r>
      <w:r w:rsidR="00906333" w:rsidRPr="004737C5">
        <w:rPr>
          <w:rFonts w:cstheme="minorHAnsi"/>
          <w:lang w:eastAsia="zh-CN"/>
        </w:rPr>
        <w:t>is variable, the long-</w:t>
      </w:r>
      <w:r w:rsidRPr="004737C5">
        <w:rPr>
          <w:rFonts w:cstheme="minorHAnsi"/>
          <w:lang w:eastAsia="zh-CN"/>
        </w:rPr>
        <w:t xml:space="preserve">term logic of technological change and commercial development suggests that </w:t>
      </w:r>
      <w:r w:rsidRPr="004737C5">
        <w:rPr>
          <w:rFonts w:cstheme="minorHAnsi"/>
        </w:rPr>
        <w:t xml:space="preserve">consumer protection </w:t>
      </w:r>
      <w:r w:rsidRPr="004737C5">
        <w:rPr>
          <w:rFonts w:cstheme="minorHAnsi"/>
          <w:lang w:eastAsia="zh-CN"/>
        </w:rPr>
        <w:t xml:space="preserve">is likely to move upstream to structural matters and not focus only on retail transactions. The development of sectoral regulation suggests an implicit recognition of the structural dimension of </w:t>
      </w:r>
      <w:r w:rsidRPr="004737C5">
        <w:rPr>
          <w:rFonts w:cstheme="minorHAnsi"/>
        </w:rPr>
        <w:t xml:space="preserve">consumer protection </w:t>
      </w:r>
      <w:r w:rsidR="009331A3" w:rsidRPr="004737C5">
        <w:rPr>
          <w:rFonts w:cstheme="minorHAnsi"/>
          <w:lang w:eastAsia="zh-CN"/>
        </w:rPr>
        <w:t>on an industry-by-</w:t>
      </w:r>
      <w:r w:rsidRPr="004737C5">
        <w:rPr>
          <w:rFonts w:cstheme="minorHAnsi"/>
          <w:lang w:eastAsia="zh-CN"/>
        </w:rPr>
        <w:t xml:space="preserve">industry basis. As the vectors </w:t>
      </w:r>
      <w:r w:rsidR="00906333" w:rsidRPr="004737C5">
        <w:rPr>
          <w:rFonts w:cstheme="minorHAnsi"/>
          <w:lang w:eastAsia="zh-CN"/>
        </w:rPr>
        <w:t xml:space="preserve">of communication (e-commerce, mobile </w:t>
      </w:r>
      <w:r w:rsidRPr="004737C5">
        <w:rPr>
          <w:rFonts w:cstheme="minorHAnsi"/>
          <w:lang w:eastAsia="zh-CN"/>
        </w:rPr>
        <w:t>commerce) become ever more powerful, a converged approach incorporating competition and structure will become indispensable.</w:t>
      </w:r>
    </w:p>
    <w:p w14:paraId="6ACAD768" w14:textId="77777777" w:rsidR="00843222" w:rsidRPr="004737C5" w:rsidRDefault="00843222" w:rsidP="006D3BE8">
      <w:pPr>
        <w:rPr>
          <w:rFonts w:cstheme="minorHAnsi"/>
          <w:lang w:eastAsia="zh-CN"/>
        </w:rPr>
      </w:pPr>
      <w:r w:rsidRPr="004737C5">
        <w:rPr>
          <w:rFonts w:cstheme="minorHAnsi"/>
          <w:lang w:eastAsia="zh-CN"/>
        </w:rPr>
        <w:t xml:space="preserve">One source of encouragement is the willingness of </w:t>
      </w:r>
      <w:r w:rsidRPr="004737C5">
        <w:rPr>
          <w:rFonts w:cstheme="minorHAnsi"/>
        </w:rPr>
        <w:t xml:space="preserve">consumer protection </w:t>
      </w:r>
      <w:r w:rsidRPr="004737C5">
        <w:rPr>
          <w:rFonts w:cstheme="minorHAnsi"/>
          <w:lang w:eastAsia="zh-CN"/>
        </w:rPr>
        <w:t xml:space="preserve">agencies to experiment with a rich variety of methods of communication with consumers, aided by technological development, and to receive feedback from consumers both individually and collectively. </w:t>
      </w:r>
    </w:p>
    <w:p w14:paraId="02B6AF6A" w14:textId="77777777" w:rsidR="00843222" w:rsidRPr="004737C5" w:rsidRDefault="00843222" w:rsidP="006D3BE8">
      <w:pPr>
        <w:rPr>
          <w:rFonts w:cstheme="minorHAnsi"/>
        </w:rPr>
        <w:sectPr w:rsidR="00843222" w:rsidRPr="004737C5" w:rsidSect="005B4E96">
          <w:headerReference w:type="default" r:id="rId11"/>
          <w:footerReference w:type="default" r:id="rId12"/>
          <w:pgSz w:w="11906" w:h="16838"/>
          <w:pgMar w:top="1440" w:right="1440" w:bottom="1440" w:left="1440" w:header="0" w:footer="720" w:gutter="0"/>
          <w:pgNumType w:start="1"/>
          <w:cols w:space="720"/>
          <w:formProt w:val="0"/>
          <w:docGrid w:linePitch="299" w:charSpace="8192"/>
        </w:sectPr>
      </w:pPr>
    </w:p>
    <w:p w14:paraId="35742816" w14:textId="77777777" w:rsidR="00843222" w:rsidRPr="004737C5" w:rsidRDefault="009331A3" w:rsidP="00906333">
      <w:pPr>
        <w:rPr>
          <w:rStyle w:val="SubtleEmphasis"/>
          <w:b/>
          <w:i w:val="0"/>
          <w:iCs w:val="0"/>
          <w:color w:val="auto"/>
          <w:sz w:val="28"/>
          <w:szCs w:val="28"/>
        </w:rPr>
      </w:pPr>
      <w:bookmarkStart w:id="45" w:name="_Toc492649998"/>
      <w:r w:rsidRPr="004737C5">
        <w:rPr>
          <w:b/>
          <w:sz w:val="28"/>
          <w:szCs w:val="28"/>
        </w:rPr>
        <w:lastRenderedPageBreak/>
        <w:t>V. Consumer a</w:t>
      </w:r>
      <w:r w:rsidR="00843222" w:rsidRPr="004737C5">
        <w:rPr>
          <w:b/>
          <w:sz w:val="28"/>
          <w:szCs w:val="28"/>
        </w:rPr>
        <w:t>ssociations</w:t>
      </w:r>
      <w:bookmarkEnd w:id="45"/>
    </w:p>
    <w:p w14:paraId="44329EC6" w14:textId="77777777" w:rsidR="00843222" w:rsidRPr="004737C5" w:rsidRDefault="009331A3" w:rsidP="00FC2F14">
      <w:pPr>
        <w:pStyle w:val="Heading2"/>
        <w:spacing w:before="0" w:after="160"/>
        <w:rPr>
          <w:rFonts w:cstheme="minorHAnsi"/>
          <w:color w:val="auto"/>
          <w:sz w:val="24"/>
          <w:szCs w:val="24"/>
        </w:rPr>
      </w:pPr>
      <w:bookmarkStart w:id="46" w:name="_Toc492649999"/>
      <w:r w:rsidRPr="004737C5">
        <w:rPr>
          <w:rFonts w:cstheme="minorHAnsi"/>
          <w:color w:val="auto"/>
          <w:sz w:val="24"/>
          <w:szCs w:val="24"/>
        </w:rPr>
        <w:t>A.</w:t>
      </w:r>
      <w:r w:rsidR="00843222" w:rsidRPr="004737C5">
        <w:rPr>
          <w:rFonts w:cstheme="minorHAnsi"/>
          <w:color w:val="auto"/>
          <w:sz w:val="24"/>
          <w:szCs w:val="24"/>
        </w:rPr>
        <w:t xml:space="preserve"> Consumer associations in the United Nations Guidelines for Consumer Protection</w:t>
      </w:r>
      <w:bookmarkEnd w:id="46"/>
    </w:p>
    <w:p w14:paraId="6501E70C" w14:textId="69946DE9" w:rsidR="00843222" w:rsidRPr="004737C5" w:rsidRDefault="00843222" w:rsidP="006D3BE8">
      <w:pPr>
        <w:rPr>
          <w:rFonts w:cstheme="minorHAnsi"/>
        </w:rPr>
      </w:pPr>
      <w:r w:rsidRPr="004737C5">
        <w:rPr>
          <w:rFonts w:cstheme="minorHAnsi"/>
        </w:rPr>
        <w:t xml:space="preserve">The UNGCP make repeated reference to the role of consumer associations, </w:t>
      </w:r>
      <w:r w:rsidRPr="004737C5">
        <w:rPr>
          <w:rFonts w:cstheme="minorHAnsi"/>
          <w:color w:val="000000"/>
        </w:rPr>
        <w:t>including the facili</w:t>
      </w:r>
      <w:r w:rsidR="009331A3" w:rsidRPr="004737C5">
        <w:rPr>
          <w:rFonts w:cstheme="minorHAnsi"/>
          <w:color w:val="000000"/>
        </w:rPr>
        <w:t>tation of their development by g</w:t>
      </w:r>
      <w:r w:rsidRPr="004737C5">
        <w:rPr>
          <w:rFonts w:cstheme="minorHAnsi"/>
          <w:color w:val="000000"/>
        </w:rPr>
        <w:t>overnments</w:t>
      </w:r>
      <w:r w:rsidR="006A1835" w:rsidRPr="004737C5">
        <w:rPr>
          <w:rFonts w:cstheme="minorHAnsi"/>
          <w:color w:val="000000"/>
        </w:rPr>
        <w:t>,</w:t>
      </w:r>
      <w:r w:rsidRPr="004737C5">
        <w:rPr>
          <w:rFonts w:cstheme="minorHAnsi"/>
          <w:color w:val="000000"/>
        </w:rPr>
        <w:t xml:space="preserve"> as </w:t>
      </w:r>
      <w:r w:rsidR="009331A3" w:rsidRPr="004737C5">
        <w:rPr>
          <w:rFonts w:cstheme="minorHAnsi"/>
          <w:color w:val="000000"/>
        </w:rPr>
        <w:t>set out</w:t>
      </w:r>
      <w:r w:rsidR="00924883" w:rsidRPr="004737C5">
        <w:rPr>
          <w:rFonts w:cstheme="minorHAnsi"/>
          <w:color w:val="000000"/>
        </w:rPr>
        <w:t xml:space="preserve"> in objective 1e</w:t>
      </w:r>
      <w:r w:rsidR="00906333" w:rsidRPr="004737C5">
        <w:rPr>
          <w:rFonts w:cstheme="minorHAnsi"/>
          <w:color w:val="000000"/>
        </w:rPr>
        <w:t>:</w:t>
      </w:r>
      <w:r w:rsidR="006A1835" w:rsidRPr="004737C5">
        <w:rPr>
          <w:rFonts w:cstheme="minorHAnsi"/>
          <w:color w:val="000000"/>
        </w:rPr>
        <w:t xml:space="preserve"> “</w:t>
      </w:r>
      <w:r w:rsidR="00A214C1" w:rsidRPr="004737C5">
        <w:rPr>
          <w:rFonts w:cstheme="minorHAnsi"/>
          <w:color w:val="000000"/>
        </w:rPr>
        <w:t>to facilitate the development</w:t>
      </w:r>
      <w:r w:rsidR="006A1835" w:rsidRPr="004737C5">
        <w:rPr>
          <w:rFonts w:cstheme="minorHAnsi"/>
          <w:color w:val="000000"/>
        </w:rPr>
        <w:t xml:space="preserve"> of independent consumer groups”</w:t>
      </w:r>
      <w:r w:rsidRPr="004737C5">
        <w:rPr>
          <w:rFonts w:cstheme="minorHAnsi"/>
          <w:color w:val="000000"/>
        </w:rPr>
        <w:t xml:space="preserve"> </w:t>
      </w:r>
      <w:r w:rsidR="00A214C1" w:rsidRPr="004737C5">
        <w:rPr>
          <w:rFonts w:cstheme="minorHAnsi"/>
          <w:color w:val="000000"/>
        </w:rPr>
        <w:t>(</w:t>
      </w:r>
      <w:r w:rsidRPr="004737C5">
        <w:rPr>
          <w:rFonts w:cstheme="minorHAnsi"/>
          <w:color w:val="000000"/>
        </w:rPr>
        <w:t xml:space="preserve">which </w:t>
      </w:r>
      <w:r w:rsidRPr="004737C5">
        <w:rPr>
          <w:rFonts w:cstheme="minorHAnsi"/>
        </w:rPr>
        <w:t>could be deemed to include financial support</w:t>
      </w:r>
      <w:r w:rsidR="00A214C1" w:rsidRPr="004737C5">
        <w:rPr>
          <w:rFonts w:cstheme="minorHAnsi"/>
        </w:rPr>
        <w:t>)</w:t>
      </w:r>
      <w:r w:rsidR="00924883" w:rsidRPr="004737C5">
        <w:rPr>
          <w:rFonts w:cstheme="minorHAnsi"/>
        </w:rPr>
        <w:t>. Guideline 5h</w:t>
      </w:r>
      <w:r w:rsidRPr="004737C5">
        <w:rPr>
          <w:rFonts w:cstheme="minorHAnsi"/>
        </w:rPr>
        <w:t xml:space="preserve"> clearly sets out as a legitimate need</w:t>
      </w:r>
      <w:r w:rsidR="00906333" w:rsidRPr="004737C5">
        <w:rPr>
          <w:rFonts w:cstheme="minorHAnsi"/>
        </w:rPr>
        <w:t xml:space="preserve"> the</w:t>
      </w:r>
      <w:r w:rsidRPr="004737C5">
        <w:rPr>
          <w:rFonts w:cstheme="minorHAnsi"/>
          <w:sz w:val="23"/>
          <w:szCs w:val="23"/>
        </w:rPr>
        <w:t xml:space="preserve"> </w:t>
      </w:r>
      <w:r w:rsidR="006A1835" w:rsidRPr="004737C5">
        <w:rPr>
          <w:rFonts w:cstheme="minorHAnsi"/>
        </w:rPr>
        <w:t>“</w:t>
      </w:r>
      <w:r w:rsidRPr="004737C5">
        <w:rPr>
          <w:rFonts w:cstheme="minorHAnsi"/>
        </w:rPr>
        <w:t>freedom to form consumer and other relevant groups or organizations and the opportunity of such organizations to present their views in decision-making processes affecting them</w:t>
      </w:r>
      <w:r w:rsidR="006A1835" w:rsidRPr="004737C5">
        <w:rPr>
          <w:rFonts w:cstheme="minorHAnsi"/>
        </w:rPr>
        <w:t>”.</w:t>
      </w:r>
      <w:r w:rsidRPr="004737C5">
        <w:rPr>
          <w:rFonts w:cstheme="minorHAnsi"/>
        </w:rPr>
        <w:t xml:space="preserve"> There is specific referen</w:t>
      </w:r>
      <w:r w:rsidR="006A1835" w:rsidRPr="004737C5">
        <w:rPr>
          <w:rFonts w:cstheme="minorHAnsi"/>
        </w:rPr>
        <w:t>ce to their work in monitoring “adverse practices”</w:t>
      </w:r>
      <w:r w:rsidR="00924883" w:rsidRPr="004737C5">
        <w:rPr>
          <w:rFonts w:cstheme="minorHAnsi"/>
        </w:rPr>
        <w:t xml:space="preserve"> (g</w:t>
      </w:r>
      <w:r w:rsidRPr="004737C5">
        <w:rPr>
          <w:rFonts w:cstheme="minorHAnsi"/>
        </w:rPr>
        <w:t xml:space="preserve">uideline 21), </w:t>
      </w:r>
      <w:r w:rsidR="006A1835" w:rsidRPr="004737C5">
        <w:rPr>
          <w:rFonts w:cstheme="minorHAnsi"/>
        </w:rPr>
        <w:t>“</w:t>
      </w:r>
      <w:r w:rsidRPr="004737C5">
        <w:rPr>
          <w:rFonts w:cstheme="minorHAnsi"/>
        </w:rPr>
        <w:t>misleading environmental claims</w:t>
      </w:r>
      <w:r w:rsidR="006A1835" w:rsidRPr="004737C5">
        <w:rPr>
          <w:rFonts w:cstheme="minorHAnsi"/>
        </w:rPr>
        <w:t>”</w:t>
      </w:r>
      <w:r w:rsidR="00924883" w:rsidRPr="004737C5">
        <w:rPr>
          <w:rFonts w:cstheme="minorHAnsi"/>
        </w:rPr>
        <w:t xml:space="preserve"> (g</w:t>
      </w:r>
      <w:r w:rsidRPr="004737C5">
        <w:rPr>
          <w:rFonts w:cstheme="minorHAnsi"/>
        </w:rPr>
        <w:t>uideline 30), their invo</w:t>
      </w:r>
      <w:r w:rsidR="00924883" w:rsidRPr="004737C5">
        <w:rPr>
          <w:rFonts w:cstheme="minorHAnsi"/>
        </w:rPr>
        <w:t>lvement in consumer education (g</w:t>
      </w:r>
      <w:r w:rsidRPr="004737C5">
        <w:rPr>
          <w:rFonts w:cstheme="minorHAnsi"/>
        </w:rPr>
        <w:t>uideline 42)</w:t>
      </w:r>
      <w:r w:rsidR="006A1835" w:rsidRPr="004737C5">
        <w:rPr>
          <w:rFonts w:cstheme="minorHAnsi"/>
        </w:rPr>
        <w:t>,</w:t>
      </w:r>
      <w:r w:rsidRPr="004737C5">
        <w:rPr>
          <w:rFonts w:cstheme="minorHAnsi"/>
        </w:rPr>
        <w:t xml:space="preserve"> in parti</w:t>
      </w:r>
      <w:r w:rsidR="00924883" w:rsidRPr="004737C5">
        <w:rPr>
          <w:rFonts w:cstheme="minorHAnsi"/>
        </w:rPr>
        <w:t>cular environmental education (g</w:t>
      </w:r>
      <w:r w:rsidR="00906333" w:rsidRPr="004737C5">
        <w:rPr>
          <w:rFonts w:cstheme="minorHAnsi"/>
        </w:rPr>
        <w:t>uideline 45)</w:t>
      </w:r>
      <w:r w:rsidRPr="004737C5">
        <w:rPr>
          <w:rFonts w:cstheme="minorHAnsi"/>
        </w:rPr>
        <w:t xml:space="preserve"> and development of </w:t>
      </w:r>
      <w:r w:rsidR="00A214C1" w:rsidRPr="004737C5">
        <w:rPr>
          <w:rFonts w:cstheme="minorHAnsi"/>
        </w:rPr>
        <w:t>indust</w:t>
      </w:r>
      <w:r w:rsidR="00924883" w:rsidRPr="004737C5">
        <w:rPr>
          <w:rFonts w:cstheme="minorHAnsi"/>
        </w:rPr>
        <w:t>ry codes (guideline 31). The reference in g</w:t>
      </w:r>
      <w:r w:rsidRPr="004737C5">
        <w:rPr>
          <w:rFonts w:cstheme="minorHAnsi"/>
        </w:rPr>
        <w:t xml:space="preserve">uideline 35 </w:t>
      </w:r>
      <w:r w:rsidR="006A1835" w:rsidRPr="004737C5">
        <w:rPr>
          <w:rFonts w:cstheme="minorHAnsi"/>
        </w:rPr>
        <w:t>includes</w:t>
      </w:r>
      <w:r w:rsidRPr="004737C5">
        <w:rPr>
          <w:rFonts w:cstheme="minorHAnsi"/>
        </w:rPr>
        <w:t xml:space="preserve"> the need for </w:t>
      </w:r>
      <w:r w:rsidR="006A1835" w:rsidRPr="004737C5">
        <w:rPr>
          <w:rFonts w:cstheme="minorHAnsi"/>
        </w:rPr>
        <w:t>governments to “</w:t>
      </w:r>
      <w:r w:rsidRPr="004737C5">
        <w:rPr>
          <w:rFonts w:cstheme="minorHAnsi"/>
        </w:rPr>
        <w:t xml:space="preserve">encourage and ensure </w:t>
      </w:r>
      <w:r w:rsidR="00A214C1" w:rsidRPr="004737C5">
        <w:rPr>
          <w:rFonts w:cstheme="minorHAnsi"/>
        </w:rPr>
        <w:t xml:space="preserve">the </w:t>
      </w:r>
      <w:r w:rsidRPr="004737C5">
        <w:rPr>
          <w:rFonts w:cstheme="minorHAnsi"/>
        </w:rPr>
        <w:t>availability of facilities to test and certify quality and performance of essential goods and services</w:t>
      </w:r>
      <w:r w:rsidR="006A1835" w:rsidRPr="004737C5">
        <w:rPr>
          <w:rFonts w:cstheme="minorHAnsi"/>
        </w:rPr>
        <w:t>”,</w:t>
      </w:r>
      <w:r w:rsidRPr="004737C5">
        <w:rPr>
          <w:rFonts w:cstheme="minorHAnsi"/>
        </w:rPr>
        <w:t xml:space="preserve"> implying the possible inclusion of consumer testing bodies, although this is not spelt out.</w:t>
      </w:r>
    </w:p>
    <w:p w14:paraId="15099E64" w14:textId="77777777" w:rsidR="00843222" w:rsidRPr="004737C5" w:rsidRDefault="00A214C1" w:rsidP="00906333">
      <w:pPr>
        <w:rPr>
          <w:rFonts w:cstheme="minorHAnsi"/>
        </w:rPr>
      </w:pPr>
      <w:r w:rsidRPr="004737C5">
        <w:rPr>
          <w:rFonts w:cstheme="minorHAnsi"/>
        </w:rPr>
        <w:t>As a result of the 2015 revision, t</w:t>
      </w:r>
      <w:r w:rsidR="00843222" w:rsidRPr="004737C5">
        <w:rPr>
          <w:rFonts w:cstheme="minorHAnsi"/>
        </w:rPr>
        <w:t>he UNGCP now refer to the role of consumer associations in dispute reso</w:t>
      </w:r>
      <w:r w:rsidR="00924883" w:rsidRPr="004737C5">
        <w:rPr>
          <w:rFonts w:cstheme="minorHAnsi"/>
        </w:rPr>
        <w:t>lution and redress mechanisms (g</w:t>
      </w:r>
      <w:r w:rsidR="00843222" w:rsidRPr="004737C5">
        <w:rPr>
          <w:rFonts w:cstheme="minorHAnsi"/>
        </w:rPr>
        <w:t xml:space="preserve">uideline 41), and </w:t>
      </w:r>
      <w:r w:rsidRPr="004737C5">
        <w:rPr>
          <w:rFonts w:cstheme="minorHAnsi"/>
        </w:rPr>
        <w:t>extend</w:t>
      </w:r>
      <w:r w:rsidR="00843222" w:rsidRPr="004737C5">
        <w:rPr>
          <w:rFonts w:cstheme="minorHAnsi"/>
        </w:rPr>
        <w:t xml:space="preserve"> the reference t</w:t>
      </w:r>
      <w:r w:rsidR="006A1835" w:rsidRPr="004737C5">
        <w:rPr>
          <w:rFonts w:cstheme="minorHAnsi"/>
        </w:rPr>
        <w:t>o “community participation”</w:t>
      </w:r>
      <w:r w:rsidR="00843222" w:rsidRPr="004737C5">
        <w:rPr>
          <w:rFonts w:cstheme="minorHAnsi"/>
        </w:rPr>
        <w:t xml:space="preserve"> in utilities</w:t>
      </w:r>
      <w:r w:rsidRPr="004737C5">
        <w:rPr>
          <w:rFonts w:cstheme="minorHAnsi"/>
        </w:rPr>
        <w:t xml:space="preserve"> to</w:t>
      </w:r>
      <w:r w:rsidR="009540A6" w:rsidRPr="004737C5">
        <w:rPr>
          <w:rFonts w:cstheme="minorHAnsi"/>
        </w:rPr>
        <w:t xml:space="preserve"> </w:t>
      </w:r>
      <w:r w:rsidR="00924883" w:rsidRPr="004737C5">
        <w:rPr>
          <w:rFonts w:cstheme="minorHAnsi"/>
        </w:rPr>
        <w:t>the energy sector (g</w:t>
      </w:r>
      <w:r w:rsidR="00843222" w:rsidRPr="004737C5">
        <w:rPr>
          <w:rFonts w:cstheme="minorHAnsi"/>
        </w:rPr>
        <w:t>uideline 76</w:t>
      </w:r>
      <w:r w:rsidR="00237E89" w:rsidRPr="004737C5">
        <w:rPr>
          <w:rFonts w:cstheme="minorHAnsi"/>
        </w:rPr>
        <w:t>).</w:t>
      </w:r>
      <w:r w:rsidR="00843222" w:rsidRPr="004737C5">
        <w:rPr>
          <w:rFonts w:cstheme="minorHAnsi"/>
        </w:rPr>
        <w:t xml:space="preserve"> In short, the UNGCP confirm the appropriateness of participation of civil society participants in consumer protection. </w:t>
      </w:r>
    </w:p>
    <w:p w14:paraId="2D0E0C70" w14:textId="77777777" w:rsidR="00843222" w:rsidRPr="004737C5" w:rsidRDefault="006A1835" w:rsidP="00906333">
      <w:pPr>
        <w:pStyle w:val="Heading2"/>
        <w:spacing w:after="160"/>
        <w:rPr>
          <w:rFonts w:cstheme="minorHAnsi"/>
          <w:color w:val="auto"/>
          <w:sz w:val="24"/>
          <w:szCs w:val="24"/>
        </w:rPr>
      </w:pPr>
      <w:bookmarkStart w:id="47" w:name="_Toc492650000"/>
      <w:r w:rsidRPr="004737C5">
        <w:rPr>
          <w:rFonts w:cstheme="minorHAnsi"/>
          <w:color w:val="auto"/>
          <w:sz w:val="24"/>
          <w:szCs w:val="24"/>
        </w:rPr>
        <w:t>B.</w:t>
      </w:r>
      <w:r w:rsidR="00843222" w:rsidRPr="004737C5">
        <w:rPr>
          <w:rFonts w:cstheme="minorHAnsi"/>
          <w:color w:val="auto"/>
          <w:sz w:val="24"/>
          <w:szCs w:val="24"/>
        </w:rPr>
        <w:t xml:space="preserve"> Consumer associations in the modern economy</w:t>
      </w:r>
      <w:bookmarkEnd w:id="47"/>
    </w:p>
    <w:p w14:paraId="0F0001AD" w14:textId="77777777" w:rsidR="00843222" w:rsidRPr="004737C5" w:rsidRDefault="004240DC" w:rsidP="006D3BE8">
      <w:pPr>
        <w:rPr>
          <w:rFonts w:cstheme="minorHAnsi"/>
        </w:rPr>
      </w:pPr>
      <w:r w:rsidRPr="004737C5">
        <w:rPr>
          <w:rFonts w:cstheme="minorHAnsi"/>
        </w:rPr>
        <w:t>As seen in chapter III</w:t>
      </w:r>
      <w:r w:rsidR="00843222" w:rsidRPr="004737C5">
        <w:rPr>
          <w:rFonts w:cstheme="minorHAnsi"/>
        </w:rPr>
        <w:t xml:space="preserve">, the involvement of consumer associations in consumer protection is now widely accepted. They have been given the mandate to represent the consumer interest in: </w:t>
      </w:r>
    </w:p>
    <w:p w14:paraId="0E4D0D49" w14:textId="77777777" w:rsidR="00843222" w:rsidRPr="004737C5" w:rsidRDefault="006A1835" w:rsidP="002473E9">
      <w:pPr>
        <w:pStyle w:val="ListParagraph"/>
        <w:numPr>
          <w:ilvl w:val="0"/>
          <w:numId w:val="37"/>
        </w:numPr>
        <w:tabs>
          <w:tab w:val="clear" w:pos="360"/>
          <w:tab w:val="num" w:pos="709"/>
        </w:tabs>
        <w:ind w:left="709" w:hanging="425"/>
        <w:rPr>
          <w:rFonts w:cstheme="minorHAnsi"/>
        </w:rPr>
      </w:pPr>
      <w:r w:rsidRPr="004737C5">
        <w:rPr>
          <w:rFonts w:cstheme="minorHAnsi"/>
        </w:rPr>
        <w:t>National constitutions</w:t>
      </w:r>
    </w:p>
    <w:p w14:paraId="3D036F47" w14:textId="77777777" w:rsidR="00843222" w:rsidRPr="004737C5" w:rsidRDefault="006A1835" w:rsidP="002473E9">
      <w:pPr>
        <w:pStyle w:val="ListParagraph"/>
        <w:numPr>
          <w:ilvl w:val="0"/>
          <w:numId w:val="37"/>
        </w:numPr>
        <w:tabs>
          <w:tab w:val="clear" w:pos="360"/>
          <w:tab w:val="num" w:pos="709"/>
        </w:tabs>
        <w:ind w:left="709" w:hanging="425"/>
        <w:rPr>
          <w:rFonts w:cstheme="minorHAnsi"/>
        </w:rPr>
      </w:pPr>
      <w:r w:rsidRPr="004737C5">
        <w:rPr>
          <w:rFonts w:cstheme="minorHAnsi"/>
        </w:rPr>
        <w:t>Consumer protection statutes</w:t>
      </w:r>
    </w:p>
    <w:p w14:paraId="47D0D4C1" w14:textId="77777777" w:rsidR="00843222" w:rsidRPr="004737C5" w:rsidRDefault="00843222" w:rsidP="002473E9">
      <w:pPr>
        <w:pStyle w:val="ListParagraph"/>
        <w:numPr>
          <w:ilvl w:val="0"/>
          <w:numId w:val="37"/>
        </w:numPr>
        <w:tabs>
          <w:tab w:val="clear" w:pos="360"/>
          <w:tab w:val="num" w:pos="709"/>
        </w:tabs>
        <w:ind w:left="709" w:hanging="425"/>
        <w:rPr>
          <w:rFonts w:cstheme="minorHAnsi"/>
        </w:rPr>
      </w:pPr>
      <w:r w:rsidRPr="004737C5">
        <w:rPr>
          <w:rFonts w:cstheme="minorHAnsi"/>
        </w:rPr>
        <w:t>National consumer policy docu</w:t>
      </w:r>
      <w:r w:rsidR="006A1835" w:rsidRPr="004737C5">
        <w:rPr>
          <w:rFonts w:cstheme="minorHAnsi"/>
        </w:rPr>
        <w:t>ments</w:t>
      </w:r>
    </w:p>
    <w:p w14:paraId="317EC169" w14:textId="77777777" w:rsidR="00843222" w:rsidRPr="004737C5" w:rsidRDefault="00843222" w:rsidP="002473E9">
      <w:pPr>
        <w:pStyle w:val="ListParagraph"/>
        <w:numPr>
          <w:ilvl w:val="0"/>
          <w:numId w:val="37"/>
        </w:numPr>
        <w:tabs>
          <w:tab w:val="clear" w:pos="360"/>
          <w:tab w:val="num" w:pos="709"/>
        </w:tabs>
        <w:ind w:left="709" w:hanging="425"/>
        <w:jc w:val="left"/>
        <w:rPr>
          <w:rFonts w:cstheme="minorHAnsi"/>
        </w:rPr>
      </w:pPr>
      <w:r w:rsidRPr="004737C5">
        <w:rPr>
          <w:rFonts w:cstheme="minorHAnsi"/>
        </w:rPr>
        <w:t>Consumer redress mechanisms such as consumer courts and alternativ</w:t>
      </w:r>
      <w:r w:rsidR="006A1835" w:rsidRPr="004737C5">
        <w:rPr>
          <w:rFonts w:cstheme="minorHAnsi"/>
        </w:rPr>
        <w:t>e dispute resolution mechanisms</w:t>
      </w:r>
    </w:p>
    <w:p w14:paraId="66CEB60E" w14:textId="77777777" w:rsidR="00843222" w:rsidRPr="004737C5" w:rsidRDefault="006A1835" w:rsidP="002473E9">
      <w:pPr>
        <w:pStyle w:val="ListParagraph"/>
        <w:numPr>
          <w:ilvl w:val="0"/>
          <w:numId w:val="37"/>
        </w:numPr>
        <w:tabs>
          <w:tab w:val="clear" w:pos="360"/>
          <w:tab w:val="num" w:pos="709"/>
        </w:tabs>
        <w:ind w:left="709" w:hanging="425"/>
        <w:rPr>
          <w:rFonts w:cstheme="minorHAnsi"/>
        </w:rPr>
      </w:pPr>
      <w:r w:rsidRPr="004737C5">
        <w:rPr>
          <w:rFonts w:cstheme="minorHAnsi"/>
        </w:rPr>
        <w:t>Industry mediation bodies</w:t>
      </w:r>
    </w:p>
    <w:p w14:paraId="232B19EB" w14:textId="77777777" w:rsidR="00843222" w:rsidRPr="004737C5" w:rsidRDefault="006A1835" w:rsidP="002473E9">
      <w:pPr>
        <w:pStyle w:val="ListParagraph"/>
        <w:numPr>
          <w:ilvl w:val="0"/>
          <w:numId w:val="37"/>
        </w:numPr>
        <w:tabs>
          <w:tab w:val="clear" w:pos="360"/>
          <w:tab w:val="num" w:pos="709"/>
        </w:tabs>
        <w:ind w:left="709" w:hanging="425"/>
        <w:rPr>
          <w:rFonts w:cstheme="minorHAnsi"/>
        </w:rPr>
      </w:pPr>
      <w:r w:rsidRPr="004737C5">
        <w:rPr>
          <w:rFonts w:cstheme="minorHAnsi"/>
        </w:rPr>
        <w:t>Industry regulatory processes</w:t>
      </w:r>
    </w:p>
    <w:p w14:paraId="478E1640" w14:textId="77777777" w:rsidR="00A214C1" w:rsidRPr="004737C5" w:rsidRDefault="00843222" w:rsidP="002473E9">
      <w:pPr>
        <w:pStyle w:val="ListParagraph"/>
        <w:numPr>
          <w:ilvl w:val="0"/>
          <w:numId w:val="37"/>
        </w:numPr>
        <w:tabs>
          <w:tab w:val="clear" w:pos="360"/>
          <w:tab w:val="num" w:pos="709"/>
        </w:tabs>
        <w:ind w:left="709" w:hanging="425"/>
        <w:rPr>
          <w:rFonts w:cstheme="minorHAnsi"/>
        </w:rPr>
      </w:pPr>
      <w:r w:rsidRPr="004737C5">
        <w:rPr>
          <w:rFonts w:cstheme="minorHAnsi"/>
        </w:rPr>
        <w:t>Codes of practice</w:t>
      </w:r>
    </w:p>
    <w:p w14:paraId="30F872D6" w14:textId="77777777" w:rsidR="00843222" w:rsidRPr="004737C5" w:rsidRDefault="00A214C1" w:rsidP="002473E9">
      <w:pPr>
        <w:pStyle w:val="ListParagraph"/>
        <w:numPr>
          <w:ilvl w:val="0"/>
          <w:numId w:val="37"/>
        </w:numPr>
        <w:tabs>
          <w:tab w:val="clear" w:pos="360"/>
          <w:tab w:val="num" w:pos="709"/>
        </w:tabs>
        <w:ind w:left="709" w:hanging="425"/>
        <w:rPr>
          <w:rFonts w:cstheme="minorHAnsi"/>
        </w:rPr>
      </w:pPr>
      <w:r w:rsidRPr="004737C5">
        <w:rPr>
          <w:rFonts w:cstheme="minorHAnsi"/>
        </w:rPr>
        <w:t>N</w:t>
      </w:r>
      <w:r w:rsidR="006A1835" w:rsidRPr="004737C5">
        <w:rPr>
          <w:rFonts w:cstheme="minorHAnsi"/>
        </w:rPr>
        <w:t>ational-level government-sponsored committees</w:t>
      </w:r>
    </w:p>
    <w:p w14:paraId="465A5090" w14:textId="77777777" w:rsidR="00843222" w:rsidRPr="004737C5" w:rsidRDefault="00843222" w:rsidP="006D3BE8">
      <w:pPr>
        <w:rPr>
          <w:rFonts w:eastAsia="Calibri" w:cstheme="minorHAnsi"/>
        </w:rPr>
      </w:pPr>
      <w:r w:rsidRPr="004737C5">
        <w:rPr>
          <w:rFonts w:cstheme="minorHAnsi"/>
        </w:rPr>
        <w:t xml:space="preserve">Such recognition has not always been forthcoming from authorities, </w:t>
      </w:r>
      <w:r w:rsidR="00A214C1" w:rsidRPr="004737C5">
        <w:rPr>
          <w:rFonts w:cstheme="minorHAnsi"/>
        </w:rPr>
        <w:t>although historically,</w:t>
      </w:r>
      <w:r w:rsidRPr="004737C5">
        <w:rPr>
          <w:rFonts w:cstheme="minorHAnsi"/>
        </w:rPr>
        <w:t xml:space="preserve"> consumer movements </w:t>
      </w:r>
      <w:r w:rsidR="00A214C1" w:rsidRPr="004737C5">
        <w:rPr>
          <w:rFonts w:cstheme="minorHAnsi"/>
        </w:rPr>
        <w:t>were</w:t>
      </w:r>
      <w:r w:rsidRPr="004737C5">
        <w:rPr>
          <w:rFonts w:cstheme="minorHAnsi"/>
        </w:rPr>
        <w:t xml:space="preserve"> promoted by </w:t>
      </w:r>
      <w:r w:rsidR="006A1835" w:rsidRPr="004737C5">
        <w:rPr>
          <w:rFonts w:cstheme="minorHAnsi"/>
        </w:rPr>
        <w:t xml:space="preserve">states </w:t>
      </w:r>
      <w:r w:rsidRPr="004737C5">
        <w:rPr>
          <w:rFonts w:cstheme="minorHAnsi"/>
        </w:rPr>
        <w:t xml:space="preserve">when faced with the need to regulate rationing of food and other resources. For example, </w:t>
      </w:r>
      <w:r w:rsidRPr="004737C5">
        <w:rPr>
          <w:rFonts w:eastAsia="Calibri" w:cstheme="minorHAnsi"/>
        </w:rPr>
        <w:t xml:space="preserve">the First World War saw consumer associations develop across Central Europe in response to the vicissitudes of that period. </w:t>
      </w:r>
    </w:p>
    <w:p w14:paraId="11D16F78" w14:textId="339857FE" w:rsidR="00843222" w:rsidRPr="004737C5" w:rsidRDefault="00843222" w:rsidP="006D3BE8">
      <w:pPr>
        <w:rPr>
          <w:rFonts w:eastAsia="Calibri" w:cstheme="minorHAnsi"/>
        </w:rPr>
      </w:pPr>
      <w:r w:rsidRPr="004737C5">
        <w:rPr>
          <w:rFonts w:eastAsia="Calibri" w:cstheme="minorHAnsi"/>
        </w:rPr>
        <w:t>State sponsorship continues today in different forms</w:t>
      </w:r>
      <w:r w:rsidR="006A1835" w:rsidRPr="004737C5">
        <w:rPr>
          <w:rFonts w:eastAsia="Calibri" w:cstheme="minorHAnsi"/>
        </w:rPr>
        <w:t>,</w:t>
      </w:r>
      <w:r w:rsidRPr="004737C5">
        <w:rPr>
          <w:rFonts w:eastAsia="Calibri" w:cstheme="minorHAnsi"/>
        </w:rPr>
        <w:t xml:space="preserve"> sometimes as financial support to autonomous bodies, some of which are discussed below, but sometimes through a more direct form of promotion, as in China, where consumers have been encouraged to bring complaints forward and have been offered financial inducements to do so through compensation awards. The Chinese Consumer Association thus acts as wh</w:t>
      </w:r>
      <w:r w:rsidR="006A1835" w:rsidRPr="004737C5">
        <w:rPr>
          <w:rFonts w:eastAsia="Calibri" w:cstheme="minorHAnsi"/>
        </w:rPr>
        <w:t>at</w:t>
      </w:r>
      <w:r w:rsidR="00906333" w:rsidRPr="004737C5">
        <w:rPr>
          <w:rFonts w:eastAsia="Calibri" w:cstheme="minorHAnsi"/>
        </w:rPr>
        <w:t xml:space="preserve"> Frank</w:t>
      </w:r>
      <w:r w:rsidR="006A1835" w:rsidRPr="004737C5">
        <w:rPr>
          <w:rFonts w:eastAsia="Calibri" w:cstheme="minorHAnsi"/>
        </w:rPr>
        <w:t xml:space="preserve"> Trentmann describes as “</w:t>
      </w:r>
      <w:r w:rsidR="005A2086" w:rsidRPr="004737C5">
        <w:rPr>
          <w:rFonts w:eastAsia="Calibri" w:cstheme="minorHAnsi"/>
        </w:rPr>
        <w:t>the G</w:t>
      </w:r>
      <w:r w:rsidR="00B90265" w:rsidRPr="004737C5">
        <w:rPr>
          <w:rFonts w:eastAsia="Calibri" w:cstheme="minorHAnsi"/>
        </w:rPr>
        <w:t>overnment's watchdog</w:t>
      </w:r>
      <w:r w:rsidR="00906333" w:rsidRPr="004737C5">
        <w:rPr>
          <w:rFonts w:eastAsia="Calibri" w:cstheme="minorHAnsi"/>
        </w:rPr>
        <w:t>,</w:t>
      </w:r>
      <w:r w:rsidR="00B90265" w:rsidRPr="004737C5">
        <w:rPr>
          <w:rFonts w:eastAsia="Calibri" w:cstheme="minorHAnsi"/>
        </w:rPr>
        <w:t xml:space="preserve"> …</w:t>
      </w:r>
      <w:r w:rsidRPr="004737C5">
        <w:rPr>
          <w:rFonts w:eastAsia="Calibri" w:cstheme="minorHAnsi"/>
        </w:rPr>
        <w:t xml:space="preserve"> local whistle blower and people’s lawyer</w:t>
      </w:r>
      <w:r w:rsidR="006A1835" w:rsidRPr="004737C5">
        <w:rPr>
          <w:rFonts w:eastAsia="Calibri" w:cstheme="minorHAnsi"/>
        </w:rPr>
        <w:t>”.</w:t>
      </w:r>
      <w:r w:rsidRPr="004737C5">
        <w:rPr>
          <w:rStyle w:val="FootnoteReference"/>
          <w:rFonts w:eastAsia="Calibri" w:cstheme="minorHAnsi"/>
        </w:rPr>
        <w:footnoteReference w:id="59"/>
      </w:r>
      <w:r w:rsidRPr="004737C5">
        <w:rPr>
          <w:rFonts w:eastAsia="Calibri" w:cstheme="minorHAnsi"/>
        </w:rPr>
        <w:t xml:space="preserve"> </w:t>
      </w:r>
    </w:p>
    <w:p w14:paraId="2AAE0930" w14:textId="77777777" w:rsidR="00843222" w:rsidRPr="004737C5" w:rsidRDefault="00843222" w:rsidP="006D3BE8">
      <w:pPr>
        <w:rPr>
          <w:rFonts w:eastAsia="Calibri" w:cstheme="minorHAnsi"/>
        </w:rPr>
      </w:pPr>
      <w:r w:rsidRPr="004737C5">
        <w:rPr>
          <w:rFonts w:eastAsia="Calibri" w:cstheme="minorHAnsi"/>
        </w:rPr>
        <w:lastRenderedPageBreak/>
        <w:t>Throughout history there have been spontaneous consumer protests around food in particular. Such protests provided the sparks for both the French and Russian revolutions</w:t>
      </w:r>
      <w:r w:rsidR="00A214C1" w:rsidRPr="004737C5">
        <w:rPr>
          <w:rFonts w:eastAsia="Calibri" w:cstheme="minorHAnsi"/>
        </w:rPr>
        <w:t>, for example</w:t>
      </w:r>
      <w:r w:rsidRPr="004737C5">
        <w:rPr>
          <w:rFonts w:eastAsia="Calibri" w:cstheme="minorHAnsi"/>
        </w:rPr>
        <w:t>.</w:t>
      </w:r>
      <w:r w:rsidRPr="004737C5">
        <w:rPr>
          <w:rStyle w:val="FootnoteAnchor"/>
          <w:rFonts w:eastAsia="Calibri" w:cstheme="minorHAnsi"/>
        </w:rPr>
        <w:footnoteReference w:id="60"/>
      </w:r>
      <w:r w:rsidRPr="004737C5">
        <w:rPr>
          <w:rFonts w:eastAsia="Calibri" w:cstheme="minorHAnsi"/>
        </w:rPr>
        <w:t xml:space="preserve"> The more distinct notion of consumer rights could be said to have followed on from industrialization with its associated specialization separating producers from consumers. In the early years, the movement took the form of consumer cooperative shops in such varied locations as industrial </w:t>
      </w:r>
      <w:r w:rsidR="006A1835" w:rsidRPr="004737C5">
        <w:rPr>
          <w:rFonts w:eastAsia="Calibri" w:cstheme="minorHAnsi"/>
        </w:rPr>
        <w:t xml:space="preserve">Great </w:t>
      </w:r>
      <w:r w:rsidRPr="004737C5">
        <w:rPr>
          <w:rFonts w:eastAsia="Calibri" w:cstheme="minorHAnsi"/>
        </w:rPr>
        <w:t xml:space="preserve">Britain in the mid-nineteenth century, and Germany, France and Italy a little later. Japan too had its adherents to the cooperative model, there having been instances of cooperative financial institutions as early as the </w:t>
      </w:r>
      <w:r w:rsidR="006A5496" w:rsidRPr="004737C5">
        <w:rPr>
          <w:rFonts w:eastAsia="Calibri" w:cstheme="minorHAnsi"/>
        </w:rPr>
        <w:t xml:space="preserve">thirteenth </w:t>
      </w:r>
      <w:r w:rsidRPr="004737C5">
        <w:rPr>
          <w:rFonts w:eastAsia="Calibri" w:cstheme="minorHAnsi"/>
        </w:rPr>
        <w:t>century.</w:t>
      </w:r>
      <w:r w:rsidRPr="004737C5">
        <w:rPr>
          <w:rStyle w:val="FootnoteAnchor"/>
          <w:rFonts w:eastAsia="Calibri" w:cstheme="minorHAnsi"/>
        </w:rPr>
        <w:footnoteReference w:id="61"/>
      </w:r>
      <w:r w:rsidRPr="004737C5">
        <w:rPr>
          <w:rFonts w:eastAsia="Calibri" w:cstheme="minorHAnsi"/>
        </w:rPr>
        <w:t xml:space="preserve"> </w:t>
      </w:r>
    </w:p>
    <w:p w14:paraId="71A351EC" w14:textId="463F5D7B" w:rsidR="00843222" w:rsidRPr="004737C5" w:rsidRDefault="006A1835" w:rsidP="006D3BE8">
      <w:pPr>
        <w:rPr>
          <w:rFonts w:cstheme="minorHAnsi"/>
        </w:rPr>
      </w:pPr>
      <w:r w:rsidRPr="004737C5">
        <w:rPr>
          <w:rFonts w:eastAsia="Calibri" w:cstheme="minorHAnsi"/>
        </w:rPr>
        <w:t xml:space="preserve">In </w:t>
      </w:r>
      <w:r w:rsidR="00843222" w:rsidRPr="004737C5">
        <w:rPr>
          <w:rFonts w:eastAsia="Calibri" w:cstheme="minorHAnsi"/>
        </w:rPr>
        <w:t xml:space="preserve">the United States </w:t>
      </w:r>
      <w:r w:rsidRPr="004737C5">
        <w:rPr>
          <w:rFonts w:eastAsia="Calibri" w:cstheme="minorHAnsi"/>
        </w:rPr>
        <w:t xml:space="preserve">of America </w:t>
      </w:r>
      <w:r w:rsidR="00843222" w:rsidRPr="004737C5">
        <w:rPr>
          <w:rFonts w:eastAsia="Calibri" w:cstheme="minorHAnsi"/>
        </w:rPr>
        <w:t>and Argentina, another model developed based on consumer and farmer cooperatives for the development of public utilitie</w:t>
      </w:r>
      <w:r w:rsidRPr="004737C5">
        <w:rPr>
          <w:rFonts w:eastAsia="Calibri" w:cstheme="minorHAnsi"/>
        </w:rPr>
        <w:t>s such as water and electricity</w:t>
      </w:r>
      <w:r w:rsidR="00843222" w:rsidRPr="004737C5">
        <w:rPr>
          <w:rFonts w:eastAsia="Calibri" w:cstheme="minorHAnsi"/>
        </w:rPr>
        <w:t xml:space="preserve"> (some</w:t>
      </w:r>
      <w:r w:rsidRPr="004737C5">
        <w:rPr>
          <w:rFonts w:eastAsia="Calibri" w:cstheme="minorHAnsi"/>
        </w:rPr>
        <w:t xml:space="preserve"> of which are</w:t>
      </w:r>
      <w:r w:rsidR="00843222" w:rsidRPr="004737C5">
        <w:rPr>
          <w:rFonts w:eastAsia="Calibri" w:cstheme="minorHAnsi"/>
        </w:rPr>
        <w:t xml:space="preserve"> still in operation).</w:t>
      </w:r>
      <w:r w:rsidR="00843222" w:rsidRPr="004737C5">
        <w:rPr>
          <w:rStyle w:val="FootnoteAnchor"/>
          <w:rFonts w:eastAsia="Calibri" w:cstheme="minorHAnsi"/>
        </w:rPr>
        <w:footnoteReference w:id="62"/>
      </w:r>
      <w:r w:rsidR="00924883" w:rsidRPr="004737C5">
        <w:rPr>
          <w:rFonts w:eastAsia="Calibri" w:cstheme="minorHAnsi"/>
        </w:rPr>
        <w:t xml:space="preserve"> Evoking such history perhaps, guideline 36b</w:t>
      </w:r>
      <w:r w:rsidR="00843222" w:rsidRPr="004737C5">
        <w:rPr>
          <w:rFonts w:eastAsia="Calibri" w:cstheme="minorHAnsi"/>
        </w:rPr>
        <w:t xml:space="preserve"> asks</w:t>
      </w:r>
      <w:r w:rsidRPr="004737C5">
        <w:rPr>
          <w:rFonts w:eastAsia="Calibri" w:cstheme="minorHAnsi"/>
        </w:rPr>
        <w:t xml:space="preserve"> Member States, with regard to “</w:t>
      </w:r>
      <w:r w:rsidR="00843222" w:rsidRPr="004737C5">
        <w:rPr>
          <w:rFonts w:eastAsia="Calibri" w:cstheme="minorHAnsi"/>
        </w:rPr>
        <w:t>distribution facilities for essential goods and services</w:t>
      </w:r>
      <w:r w:rsidRPr="004737C5">
        <w:rPr>
          <w:rFonts w:eastAsia="Calibri" w:cstheme="minorHAnsi"/>
        </w:rPr>
        <w:t>”, to “</w:t>
      </w:r>
      <w:r w:rsidR="00843222" w:rsidRPr="004737C5">
        <w:rPr>
          <w:rFonts w:eastAsia="Calibri" w:cstheme="minorHAnsi"/>
        </w:rPr>
        <w:t xml:space="preserve">consider </w:t>
      </w:r>
      <w:r w:rsidR="00843222" w:rsidRPr="004737C5">
        <w:rPr>
          <w:rFonts w:cstheme="minorHAnsi"/>
        </w:rPr>
        <w:t>encouraging the establishment of consumer co-operatives a</w:t>
      </w:r>
      <w:r w:rsidR="00906333" w:rsidRPr="004737C5">
        <w:rPr>
          <w:rFonts w:cstheme="minorHAnsi"/>
        </w:rPr>
        <w:t>nd related trading activities, …</w:t>
      </w:r>
      <w:r w:rsidR="00843222" w:rsidRPr="004737C5">
        <w:rPr>
          <w:rFonts w:cstheme="minorHAnsi"/>
        </w:rPr>
        <w:t xml:space="preserve"> especially in rural areas</w:t>
      </w:r>
      <w:r w:rsidRPr="004737C5">
        <w:rPr>
          <w:rFonts w:cstheme="minorHAnsi"/>
        </w:rPr>
        <w:t>”.</w:t>
      </w:r>
      <w:r w:rsidR="00843222" w:rsidRPr="004737C5">
        <w:rPr>
          <w:rFonts w:cstheme="minorHAnsi"/>
        </w:rPr>
        <w:t xml:space="preserve"> More recently, similar public service cooperatives have developed in rural Bangladesh,</w:t>
      </w:r>
      <w:r w:rsidRPr="004737C5">
        <w:rPr>
          <w:rFonts w:cstheme="minorHAnsi"/>
        </w:rPr>
        <w:t xml:space="preserve"> the</w:t>
      </w:r>
      <w:r w:rsidR="00843222" w:rsidRPr="004737C5">
        <w:rPr>
          <w:rFonts w:cstheme="minorHAnsi"/>
        </w:rPr>
        <w:t xml:space="preserve"> Philippines and Sri Lanka, and some consumer associations have mounted consumer cooperatives, for example in Mumbai.</w:t>
      </w:r>
      <w:r w:rsidR="00843222" w:rsidRPr="004737C5">
        <w:rPr>
          <w:rStyle w:val="FootnoteAnchor"/>
          <w:rFonts w:cstheme="minorHAnsi"/>
        </w:rPr>
        <w:footnoteReference w:id="63"/>
      </w:r>
    </w:p>
    <w:p w14:paraId="218AC29F" w14:textId="22D43E23" w:rsidR="00843222" w:rsidRPr="004737C5" w:rsidRDefault="00843222" w:rsidP="006D3BE8">
      <w:pPr>
        <w:rPr>
          <w:rFonts w:eastAsia="Calibri" w:cstheme="minorHAnsi"/>
        </w:rPr>
      </w:pPr>
      <w:r w:rsidRPr="004737C5">
        <w:rPr>
          <w:rFonts w:eastAsia="Calibri" w:cstheme="minorHAnsi"/>
        </w:rPr>
        <w:t xml:space="preserve">Consumers Union of the United States </w:t>
      </w:r>
      <w:r w:rsidR="006A1835" w:rsidRPr="004737C5">
        <w:rPr>
          <w:rFonts w:eastAsia="Calibri" w:cstheme="minorHAnsi"/>
        </w:rPr>
        <w:t xml:space="preserve">of America </w:t>
      </w:r>
      <w:r w:rsidRPr="004737C5">
        <w:rPr>
          <w:rFonts w:eastAsia="Calibri" w:cstheme="minorHAnsi"/>
        </w:rPr>
        <w:t>w</w:t>
      </w:r>
      <w:r w:rsidR="006A1835" w:rsidRPr="004737C5">
        <w:rPr>
          <w:rFonts w:eastAsia="Calibri" w:cstheme="minorHAnsi"/>
        </w:rPr>
        <w:t>as established during the 1930s.</w:t>
      </w:r>
      <w:r w:rsidRPr="004737C5">
        <w:rPr>
          <w:rStyle w:val="FootnoteAnchor"/>
          <w:rFonts w:eastAsia="Calibri" w:cstheme="minorHAnsi"/>
        </w:rPr>
        <w:footnoteReference w:id="64"/>
      </w:r>
      <w:r w:rsidRPr="004737C5">
        <w:rPr>
          <w:rFonts w:eastAsia="Calibri" w:cstheme="minorHAnsi"/>
        </w:rPr>
        <w:t xml:space="preserve"> </w:t>
      </w:r>
      <w:r w:rsidR="006A1835" w:rsidRPr="004737C5">
        <w:rPr>
          <w:rFonts w:eastAsia="Calibri" w:cstheme="minorHAnsi"/>
        </w:rPr>
        <w:t>I</w:t>
      </w:r>
      <w:r w:rsidR="00906333" w:rsidRPr="004737C5">
        <w:rPr>
          <w:rFonts w:eastAsia="Calibri" w:cstheme="minorHAnsi"/>
        </w:rPr>
        <w:t>ts consumer r</w:t>
      </w:r>
      <w:r w:rsidRPr="004737C5">
        <w:rPr>
          <w:rFonts w:eastAsia="Calibri" w:cstheme="minorHAnsi"/>
        </w:rPr>
        <w:t>eports and associated new</w:t>
      </w:r>
      <w:r w:rsidR="00906333" w:rsidRPr="004737C5">
        <w:rPr>
          <w:rFonts w:eastAsia="Calibri" w:cstheme="minorHAnsi"/>
        </w:rPr>
        <w:t>sletter are read by around 7</w:t>
      </w:r>
      <w:r w:rsidRPr="004737C5">
        <w:rPr>
          <w:rFonts w:eastAsia="Calibri" w:cstheme="minorHAnsi"/>
        </w:rPr>
        <w:t xml:space="preserve"> million subscribers in total. Professor Robert Mayer has pointed to the robust heath of the consumer movement</w:t>
      </w:r>
      <w:r w:rsidR="006A1835" w:rsidRPr="004737C5">
        <w:rPr>
          <w:rFonts w:eastAsia="Calibri" w:cstheme="minorHAnsi"/>
        </w:rPr>
        <w:t xml:space="preserve"> in the United States of America</w:t>
      </w:r>
      <w:r w:rsidRPr="004737C5">
        <w:rPr>
          <w:rFonts w:eastAsia="Calibri" w:cstheme="minorHAnsi"/>
        </w:rPr>
        <w:t>, noting that in 2012 there were eight associations with annual revenues in excess of US$ 2 million.</w:t>
      </w:r>
      <w:r w:rsidRPr="004737C5">
        <w:rPr>
          <w:rStyle w:val="FootnoteAnchor"/>
          <w:rFonts w:eastAsia="Calibri" w:cstheme="minorHAnsi"/>
        </w:rPr>
        <w:footnoteReference w:id="65"/>
      </w:r>
      <w:r w:rsidRPr="004737C5">
        <w:rPr>
          <w:rFonts w:eastAsia="Calibri" w:cstheme="minorHAnsi"/>
        </w:rPr>
        <w:t xml:space="preserve"> Consumers Union had revenues of US$ 250 million and three others had budgets in excess of US$ 8 million. This model of </w:t>
      </w:r>
      <w:r w:rsidR="006A1835" w:rsidRPr="004737C5">
        <w:rPr>
          <w:rFonts w:eastAsia="Calibri" w:cstheme="minorHAnsi"/>
        </w:rPr>
        <w:t xml:space="preserve">independently published, detailed </w:t>
      </w:r>
      <w:r w:rsidRPr="004737C5">
        <w:rPr>
          <w:rFonts w:eastAsia="Calibri" w:cstheme="minorHAnsi"/>
        </w:rPr>
        <w:t>technical assessment of consumer products is a highly successful North American export to the rest of the world. Consumers Association of the United Kingdom</w:t>
      </w:r>
      <w:r w:rsidR="00906333" w:rsidRPr="004737C5">
        <w:rPr>
          <w:rFonts w:eastAsia="Calibri" w:cstheme="minorHAnsi"/>
        </w:rPr>
        <w:t xml:space="preserve"> of Great Britain and Northern Ireland</w:t>
      </w:r>
      <w:r w:rsidRPr="004737C5">
        <w:rPr>
          <w:rFonts w:eastAsia="Calibri" w:cstheme="minorHAnsi"/>
        </w:rPr>
        <w:t>, with initial financial assistance from their No</w:t>
      </w:r>
      <w:r w:rsidR="006A1835" w:rsidRPr="004737C5">
        <w:rPr>
          <w:rFonts w:eastAsia="Calibri" w:cstheme="minorHAnsi"/>
        </w:rPr>
        <w:t>rth American colleagues, grew</w:t>
      </w:r>
      <w:r w:rsidRPr="004737C5">
        <w:rPr>
          <w:rFonts w:eastAsia="Calibri" w:cstheme="minorHAnsi"/>
        </w:rPr>
        <w:t xml:space="preserve"> during the 1950s to develop a mass membership based on its product t</w:t>
      </w:r>
      <w:r w:rsidR="006A1835" w:rsidRPr="004737C5">
        <w:rPr>
          <w:rFonts w:eastAsia="Calibri" w:cstheme="minorHAnsi"/>
        </w:rPr>
        <w:t xml:space="preserve">esting. Its magazine </w:t>
      </w:r>
      <w:r w:rsidRPr="004737C5">
        <w:rPr>
          <w:rFonts w:eastAsia="Calibri" w:cstheme="minorHAnsi"/>
          <w:i/>
        </w:rPr>
        <w:t>Which</w:t>
      </w:r>
      <w:r w:rsidR="006A1835" w:rsidRPr="004737C5">
        <w:rPr>
          <w:rFonts w:eastAsia="Calibri" w:cstheme="minorHAnsi"/>
        </w:rPr>
        <w:t xml:space="preserve"> reached</w:t>
      </w:r>
      <w:r w:rsidRPr="004737C5">
        <w:rPr>
          <w:rFonts w:eastAsia="Calibri" w:cstheme="minorHAnsi"/>
        </w:rPr>
        <w:t xml:space="preserve"> one million members at its peak. The highest level of market penetration in the world was reached in Belgium and the Netherlands, which have experienced the highest percentag</w:t>
      </w:r>
      <w:r w:rsidR="00906333" w:rsidRPr="004737C5">
        <w:rPr>
          <w:rFonts w:eastAsia="Calibri" w:cstheme="minorHAnsi"/>
        </w:rPr>
        <w:t xml:space="preserve">es of households taking product </w:t>
      </w:r>
      <w:r w:rsidRPr="004737C5">
        <w:rPr>
          <w:rFonts w:eastAsia="Calibri" w:cstheme="minorHAnsi"/>
        </w:rPr>
        <w:t>testing magazines. In due course, the associations publishing product testing magazines were financed by subscriptions t</w:t>
      </w:r>
      <w:r w:rsidR="006A5496" w:rsidRPr="004737C5">
        <w:rPr>
          <w:rFonts w:eastAsia="Calibri" w:cstheme="minorHAnsi"/>
        </w:rPr>
        <w:t>o their publications, which</w:t>
      </w:r>
      <w:r w:rsidRPr="004737C5">
        <w:rPr>
          <w:rFonts w:eastAsia="Calibri" w:cstheme="minorHAnsi"/>
        </w:rPr>
        <w:t xml:space="preserve"> operated on commercial lines, albeit with a non-pro</w:t>
      </w:r>
      <w:r w:rsidR="00906333" w:rsidRPr="004737C5">
        <w:rPr>
          <w:rFonts w:eastAsia="Calibri" w:cstheme="minorHAnsi"/>
        </w:rPr>
        <w:t xml:space="preserve">fit making status. Some product </w:t>
      </w:r>
      <w:r w:rsidRPr="004737C5">
        <w:rPr>
          <w:rFonts w:eastAsia="Calibri" w:cstheme="minorHAnsi"/>
        </w:rPr>
        <w:t xml:space="preserve">testing magazines were launched by </w:t>
      </w:r>
      <w:r w:rsidR="006A5496" w:rsidRPr="004737C5">
        <w:rPr>
          <w:rFonts w:eastAsia="Calibri" w:cstheme="minorHAnsi"/>
        </w:rPr>
        <w:t>g</w:t>
      </w:r>
      <w:r w:rsidRPr="004737C5">
        <w:rPr>
          <w:rFonts w:eastAsia="Calibri" w:cstheme="minorHAnsi"/>
        </w:rPr>
        <w:t>overnment</w:t>
      </w:r>
      <w:r w:rsidR="006A5496" w:rsidRPr="004737C5">
        <w:rPr>
          <w:rFonts w:eastAsia="Calibri" w:cstheme="minorHAnsi"/>
        </w:rPr>
        <w:t>s in Norway, Sweden and Austria and receive</w:t>
      </w:r>
      <w:r w:rsidRPr="004737C5">
        <w:rPr>
          <w:rFonts w:eastAsia="Calibri" w:cstheme="minorHAnsi"/>
        </w:rPr>
        <w:t xml:space="preserve"> both subscriptions and public subsidies. Some consumer associations were built up with the active participation of labour unions and tenants associations, France being an example </w:t>
      </w:r>
      <w:r w:rsidR="009540A6" w:rsidRPr="004737C5">
        <w:rPr>
          <w:rFonts w:eastAsia="Calibri" w:cstheme="minorHAnsi"/>
        </w:rPr>
        <w:t>in this respect</w:t>
      </w:r>
      <w:r w:rsidRPr="004737C5">
        <w:rPr>
          <w:rFonts w:eastAsia="Calibri" w:cstheme="minorHAnsi"/>
        </w:rPr>
        <w:t xml:space="preserve">.  </w:t>
      </w:r>
    </w:p>
    <w:p w14:paraId="63591936" w14:textId="77777777" w:rsidR="00843222" w:rsidRPr="004737C5" w:rsidRDefault="00843222" w:rsidP="006D3BE8">
      <w:pPr>
        <w:rPr>
          <w:rFonts w:cstheme="minorHAnsi"/>
        </w:rPr>
      </w:pPr>
      <w:r w:rsidRPr="004737C5">
        <w:rPr>
          <w:rFonts w:eastAsia="Calibri" w:cstheme="minorHAnsi"/>
        </w:rPr>
        <w:t>Testing products is intrinsically expensive, and so where products are available in international markets it makes sense for consumer associations to pool resources. Following a period of informal and bilateral cooperation between associations, some of t</w:t>
      </w:r>
      <w:r w:rsidR="006A5496" w:rsidRPr="004737C5">
        <w:rPr>
          <w:rFonts w:eastAsia="Calibri" w:cstheme="minorHAnsi"/>
        </w:rPr>
        <w:t>he larger-</w:t>
      </w:r>
      <w:r w:rsidRPr="004737C5">
        <w:rPr>
          <w:rFonts w:eastAsia="Calibri" w:cstheme="minorHAnsi"/>
        </w:rPr>
        <w:t xml:space="preserve">budget testing organizations came together in 1990 to form </w:t>
      </w:r>
      <w:r w:rsidRPr="004737C5">
        <w:rPr>
          <w:rFonts w:cstheme="minorHAnsi"/>
        </w:rPr>
        <w:t>International Consumer Research and Testing</w:t>
      </w:r>
      <w:r w:rsidRPr="004737C5">
        <w:rPr>
          <w:rFonts w:cstheme="minorHAnsi"/>
          <w:b/>
        </w:rPr>
        <w:t xml:space="preserve"> </w:t>
      </w:r>
      <w:r w:rsidRPr="004737C5">
        <w:rPr>
          <w:rFonts w:cstheme="minorHAnsi"/>
        </w:rPr>
        <w:t xml:space="preserve">(ICRT), a global </w:t>
      </w:r>
      <w:r w:rsidRPr="004737C5">
        <w:rPr>
          <w:rFonts w:cstheme="minorHAnsi"/>
        </w:rPr>
        <w:lastRenderedPageBreak/>
        <w:t>consortium of 35 consumer organizations in 33 countries dedicated to carrying out joint research and testing in the consumer interest.</w:t>
      </w:r>
      <w:r w:rsidRPr="004737C5">
        <w:rPr>
          <w:rStyle w:val="FootnoteAnchor"/>
          <w:rFonts w:cstheme="minorHAnsi"/>
        </w:rPr>
        <w:footnoteReference w:id="66"/>
      </w:r>
      <w:r w:rsidRPr="004737C5">
        <w:rPr>
          <w:rFonts w:cstheme="minorHAnsi"/>
        </w:rPr>
        <w:t xml:space="preserve"> ICRT runs more than 50 large</w:t>
      </w:r>
      <w:r w:rsidR="00A214C1" w:rsidRPr="004737C5">
        <w:rPr>
          <w:rFonts w:cstheme="minorHAnsi"/>
        </w:rPr>
        <w:t>-scale</w:t>
      </w:r>
      <w:r w:rsidRPr="004737C5">
        <w:rPr>
          <w:rFonts w:cstheme="minorHAnsi"/>
        </w:rPr>
        <w:t xml:space="preserve"> joint tests and numerous smaller joint tests each year and can reduce significantly the costs to smaller organizations as a result of resource pooling.</w:t>
      </w:r>
    </w:p>
    <w:p w14:paraId="6C292972" w14:textId="77777777" w:rsidR="00843222" w:rsidRPr="004737C5" w:rsidRDefault="00843222" w:rsidP="006D3BE8">
      <w:pPr>
        <w:rPr>
          <w:rFonts w:eastAsia="Calibri" w:cstheme="minorHAnsi"/>
        </w:rPr>
      </w:pPr>
      <w:r w:rsidRPr="004737C5">
        <w:rPr>
          <w:rFonts w:eastAsia="Calibri" w:cstheme="minorHAnsi"/>
        </w:rPr>
        <w:t>In the transitional economies of Central and Eastern Europe, the expense involved in testing and the more volatile conditions have made it very difficult t</w:t>
      </w:r>
      <w:r w:rsidR="006A5496" w:rsidRPr="004737C5">
        <w:rPr>
          <w:rFonts w:eastAsia="Calibri" w:cstheme="minorHAnsi"/>
        </w:rPr>
        <w:t>o establish and sustain product-</w:t>
      </w:r>
      <w:r w:rsidRPr="004737C5">
        <w:rPr>
          <w:rFonts w:eastAsia="Calibri" w:cstheme="minorHAnsi"/>
        </w:rPr>
        <w:t xml:space="preserve">testing magazines on a stable basis, even in large markets such as </w:t>
      </w:r>
      <w:r w:rsidRPr="004737C5">
        <w:rPr>
          <w:rFonts w:cstheme="minorHAnsi"/>
          <w:bCs/>
        </w:rPr>
        <w:t>the Russian Federation</w:t>
      </w:r>
      <w:r w:rsidRPr="004737C5">
        <w:rPr>
          <w:rFonts w:eastAsia="Calibri" w:cstheme="minorHAnsi"/>
        </w:rPr>
        <w:t>. Consu</w:t>
      </w:r>
      <w:r w:rsidR="006A5496" w:rsidRPr="004737C5">
        <w:rPr>
          <w:rFonts w:eastAsia="Calibri" w:cstheme="minorHAnsi"/>
        </w:rPr>
        <w:t>mer associations in this region</w:t>
      </w:r>
      <w:r w:rsidRPr="004737C5">
        <w:rPr>
          <w:rFonts w:eastAsia="Calibri" w:cstheme="minorHAnsi"/>
        </w:rPr>
        <w:t xml:space="preserve"> have often drawn their </w:t>
      </w:r>
      <w:r w:rsidR="006A5496" w:rsidRPr="004737C5">
        <w:rPr>
          <w:rFonts w:eastAsia="Calibri" w:cstheme="minorHAnsi"/>
        </w:rPr>
        <w:t>historic legitimacy from local “</w:t>
      </w:r>
      <w:r w:rsidRPr="004737C5">
        <w:rPr>
          <w:rFonts w:eastAsia="Calibri" w:cstheme="minorHAnsi"/>
        </w:rPr>
        <w:t>clubs</w:t>
      </w:r>
      <w:r w:rsidR="006A5496" w:rsidRPr="004737C5">
        <w:rPr>
          <w:rFonts w:eastAsia="Calibri" w:cstheme="minorHAnsi"/>
        </w:rPr>
        <w:t>”,</w:t>
      </w:r>
      <w:r w:rsidRPr="004737C5">
        <w:rPr>
          <w:rFonts w:eastAsia="Calibri" w:cstheme="minorHAnsi"/>
        </w:rPr>
        <w:t xml:space="preserve"> sometimes based around home economics associations, giving the associations a direct contact with the general public which preceded the arrival of the market economy. The same link with local associations is to be found in the Chinese Consumers Association, where by 2010, over 3,250 consumer associations at county level, plus 156,000 local associations, accepted some 12.5 million consumer complaints.</w:t>
      </w:r>
      <w:r w:rsidRPr="004737C5">
        <w:rPr>
          <w:rStyle w:val="FootnoteAnchor"/>
          <w:rFonts w:eastAsia="Calibri" w:cstheme="minorHAnsi"/>
        </w:rPr>
        <w:footnoteReference w:id="67"/>
      </w:r>
      <w:r w:rsidRPr="004737C5">
        <w:rPr>
          <w:rFonts w:eastAsia="Calibri" w:cstheme="minorHAnsi"/>
        </w:rPr>
        <w:t xml:space="preserve">  </w:t>
      </w:r>
    </w:p>
    <w:p w14:paraId="0227EBC9" w14:textId="53B931BD" w:rsidR="00843222" w:rsidRPr="004737C5" w:rsidRDefault="006A5496" w:rsidP="006D3BE8">
      <w:pPr>
        <w:rPr>
          <w:rFonts w:cstheme="minorHAnsi"/>
        </w:rPr>
      </w:pPr>
      <w:r w:rsidRPr="004737C5">
        <w:rPr>
          <w:rFonts w:cstheme="minorHAnsi"/>
        </w:rPr>
        <w:t>The development of a consumer “movement”</w:t>
      </w:r>
      <w:r w:rsidR="00843222" w:rsidRPr="004737C5">
        <w:rPr>
          <w:rFonts w:cstheme="minorHAnsi"/>
        </w:rPr>
        <w:t xml:space="preserve"> worldwide can be traced by observing the spread of membership of Consumers International (CI).  The initiators of CI in 1960 were five associations from market economies: </w:t>
      </w:r>
      <w:r w:rsidR="00E75DCC" w:rsidRPr="004737C5">
        <w:rPr>
          <w:rFonts w:cstheme="minorHAnsi"/>
        </w:rPr>
        <w:t xml:space="preserve">the </w:t>
      </w:r>
      <w:r w:rsidR="00843222" w:rsidRPr="004737C5">
        <w:rPr>
          <w:rFonts w:cstheme="minorHAnsi"/>
        </w:rPr>
        <w:t>United States</w:t>
      </w:r>
      <w:r w:rsidRPr="004737C5">
        <w:rPr>
          <w:rFonts w:cstheme="minorHAnsi"/>
        </w:rPr>
        <w:t xml:space="preserve"> of America</w:t>
      </w:r>
      <w:r w:rsidR="00843222" w:rsidRPr="004737C5">
        <w:rPr>
          <w:rFonts w:cstheme="minorHAnsi"/>
        </w:rPr>
        <w:t>,</w:t>
      </w:r>
      <w:r w:rsidR="00E75DCC" w:rsidRPr="004737C5">
        <w:rPr>
          <w:rFonts w:cstheme="minorHAnsi"/>
        </w:rPr>
        <w:t xml:space="preserve"> the</w:t>
      </w:r>
      <w:r w:rsidR="00843222" w:rsidRPr="004737C5">
        <w:rPr>
          <w:rFonts w:cstheme="minorHAnsi"/>
        </w:rPr>
        <w:t xml:space="preserve"> United Kingdom</w:t>
      </w:r>
      <w:r w:rsidRPr="004737C5">
        <w:rPr>
          <w:rFonts w:cstheme="minorHAnsi"/>
        </w:rPr>
        <w:t xml:space="preserve"> of Great Britain and Northern Ireland</w:t>
      </w:r>
      <w:r w:rsidR="00843222" w:rsidRPr="004737C5">
        <w:rPr>
          <w:rFonts w:cstheme="minorHAnsi"/>
        </w:rPr>
        <w:t xml:space="preserve">, Australia, Belgium and the Netherlands. The first membership consisted of 16 countries. By the 1980s, over 50 countries were represented in the membership. During the late twentieth century, consumer associations took off in Asia, Africa and Latin America and membership reached 225 associations from 115 countries by the year 2000, a level at which it has remained approximately ever since. </w:t>
      </w:r>
    </w:p>
    <w:p w14:paraId="508D2AC0" w14:textId="458C1A87" w:rsidR="00843222" w:rsidRPr="004737C5" w:rsidRDefault="00843222" w:rsidP="006D3BE8">
      <w:pPr>
        <w:rPr>
          <w:rFonts w:cstheme="minorHAnsi"/>
        </w:rPr>
      </w:pPr>
      <w:r w:rsidRPr="004737C5">
        <w:rPr>
          <w:rFonts w:cstheme="minorHAnsi"/>
        </w:rPr>
        <w:t xml:space="preserve">Recent years have seen a </w:t>
      </w:r>
      <w:r w:rsidR="006A5496" w:rsidRPr="004737C5">
        <w:rPr>
          <w:rFonts w:cstheme="minorHAnsi"/>
        </w:rPr>
        <w:t>critique of the development of “consumerism” associated with “</w:t>
      </w:r>
      <w:r w:rsidRPr="004737C5">
        <w:rPr>
          <w:rFonts w:cstheme="minorHAnsi"/>
        </w:rPr>
        <w:t>globalization</w:t>
      </w:r>
      <w:r w:rsidR="006A5496" w:rsidRPr="004737C5">
        <w:rPr>
          <w:rFonts w:cstheme="minorHAnsi"/>
        </w:rPr>
        <w:t>”,</w:t>
      </w:r>
      <w:r w:rsidRPr="004737C5">
        <w:rPr>
          <w:rFonts w:cstheme="minorHAnsi"/>
        </w:rPr>
        <w:t xml:space="preserve"> and the idea of ethical consumption has been seen by many as a way to harness consumer power to ethical ends, such as fair environmental and labour standards. In fact, ethical consumer debates have a long history being associated, for</w:t>
      </w:r>
      <w:r w:rsidR="006A5496" w:rsidRPr="004737C5">
        <w:rPr>
          <w:rFonts w:cstheme="minorHAnsi"/>
        </w:rPr>
        <w:t xml:space="preserve"> example, with the boycotts of “slave sugar”</w:t>
      </w:r>
      <w:r w:rsidRPr="004737C5">
        <w:rPr>
          <w:rFonts w:cstheme="minorHAnsi"/>
        </w:rPr>
        <w:t xml:space="preserve"> during the nineteenth century. Today the global debates continue, but expressions of concern by developed countries about working and environmental conditions in developing countries are viewed with great ambivalence by the latter, especially when raised in the context of trade disputes and trade negotiations about market access. Associations could have an important role to play here. Ethical issues may be raised by </w:t>
      </w:r>
      <w:r w:rsidR="00E75DCC" w:rsidRPr="004737C5">
        <w:rPr>
          <w:rFonts w:cstheme="minorHAnsi"/>
        </w:rPr>
        <w:t>non-governmental organiz</w:t>
      </w:r>
      <w:r w:rsidR="006A5496" w:rsidRPr="004737C5">
        <w:rPr>
          <w:rFonts w:cstheme="minorHAnsi"/>
        </w:rPr>
        <w:t>ations (</w:t>
      </w:r>
      <w:r w:rsidRPr="004737C5">
        <w:rPr>
          <w:rFonts w:cstheme="minorHAnsi"/>
        </w:rPr>
        <w:t>NGOs</w:t>
      </w:r>
      <w:r w:rsidR="006A5496" w:rsidRPr="004737C5">
        <w:rPr>
          <w:rFonts w:cstheme="minorHAnsi"/>
        </w:rPr>
        <w:t>)</w:t>
      </w:r>
      <w:r w:rsidRPr="004737C5">
        <w:rPr>
          <w:rFonts w:cstheme="minorHAnsi"/>
        </w:rPr>
        <w:t xml:space="preserve"> and considered to be in good faith, while raising the same issues may be seen as thinly disguised protectionism when put forward by trade negotiators. </w:t>
      </w:r>
    </w:p>
    <w:p w14:paraId="52ADF273" w14:textId="77777777" w:rsidR="00843222" w:rsidRPr="004737C5" w:rsidRDefault="006A5496" w:rsidP="00E75DCC">
      <w:pPr>
        <w:pStyle w:val="Heading2"/>
        <w:spacing w:after="160"/>
        <w:rPr>
          <w:rFonts w:cstheme="minorHAnsi"/>
          <w:color w:val="auto"/>
          <w:sz w:val="24"/>
          <w:szCs w:val="24"/>
        </w:rPr>
      </w:pPr>
      <w:bookmarkStart w:id="48" w:name="_Toc492650001"/>
      <w:r w:rsidRPr="004737C5">
        <w:rPr>
          <w:rFonts w:cstheme="minorHAnsi"/>
          <w:color w:val="auto"/>
          <w:sz w:val="24"/>
          <w:szCs w:val="24"/>
        </w:rPr>
        <w:t>C.</w:t>
      </w:r>
      <w:r w:rsidR="00843222" w:rsidRPr="004737C5">
        <w:rPr>
          <w:rFonts w:cstheme="minorHAnsi"/>
          <w:color w:val="auto"/>
          <w:sz w:val="24"/>
          <w:szCs w:val="24"/>
        </w:rPr>
        <w:t xml:space="preserve"> The functions of consumer associations</w:t>
      </w:r>
      <w:bookmarkEnd w:id="48"/>
    </w:p>
    <w:p w14:paraId="763B096E" w14:textId="77777777" w:rsidR="00843222" w:rsidRPr="004737C5" w:rsidRDefault="00843222" w:rsidP="006D3BE8">
      <w:pPr>
        <w:rPr>
          <w:rFonts w:cstheme="minorHAnsi"/>
        </w:rPr>
      </w:pPr>
      <w:r w:rsidRPr="004737C5">
        <w:rPr>
          <w:rFonts w:cstheme="minorHAnsi"/>
        </w:rPr>
        <w:t>Drawing on the above histories, the idea that consumer associations have a role in consumer protection is premised on the following principles:</w:t>
      </w:r>
    </w:p>
    <w:p w14:paraId="51E5B121" w14:textId="380B892E" w:rsidR="00843222" w:rsidRPr="004737C5" w:rsidRDefault="00843222" w:rsidP="00E75DCC">
      <w:pPr>
        <w:pStyle w:val="ListParagraph"/>
        <w:numPr>
          <w:ilvl w:val="0"/>
          <w:numId w:val="38"/>
        </w:numPr>
        <w:tabs>
          <w:tab w:val="clear" w:pos="360"/>
          <w:tab w:val="num" w:pos="709"/>
        </w:tabs>
        <w:ind w:left="709" w:hanging="425"/>
        <w:rPr>
          <w:rFonts w:cstheme="minorHAnsi"/>
        </w:rPr>
      </w:pPr>
      <w:r w:rsidRPr="004737C5">
        <w:rPr>
          <w:rFonts w:cstheme="minorHAnsi"/>
        </w:rPr>
        <w:t>There is a need for an indep</w:t>
      </w:r>
      <w:r w:rsidR="00E75DCC" w:rsidRPr="004737C5">
        <w:rPr>
          <w:rFonts w:cstheme="minorHAnsi"/>
        </w:rPr>
        <w:t xml:space="preserve">endent actor which is non-party </w:t>
      </w:r>
      <w:r w:rsidRPr="004737C5">
        <w:rPr>
          <w:rFonts w:cstheme="minorHAnsi"/>
        </w:rPr>
        <w:t xml:space="preserve">political and non-commercial to give voice to the </w:t>
      </w:r>
      <w:r w:rsidR="006A5496" w:rsidRPr="004737C5">
        <w:rPr>
          <w:rFonts w:cstheme="minorHAnsi"/>
        </w:rPr>
        <w:t>issues that impact on consumers</w:t>
      </w:r>
    </w:p>
    <w:p w14:paraId="73C915AD" w14:textId="77777777" w:rsidR="00843222" w:rsidRPr="004737C5" w:rsidRDefault="00843222" w:rsidP="00E75DCC">
      <w:pPr>
        <w:pStyle w:val="ListParagraph"/>
        <w:numPr>
          <w:ilvl w:val="0"/>
          <w:numId w:val="38"/>
        </w:numPr>
        <w:tabs>
          <w:tab w:val="clear" w:pos="360"/>
          <w:tab w:val="num" w:pos="709"/>
        </w:tabs>
        <w:ind w:left="709" w:hanging="425"/>
        <w:rPr>
          <w:rFonts w:cstheme="minorHAnsi"/>
        </w:rPr>
      </w:pPr>
      <w:r w:rsidRPr="004737C5">
        <w:rPr>
          <w:rFonts w:cstheme="minorHAnsi"/>
        </w:rPr>
        <w:t>There is a need for the views of th</w:t>
      </w:r>
      <w:r w:rsidR="006A5496" w:rsidRPr="004737C5">
        <w:rPr>
          <w:rFonts w:cstheme="minorHAnsi"/>
        </w:rPr>
        <w:t xml:space="preserve">e under-represented, including </w:t>
      </w:r>
      <w:r w:rsidRPr="004737C5">
        <w:rPr>
          <w:rFonts w:cstheme="minorHAnsi"/>
        </w:rPr>
        <w:t>the inarticulate and disadvantaged, to be heard in order to address the disparity in bargaining power, knowledge and resources</w:t>
      </w:r>
      <w:r w:rsidR="006A5496" w:rsidRPr="004737C5">
        <w:rPr>
          <w:rFonts w:cstheme="minorHAnsi"/>
        </w:rPr>
        <w:t xml:space="preserve"> between consumers and business</w:t>
      </w:r>
    </w:p>
    <w:p w14:paraId="04519420" w14:textId="77777777" w:rsidR="00843222" w:rsidRPr="004737C5" w:rsidRDefault="006A5496" w:rsidP="00E75DCC">
      <w:pPr>
        <w:pStyle w:val="ListParagraph"/>
        <w:numPr>
          <w:ilvl w:val="0"/>
          <w:numId w:val="38"/>
        </w:numPr>
        <w:tabs>
          <w:tab w:val="clear" w:pos="360"/>
          <w:tab w:val="num" w:pos="709"/>
        </w:tabs>
        <w:ind w:left="709" w:hanging="425"/>
        <w:rPr>
          <w:rFonts w:cstheme="minorHAnsi"/>
        </w:rPr>
      </w:pPr>
      <w:r w:rsidRPr="004737C5">
        <w:rPr>
          <w:rFonts w:cstheme="minorHAnsi"/>
        </w:rPr>
        <w:t>There is a need for</w:t>
      </w:r>
      <w:r w:rsidR="00843222" w:rsidRPr="004737C5">
        <w:rPr>
          <w:rFonts w:cstheme="minorHAnsi"/>
        </w:rPr>
        <w:t xml:space="preserve"> associations to have a wide membership base and command popular support to represent the </w:t>
      </w:r>
      <w:r w:rsidRPr="004737C5">
        <w:rPr>
          <w:rFonts w:cstheme="minorHAnsi"/>
        </w:rPr>
        <w:t>specific interests of consumers</w:t>
      </w:r>
      <w:r w:rsidR="00843222" w:rsidRPr="004737C5">
        <w:rPr>
          <w:rStyle w:val="FootnoteReference"/>
          <w:rFonts w:cstheme="minorHAnsi"/>
        </w:rPr>
        <w:footnoteReference w:id="68"/>
      </w:r>
    </w:p>
    <w:p w14:paraId="48AC2FEB" w14:textId="77777777" w:rsidR="00843222" w:rsidRPr="004737C5" w:rsidRDefault="00843222" w:rsidP="002473E9">
      <w:pPr>
        <w:pStyle w:val="ListParagraph"/>
        <w:numPr>
          <w:ilvl w:val="0"/>
          <w:numId w:val="38"/>
        </w:numPr>
        <w:tabs>
          <w:tab w:val="clear" w:pos="360"/>
          <w:tab w:val="num" w:pos="709"/>
        </w:tabs>
        <w:ind w:left="709" w:hanging="425"/>
        <w:jc w:val="left"/>
        <w:rPr>
          <w:rFonts w:cstheme="minorHAnsi"/>
        </w:rPr>
      </w:pPr>
      <w:r w:rsidRPr="004737C5">
        <w:rPr>
          <w:rFonts w:cstheme="minorHAnsi"/>
        </w:rPr>
        <w:lastRenderedPageBreak/>
        <w:t>There is a need for participatory decision-making, consultation and consumer associations which can form a</w:t>
      </w:r>
      <w:r w:rsidR="006A5496" w:rsidRPr="004737C5">
        <w:rPr>
          <w:rFonts w:cstheme="minorHAnsi"/>
        </w:rPr>
        <w:t xml:space="preserve"> part of the democratic process</w:t>
      </w:r>
    </w:p>
    <w:p w14:paraId="10B72F3A" w14:textId="77777777" w:rsidR="00843222" w:rsidRPr="004737C5" w:rsidRDefault="00843222" w:rsidP="006D3BE8">
      <w:pPr>
        <w:rPr>
          <w:rFonts w:cstheme="minorHAnsi"/>
        </w:rPr>
      </w:pPr>
      <w:r w:rsidRPr="004737C5">
        <w:rPr>
          <w:rFonts w:cstheme="minorHAnsi"/>
        </w:rPr>
        <w:t xml:space="preserve">Depending on their origin and the environment in which they operate, as discussed above, consumer associations have played a variety of roles in serving the consumer interest.  These could be summed up as: </w:t>
      </w:r>
    </w:p>
    <w:p w14:paraId="5E9B8A47" w14:textId="77777777" w:rsidR="00843222" w:rsidRPr="004737C5" w:rsidRDefault="00843222" w:rsidP="00E75DCC">
      <w:pPr>
        <w:pStyle w:val="ListParagraph"/>
        <w:numPr>
          <w:ilvl w:val="0"/>
          <w:numId w:val="53"/>
        </w:numPr>
        <w:ind w:left="709" w:hanging="425"/>
        <w:rPr>
          <w:rFonts w:cstheme="minorHAnsi"/>
        </w:rPr>
      </w:pPr>
      <w:r w:rsidRPr="004737C5">
        <w:rPr>
          <w:rFonts w:cstheme="minorHAnsi"/>
        </w:rPr>
        <w:t>Providing independent information (including test or survey results) on products and services as well as educational activities, to enable consumers to make informed cho</w:t>
      </w:r>
      <w:r w:rsidR="00A86BBE" w:rsidRPr="004737C5">
        <w:rPr>
          <w:rFonts w:cstheme="minorHAnsi"/>
        </w:rPr>
        <w:t>ices and to consume responsibly.</w:t>
      </w:r>
    </w:p>
    <w:p w14:paraId="1014A734" w14:textId="77777777" w:rsidR="00843222" w:rsidRPr="004737C5" w:rsidRDefault="00843222" w:rsidP="00E75DCC">
      <w:pPr>
        <w:pStyle w:val="ListParagraph"/>
        <w:numPr>
          <w:ilvl w:val="0"/>
          <w:numId w:val="53"/>
        </w:numPr>
        <w:ind w:left="709" w:hanging="425"/>
        <w:rPr>
          <w:rFonts w:cstheme="minorHAnsi"/>
        </w:rPr>
      </w:pPr>
      <w:r w:rsidRPr="004737C5">
        <w:rPr>
          <w:rFonts w:cstheme="minorHAnsi"/>
        </w:rPr>
        <w:t>Organizing campaigns on specific issues to enable consumers collectively to voice their views and demonstrate their strength. This varies from organizing lobbies of parliament and coordinated press campaigns, to signature/letter-w</w:t>
      </w:r>
      <w:r w:rsidR="00A86BBE" w:rsidRPr="004737C5">
        <w:rPr>
          <w:rFonts w:cstheme="minorHAnsi"/>
        </w:rPr>
        <w:t>riting campaigns, even boycotts and</w:t>
      </w:r>
      <w:r w:rsidRPr="004737C5">
        <w:rPr>
          <w:rFonts w:cstheme="minorHAnsi"/>
        </w:rPr>
        <w:t xml:space="preserve"> rallies</w:t>
      </w:r>
      <w:r w:rsidR="00A86BBE" w:rsidRPr="004737C5">
        <w:rPr>
          <w:rFonts w:cstheme="minorHAnsi"/>
        </w:rPr>
        <w:t>.</w:t>
      </w:r>
      <w:r w:rsidRPr="004737C5">
        <w:rPr>
          <w:rStyle w:val="FootnoteAnchor"/>
          <w:rFonts w:cstheme="minorHAnsi"/>
        </w:rPr>
        <w:footnoteReference w:id="69"/>
      </w:r>
    </w:p>
    <w:p w14:paraId="035F2E77" w14:textId="77777777" w:rsidR="00843222" w:rsidRPr="004737C5" w:rsidRDefault="00843222" w:rsidP="00E75DCC">
      <w:pPr>
        <w:pStyle w:val="ListParagraph"/>
        <w:numPr>
          <w:ilvl w:val="0"/>
          <w:numId w:val="53"/>
        </w:numPr>
        <w:ind w:left="709" w:hanging="425"/>
        <w:rPr>
          <w:rFonts w:cstheme="minorHAnsi"/>
        </w:rPr>
      </w:pPr>
      <w:r w:rsidRPr="004737C5">
        <w:rPr>
          <w:rFonts w:cstheme="minorHAnsi"/>
        </w:rPr>
        <w:t>Ad</w:t>
      </w:r>
      <w:r w:rsidR="00A86BBE" w:rsidRPr="004737C5">
        <w:rPr>
          <w:rFonts w:cstheme="minorHAnsi"/>
        </w:rPr>
        <w:t>vising and acting on individual</w:t>
      </w:r>
      <w:r w:rsidRPr="004737C5">
        <w:rPr>
          <w:rFonts w:cstheme="minorHAnsi"/>
        </w:rPr>
        <w:t xml:space="preserve"> consum</w:t>
      </w:r>
      <w:r w:rsidR="00A86BBE" w:rsidRPr="004737C5">
        <w:rPr>
          <w:rFonts w:cstheme="minorHAnsi"/>
        </w:rPr>
        <w:t>er complaints, providing advice</w:t>
      </w:r>
      <w:r w:rsidRPr="004737C5">
        <w:rPr>
          <w:rFonts w:cstheme="minorHAnsi"/>
        </w:rPr>
        <w:t xml:space="preserve"> and obtaining redress; this may extend from participation in dispute resolution bodies to engaging in public interest li</w:t>
      </w:r>
      <w:r w:rsidR="00A86BBE" w:rsidRPr="004737C5">
        <w:rPr>
          <w:rFonts w:cstheme="minorHAnsi"/>
        </w:rPr>
        <w:t>tigation on behalf of consumers.</w:t>
      </w:r>
    </w:p>
    <w:p w14:paraId="75864406" w14:textId="77777777" w:rsidR="00843222" w:rsidRPr="004737C5" w:rsidRDefault="005A2086" w:rsidP="00E75DCC">
      <w:pPr>
        <w:pStyle w:val="ListParagraph"/>
        <w:numPr>
          <w:ilvl w:val="0"/>
          <w:numId w:val="53"/>
        </w:numPr>
        <w:ind w:left="709" w:hanging="425"/>
        <w:rPr>
          <w:rFonts w:cstheme="minorHAnsi"/>
        </w:rPr>
      </w:pPr>
      <w:r w:rsidRPr="004737C5">
        <w:rPr>
          <w:rFonts w:cstheme="minorHAnsi"/>
        </w:rPr>
        <w:t>Engaging in dialo</w:t>
      </w:r>
      <w:r w:rsidR="00A86BBE" w:rsidRPr="004737C5">
        <w:rPr>
          <w:rFonts w:cstheme="minorHAnsi"/>
        </w:rPr>
        <w:t>gue with g</w:t>
      </w:r>
      <w:r w:rsidR="00843222" w:rsidRPr="004737C5">
        <w:rPr>
          <w:rFonts w:cstheme="minorHAnsi"/>
        </w:rPr>
        <w:t xml:space="preserve">overnment and business to inform, persuade or negotiate on behalf of consumers. This may include, for example, organizing workshops and seminars on particular issues to highlight alternative </w:t>
      </w:r>
      <w:r w:rsidR="00A86BBE" w:rsidRPr="004737C5">
        <w:rPr>
          <w:rFonts w:cstheme="minorHAnsi"/>
        </w:rPr>
        <w:t>views on these issues to policy</w:t>
      </w:r>
      <w:r w:rsidR="00843222" w:rsidRPr="004737C5">
        <w:rPr>
          <w:rFonts w:cstheme="minorHAnsi"/>
        </w:rPr>
        <w:t>makers, business and th</w:t>
      </w:r>
      <w:r w:rsidR="00A86BBE" w:rsidRPr="004737C5">
        <w:rPr>
          <w:rFonts w:cstheme="minorHAnsi"/>
        </w:rPr>
        <w:t>e media.</w:t>
      </w:r>
    </w:p>
    <w:p w14:paraId="3AEC8E3F" w14:textId="77777777" w:rsidR="00843222" w:rsidRPr="004737C5" w:rsidRDefault="00843222" w:rsidP="00E75DCC">
      <w:pPr>
        <w:pStyle w:val="ListParagraph"/>
        <w:numPr>
          <w:ilvl w:val="0"/>
          <w:numId w:val="53"/>
        </w:numPr>
        <w:ind w:left="709" w:hanging="425"/>
        <w:rPr>
          <w:rFonts w:cstheme="minorHAnsi"/>
        </w:rPr>
      </w:pPr>
      <w:r w:rsidRPr="004737C5">
        <w:rPr>
          <w:rFonts w:cstheme="minorHAnsi"/>
        </w:rPr>
        <w:t>Representing consumer views to official committees such as those o</w:t>
      </w:r>
      <w:r w:rsidR="00A86BBE" w:rsidRPr="004737C5">
        <w:rPr>
          <w:rFonts w:cstheme="minorHAnsi"/>
        </w:rPr>
        <w:t xml:space="preserve">rganized by utility regulators </w:t>
      </w:r>
      <w:r w:rsidRPr="004737C5">
        <w:rPr>
          <w:rFonts w:cstheme="minorHAnsi"/>
        </w:rPr>
        <w:t>and enquiries around t</w:t>
      </w:r>
      <w:r w:rsidR="00A86BBE" w:rsidRPr="004737C5">
        <w:rPr>
          <w:rFonts w:cstheme="minorHAnsi"/>
        </w:rPr>
        <w:t>he crisis in financial services.</w:t>
      </w:r>
    </w:p>
    <w:p w14:paraId="2019C84D" w14:textId="2C9E7A62" w:rsidR="00843222" w:rsidRPr="004737C5" w:rsidRDefault="00843222" w:rsidP="00E75DCC">
      <w:pPr>
        <w:pStyle w:val="ListParagraph"/>
        <w:numPr>
          <w:ilvl w:val="0"/>
          <w:numId w:val="53"/>
        </w:numPr>
        <w:ind w:left="709" w:hanging="425"/>
        <w:rPr>
          <w:rFonts w:cstheme="minorHAnsi"/>
        </w:rPr>
      </w:pPr>
      <w:r w:rsidRPr="004737C5">
        <w:rPr>
          <w:rFonts w:cstheme="minorHAnsi"/>
        </w:rPr>
        <w:t xml:space="preserve">Conducting surveys and research to study problems faced by consumers </w:t>
      </w:r>
      <w:r w:rsidR="005A2086" w:rsidRPr="004737C5">
        <w:rPr>
          <w:rFonts w:cstheme="minorHAnsi"/>
        </w:rPr>
        <w:t xml:space="preserve">including the impact </w:t>
      </w:r>
      <w:r w:rsidR="00A86BBE" w:rsidRPr="004737C5">
        <w:rPr>
          <w:rFonts w:cstheme="minorHAnsi"/>
        </w:rPr>
        <w:t>of g</w:t>
      </w:r>
      <w:r w:rsidRPr="004737C5">
        <w:rPr>
          <w:rFonts w:cstheme="minorHAnsi"/>
        </w:rPr>
        <w:t>overnment policies on consumers and highlighting th</w:t>
      </w:r>
      <w:r w:rsidR="00E75DCC" w:rsidRPr="004737C5">
        <w:rPr>
          <w:rFonts w:cstheme="minorHAnsi"/>
        </w:rPr>
        <w:t>e findings to consumers, policy</w:t>
      </w:r>
      <w:r w:rsidRPr="004737C5">
        <w:rPr>
          <w:rFonts w:cstheme="minorHAnsi"/>
        </w:rPr>
        <w:t>makers and the media.</w:t>
      </w:r>
    </w:p>
    <w:p w14:paraId="1825FB68" w14:textId="7CF7EABF" w:rsidR="00843222" w:rsidRPr="004737C5" w:rsidRDefault="00843222" w:rsidP="00E75DCC">
      <w:pPr>
        <w:rPr>
          <w:rFonts w:cstheme="minorHAnsi"/>
        </w:rPr>
      </w:pPr>
      <w:r w:rsidRPr="004737C5">
        <w:rPr>
          <w:rFonts w:cstheme="minorHAnsi"/>
        </w:rPr>
        <w:t xml:space="preserve">There are vast differences </w:t>
      </w:r>
      <w:r w:rsidR="00A86BBE" w:rsidRPr="004737C5">
        <w:rPr>
          <w:rFonts w:cstheme="minorHAnsi"/>
        </w:rPr>
        <w:t xml:space="preserve">in </w:t>
      </w:r>
      <w:r w:rsidRPr="004737C5">
        <w:rPr>
          <w:rFonts w:cstheme="minorHAnsi"/>
        </w:rPr>
        <w:t>the ways consumer associations operate, often depending on the economic status of the country. In economies where the consuming public is relatively well-educated and well-resourced, comparative testing and providing sound information to consumers has been the</w:t>
      </w:r>
      <w:r w:rsidR="003D036B" w:rsidRPr="004737C5">
        <w:rPr>
          <w:rFonts w:cstheme="minorHAnsi"/>
        </w:rPr>
        <w:t>ir</w:t>
      </w:r>
      <w:r w:rsidRPr="004737C5">
        <w:rPr>
          <w:rFonts w:cstheme="minorHAnsi"/>
        </w:rPr>
        <w:t xml:space="preserve"> main role. Millions of consumers</w:t>
      </w:r>
      <w:r w:rsidR="00A86BBE" w:rsidRPr="004737C5">
        <w:rPr>
          <w:rFonts w:cstheme="minorHAnsi"/>
        </w:rPr>
        <w:t xml:space="preserve"> subscribe to their magazines </w:t>
      </w:r>
      <w:r w:rsidRPr="004737C5">
        <w:rPr>
          <w:rFonts w:cstheme="minorHAnsi"/>
        </w:rPr>
        <w:t>and to the online services that are now o</w:t>
      </w:r>
      <w:r w:rsidR="00A86BBE" w:rsidRPr="004737C5">
        <w:rPr>
          <w:rFonts w:cstheme="minorHAnsi"/>
        </w:rPr>
        <w:t>vertaking them</w:t>
      </w:r>
      <w:r w:rsidRPr="004737C5">
        <w:rPr>
          <w:rFonts w:cstheme="minorHAnsi"/>
        </w:rPr>
        <w:t xml:space="preserve">. In developing countries, consumer </w:t>
      </w:r>
      <w:r w:rsidR="00A86BBE" w:rsidRPr="004737C5">
        <w:rPr>
          <w:rFonts w:cstheme="minorHAnsi"/>
        </w:rPr>
        <w:t>associations have taken a more “basic needs approach”</w:t>
      </w:r>
      <w:r w:rsidRPr="004737C5">
        <w:rPr>
          <w:rFonts w:cstheme="minorHAnsi"/>
        </w:rPr>
        <w:t xml:space="preserve"> and may be involved at the local level in educating and empowering consumers regarding their rights while advocating and representing consumer issues at the national level. Interestingly, there is a convergence of basic needs and</w:t>
      </w:r>
      <w:r w:rsidR="00E75DCC" w:rsidRPr="004737C5">
        <w:rPr>
          <w:rFonts w:cstheme="minorHAnsi"/>
        </w:rPr>
        <w:t xml:space="preserve"> richer consumers as choice web</w:t>
      </w:r>
      <w:r w:rsidRPr="004737C5">
        <w:rPr>
          <w:rFonts w:cstheme="minorHAnsi"/>
        </w:rPr>
        <w:t>sites proliferate for energy services</w:t>
      </w:r>
      <w:r w:rsidR="00E75DCC" w:rsidRPr="004737C5">
        <w:rPr>
          <w:rFonts w:cstheme="minorHAnsi"/>
        </w:rPr>
        <w:t>,</w:t>
      </w:r>
      <w:r w:rsidRPr="004737C5">
        <w:rPr>
          <w:rFonts w:cstheme="minorHAnsi"/>
        </w:rPr>
        <w:t xml:space="preserve"> which are becoming a major service provided by associations in Europe to their members. There are echoes of past consumer cooperatives in this concept of pooling resources to provide a service, although one of the historic problems of cooperatives for public policy is how to help non-members who often include the poorest. </w:t>
      </w:r>
    </w:p>
    <w:p w14:paraId="042A7890" w14:textId="77777777" w:rsidR="00843222" w:rsidRPr="004737C5" w:rsidRDefault="00A86BBE" w:rsidP="00E75DCC">
      <w:pPr>
        <w:pStyle w:val="Heading2"/>
        <w:spacing w:after="160"/>
        <w:rPr>
          <w:rFonts w:cstheme="minorHAnsi"/>
          <w:color w:val="auto"/>
          <w:sz w:val="24"/>
          <w:szCs w:val="24"/>
        </w:rPr>
      </w:pPr>
      <w:bookmarkStart w:id="49" w:name="_Toc492650002"/>
      <w:r w:rsidRPr="004737C5">
        <w:rPr>
          <w:rFonts w:cstheme="minorHAnsi"/>
          <w:color w:val="auto"/>
          <w:sz w:val="24"/>
          <w:szCs w:val="24"/>
        </w:rPr>
        <w:t>D.</w:t>
      </w:r>
      <w:r w:rsidR="00843222" w:rsidRPr="004737C5">
        <w:rPr>
          <w:rFonts w:cstheme="minorHAnsi"/>
          <w:color w:val="auto"/>
          <w:sz w:val="24"/>
          <w:szCs w:val="24"/>
        </w:rPr>
        <w:t xml:space="preserve"> </w:t>
      </w:r>
      <w:r w:rsidRPr="004737C5">
        <w:rPr>
          <w:rFonts w:cstheme="minorHAnsi"/>
          <w:color w:val="auto"/>
          <w:sz w:val="24"/>
          <w:szCs w:val="24"/>
        </w:rPr>
        <w:t>The independence of c</w:t>
      </w:r>
      <w:r w:rsidR="00843222" w:rsidRPr="004737C5">
        <w:rPr>
          <w:rFonts w:cstheme="minorHAnsi"/>
          <w:color w:val="auto"/>
          <w:sz w:val="24"/>
          <w:szCs w:val="24"/>
        </w:rPr>
        <w:t>onsumer associations</w:t>
      </w:r>
      <w:bookmarkEnd w:id="49"/>
    </w:p>
    <w:p w14:paraId="6C5FCD21" w14:textId="0F9DC092" w:rsidR="00843222" w:rsidRPr="004737C5" w:rsidRDefault="00A86BBE" w:rsidP="006D3BE8">
      <w:pPr>
        <w:rPr>
          <w:rFonts w:cstheme="minorHAnsi"/>
        </w:rPr>
      </w:pPr>
      <w:r w:rsidRPr="004737C5">
        <w:rPr>
          <w:rFonts w:cstheme="minorHAnsi"/>
        </w:rPr>
        <w:t>A key factor to ensuring</w:t>
      </w:r>
      <w:r w:rsidR="00843222" w:rsidRPr="004737C5">
        <w:rPr>
          <w:rFonts w:cstheme="minorHAnsi"/>
        </w:rPr>
        <w:t xml:space="preserve"> the credibility of consumer associations is independence,</w:t>
      </w:r>
      <w:r w:rsidR="00E75DCC" w:rsidRPr="004737C5">
        <w:rPr>
          <w:rFonts w:cstheme="minorHAnsi"/>
        </w:rPr>
        <w:t xml:space="preserve"> both from businesses and party-</w:t>
      </w:r>
      <w:r w:rsidR="00843222" w:rsidRPr="004737C5">
        <w:rPr>
          <w:rFonts w:cstheme="minorHAnsi"/>
        </w:rPr>
        <w:t>political causes.</w:t>
      </w:r>
      <w:r w:rsidR="00843222" w:rsidRPr="004737C5">
        <w:rPr>
          <w:rStyle w:val="FootnoteReference"/>
          <w:rFonts w:cstheme="minorHAnsi"/>
        </w:rPr>
        <w:footnoteReference w:id="70"/>
      </w:r>
      <w:r w:rsidR="00843222" w:rsidRPr="004737C5">
        <w:rPr>
          <w:rFonts w:cstheme="minorHAnsi"/>
        </w:rPr>
        <w:t xml:space="preserve"> </w:t>
      </w:r>
    </w:p>
    <w:p w14:paraId="324D5A42" w14:textId="77777777" w:rsidR="00843222" w:rsidRPr="004737C5" w:rsidRDefault="00843222" w:rsidP="00E75DCC">
      <w:pPr>
        <w:rPr>
          <w:rFonts w:cstheme="minorHAnsi"/>
        </w:rPr>
      </w:pPr>
      <w:r w:rsidRPr="004737C5">
        <w:rPr>
          <w:rFonts w:cstheme="minorHAnsi"/>
        </w:rPr>
        <w:t xml:space="preserve">The financial viability of consumer organizations may pose difficulties when it comes to </w:t>
      </w:r>
      <w:r w:rsidR="00A86BBE" w:rsidRPr="004737C5">
        <w:rPr>
          <w:rFonts w:cstheme="minorHAnsi"/>
        </w:rPr>
        <w:t>retaining</w:t>
      </w:r>
      <w:r w:rsidRPr="004737C5">
        <w:rPr>
          <w:rFonts w:cstheme="minorHAnsi"/>
        </w:rPr>
        <w:t xml:space="preserve"> their independent stance. While many consumer associations in developed countries have a reasonably strong financial footing </w:t>
      </w:r>
      <w:r w:rsidR="00A86BBE" w:rsidRPr="004737C5">
        <w:rPr>
          <w:rFonts w:cstheme="minorHAnsi"/>
        </w:rPr>
        <w:t>through</w:t>
      </w:r>
      <w:r w:rsidRPr="004737C5">
        <w:rPr>
          <w:rFonts w:cstheme="minorHAnsi"/>
        </w:rPr>
        <w:t xml:space="preserve"> sales of their magazines, which proved to be remarkably </w:t>
      </w:r>
      <w:r w:rsidRPr="004737C5">
        <w:rPr>
          <w:rFonts w:cstheme="minorHAnsi"/>
        </w:rPr>
        <w:lastRenderedPageBreak/>
        <w:t>resilient during the financial crisis,</w:t>
      </w:r>
      <w:r w:rsidRPr="004737C5">
        <w:rPr>
          <w:rStyle w:val="FootnoteAnchor"/>
          <w:rFonts w:cstheme="minorHAnsi"/>
        </w:rPr>
        <w:footnoteReference w:id="71"/>
      </w:r>
      <w:r w:rsidRPr="004737C5">
        <w:rPr>
          <w:rFonts w:cstheme="minorHAnsi"/>
        </w:rPr>
        <w:t xml:space="preserve"> </w:t>
      </w:r>
      <w:r w:rsidR="00A86BBE" w:rsidRPr="004737C5">
        <w:rPr>
          <w:rFonts w:cstheme="minorHAnsi"/>
        </w:rPr>
        <w:t>that</w:t>
      </w:r>
      <w:r w:rsidRPr="004737C5">
        <w:rPr>
          <w:rFonts w:cstheme="minorHAnsi"/>
        </w:rPr>
        <w:t xml:space="preserve"> is not the case in developing countries where consumer associations do not have as large a subscription base to depend on. The bulk of their funding is frequently from external sources and they are therefore vulnerable to restrictions applied by donor agencie</w:t>
      </w:r>
      <w:r w:rsidR="00A86BBE" w:rsidRPr="004737C5">
        <w:rPr>
          <w:rFonts w:cstheme="minorHAnsi"/>
        </w:rPr>
        <w:t>s (which may include their own g</w:t>
      </w:r>
      <w:r w:rsidRPr="004737C5">
        <w:rPr>
          <w:rFonts w:cstheme="minorHAnsi"/>
        </w:rPr>
        <w:t xml:space="preserve">overnments). This is a balancing exercise that consumer associations constantly have to face. </w:t>
      </w:r>
    </w:p>
    <w:p w14:paraId="5C8C65C6" w14:textId="77777777" w:rsidR="00A86BBE" w:rsidRPr="004737C5" w:rsidRDefault="00A86BBE" w:rsidP="00FC2F14">
      <w:pPr>
        <w:spacing w:before="200"/>
        <w:jc w:val="left"/>
        <w:rPr>
          <w:rStyle w:val="Heading2Char"/>
          <w:rFonts w:cstheme="minorHAnsi"/>
        </w:rPr>
      </w:pPr>
      <w:bookmarkStart w:id="50" w:name="_Toc492650003"/>
      <w:r w:rsidRPr="004737C5">
        <w:rPr>
          <w:rStyle w:val="Heading2Char"/>
          <w:rFonts w:cstheme="minorHAnsi"/>
          <w:color w:val="auto"/>
          <w:sz w:val="24"/>
          <w:szCs w:val="24"/>
        </w:rPr>
        <w:t>E.</w:t>
      </w:r>
      <w:r w:rsidR="00843222" w:rsidRPr="004737C5">
        <w:rPr>
          <w:rStyle w:val="Heading2Char"/>
          <w:rFonts w:cstheme="minorHAnsi"/>
          <w:color w:val="auto"/>
          <w:sz w:val="24"/>
          <w:szCs w:val="24"/>
        </w:rPr>
        <w:t xml:space="preserve"> </w:t>
      </w:r>
      <w:r w:rsidRPr="004737C5">
        <w:rPr>
          <w:rStyle w:val="Heading2Char"/>
          <w:rFonts w:cstheme="minorHAnsi"/>
          <w:color w:val="auto"/>
          <w:sz w:val="24"/>
          <w:szCs w:val="24"/>
        </w:rPr>
        <w:t>The representativeness of c</w:t>
      </w:r>
      <w:r w:rsidR="00843222" w:rsidRPr="004737C5">
        <w:rPr>
          <w:rStyle w:val="Heading2Char"/>
          <w:rFonts w:cstheme="minorHAnsi"/>
          <w:color w:val="auto"/>
          <w:sz w:val="24"/>
          <w:szCs w:val="24"/>
        </w:rPr>
        <w:t>onsumer associations</w:t>
      </w:r>
      <w:r w:rsidR="00843222" w:rsidRPr="004737C5">
        <w:rPr>
          <w:rStyle w:val="Heading2Char"/>
          <w:rFonts w:cstheme="minorHAnsi"/>
        </w:rPr>
        <w:t xml:space="preserve"> </w:t>
      </w:r>
      <w:bookmarkEnd w:id="50"/>
    </w:p>
    <w:p w14:paraId="112947EE" w14:textId="41843CA1" w:rsidR="00843222" w:rsidRPr="004737C5" w:rsidRDefault="00843222" w:rsidP="00E75DCC">
      <w:pPr>
        <w:spacing w:before="160"/>
      </w:pPr>
      <w:r w:rsidRPr="004737C5">
        <w:t>Across most of the world, consumer associations no longer have to fight for recognition to represent consumers. It is now a right that is legally recognized and protected in many countries, t</w:t>
      </w:r>
      <w:r w:rsidR="00A86BBE" w:rsidRPr="004737C5">
        <w:t>hough not all, as well as by</w:t>
      </w:r>
      <w:r w:rsidR="00924883" w:rsidRPr="004737C5">
        <w:t xml:space="preserve"> UNGCP guidelines 1e and 5h</w:t>
      </w:r>
      <w:r w:rsidR="00CC4D52" w:rsidRPr="004737C5">
        <w:t>. This mandate</w:t>
      </w:r>
      <w:r w:rsidRPr="004737C5">
        <w:t xml:space="preserve"> must</w:t>
      </w:r>
      <w:r w:rsidR="00CC4D52" w:rsidRPr="004737C5">
        <w:t>, however,</w:t>
      </w:r>
      <w:r w:rsidR="003B0370" w:rsidRPr="004737C5">
        <w:t xml:space="preserve"> be exercis</w:t>
      </w:r>
      <w:r w:rsidRPr="004737C5">
        <w:t>ed with responsibility. The credibility of the whole organization is at stake when a consumer association is called upon to represent the consumer interest. A number of points need to be taken into account when acti</w:t>
      </w:r>
      <w:r w:rsidR="00CC4D52" w:rsidRPr="004737C5">
        <w:t>ng in a representative capacity.</w:t>
      </w:r>
    </w:p>
    <w:p w14:paraId="77B9379F" w14:textId="77777777" w:rsidR="00843222" w:rsidRPr="004737C5" w:rsidRDefault="00A86BBE" w:rsidP="00FC2F14">
      <w:pPr>
        <w:suppressAutoHyphens/>
        <w:spacing w:before="200"/>
        <w:rPr>
          <w:rFonts w:cstheme="minorHAnsi"/>
          <w:b/>
        </w:rPr>
      </w:pPr>
      <w:r w:rsidRPr="004737C5">
        <w:rPr>
          <w:rFonts w:cstheme="minorHAnsi"/>
          <w:b/>
        </w:rPr>
        <w:t xml:space="preserve">1. </w:t>
      </w:r>
      <w:r w:rsidR="00843222" w:rsidRPr="004737C5">
        <w:rPr>
          <w:rFonts w:cstheme="minorHAnsi"/>
          <w:b/>
        </w:rPr>
        <w:t>Representative base</w:t>
      </w:r>
    </w:p>
    <w:p w14:paraId="3267F408" w14:textId="765DC116" w:rsidR="00843222" w:rsidRPr="004737C5" w:rsidRDefault="00843222" w:rsidP="00CB23BB">
      <w:pPr>
        <w:rPr>
          <w:rFonts w:cstheme="minorHAnsi"/>
        </w:rPr>
      </w:pPr>
      <w:r w:rsidRPr="004737C5">
        <w:rPr>
          <w:rFonts w:cstheme="minorHAnsi"/>
        </w:rPr>
        <w:t xml:space="preserve">Consultation is an essential feature of true and effective representation. The absence of a significant membership and </w:t>
      </w:r>
      <w:r w:rsidR="003D036B" w:rsidRPr="004737C5">
        <w:rPr>
          <w:rFonts w:cstheme="minorHAnsi"/>
        </w:rPr>
        <w:t xml:space="preserve">of </w:t>
      </w:r>
      <w:r w:rsidRPr="004737C5">
        <w:rPr>
          <w:rFonts w:cstheme="minorHAnsi"/>
        </w:rPr>
        <w:t>established consultation</w:t>
      </w:r>
      <w:r w:rsidR="00A86BBE" w:rsidRPr="004737C5">
        <w:rPr>
          <w:rFonts w:cstheme="minorHAnsi"/>
        </w:rPr>
        <w:t xml:space="preserve"> mechanisms can compromise the</w:t>
      </w:r>
      <w:r w:rsidRPr="004737C5">
        <w:rPr>
          <w:rFonts w:cstheme="minorHAnsi"/>
        </w:rPr>
        <w:t xml:space="preserve"> representative role</w:t>
      </w:r>
      <w:r w:rsidR="00A86BBE" w:rsidRPr="004737C5">
        <w:rPr>
          <w:rFonts w:cstheme="minorHAnsi"/>
        </w:rPr>
        <w:t xml:space="preserve"> of consumer associations</w:t>
      </w:r>
      <w:r w:rsidRPr="004737C5">
        <w:rPr>
          <w:rFonts w:cstheme="minorHAnsi"/>
        </w:rPr>
        <w:t>. Can consumer organizations with limited membership truly claim to represent the consumer inte</w:t>
      </w:r>
      <w:r w:rsidR="00A86BBE" w:rsidRPr="004737C5">
        <w:rPr>
          <w:rFonts w:cstheme="minorHAnsi"/>
        </w:rPr>
        <w:t>rest? Can consumer associations</w:t>
      </w:r>
      <w:r w:rsidRPr="004737C5">
        <w:rPr>
          <w:rFonts w:cstheme="minorHAnsi"/>
        </w:rPr>
        <w:t xml:space="preserve"> be more successful in setting priorities, identifying regulatory targets and implementing s</w:t>
      </w:r>
      <w:r w:rsidR="00A86BBE" w:rsidRPr="004737C5">
        <w:rPr>
          <w:rFonts w:cstheme="minorHAnsi"/>
        </w:rPr>
        <w:t>trategies than public agencies?</w:t>
      </w:r>
      <w:r w:rsidRPr="004737C5">
        <w:rPr>
          <w:rFonts w:cstheme="minorHAnsi"/>
        </w:rPr>
        <w:t xml:space="preserve"> Many strive to be representative. To be so, it helps to have a broad membership base and consultation mechanisms with the membership, but some caution is needed when it comes to recognition. Small organizations will have difficulty in securing a representative role when starting out, especially whe</w:t>
      </w:r>
      <w:r w:rsidR="00A86BBE" w:rsidRPr="004737C5">
        <w:rPr>
          <w:rFonts w:cstheme="minorHAnsi"/>
        </w:rPr>
        <w:t>n articulating a response to an issue</w:t>
      </w:r>
      <w:r w:rsidRPr="004737C5">
        <w:rPr>
          <w:rFonts w:cstheme="minorHAnsi"/>
        </w:rPr>
        <w:t xml:space="preserve"> which may have developed rapidly, for example in respons</w:t>
      </w:r>
      <w:r w:rsidR="00CB23BB" w:rsidRPr="004737C5">
        <w:rPr>
          <w:rFonts w:cstheme="minorHAnsi"/>
        </w:rPr>
        <w:t>e to a public health emergency.</w:t>
      </w:r>
    </w:p>
    <w:p w14:paraId="5909AFC5" w14:textId="77777777" w:rsidR="00843222" w:rsidRPr="004737C5" w:rsidRDefault="00A86BBE" w:rsidP="00FC2F14">
      <w:pPr>
        <w:suppressAutoHyphens/>
        <w:spacing w:before="200"/>
        <w:rPr>
          <w:rFonts w:cstheme="minorHAnsi"/>
          <w:b/>
        </w:rPr>
      </w:pPr>
      <w:r w:rsidRPr="004737C5">
        <w:rPr>
          <w:rFonts w:cstheme="minorHAnsi"/>
          <w:b/>
        </w:rPr>
        <w:t xml:space="preserve">2. </w:t>
      </w:r>
      <w:r w:rsidR="00843222" w:rsidRPr="004737C5">
        <w:rPr>
          <w:rFonts w:cstheme="minorHAnsi"/>
          <w:b/>
        </w:rPr>
        <w:t>Competing organizations</w:t>
      </w:r>
    </w:p>
    <w:p w14:paraId="65DAF542" w14:textId="63C6029B" w:rsidR="00843222" w:rsidRPr="004737C5" w:rsidRDefault="00843222" w:rsidP="00CB23BB">
      <w:pPr>
        <w:rPr>
          <w:rFonts w:cstheme="minorHAnsi"/>
        </w:rPr>
      </w:pPr>
      <w:r w:rsidRPr="004737C5">
        <w:rPr>
          <w:rFonts w:cstheme="minorHAnsi"/>
        </w:rPr>
        <w:t xml:space="preserve">In some countries, there are many consumer associations competing and claiming to be the legitimate representatives of the consumer movement. Who decides who will represent the consumer interest? In some countries, regulators decide which one they will recognize and fund, thereby conferring legitimacy. Consequently, there is the risk of “capture” of the association, which </w:t>
      </w:r>
      <w:r w:rsidR="003D036B" w:rsidRPr="004737C5">
        <w:rPr>
          <w:rFonts w:cstheme="minorHAnsi"/>
        </w:rPr>
        <w:t xml:space="preserve">then feels </w:t>
      </w:r>
      <w:r w:rsidRPr="004737C5">
        <w:rPr>
          <w:rFonts w:cstheme="minorHAnsi"/>
        </w:rPr>
        <w:t xml:space="preserve">bound to ensure that the consumer view is “acceptable” to the regulatory authorities that have selected them. The fear is that these groups </w:t>
      </w:r>
      <w:r w:rsidR="00A86BBE" w:rsidRPr="004737C5">
        <w:rPr>
          <w:rFonts w:cstheme="minorHAnsi"/>
        </w:rPr>
        <w:t>alter their</w:t>
      </w:r>
      <w:r w:rsidRPr="004737C5">
        <w:rPr>
          <w:rFonts w:cstheme="minorHAnsi"/>
        </w:rPr>
        <w:t xml:space="preserve"> </w:t>
      </w:r>
      <w:r w:rsidR="00A86BBE" w:rsidRPr="004737C5">
        <w:rPr>
          <w:rFonts w:cstheme="minorHAnsi"/>
        </w:rPr>
        <w:t>operational mode to remain “legitimate”</w:t>
      </w:r>
      <w:r w:rsidRPr="004737C5">
        <w:rPr>
          <w:rFonts w:cstheme="minorHAnsi"/>
        </w:rPr>
        <w:t xml:space="preserve"> in the eyes of their </w:t>
      </w:r>
      <w:r w:rsidR="00A86BBE" w:rsidRPr="004737C5">
        <w:rPr>
          <w:rFonts w:cstheme="minorHAnsi"/>
        </w:rPr>
        <w:t>g</w:t>
      </w:r>
      <w:r w:rsidRPr="004737C5">
        <w:rPr>
          <w:rFonts w:cstheme="minorHAnsi"/>
        </w:rPr>
        <w:t xml:space="preserve">overnments. Conversely, groups that are </w:t>
      </w:r>
      <w:r w:rsidR="00A86BBE" w:rsidRPr="004737C5">
        <w:rPr>
          <w:rFonts w:cstheme="minorHAnsi"/>
        </w:rPr>
        <w:t>critical of, or distrusted by, g</w:t>
      </w:r>
      <w:r w:rsidRPr="004737C5">
        <w:rPr>
          <w:rFonts w:cstheme="minorHAnsi"/>
        </w:rPr>
        <w:t>overnment agencies often have difficulty in gaining access to information and in being included in the consultation process. Su</w:t>
      </w:r>
      <w:r w:rsidR="00A86BBE" w:rsidRPr="004737C5">
        <w:rPr>
          <w:rFonts w:cstheme="minorHAnsi"/>
        </w:rPr>
        <w:t>ch exclusion narrows the policy</w:t>
      </w:r>
      <w:r w:rsidRPr="004737C5">
        <w:rPr>
          <w:rFonts w:cstheme="minorHAnsi"/>
        </w:rPr>
        <w:t>making process and denies the expression of a diversity of views.</w:t>
      </w:r>
    </w:p>
    <w:p w14:paraId="1BFFD4B2" w14:textId="77777777" w:rsidR="00843222" w:rsidRPr="004737C5" w:rsidRDefault="00A86BBE" w:rsidP="00FC2F14">
      <w:pPr>
        <w:suppressAutoHyphens/>
        <w:spacing w:before="200"/>
        <w:rPr>
          <w:rFonts w:cstheme="minorHAnsi"/>
          <w:b/>
        </w:rPr>
      </w:pPr>
      <w:r w:rsidRPr="004737C5">
        <w:rPr>
          <w:rFonts w:cstheme="minorHAnsi"/>
          <w:b/>
        </w:rPr>
        <w:t xml:space="preserve">3. </w:t>
      </w:r>
      <w:r w:rsidR="00843222" w:rsidRPr="004737C5">
        <w:rPr>
          <w:rFonts w:cstheme="minorHAnsi"/>
          <w:b/>
        </w:rPr>
        <w:t>Competing interests</w:t>
      </w:r>
    </w:p>
    <w:p w14:paraId="408F83D6" w14:textId="70010DF4" w:rsidR="00843222" w:rsidRPr="004737C5" w:rsidRDefault="00843222" w:rsidP="003C3DBA">
      <w:pPr>
        <w:rPr>
          <w:rFonts w:cstheme="minorHAnsi"/>
        </w:rPr>
      </w:pPr>
      <w:r w:rsidRPr="004737C5">
        <w:rPr>
          <w:rFonts w:cstheme="minorHAnsi"/>
        </w:rPr>
        <w:t>Consumer groups attempt to represent the interests of consumers, but any individual action rarely, if ever, represents the interest of all consumers. Indeed, the conflicting interests of various categories of consumers (be they distinguished by nationality, ethnicity, lo</w:t>
      </w:r>
      <w:r w:rsidR="00A86BBE" w:rsidRPr="004737C5">
        <w:rPr>
          <w:rFonts w:cstheme="minorHAnsi"/>
        </w:rPr>
        <w:t>cality, employment, gender, age or income)</w:t>
      </w:r>
      <w:r w:rsidRPr="004737C5">
        <w:rPr>
          <w:rFonts w:cstheme="minorHAnsi"/>
        </w:rPr>
        <w:t xml:space="preserve"> may mean choosing b</w:t>
      </w:r>
      <w:r w:rsidR="00CB23BB" w:rsidRPr="004737C5">
        <w:rPr>
          <w:rFonts w:cstheme="minorHAnsi"/>
        </w:rPr>
        <w:t>etween, or at least prioritiz</w:t>
      </w:r>
      <w:r w:rsidRPr="004737C5">
        <w:rPr>
          <w:rFonts w:cstheme="minorHAnsi"/>
        </w:rPr>
        <w:t>ing, t</w:t>
      </w:r>
      <w:r w:rsidR="00A86BBE" w:rsidRPr="004737C5">
        <w:rPr>
          <w:rFonts w:cstheme="minorHAnsi"/>
        </w:rPr>
        <w:t>he interests to be represented.</w:t>
      </w:r>
      <w:r w:rsidRPr="004737C5">
        <w:rPr>
          <w:rFonts w:cstheme="minorHAnsi"/>
        </w:rPr>
        <w:t xml:space="preserve"> A growing division relates to educational attainment. As ever more complex products, for example financial services, are sold online</w:t>
      </w:r>
      <w:r w:rsidR="003D036B" w:rsidRPr="004737C5">
        <w:rPr>
          <w:rFonts w:cstheme="minorHAnsi"/>
        </w:rPr>
        <w:t>,</w:t>
      </w:r>
      <w:r w:rsidRPr="004737C5">
        <w:rPr>
          <w:rFonts w:cstheme="minorHAnsi"/>
        </w:rPr>
        <w:t xml:space="preserve"> including by mobile phone, the risks to consumers wi</w:t>
      </w:r>
      <w:r w:rsidR="003C3DBA" w:rsidRPr="004737C5">
        <w:rPr>
          <w:rFonts w:cstheme="minorHAnsi"/>
        </w:rPr>
        <w:t>th limited literacy or numeracy increase accordingly.</w:t>
      </w:r>
      <w:r w:rsidR="003D036B" w:rsidRPr="004737C5">
        <w:rPr>
          <w:rFonts w:cstheme="minorHAnsi"/>
        </w:rPr>
        <w:t xml:space="preserve"> C</w:t>
      </w:r>
      <w:r w:rsidR="003C3DBA" w:rsidRPr="004737C5">
        <w:rPr>
          <w:rFonts w:cstheme="minorHAnsi"/>
        </w:rPr>
        <w:t>hoice-</w:t>
      </w:r>
      <w:r w:rsidRPr="004737C5">
        <w:rPr>
          <w:rFonts w:cstheme="minorHAnsi"/>
        </w:rPr>
        <w:t xml:space="preserve">enhancing remedies and actions that </w:t>
      </w:r>
      <w:r w:rsidRPr="004737C5">
        <w:rPr>
          <w:rFonts w:cstheme="minorHAnsi"/>
        </w:rPr>
        <w:lastRenderedPageBreak/>
        <w:t>make information more readily available to consumers are likely to benefit middle</w:t>
      </w:r>
      <w:r w:rsidR="003C3DBA" w:rsidRPr="004737C5">
        <w:rPr>
          <w:rFonts w:cstheme="minorHAnsi"/>
        </w:rPr>
        <w:t>-</w:t>
      </w:r>
      <w:r w:rsidRPr="004737C5">
        <w:rPr>
          <w:rFonts w:cstheme="minorHAnsi"/>
        </w:rPr>
        <w:t xml:space="preserve"> and upper-income consumers more than others. Indeed, the risk is that they may eve</w:t>
      </w:r>
      <w:r w:rsidR="003C3DBA" w:rsidRPr="004737C5">
        <w:rPr>
          <w:rFonts w:cstheme="minorHAnsi"/>
        </w:rPr>
        <w:t>n act to the detriment of lower-</w:t>
      </w:r>
      <w:r w:rsidRPr="004737C5">
        <w:rPr>
          <w:rFonts w:cstheme="minorHAnsi"/>
        </w:rPr>
        <w:t>income consumers. This issue i</w:t>
      </w:r>
      <w:r w:rsidR="004240DC" w:rsidRPr="004737C5">
        <w:rPr>
          <w:rFonts w:cstheme="minorHAnsi"/>
        </w:rPr>
        <w:t>s explored further in chapter XV</w:t>
      </w:r>
      <w:r w:rsidRPr="004737C5">
        <w:rPr>
          <w:rFonts w:cstheme="minorHAnsi"/>
        </w:rPr>
        <w:t xml:space="preserve"> on public utiliti</w:t>
      </w:r>
      <w:r w:rsidR="003C3DBA" w:rsidRPr="004737C5">
        <w:rPr>
          <w:rFonts w:cstheme="minorHAnsi"/>
        </w:rPr>
        <w:t>es.</w:t>
      </w:r>
    </w:p>
    <w:p w14:paraId="5CC1740B" w14:textId="77777777" w:rsidR="003C3DBA" w:rsidRPr="004737C5" w:rsidRDefault="00843222" w:rsidP="003C3DBA">
      <w:pPr>
        <w:rPr>
          <w:rFonts w:cstheme="minorHAnsi"/>
        </w:rPr>
      </w:pPr>
      <w:r w:rsidRPr="004737C5">
        <w:rPr>
          <w:rFonts w:cstheme="minorHAnsi"/>
        </w:rPr>
        <w:t>The key point to bear in mind is that the consumer interest is not monolithic. The conflicts may be quite sharp</w:t>
      </w:r>
      <w:r w:rsidR="003C3DBA" w:rsidRPr="004737C5">
        <w:rPr>
          <w:rFonts w:cstheme="minorHAnsi"/>
        </w:rPr>
        <w:t xml:space="preserve"> as, for example, between </w:t>
      </w:r>
      <w:r w:rsidRPr="004737C5">
        <w:rPr>
          <w:rFonts w:cstheme="minorHAnsi"/>
        </w:rPr>
        <w:t>households that are already connected to electricity and water grids (who may benefit from keeping tariffs d</w:t>
      </w:r>
      <w:r w:rsidR="003C3DBA" w:rsidRPr="004737C5">
        <w:rPr>
          <w:rFonts w:cstheme="minorHAnsi"/>
        </w:rPr>
        <w:t>own)</w:t>
      </w:r>
      <w:r w:rsidRPr="004737C5">
        <w:rPr>
          <w:rFonts w:cstheme="minorHAnsi"/>
        </w:rPr>
        <w:t xml:space="preserve"> and those who are not yet connected (for whom the key issue is connection charges). In this context, the interests of non-consumers (i.e. the non-connected) will be ignored if only the interests of the existing customers of the services are taken into account.</w:t>
      </w:r>
    </w:p>
    <w:p w14:paraId="048DB8E5" w14:textId="77777777" w:rsidR="003C3DBA" w:rsidRPr="004737C5" w:rsidRDefault="003C3DBA" w:rsidP="00FC2F14">
      <w:pPr>
        <w:spacing w:before="200"/>
        <w:rPr>
          <w:rFonts w:cstheme="minorHAnsi"/>
        </w:rPr>
      </w:pPr>
      <w:r w:rsidRPr="004737C5">
        <w:rPr>
          <w:rFonts w:cstheme="minorHAnsi"/>
          <w:b/>
        </w:rPr>
        <w:t xml:space="preserve">4. </w:t>
      </w:r>
      <w:r w:rsidR="00843222" w:rsidRPr="004737C5">
        <w:rPr>
          <w:rFonts w:cstheme="minorHAnsi"/>
          <w:b/>
        </w:rPr>
        <w:t xml:space="preserve">Quality and competence </w:t>
      </w:r>
      <w:r w:rsidRPr="004737C5">
        <w:rPr>
          <w:rFonts w:cstheme="minorHAnsi"/>
          <w:b/>
        </w:rPr>
        <w:tab/>
      </w:r>
    </w:p>
    <w:p w14:paraId="4BFAD613" w14:textId="77777777" w:rsidR="003C3DBA" w:rsidRPr="004737C5" w:rsidRDefault="00843222" w:rsidP="003C3DBA">
      <w:pPr>
        <w:rPr>
          <w:rFonts w:cstheme="minorHAnsi"/>
        </w:rPr>
      </w:pPr>
      <w:r w:rsidRPr="004737C5">
        <w:rPr>
          <w:rFonts w:cstheme="minorHAnsi"/>
        </w:rPr>
        <w:t xml:space="preserve">The range and complexity of consumer issues have increased over the years and consumer representatives have to marshal the relevant expertise if they are </w:t>
      </w:r>
      <w:r w:rsidR="003C3DBA" w:rsidRPr="004737C5">
        <w:rPr>
          <w:rFonts w:cstheme="minorHAnsi"/>
        </w:rPr>
        <w:t xml:space="preserve">to </w:t>
      </w:r>
      <w:r w:rsidRPr="004737C5">
        <w:rPr>
          <w:rFonts w:cstheme="minorHAnsi"/>
        </w:rPr>
        <w:t>adequately represent the consumer interest.</w:t>
      </w:r>
    </w:p>
    <w:p w14:paraId="70F3692C" w14:textId="77777777" w:rsidR="00843222" w:rsidRPr="004737C5" w:rsidRDefault="00843222" w:rsidP="00CB23BB">
      <w:pPr>
        <w:rPr>
          <w:rFonts w:cstheme="minorHAnsi"/>
        </w:rPr>
      </w:pPr>
      <w:r w:rsidRPr="004737C5">
        <w:rPr>
          <w:rFonts w:cstheme="minorHAnsi"/>
        </w:rPr>
        <w:t xml:space="preserve">The problem is especially acute </w:t>
      </w:r>
      <w:r w:rsidR="003C3DBA" w:rsidRPr="004737C5">
        <w:rPr>
          <w:rFonts w:cstheme="minorHAnsi"/>
        </w:rPr>
        <w:t>for</w:t>
      </w:r>
      <w:r w:rsidRPr="004737C5">
        <w:rPr>
          <w:rFonts w:cstheme="minorHAnsi"/>
        </w:rPr>
        <w:t xml:space="preserve"> consumer groups that lack the resources to undertake or commission research or have limited access to information, as is often the case with consumer groups in poorer countries. However, that should not be taken to mean that consumers cannot form associations until they have substantial financial resources. Some very effective and courageous consumer NGOs have formed as a result of frustration about specific and pressing issues that did not require (at least not initially) fully worked out scientific dossiers to address. Cases in point have arisen from lack of access to essential services or worries about safety, for example, the work of MAMA ’86, the association of Ukrainian women protesting against the lack of transparency of information after the Chernobyl disaster in 1988 and their concerns for safety of the water supply.</w:t>
      </w:r>
      <w:r w:rsidRPr="004737C5">
        <w:rPr>
          <w:rStyle w:val="FootnoteAnchor"/>
          <w:rFonts w:cstheme="minorHAnsi"/>
        </w:rPr>
        <w:footnoteReference w:id="72"/>
      </w:r>
      <w:r w:rsidR="003C3DBA" w:rsidRPr="004737C5">
        <w:rPr>
          <w:rFonts w:cstheme="minorHAnsi"/>
        </w:rPr>
        <w:t xml:space="preserve"> In 2006‒</w:t>
      </w:r>
      <w:r w:rsidRPr="004737C5">
        <w:rPr>
          <w:rFonts w:cstheme="minorHAnsi"/>
        </w:rPr>
        <w:t xml:space="preserve">2007, the Association of Energy Consumers in Cameroon, </w:t>
      </w:r>
      <w:r w:rsidRPr="004737C5">
        <w:rPr>
          <w:rFonts w:cstheme="minorHAnsi"/>
          <w:iCs/>
        </w:rPr>
        <w:t>Réseau associatif des consommateurs de l’énergie</w:t>
      </w:r>
      <w:r w:rsidRPr="004737C5">
        <w:rPr>
          <w:rFonts w:cstheme="minorHAnsi"/>
        </w:rPr>
        <w:t xml:space="preserve"> (RACE), protested against the lack of access to electricity supply despite reassurances that were given when a concession was granted to supply power to the aluminium smelting industry.</w:t>
      </w:r>
      <w:r w:rsidRPr="004737C5">
        <w:rPr>
          <w:rStyle w:val="FootnoteAnchor"/>
          <w:rFonts w:cstheme="minorHAnsi"/>
        </w:rPr>
        <w:footnoteReference w:id="73"/>
      </w:r>
      <w:r w:rsidRPr="004737C5">
        <w:rPr>
          <w:rFonts w:cstheme="minorHAnsi"/>
        </w:rPr>
        <w:t xml:space="preserve"> It is worth noting that such movements often arise in response to single issues and associations cannot be expected to cope immediately with the full breadth of the consumer horizon, a scope which even the best resourced organizations have difficulty in covering.</w:t>
      </w:r>
    </w:p>
    <w:p w14:paraId="4516A7C2" w14:textId="77777777" w:rsidR="00843222" w:rsidRPr="004737C5" w:rsidRDefault="003C3DBA" w:rsidP="00FC2F14">
      <w:pPr>
        <w:suppressAutoHyphens/>
        <w:spacing w:before="200"/>
        <w:rPr>
          <w:rFonts w:cstheme="minorHAnsi"/>
          <w:b/>
        </w:rPr>
      </w:pPr>
      <w:r w:rsidRPr="004737C5">
        <w:rPr>
          <w:rFonts w:cstheme="minorHAnsi"/>
          <w:b/>
        </w:rPr>
        <w:t xml:space="preserve">5. </w:t>
      </w:r>
      <w:r w:rsidR="00843222" w:rsidRPr="004737C5">
        <w:rPr>
          <w:rFonts w:cstheme="minorHAnsi"/>
          <w:b/>
        </w:rPr>
        <w:t>Conflicts of interest and finance</w:t>
      </w:r>
    </w:p>
    <w:p w14:paraId="112E912D" w14:textId="79D83603" w:rsidR="00843222" w:rsidRPr="004737C5" w:rsidRDefault="00843222" w:rsidP="003C3DBA">
      <w:pPr>
        <w:rPr>
          <w:rFonts w:cstheme="minorHAnsi"/>
        </w:rPr>
      </w:pPr>
      <w:r w:rsidRPr="004737C5">
        <w:rPr>
          <w:rFonts w:cstheme="minorHAnsi"/>
        </w:rPr>
        <w:t>A complex is</w:t>
      </w:r>
      <w:r w:rsidR="003C3DBA" w:rsidRPr="004737C5">
        <w:rPr>
          <w:rFonts w:cstheme="minorHAnsi"/>
        </w:rPr>
        <w:t>sue regarding the representative</w:t>
      </w:r>
      <w:r w:rsidRPr="004737C5">
        <w:rPr>
          <w:rFonts w:cstheme="minorHAnsi"/>
        </w:rPr>
        <w:t xml:space="preserve"> role of consumer organizations is whether consumer representatives should accept payment for their representation. Fin</w:t>
      </w:r>
      <w:r w:rsidR="003C3DBA" w:rsidRPr="004737C5">
        <w:rPr>
          <w:rFonts w:cstheme="minorHAnsi"/>
        </w:rPr>
        <w:t>ancing from either industry or g</w:t>
      </w:r>
      <w:r w:rsidRPr="004737C5">
        <w:rPr>
          <w:rFonts w:cstheme="minorHAnsi"/>
        </w:rPr>
        <w:t>overnment poses obvious problems of independence. There are various ways in which these dilemmas have been addressed since the last revision of this m</w:t>
      </w:r>
      <w:r w:rsidR="004240DC" w:rsidRPr="004737C5">
        <w:rPr>
          <w:rFonts w:cstheme="minorHAnsi"/>
        </w:rPr>
        <w:t>anual. As discussed in chapter IV</w:t>
      </w:r>
      <w:r w:rsidRPr="004737C5">
        <w:rPr>
          <w:rFonts w:cstheme="minorHAnsi"/>
        </w:rPr>
        <w:t xml:space="preserve">, some publicly funded consumer bodies have managed to maintain a high profile </w:t>
      </w:r>
      <w:r w:rsidR="003C3DBA" w:rsidRPr="004737C5">
        <w:rPr>
          <w:rFonts w:cstheme="minorHAnsi"/>
        </w:rPr>
        <w:t>and autonomy in policy</w:t>
      </w:r>
      <w:r w:rsidRPr="004737C5">
        <w:rPr>
          <w:rFonts w:cstheme="minorHAnsi"/>
        </w:rPr>
        <w:t>making. One example of a system that could help resolve the issue of independence is the development o</w:t>
      </w:r>
      <w:r w:rsidR="003C3DBA" w:rsidRPr="004737C5">
        <w:rPr>
          <w:rFonts w:cstheme="minorHAnsi"/>
        </w:rPr>
        <w:t>f industry-</w:t>
      </w:r>
      <w:r w:rsidRPr="004737C5">
        <w:rPr>
          <w:rFonts w:cstheme="minorHAnsi"/>
        </w:rPr>
        <w:t>financed mediation and representation services, p</w:t>
      </w:r>
      <w:r w:rsidR="003C3DBA" w:rsidRPr="004737C5">
        <w:rPr>
          <w:rFonts w:cstheme="minorHAnsi"/>
        </w:rPr>
        <w:t>ossibly incorporating the above-</w:t>
      </w:r>
      <w:r w:rsidRPr="004737C5">
        <w:rPr>
          <w:rFonts w:cstheme="minorHAnsi"/>
        </w:rPr>
        <w:t xml:space="preserve">mentioned representatives, financed through a general levy paid into a standing fund, so that there is not a direct link between a specific company and a specific consumer body. This can be funded by a small fraction of consumer utility bills, as has been customary in </w:t>
      </w:r>
      <w:r w:rsidR="003C3DBA" w:rsidRPr="004737C5">
        <w:rPr>
          <w:rFonts w:cstheme="minorHAnsi"/>
        </w:rPr>
        <w:t>the cases of</w:t>
      </w:r>
      <w:r w:rsidRPr="004737C5">
        <w:rPr>
          <w:rFonts w:cstheme="minorHAnsi"/>
        </w:rPr>
        <w:t xml:space="preserve"> state regulatory commissions for energy </w:t>
      </w:r>
      <w:r w:rsidR="003C3DBA" w:rsidRPr="004737C5">
        <w:rPr>
          <w:rFonts w:cstheme="minorHAnsi"/>
        </w:rPr>
        <w:t xml:space="preserve">in the United States of America </w:t>
      </w:r>
      <w:r w:rsidRPr="004737C5">
        <w:rPr>
          <w:rFonts w:cstheme="minorHAnsi"/>
        </w:rPr>
        <w:t xml:space="preserve">and </w:t>
      </w:r>
      <w:r w:rsidR="00CB23BB" w:rsidRPr="004737C5">
        <w:rPr>
          <w:rFonts w:cstheme="minorHAnsi"/>
        </w:rPr>
        <w:t xml:space="preserve">in </w:t>
      </w:r>
      <w:r w:rsidRPr="004737C5">
        <w:rPr>
          <w:rFonts w:cstheme="minorHAnsi"/>
        </w:rPr>
        <w:t>Canadian provinces to fund consumer representation during rate hearings.</w:t>
      </w:r>
      <w:r w:rsidRPr="004737C5">
        <w:rPr>
          <w:rStyle w:val="FootnoteAnchor"/>
          <w:rFonts w:cstheme="minorHAnsi"/>
        </w:rPr>
        <w:footnoteReference w:id="74"/>
      </w:r>
      <w:r w:rsidRPr="004737C5">
        <w:rPr>
          <w:rFonts w:cstheme="minorHAnsi"/>
        </w:rPr>
        <w:t xml:space="preserve"> </w:t>
      </w:r>
      <w:r w:rsidR="003C3DBA" w:rsidRPr="004737C5">
        <w:rPr>
          <w:rFonts w:cstheme="minorHAnsi"/>
        </w:rPr>
        <w:t>Another approach in the f</w:t>
      </w:r>
      <w:r w:rsidR="00CD4396" w:rsidRPr="004737C5">
        <w:rPr>
          <w:rFonts w:cstheme="minorHAnsi"/>
        </w:rPr>
        <w:t xml:space="preserve">ormer Soviet Union </w:t>
      </w:r>
      <w:r w:rsidR="00CD4396" w:rsidRPr="004737C5">
        <w:rPr>
          <w:rFonts w:cstheme="minorHAnsi"/>
        </w:rPr>
        <w:lastRenderedPageBreak/>
        <w:t xml:space="preserve">is for </w:t>
      </w:r>
      <w:r w:rsidR="003C3DBA" w:rsidRPr="004737C5">
        <w:rPr>
          <w:rFonts w:cstheme="minorHAnsi"/>
        </w:rPr>
        <w:t>NGO</w:t>
      </w:r>
      <w:r w:rsidR="00CD4396" w:rsidRPr="004737C5">
        <w:rPr>
          <w:rFonts w:cstheme="minorHAnsi"/>
        </w:rPr>
        <w:t>s to be financed from fines against businesses found to be in violat</w:t>
      </w:r>
      <w:r w:rsidR="003C3DBA" w:rsidRPr="004737C5">
        <w:rPr>
          <w:rFonts w:cstheme="minorHAnsi"/>
        </w:rPr>
        <w:t>ion of consumer protection law.</w:t>
      </w:r>
      <w:r w:rsidR="00CD4396" w:rsidRPr="004737C5">
        <w:rPr>
          <w:rStyle w:val="FootnoteReference"/>
          <w:rFonts w:cstheme="minorHAnsi"/>
        </w:rPr>
        <w:footnoteReference w:id="75"/>
      </w:r>
    </w:p>
    <w:p w14:paraId="42841AB4" w14:textId="77777777" w:rsidR="00843222" w:rsidRPr="004737C5" w:rsidRDefault="00843222" w:rsidP="003C3DBA">
      <w:pPr>
        <w:rPr>
          <w:rFonts w:cstheme="minorHAnsi"/>
        </w:rPr>
      </w:pPr>
      <w:r w:rsidRPr="004737C5">
        <w:rPr>
          <w:rFonts w:cstheme="minorHAnsi"/>
        </w:rPr>
        <w:t xml:space="preserve">Such procedures could be strengthened by the recognition, sometimes in statute, of the right of consumer associations to be represented when important regulatory decisions are to be reached and maybe to impose a duty to consult on regulators, but stopping short of making the consumer representatives members </w:t>
      </w:r>
      <w:r w:rsidR="003C3DBA" w:rsidRPr="004737C5">
        <w:rPr>
          <w:rFonts w:cstheme="minorHAnsi"/>
        </w:rPr>
        <w:t>of the regulatory board. When b</w:t>
      </w:r>
      <w:r w:rsidRPr="004737C5">
        <w:rPr>
          <w:rFonts w:cstheme="minorHAnsi"/>
        </w:rPr>
        <w:t>oard membership implies participation in decisions while bound by confidentiality, this prevents consumer representatives from sharing information with the</w:t>
      </w:r>
      <w:r w:rsidR="003C3DBA" w:rsidRPr="004737C5">
        <w:rPr>
          <w:rFonts w:cstheme="minorHAnsi"/>
        </w:rPr>
        <w:t xml:space="preserve"> people they are representing. </w:t>
      </w:r>
    </w:p>
    <w:p w14:paraId="61013D6F" w14:textId="77777777" w:rsidR="00843222" w:rsidRPr="004737C5" w:rsidRDefault="003C3DBA" w:rsidP="00CB23BB">
      <w:pPr>
        <w:rPr>
          <w:rFonts w:cstheme="minorHAnsi"/>
        </w:rPr>
      </w:pPr>
      <w:r w:rsidRPr="004737C5">
        <w:rPr>
          <w:rFonts w:cstheme="minorHAnsi"/>
        </w:rPr>
        <w:t>Case-by-</w:t>
      </w:r>
      <w:r w:rsidR="00843222" w:rsidRPr="004737C5">
        <w:rPr>
          <w:rFonts w:cstheme="minorHAnsi"/>
        </w:rPr>
        <w:t xml:space="preserve">case individual representation has also been enabled by a variety of sources. These have included a proportion of fines being used to fund consumer associations. While the award of such </w:t>
      </w:r>
      <w:r w:rsidRPr="004737C5">
        <w:rPr>
          <w:rFonts w:cstheme="minorHAnsi"/>
        </w:rPr>
        <w:t>funds</w:t>
      </w:r>
      <w:r w:rsidR="00843222" w:rsidRPr="004737C5">
        <w:rPr>
          <w:rFonts w:cstheme="minorHAnsi"/>
        </w:rPr>
        <w:t xml:space="preserve"> may be independent of the protagonists, one problem could be that it reduces incentives for the assoc</w:t>
      </w:r>
      <w:r w:rsidRPr="004737C5">
        <w:rPr>
          <w:rFonts w:cstheme="minorHAnsi"/>
        </w:rPr>
        <w:t>iation to adapt to and embrace alternative dispute r</w:t>
      </w:r>
      <w:r w:rsidR="00843222" w:rsidRPr="004737C5">
        <w:rPr>
          <w:rFonts w:cstheme="minorHAnsi"/>
        </w:rPr>
        <w:t>esolution mechanisms. At the very least, consumer associations would expect court expenses to be met if they are to represent consumers. In several juri</w:t>
      </w:r>
      <w:r w:rsidRPr="004737C5">
        <w:rPr>
          <w:rFonts w:cstheme="minorHAnsi"/>
        </w:rPr>
        <w:t>sdictions, this has been a long</w:t>
      </w:r>
      <w:r w:rsidR="00843222" w:rsidRPr="004737C5">
        <w:rPr>
          <w:rFonts w:cstheme="minorHAnsi"/>
        </w:rPr>
        <w:t xml:space="preserve">standing practice, such as in Eastern and Central Europe. </w:t>
      </w:r>
    </w:p>
    <w:p w14:paraId="079EC78F" w14:textId="77777777" w:rsidR="00843222" w:rsidRPr="004737C5" w:rsidRDefault="003C3DBA" w:rsidP="00CB23BB">
      <w:pPr>
        <w:pStyle w:val="Heading2"/>
        <w:spacing w:after="160"/>
        <w:rPr>
          <w:rFonts w:cstheme="minorHAnsi"/>
          <w:color w:val="auto"/>
          <w:sz w:val="24"/>
          <w:szCs w:val="24"/>
        </w:rPr>
      </w:pPr>
      <w:bookmarkStart w:id="51" w:name="_Toc492650004"/>
      <w:r w:rsidRPr="004737C5">
        <w:rPr>
          <w:rFonts w:cstheme="minorHAnsi"/>
          <w:color w:val="auto"/>
          <w:sz w:val="24"/>
          <w:szCs w:val="24"/>
        </w:rPr>
        <w:t>F.</w:t>
      </w:r>
      <w:r w:rsidR="00843222" w:rsidRPr="004737C5">
        <w:rPr>
          <w:rFonts w:cstheme="minorHAnsi"/>
          <w:color w:val="auto"/>
          <w:sz w:val="24"/>
          <w:szCs w:val="24"/>
        </w:rPr>
        <w:t xml:space="preserve"> Conclusion</w:t>
      </w:r>
      <w:bookmarkEnd w:id="51"/>
    </w:p>
    <w:p w14:paraId="715A7291" w14:textId="1C81A9CF" w:rsidR="00843222" w:rsidRPr="004737C5" w:rsidRDefault="004240DC" w:rsidP="006D3BE8">
      <w:pPr>
        <w:rPr>
          <w:rFonts w:cstheme="minorHAnsi"/>
          <w:b/>
          <w:i/>
          <w:color w:val="FF0000"/>
        </w:rPr>
      </w:pPr>
      <w:r w:rsidRPr="004737C5">
        <w:rPr>
          <w:rFonts w:cstheme="minorHAnsi"/>
        </w:rPr>
        <w:t>Chapter III</w:t>
      </w:r>
      <w:r w:rsidR="00843222" w:rsidRPr="004737C5">
        <w:rPr>
          <w:rFonts w:cstheme="minorHAnsi"/>
        </w:rPr>
        <w:t xml:space="preserve"> drew attention to the </w:t>
      </w:r>
      <w:r w:rsidR="003D036B" w:rsidRPr="004737C5">
        <w:rPr>
          <w:rFonts w:cstheme="minorHAnsi"/>
        </w:rPr>
        <w:t>breaking down of barriers</w:t>
      </w:r>
      <w:r w:rsidR="00843222" w:rsidRPr="004737C5">
        <w:rPr>
          <w:rFonts w:cstheme="minorHAnsi"/>
        </w:rPr>
        <w:t xml:space="preserve"> between consumer protection agencies and associations, as the forme</w:t>
      </w:r>
      <w:r w:rsidR="003C3DBA" w:rsidRPr="004737C5">
        <w:rPr>
          <w:rFonts w:cstheme="minorHAnsi"/>
        </w:rPr>
        <w:t>r have become more consultation-</w:t>
      </w:r>
      <w:r w:rsidR="00843222" w:rsidRPr="004737C5">
        <w:rPr>
          <w:rFonts w:cstheme="minorHAnsi"/>
        </w:rPr>
        <w:t>based and open to consumer opinion. In some cases this is enshrined in treaties, such as the CARICOM treaty recognising the Caribbean Consumer Council.</w:t>
      </w:r>
      <w:r w:rsidR="00843222" w:rsidRPr="004737C5">
        <w:rPr>
          <w:rStyle w:val="FootnoteAnchor"/>
          <w:rFonts w:cstheme="minorHAnsi"/>
        </w:rPr>
        <w:footnoteReference w:id="76"/>
      </w:r>
      <w:r w:rsidR="00843222" w:rsidRPr="004737C5">
        <w:rPr>
          <w:rFonts w:cstheme="minorHAnsi"/>
        </w:rPr>
        <w:t xml:space="preserve"> In turn, consumer associations</w:t>
      </w:r>
      <w:r w:rsidR="00CB23BB" w:rsidRPr="004737C5">
        <w:rPr>
          <w:rFonts w:cstheme="minorHAnsi"/>
        </w:rPr>
        <w:t xml:space="preserve"> are</w:t>
      </w:r>
      <w:r w:rsidR="00843222" w:rsidRPr="004737C5">
        <w:rPr>
          <w:rFonts w:cstheme="minorHAnsi"/>
        </w:rPr>
        <w:t xml:space="preserve"> undergo</w:t>
      </w:r>
      <w:r w:rsidR="00CB23BB" w:rsidRPr="004737C5">
        <w:rPr>
          <w:rFonts w:cstheme="minorHAnsi"/>
        </w:rPr>
        <w:t>ing</w:t>
      </w:r>
      <w:r w:rsidR="00843222" w:rsidRPr="004737C5">
        <w:rPr>
          <w:rFonts w:cstheme="minorHAnsi"/>
        </w:rPr>
        <w:t xml:space="preserve"> an equivalent shift towards assuming responsibilities in the public arena. They have increasingly been granted </w:t>
      </w:r>
      <w:r w:rsidR="004D505A" w:rsidRPr="004737C5">
        <w:rPr>
          <w:rFonts w:cstheme="minorHAnsi"/>
        </w:rPr>
        <w:t>locus standi</w:t>
      </w:r>
      <w:r w:rsidR="00843222" w:rsidRPr="004737C5">
        <w:rPr>
          <w:rFonts w:cstheme="minorHAnsi"/>
        </w:rPr>
        <w:t xml:space="preserve"> </w:t>
      </w:r>
      <w:r w:rsidR="003D036B" w:rsidRPr="004737C5">
        <w:rPr>
          <w:rFonts w:cstheme="minorHAnsi"/>
        </w:rPr>
        <w:t xml:space="preserve">(legal standing) </w:t>
      </w:r>
      <w:r w:rsidR="00843222" w:rsidRPr="004737C5">
        <w:rPr>
          <w:rFonts w:cstheme="minorHAnsi"/>
        </w:rPr>
        <w:t xml:space="preserve">in the courts. In the </w:t>
      </w:r>
      <w:r w:rsidR="0084791E" w:rsidRPr="004737C5">
        <w:rPr>
          <w:rFonts w:cstheme="minorHAnsi"/>
        </w:rPr>
        <w:t>European Union</w:t>
      </w:r>
      <w:r w:rsidR="00843222" w:rsidRPr="004737C5">
        <w:rPr>
          <w:rFonts w:cstheme="minorHAnsi"/>
        </w:rPr>
        <w:t>, they have for some time been able to seek injunctions in the general consumer interest to prevent actions by traders which are illegal unde</w:t>
      </w:r>
      <w:r w:rsidR="003C3DBA" w:rsidRPr="004737C5">
        <w:rPr>
          <w:rFonts w:cstheme="minorHAnsi"/>
        </w:rPr>
        <w:t>r relevant consumer protection d</w:t>
      </w:r>
      <w:r w:rsidR="00843222" w:rsidRPr="004737C5">
        <w:rPr>
          <w:rFonts w:cstheme="minorHAnsi"/>
        </w:rPr>
        <w:t>irectives.</w:t>
      </w:r>
      <w:r w:rsidR="00843222" w:rsidRPr="004737C5">
        <w:rPr>
          <w:rStyle w:val="FootnoteAnchor"/>
          <w:rFonts w:cstheme="minorHAnsi"/>
        </w:rPr>
        <w:footnoteReference w:id="77"/>
      </w:r>
      <w:r w:rsidR="00843222" w:rsidRPr="004737C5">
        <w:rPr>
          <w:rFonts w:cstheme="minorHAnsi"/>
        </w:rPr>
        <w:t xml:space="preserve"> Professor Fernandez Arroyo reported in 2012 that in the </w:t>
      </w:r>
      <w:r w:rsidR="0084791E" w:rsidRPr="004737C5">
        <w:rPr>
          <w:rFonts w:cstheme="minorHAnsi"/>
        </w:rPr>
        <w:t>European Union</w:t>
      </w:r>
      <w:r w:rsidR="00D21110" w:rsidRPr="004737C5">
        <w:rPr>
          <w:rFonts w:cstheme="minorHAnsi"/>
        </w:rPr>
        <w:t>,</w:t>
      </w:r>
      <w:r w:rsidR="0084791E" w:rsidRPr="004737C5">
        <w:rPr>
          <w:rFonts w:cstheme="minorHAnsi"/>
        </w:rPr>
        <w:t xml:space="preserve"> </w:t>
      </w:r>
      <w:r w:rsidR="00843222" w:rsidRPr="004737C5">
        <w:rPr>
          <w:rFonts w:cstheme="minorHAnsi"/>
        </w:rPr>
        <w:t>the German, Spanish, French, Greek, Italian and Slovenian systems allowed for consumer interests to be represented before the cou</w:t>
      </w:r>
      <w:r w:rsidR="003C3DBA" w:rsidRPr="004737C5">
        <w:rPr>
          <w:rFonts w:cstheme="minorHAnsi"/>
        </w:rPr>
        <w:t>rts by a consumer association “</w:t>
      </w:r>
      <w:r w:rsidR="00843222" w:rsidRPr="004737C5">
        <w:rPr>
          <w:rFonts w:cstheme="minorHAnsi"/>
        </w:rPr>
        <w:t>distinct from the consumers themselves</w:t>
      </w:r>
      <w:r w:rsidR="003C3DBA" w:rsidRPr="004737C5">
        <w:rPr>
          <w:rFonts w:cstheme="minorHAnsi"/>
        </w:rPr>
        <w:t>”,</w:t>
      </w:r>
      <w:r w:rsidR="00843222" w:rsidRPr="004737C5">
        <w:rPr>
          <w:rFonts w:cstheme="minorHAnsi"/>
        </w:rPr>
        <w:t xml:space="preserve"> and that the same was also true of Brazil.</w:t>
      </w:r>
      <w:r w:rsidR="00843222" w:rsidRPr="004737C5">
        <w:rPr>
          <w:rStyle w:val="FootnoteReference"/>
          <w:rFonts w:cstheme="minorHAnsi"/>
        </w:rPr>
        <w:footnoteReference w:id="78"/>
      </w:r>
      <w:r w:rsidR="003C3DBA" w:rsidRPr="004737C5">
        <w:rPr>
          <w:rFonts w:cstheme="minorHAnsi"/>
        </w:rPr>
        <w:t xml:space="preserve"> </w:t>
      </w:r>
      <w:r w:rsidR="00843222" w:rsidRPr="004737C5">
        <w:rPr>
          <w:rFonts w:cstheme="minorHAnsi"/>
        </w:rPr>
        <w:t xml:space="preserve">In some </w:t>
      </w:r>
      <w:r w:rsidR="0084791E" w:rsidRPr="004737C5">
        <w:rPr>
          <w:rFonts w:cstheme="minorHAnsi"/>
        </w:rPr>
        <w:t>European Union</w:t>
      </w:r>
      <w:r w:rsidR="00D21110" w:rsidRPr="004737C5">
        <w:rPr>
          <w:rFonts w:cstheme="minorHAnsi"/>
        </w:rPr>
        <w:t xml:space="preserve"> member s</w:t>
      </w:r>
      <w:r w:rsidR="00843222" w:rsidRPr="004737C5">
        <w:rPr>
          <w:rFonts w:cstheme="minorHAnsi"/>
        </w:rPr>
        <w:t xml:space="preserve">tates, consumer associations play a role in </w:t>
      </w:r>
      <w:r w:rsidR="003C3DBA" w:rsidRPr="004737C5">
        <w:rPr>
          <w:rFonts w:cstheme="minorHAnsi"/>
        </w:rPr>
        <w:t xml:space="preserve">the </w:t>
      </w:r>
      <w:r w:rsidR="00843222" w:rsidRPr="004737C5">
        <w:rPr>
          <w:rFonts w:cstheme="minorHAnsi"/>
        </w:rPr>
        <w:t xml:space="preserve">enforcement of consumer protection law alongside public bodies. For example, the German </w:t>
      </w:r>
      <w:r w:rsidR="00843222" w:rsidRPr="004737C5">
        <w:rPr>
          <w:rFonts w:cstheme="minorHAnsi"/>
          <w:iCs/>
        </w:rPr>
        <w:t>Verbraucherzentralen</w:t>
      </w:r>
      <w:r w:rsidR="00843222" w:rsidRPr="004737C5">
        <w:rPr>
          <w:rFonts w:cstheme="minorHAnsi"/>
        </w:rPr>
        <w:t xml:space="preserve"> (consumer advice centres) can act alongs</w:t>
      </w:r>
      <w:r w:rsidR="003C3DBA" w:rsidRPr="004737C5">
        <w:rPr>
          <w:rFonts w:cstheme="minorHAnsi"/>
        </w:rPr>
        <w:t xml:space="preserve">ide business associations. The </w:t>
      </w:r>
      <w:r w:rsidR="00D21110" w:rsidRPr="004737C5">
        <w:rPr>
          <w:rFonts w:cstheme="minorHAnsi"/>
        </w:rPr>
        <w:t xml:space="preserve">United Kingdom of Great Britain and Northern Ireland’s </w:t>
      </w:r>
      <w:r w:rsidR="003C3DBA" w:rsidRPr="004737C5">
        <w:rPr>
          <w:rFonts w:cstheme="minorHAnsi"/>
        </w:rPr>
        <w:t>“super-complaint”</w:t>
      </w:r>
      <w:r w:rsidR="00D21110" w:rsidRPr="004737C5">
        <w:rPr>
          <w:rFonts w:cstheme="minorHAnsi"/>
        </w:rPr>
        <w:t xml:space="preserve"> mechanism </w:t>
      </w:r>
      <w:r w:rsidR="00843222" w:rsidRPr="004737C5">
        <w:rPr>
          <w:rFonts w:cstheme="minorHAnsi"/>
        </w:rPr>
        <w:t>has been used by designated consumer associations to trigger official investigations, to considerable</w:t>
      </w:r>
      <w:r w:rsidR="003C3DBA" w:rsidRPr="004737C5">
        <w:rPr>
          <w:rFonts w:cstheme="minorHAnsi"/>
        </w:rPr>
        <w:t xml:space="preserve"> effect. The longer-term trend ha</w:t>
      </w:r>
      <w:r w:rsidR="00843222" w:rsidRPr="004737C5">
        <w:rPr>
          <w:rFonts w:cstheme="minorHAnsi"/>
        </w:rPr>
        <w:t>s thus</w:t>
      </w:r>
      <w:r w:rsidR="003C3DBA" w:rsidRPr="004737C5">
        <w:rPr>
          <w:rFonts w:cstheme="minorHAnsi"/>
        </w:rPr>
        <w:t xml:space="preserve"> been</w:t>
      </w:r>
      <w:r w:rsidR="00843222" w:rsidRPr="004737C5">
        <w:rPr>
          <w:rFonts w:cstheme="minorHAnsi"/>
        </w:rPr>
        <w:t xml:space="preserve"> for consensus to emerge around the input of consumer associations. </w:t>
      </w:r>
      <w:r w:rsidR="00843222" w:rsidRPr="004737C5">
        <w:rPr>
          <w:rFonts w:cstheme="minorHAnsi"/>
          <w:b/>
          <w:i/>
          <w:color w:val="FF0000"/>
        </w:rPr>
        <w:br w:type="page"/>
      </w:r>
    </w:p>
    <w:p w14:paraId="35EA18AA" w14:textId="77777777" w:rsidR="00843222" w:rsidRPr="004737C5" w:rsidRDefault="005956C3" w:rsidP="00CB23BB">
      <w:pPr>
        <w:rPr>
          <w:b/>
          <w:sz w:val="28"/>
          <w:szCs w:val="28"/>
        </w:rPr>
      </w:pPr>
      <w:bookmarkStart w:id="52" w:name="_Toc492650005"/>
      <w:r w:rsidRPr="004737C5">
        <w:rPr>
          <w:b/>
          <w:sz w:val="28"/>
          <w:szCs w:val="28"/>
        </w:rPr>
        <w:lastRenderedPageBreak/>
        <w:t xml:space="preserve">VI. </w:t>
      </w:r>
      <w:r w:rsidR="00843222" w:rsidRPr="004737C5">
        <w:rPr>
          <w:b/>
          <w:sz w:val="28"/>
          <w:szCs w:val="28"/>
        </w:rPr>
        <w:t>Business conduct</w:t>
      </w:r>
      <w:bookmarkEnd w:id="52"/>
    </w:p>
    <w:p w14:paraId="70C1127D" w14:textId="74B04529" w:rsidR="005956C3" w:rsidRPr="004737C5" w:rsidRDefault="00FC2F14" w:rsidP="00CB23BB">
      <w:pPr>
        <w:rPr>
          <w:rFonts w:cstheme="minorHAnsi"/>
        </w:rPr>
      </w:pPr>
      <w:bookmarkStart w:id="53" w:name="_Toc492650006"/>
      <w:r w:rsidRPr="004737C5">
        <w:rPr>
          <w:rStyle w:val="Heading2Char"/>
          <w:rFonts w:cstheme="minorHAnsi"/>
          <w:color w:val="auto"/>
          <w:sz w:val="24"/>
          <w:szCs w:val="24"/>
        </w:rPr>
        <w:t>A.</w:t>
      </w:r>
      <w:r w:rsidR="00843222" w:rsidRPr="004737C5">
        <w:rPr>
          <w:rStyle w:val="Heading2Char"/>
          <w:rFonts w:cstheme="minorHAnsi"/>
          <w:color w:val="auto"/>
          <w:sz w:val="24"/>
          <w:szCs w:val="24"/>
        </w:rPr>
        <w:t xml:space="preserve"> Business conduct in the United Nations Guidelines for Consumer Protection</w:t>
      </w:r>
      <w:bookmarkEnd w:id="53"/>
      <w:r w:rsidR="00615E27" w:rsidRPr="004737C5">
        <w:rPr>
          <w:rStyle w:val="Heading2Char"/>
          <w:rFonts w:cstheme="minorHAnsi"/>
          <w:color w:val="auto"/>
          <w:sz w:val="24"/>
          <w:szCs w:val="24"/>
        </w:rPr>
        <w:tab/>
      </w:r>
    </w:p>
    <w:p w14:paraId="39EF325B" w14:textId="77777777" w:rsidR="00843222" w:rsidRPr="004737C5" w:rsidRDefault="00C83B72" w:rsidP="005956C3">
      <w:pPr>
        <w:rPr>
          <w:rFonts w:cstheme="minorHAnsi"/>
          <w:b/>
          <w:color w:val="5B9BD5" w:themeColor="accent1"/>
          <w:sz w:val="24"/>
          <w:szCs w:val="24"/>
        </w:rPr>
      </w:pPr>
      <w:r w:rsidRPr="004737C5">
        <w:rPr>
          <w:rFonts w:cstheme="minorHAnsi"/>
        </w:rPr>
        <w:t>T</w:t>
      </w:r>
      <w:r w:rsidR="005956C3" w:rsidRPr="004737C5">
        <w:rPr>
          <w:rFonts w:cstheme="minorHAnsi"/>
        </w:rPr>
        <w:t>he o</w:t>
      </w:r>
      <w:r w:rsidR="009B5EA1" w:rsidRPr="004737C5">
        <w:rPr>
          <w:rFonts w:cstheme="minorHAnsi"/>
        </w:rPr>
        <w:t>bjectives of the UNGCP</w:t>
      </w:r>
      <w:r w:rsidR="005956C3" w:rsidRPr="004737C5">
        <w:rPr>
          <w:rFonts w:cstheme="minorHAnsi"/>
        </w:rPr>
        <w:t xml:space="preserve"> include “encourag[ing]</w:t>
      </w:r>
      <w:r w:rsidR="00843222" w:rsidRPr="004737C5">
        <w:rPr>
          <w:rFonts w:cstheme="minorHAnsi"/>
        </w:rPr>
        <w:t xml:space="preserve"> high levels of ethical conduct for those engaged in the production and distribution of goods and services to consumers</w:t>
      </w:r>
      <w:r w:rsidR="005956C3" w:rsidRPr="004737C5">
        <w:rPr>
          <w:rFonts w:cstheme="minorHAnsi"/>
        </w:rPr>
        <w:t>”</w:t>
      </w:r>
      <w:r w:rsidR="009B5EA1" w:rsidRPr="004737C5">
        <w:rPr>
          <w:rFonts w:cstheme="minorHAnsi"/>
        </w:rPr>
        <w:t xml:space="preserve"> (guideline 1c)</w:t>
      </w:r>
      <w:r w:rsidR="005956C3" w:rsidRPr="004737C5">
        <w:rPr>
          <w:rFonts w:cstheme="minorHAnsi"/>
        </w:rPr>
        <w:t>,</w:t>
      </w:r>
      <w:r w:rsidR="00843222" w:rsidRPr="004737C5">
        <w:rPr>
          <w:rFonts w:cstheme="minorHAnsi"/>
        </w:rPr>
        <w:t xml:space="preserve"> thus addressing the essence of producer-consumer relations. </w:t>
      </w:r>
    </w:p>
    <w:p w14:paraId="286BAB18" w14:textId="0087686B" w:rsidR="00843222" w:rsidRPr="004737C5" w:rsidRDefault="00843222" w:rsidP="006D3BE8">
      <w:pPr>
        <w:rPr>
          <w:rFonts w:cstheme="minorHAnsi"/>
          <w:bCs/>
        </w:rPr>
      </w:pPr>
      <w:r w:rsidRPr="004737C5">
        <w:rPr>
          <w:rFonts w:cstheme="minorHAnsi"/>
        </w:rPr>
        <w:t xml:space="preserve">The revised UNGCP contain a substantial new section IV on </w:t>
      </w:r>
      <w:r w:rsidR="005956C3" w:rsidRPr="004737C5">
        <w:rPr>
          <w:rFonts w:cstheme="minorHAnsi"/>
        </w:rPr>
        <w:t>“</w:t>
      </w:r>
      <w:r w:rsidR="009B5EA1" w:rsidRPr="004737C5">
        <w:rPr>
          <w:rFonts w:cstheme="minorHAnsi"/>
        </w:rPr>
        <w:t>principles for good business p</w:t>
      </w:r>
      <w:r w:rsidRPr="004737C5">
        <w:rPr>
          <w:rFonts w:cstheme="minorHAnsi"/>
        </w:rPr>
        <w:t>ractices</w:t>
      </w:r>
      <w:r w:rsidR="005956C3" w:rsidRPr="004737C5">
        <w:rPr>
          <w:rFonts w:cstheme="minorHAnsi"/>
        </w:rPr>
        <w:t>”</w:t>
      </w:r>
      <w:r w:rsidR="009B5EA1" w:rsidRPr="004737C5">
        <w:rPr>
          <w:rFonts w:cstheme="minorHAnsi"/>
        </w:rPr>
        <w:t xml:space="preserve"> (g</w:t>
      </w:r>
      <w:r w:rsidRPr="004737C5">
        <w:rPr>
          <w:rFonts w:cstheme="minorHAnsi"/>
        </w:rPr>
        <w:t xml:space="preserve">uideline </w:t>
      </w:r>
      <w:r w:rsidR="005956C3" w:rsidRPr="004737C5">
        <w:rPr>
          <w:rFonts w:cstheme="minorHAnsi"/>
        </w:rPr>
        <w:t>11). It sets out principles as “benchmarks”</w:t>
      </w:r>
      <w:r w:rsidRPr="004737C5">
        <w:rPr>
          <w:rFonts w:cstheme="minorHAnsi"/>
        </w:rPr>
        <w:t xml:space="preserve"> for good</w:t>
      </w:r>
      <w:r w:rsidRPr="004737C5">
        <w:rPr>
          <w:rFonts w:cstheme="minorHAnsi"/>
          <w:bCs/>
        </w:rPr>
        <w:t xml:space="preserve"> practice online and offline. Most of the content of this section is also dealt with elsewhere in the UNGCP and there is overlap of substance with section V.A</w:t>
      </w:r>
      <w:r w:rsidR="009B5EA1" w:rsidRPr="004737C5">
        <w:rPr>
          <w:rFonts w:cstheme="minorHAnsi"/>
          <w:bCs/>
        </w:rPr>
        <w:t>,</w:t>
      </w:r>
      <w:r w:rsidRPr="004737C5">
        <w:rPr>
          <w:rFonts w:cstheme="minorHAnsi"/>
          <w:bCs/>
        </w:rPr>
        <w:t xml:space="preserve"> </w:t>
      </w:r>
      <w:r w:rsidR="005956C3" w:rsidRPr="004737C5">
        <w:rPr>
          <w:rFonts w:cstheme="minorHAnsi"/>
          <w:bCs/>
        </w:rPr>
        <w:t>“</w:t>
      </w:r>
      <w:r w:rsidR="00291489" w:rsidRPr="004737C5">
        <w:rPr>
          <w:rFonts w:cstheme="minorHAnsi"/>
          <w:bCs/>
        </w:rPr>
        <w:t>n</w:t>
      </w:r>
      <w:r w:rsidRPr="004737C5">
        <w:rPr>
          <w:rFonts w:cstheme="minorHAnsi"/>
          <w:bCs/>
        </w:rPr>
        <w:t>ational policies for consumer pr</w:t>
      </w:r>
      <w:r w:rsidR="005A2086" w:rsidRPr="004737C5">
        <w:rPr>
          <w:rFonts w:cstheme="minorHAnsi"/>
          <w:bCs/>
        </w:rPr>
        <w:t>otection</w:t>
      </w:r>
      <w:r w:rsidR="005956C3" w:rsidRPr="004737C5">
        <w:rPr>
          <w:rFonts w:cstheme="minorHAnsi"/>
          <w:bCs/>
        </w:rPr>
        <w:t>”, which is directed at g</w:t>
      </w:r>
      <w:r w:rsidR="00A63174" w:rsidRPr="004737C5">
        <w:rPr>
          <w:rFonts w:cstheme="minorHAnsi"/>
          <w:bCs/>
        </w:rPr>
        <w:t>overnments and whose first sub</w:t>
      </w:r>
      <w:r w:rsidRPr="004737C5">
        <w:rPr>
          <w:rFonts w:cstheme="minorHAnsi"/>
          <w:bCs/>
        </w:rPr>
        <w:t>paragraph</w:t>
      </w:r>
      <w:r w:rsidR="005956C3" w:rsidRPr="004737C5">
        <w:rPr>
          <w:rFonts w:cstheme="minorHAnsi"/>
          <w:bCs/>
        </w:rPr>
        <w:t xml:space="preserve"> </w:t>
      </w:r>
      <w:r w:rsidRPr="004737C5">
        <w:rPr>
          <w:rFonts w:cstheme="minorHAnsi"/>
          <w:bCs/>
        </w:rPr>
        <w:t>advocates the encouragement of good business practices</w:t>
      </w:r>
      <w:r w:rsidR="009B5EA1" w:rsidRPr="004737C5">
        <w:rPr>
          <w:rFonts w:cstheme="minorHAnsi"/>
          <w:bCs/>
        </w:rPr>
        <w:t xml:space="preserve"> (guideline 14a)</w:t>
      </w:r>
      <w:r w:rsidRPr="004737C5">
        <w:rPr>
          <w:rFonts w:cstheme="minorHAnsi"/>
          <w:bCs/>
        </w:rPr>
        <w:t>. The significance of the new section IV lies in the fact that it is explicitly addressed toward</w:t>
      </w:r>
      <w:r w:rsidR="005956C3" w:rsidRPr="004737C5">
        <w:rPr>
          <w:rFonts w:cstheme="minorHAnsi"/>
          <w:bCs/>
        </w:rPr>
        <w:t>s business rather than government</w:t>
      </w:r>
      <w:r w:rsidRPr="004737C5">
        <w:rPr>
          <w:rFonts w:cstheme="minorHAnsi"/>
          <w:bCs/>
        </w:rPr>
        <w:t xml:space="preserve">, </w:t>
      </w:r>
      <w:r w:rsidR="005956C3" w:rsidRPr="004737C5">
        <w:rPr>
          <w:rFonts w:cstheme="minorHAnsi"/>
          <w:bCs/>
        </w:rPr>
        <w:t xml:space="preserve">as in </w:t>
      </w:r>
      <w:r w:rsidRPr="004737C5">
        <w:rPr>
          <w:rFonts w:cstheme="minorHAnsi"/>
          <w:bCs/>
        </w:rPr>
        <w:t>previous versions of the UNGCP. The app</w:t>
      </w:r>
      <w:r w:rsidR="005956C3" w:rsidRPr="004737C5">
        <w:rPr>
          <w:rFonts w:cstheme="minorHAnsi"/>
          <w:bCs/>
        </w:rPr>
        <w:t>lication of the UNGCP to s</w:t>
      </w:r>
      <w:r w:rsidR="009B5EA1" w:rsidRPr="004737C5">
        <w:rPr>
          <w:rFonts w:cstheme="minorHAnsi"/>
          <w:bCs/>
        </w:rPr>
        <w:t>tate-owned enterprises under g</w:t>
      </w:r>
      <w:r w:rsidRPr="004737C5">
        <w:rPr>
          <w:rFonts w:cstheme="minorHAnsi"/>
          <w:bCs/>
        </w:rPr>
        <w:t>uideline 2 is also significant, as it explicitly b</w:t>
      </w:r>
      <w:r w:rsidR="00C83B72" w:rsidRPr="004737C5">
        <w:rPr>
          <w:rFonts w:cstheme="minorHAnsi"/>
          <w:bCs/>
        </w:rPr>
        <w:t>i</w:t>
      </w:r>
      <w:r w:rsidR="005956C3" w:rsidRPr="004737C5">
        <w:rPr>
          <w:rFonts w:cstheme="minorHAnsi"/>
          <w:bCs/>
        </w:rPr>
        <w:t>nds states’</w:t>
      </w:r>
      <w:r w:rsidRPr="004737C5">
        <w:rPr>
          <w:rFonts w:cstheme="minorHAnsi"/>
          <w:bCs/>
        </w:rPr>
        <w:t xml:space="preserve"> commercial activities to consumer protection principles. </w:t>
      </w:r>
    </w:p>
    <w:p w14:paraId="458F8FFC" w14:textId="77777777" w:rsidR="00843222" w:rsidRPr="004737C5" w:rsidRDefault="00106A59" w:rsidP="006D3BE8">
      <w:pPr>
        <w:rPr>
          <w:rFonts w:cstheme="minorHAnsi"/>
          <w:b/>
          <w:bCs/>
        </w:rPr>
      </w:pPr>
      <w:r w:rsidRPr="004737C5">
        <w:rPr>
          <w:rFonts w:cstheme="minorHAnsi"/>
          <w:bCs/>
        </w:rPr>
        <w:t>The text is set out in full in b</w:t>
      </w:r>
      <w:r w:rsidR="00843222" w:rsidRPr="004737C5">
        <w:rPr>
          <w:rFonts w:cstheme="minorHAnsi"/>
          <w:bCs/>
        </w:rPr>
        <w:t xml:space="preserve">ox 1 and the relevant associated sections of the UNGCP </w:t>
      </w:r>
      <w:r w:rsidR="007C7433" w:rsidRPr="004737C5">
        <w:rPr>
          <w:rFonts w:cstheme="minorHAnsi"/>
          <w:bCs/>
        </w:rPr>
        <w:t>and of the manual are indicated.</w:t>
      </w:r>
    </w:p>
    <w:p w14:paraId="2F938F57" w14:textId="77777777" w:rsidR="00843222" w:rsidRPr="004737C5" w:rsidRDefault="00843222" w:rsidP="006D3BE8">
      <w:pPr>
        <w:pBdr>
          <w:top w:val="single" w:sz="4" w:space="1" w:color="auto"/>
          <w:left w:val="single" w:sz="4" w:space="4" w:color="auto"/>
          <w:bottom w:val="single" w:sz="4" w:space="1" w:color="auto"/>
          <w:right w:val="single" w:sz="4" w:space="4" w:color="auto"/>
        </w:pBdr>
        <w:rPr>
          <w:rFonts w:cstheme="minorHAnsi"/>
          <w:b/>
          <w:bCs/>
          <w:i/>
        </w:rPr>
      </w:pPr>
      <w:r w:rsidRPr="004737C5">
        <w:rPr>
          <w:rFonts w:cstheme="minorHAnsi"/>
          <w:b/>
          <w:bCs/>
        </w:rPr>
        <w:t>Box</w:t>
      </w:r>
      <w:r w:rsidR="005956C3" w:rsidRPr="004737C5">
        <w:rPr>
          <w:rFonts w:cstheme="minorHAnsi"/>
          <w:b/>
          <w:bCs/>
        </w:rPr>
        <w:t xml:space="preserve"> </w:t>
      </w:r>
      <w:r w:rsidR="00291489" w:rsidRPr="004737C5">
        <w:rPr>
          <w:rFonts w:cstheme="minorHAnsi"/>
          <w:b/>
          <w:bCs/>
        </w:rPr>
        <w:t>1: UNGCP section IV p</w:t>
      </w:r>
      <w:r w:rsidRPr="004737C5">
        <w:rPr>
          <w:rFonts w:cstheme="minorHAnsi"/>
          <w:b/>
          <w:bCs/>
        </w:rPr>
        <w:t>rinciples for good business practices</w:t>
      </w:r>
    </w:p>
    <w:p w14:paraId="4AEEB972" w14:textId="77777777" w:rsidR="00843222" w:rsidRPr="004737C5" w:rsidRDefault="00843222" w:rsidP="0046696C">
      <w:pPr>
        <w:pStyle w:val="Default"/>
        <w:pBdr>
          <w:top w:val="single" w:sz="4" w:space="1" w:color="auto"/>
          <w:left w:val="single" w:sz="4" w:space="4" w:color="auto"/>
          <w:bottom w:val="single" w:sz="4" w:space="1" w:color="auto"/>
          <w:right w:val="single" w:sz="4" w:space="4" w:color="auto"/>
        </w:pBdr>
        <w:spacing w:after="160" w:line="240" w:lineRule="auto"/>
        <w:jc w:val="both"/>
        <w:rPr>
          <w:rFonts w:asciiTheme="minorHAnsi" w:hAnsiTheme="minorHAnsi" w:cstheme="minorHAnsi"/>
          <w:bCs/>
          <w:sz w:val="22"/>
          <w:szCs w:val="22"/>
        </w:rPr>
      </w:pPr>
      <w:r w:rsidRPr="004737C5">
        <w:rPr>
          <w:rFonts w:asciiTheme="minorHAnsi" w:hAnsiTheme="minorHAnsi" w:cstheme="minorHAnsi"/>
          <w:bCs/>
          <w:sz w:val="22"/>
          <w:szCs w:val="22"/>
        </w:rPr>
        <w:t>11. The principles that establish benchmarks for good business practic</w:t>
      </w:r>
      <w:r w:rsidR="00893068" w:rsidRPr="004737C5">
        <w:rPr>
          <w:rFonts w:asciiTheme="minorHAnsi" w:hAnsiTheme="minorHAnsi" w:cstheme="minorHAnsi"/>
          <w:bCs/>
          <w:sz w:val="22"/>
          <w:szCs w:val="22"/>
        </w:rPr>
        <w:t>e for conducting online and off</w:t>
      </w:r>
      <w:r w:rsidRPr="004737C5">
        <w:rPr>
          <w:rFonts w:asciiTheme="minorHAnsi" w:hAnsiTheme="minorHAnsi" w:cstheme="minorHAnsi"/>
          <w:bCs/>
          <w:sz w:val="22"/>
          <w:szCs w:val="22"/>
        </w:rPr>
        <w:t>line commercial activities with consu</w:t>
      </w:r>
      <w:r w:rsidR="00893068" w:rsidRPr="004737C5">
        <w:rPr>
          <w:rFonts w:asciiTheme="minorHAnsi" w:hAnsiTheme="minorHAnsi" w:cstheme="minorHAnsi"/>
          <w:bCs/>
          <w:sz w:val="22"/>
          <w:szCs w:val="22"/>
        </w:rPr>
        <w:t xml:space="preserve">mers are as follows: </w:t>
      </w:r>
    </w:p>
    <w:p w14:paraId="434D3723" w14:textId="77777777" w:rsidR="00843222" w:rsidRPr="004737C5" w:rsidRDefault="00843222"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
          <w:bCs/>
          <w:sz w:val="22"/>
          <w:szCs w:val="22"/>
        </w:rPr>
      </w:pPr>
      <w:r w:rsidRPr="004737C5">
        <w:rPr>
          <w:rFonts w:asciiTheme="minorHAnsi" w:hAnsiTheme="minorHAnsi" w:cstheme="minorHAnsi"/>
          <w:b/>
          <w:bCs/>
          <w:sz w:val="22"/>
          <w:szCs w:val="22"/>
        </w:rPr>
        <w:t xml:space="preserve">a) Fair and equitable treatment </w:t>
      </w:r>
    </w:p>
    <w:p w14:paraId="044902B3" w14:textId="77777777" w:rsidR="00843222" w:rsidRPr="004737C5" w:rsidRDefault="00843222"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sz w:val="22"/>
          <w:szCs w:val="22"/>
        </w:rPr>
      </w:pPr>
      <w:r w:rsidRPr="004737C5">
        <w:rPr>
          <w:rFonts w:asciiTheme="minorHAnsi" w:hAnsiTheme="minorHAnsi" w:cstheme="minorHAnsi"/>
          <w:sz w:val="22"/>
          <w:szCs w:val="22"/>
        </w:rPr>
        <w:t xml:space="preserve">Businesses should deal fairly and honestly with consumers at all stages of their relationship, so that it is an integral part of the business culture. Businesses should avoid practices that harm consumers, particularly with respect to vulnerable and disadvantaged consumers. </w:t>
      </w:r>
    </w:p>
    <w:p w14:paraId="7FF93D5A" w14:textId="77777777" w:rsidR="00843222" w:rsidRPr="004737C5" w:rsidRDefault="00C83B72" w:rsidP="0046696C">
      <w:pPr>
        <w:pStyle w:val="Default"/>
        <w:pBdr>
          <w:top w:val="single" w:sz="4" w:space="1" w:color="auto"/>
          <w:left w:val="single" w:sz="4" w:space="4" w:color="auto"/>
          <w:bottom w:val="single" w:sz="4" w:space="1" w:color="auto"/>
          <w:right w:val="single" w:sz="4" w:space="4" w:color="auto"/>
        </w:pBdr>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t xml:space="preserve">(see </w:t>
      </w:r>
      <w:r w:rsidR="00291489" w:rsidRPr="004737C5">
        <w:rPr>
          <w:rFonts w:asciiTheme="minorHAnsi" w:hAnsiTheme="minorHAnsi" w:cstheme="minorHAnsi"/>
          <w:sz w:val="22"/>
          <w:szCs w:val="22"/>
        </w:rPr>
        <w:t>UNGCP: section V.</w:t>
      </w:r>
      <w:r w:rsidR="00843222" w:rsidRPr="004737C5">
        <w:rPr>
          <w:rFonts w:asciiTheme="minorHAnsi" w:hAnsiTheme="minorHAnsi" w:cstheme="minorHAnsi"/>
          <w:sz w:val="22"/>
          <w:szCs w:val="22"/>
        </w:rPr>
        <w:t xml:space="preserve">B on physical </w:t>
      </w:r>
      <w:r w:rsidR="00291489" w:rsidRPr="004737C5">
        <w:rPr>
          <w:rFonts w:asciiTheme="minorHAnsi" w:hAnsiTheme="minorHAnsi" w:cstheme="minorHAnsi"/>
          <w:sz w:val="22"/>
          <w:szCs w:val="22"/>
        </w:rPr>
        <w:t>safety;</w:t>
      </w:r>
      <w:r w:rsidR="004240DC" w:rsidRPr="004737C5">
        <w:rPr>
          <w:rFonts w:asciiTheme="minorHAnsi" w:hAnsiTheme="minorHAnsi" w:cstheme="minorHAnsi"/>
          <w:sz w:val="22"/>
          <w:szCs w:val="22"/>
        </w:rPr>
        <w:t xml:space="preserve"> UNCTAD manual: chapter IX</w:t>
      </w:r>
      <w:r w:rsidR="00843222" w:rsidRPr="004737C5">
        <w:rPr>
          <w:rFonts w:asciiTheme="minorHAnsi" w:hAnsiTheme="minorHAnsi" w:cstheme="minorHAnsi"/>
          <w:sz w:val="22"/>
          <w:szCs w:val="22"/>
        </w:rPr>
        <w:t xml:space="preserve"> on product safety and liability</w:t>
      </w:r>
      <w:r w:rsidRPr="004737C5">
        <w:rPr>
          <w:rFonts w:asciiTheme="minorHAnsi" w:hAnsiTheme="minorHAnsi" w:cstheme="minorHAnsi"/>
          <w:sz w:val="22"/>
          <w:szCs w:val="22"/>
        </w:rPr>
        <w:t>)</w:t>
      </w:r>
    </w:p>
    <w:p w14:paraId="17B3ABF8" w14:textId="77777777" w:rsidR="00843222" w:rsidRPr="004737C5" w:rsidRDefault="00893068"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
          <w:bCs/>
          <w:sz w:val="22"/>
          <w:szCs w:val="22"/>
        </w:rPr>
      </w:pPr>
      <w:r w:rsidRPr="004737C5">
        <w:rPr>
          <w:rFonts w:asciiTheme="minorHAnsi" w:hAnsiTheme="minorHAnsi" w:cstheme="minorHAnsi"/>
          <w:b/>
          <w:bCs/>
          <w:sz w:val="22"/>
          <w:szCs w:val="22"/>
        </w:rPr>
        <w:t>b) Commercial b</w:t>
      </w:r>
      <w:r w:rsidR="00843222" w:rsidRPr="004737C5">
        <w:rPr>
          <w:rFonts w:asciiTheme="minorHAnsi" w:hAnsiTheme="minorHAnsi" w:cstheme="minorHAnsi"/>
          <w:b/>
          <w:bCs/>
          <w:sz w:val="22"/>
          <w:szCs w:val="22"/>
        </w:rPr>
        <w:t xml:space="preserve">ehaviour </w:t>
      </w:r>
    </w:p>
    <w:p w14:paraId="62D90FC0" w14:textId="77777777" w:rsidR="00843222" w:rsidRPr="004737C5" w:rsidRDefault="00843222"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sz w:val="22"/>
          <w:szCs w:val="22"/>
        </w:rPr>
      </w:pPr>
      <w:r w:rsidRPr="004737C5">
        <w:rPr>
          <w:rFonts w:asciiTheme="minorHAnsi" w:hAnsiTheme="minorHAnsi" w:cstheme="minorHAnsi"/>
          <w:sz w:val="22"/>
          <w:szCs w:val="22"/>
        </w:rPr>
        <w:t>Businesses should not subject consumers to illegal</w:t>
      </w:r>
      <w:r w:rsidR="00893068" w:rsidRPr="004737C5">
        <w:rPr>
          <w:rFonts w:asciiTheme="minorHAnsi" w:hAnsiTheme="minorHAnsi" w:cstheme="minorHAnsi"/>
          <w:sz w:val="22"/>
          <w:szCs w:val="22"/>
        </w:rPr>
        <w:t>, unethical, discriminatory</w:t>
      </w:r>
      <w:r w:rsidRPr="004737C5">
        <w:rPr>
          <w:rFonts w:asciiTheme="minorHAnsi" w:hAnsiTheme="minorHAnsi" w:cstheme="minorHAnsi"/>
          <w:sz w:val="22"/>
          <w:szCs w:val="22"/>
        </w:rPr>
        <w:t xml:space="preserve"> or deceptive practices, such as abusive marketing t</w:t>
      </w:r>
      <w:r w:rsidR="00893068" w:rsidRPr="004737C5">
        <w:rPr>
          <w:rFonts w:asciiTheme="minorHAnsi" w:hAnsiTheme="minorHAnsi" w:cstheme="minorHAnsi"/>
          <w:sz w:val="22"/>
          <w:szCs w:val="22"/>
        </w:rPr>
        <w:t>actics, abusive debt collection</w:t>
      </w:r>
      <w:r w:rsidRPr="004737C5">
        <w:rPr>
          <w:rFonts w:asciiTheme="minorHAnsi" w:hAnsiTheme="minorHAnsi" w:cstheme="minorHAnsi"/>
          <w:sz w:val="22"/>
          <w:szCs w:val="22"/>
        </w:rPr>
        <w:t xml:space="preserve"> or other improper behaviour that may pose unnecessary risks or harm consumers. Businesses and their authorized agents should have due regard for the interests of consumers and responsibility for upholding consumer protection as </w:t>
      </w:r>
      <w:r w:rsidR="00C83B72" w:rsidRPr="004737C5">
        <w:rPr>
          <w:rFonts w:asciiTheme="minorHAnsi" w:hAnsiTheme="minorHAnsi" w:cstheme="minorHAnsi"/>
          <w:sz w:val="22"/>
          <w:szCs w:val="22"/>
        </w:rPr>
        <w:t xml:space="preserve">an </w:t>
      </w:r>
      <w:r w:rsidRPr="004737C5">
        <w:rPr>
          <w:rFonts w:asciiTheme="minorHAnsi" w:hAnsiTheme="minorHAnsi" w:cstheme="minorHAnsi"/>
          <w:sz w:val="22"/>
          <w:szCs w:val="22"/>
        </w:rPr>
        <w:t>objective.</w:t>
      </w:r>
    </w:p>
    <w:p w14:paraId="3C3E1D9B" w14:textId="77777777" w:rsidR="00843222" w:rsidRPr="004737C5" w:rsidRDefault="00C83B72" w:rsidP="0046696C">
      <w:pPr>
        <w:pStyle w:val="Default"/>
        <w:pBdr>
          <w:top w:val="single" w:sz="4" w:space="1" w:color="auto"/>
          <w:left w:val="single" w:sz="4" w:space="4" w:color="auto"/>
          <w:bottom w:val="single" w:sz="4" w:space="1" w:color="auto"/>
          <w:right w:val="single" w:sz="4" w:space="4" w:color="auto"/>
        </w:pBdr>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t xml:space="preserve">(see </w:t>
      </w:r>
      <w:r w:rsidR="00291489" w:rsidRPr="004737C5">
        <w:rPr>
          <w:rFonts w:asciiTheme="minorHAnsi" w:hAnsiTheme="minorHAnsi" w:cstheme="minorHAnsi"/>
          <w:sz w:val="22"/>
          <w:szCs w:val="22"/>
        </w:rPr>
        <w:t>UNGCP: section V.</w:t>
      </w:r>
      <w:r w:rsidR="00843222" w:rsidRPr="004737C5">
        <w:rPr>
          <w:rFonts w:asciiTheme="minorHAnsi" w:hAnsiTheme="minorHAnsi" w:cstheme="minorHAnsi"/>
          <w:sz w:val="22"/>
          <w:szCs w:val="22"/>
        </w:rPr>
        <w:t>J on financial ser</w:t>
      </w:r>
      <w:r w:rsidR="00291489" w:rsidRPr="004737C5">
        <w:rPr>
          <w:rFonts w:asciiTheme="minorHAnsi" w:hAnsiTheme="minorHAnsi" w:cstheme="minorHAnsi"/>
          <w:sz w:val="22"/>
          <w:szCs w:val="22"/>
        </w:rPr>
        <w:t>vices;</w:t>
      </w:r>
      <w:r w:rsidR="004240DC" w:rsidRPr="004737C5">
        <w:rPr>
          <w:rFonts w:asciiTheme="minorHAnsi" w:hAnsiTheme="minorHAnsi" w:cstheme="minorHAnsi"/>
          <w:sz w:val="22"/>
          <w:szCs w:val="22"/>
        </w:rPr>
        <w:t xml:space="preserve"> UNCTAD manual: chapter XIV</w:t>
      </w:r>
      <w:r w:rsidR="00843222" w:rsidRPr="004737C5">
        <w:rPr>
          <w:rFonts w:asciiTheme="minorHAnsi" w:hAnsiTheme="minorHAnsi" w:cstheme="minorHAnsi"/>
          <w:sz w:val="22"/>
          <w:szCs w:val="22"/>
        </w:rPr>
        <w:t xml:space="preserve"> on financial services</w:t>
      </w:r>
      <w:r w:rsidRPr="004737C5">
        <w:rPr>
          <w:rFonts w:asciiTheme="minorHAnsi" w:hAnsiTheme="minorHAnsi" w:cstheme="minorHAnsi"/>
          <w:sz w:val="22"/>
          <w:szCs w:val="22"/>
        </w:rPr>
        <w:t>)</w:t>
      </w:r>
      <w:r w:rsidR="00893068" w:rsidRPr="004737C5">
        <w:rPr>
          <w:rFonts w:asciiTheme="minorHAnsi" w:hAnsiTheme="minorHAnsi" w:cstheme="minorHAnsi"/>
          <w:sz w:val="22"/>
          <w:szCs w:val="22"/>
        </w:rPr>
        <w:t>.</w:t>
      </w:r>
    </w:p>
    <w:p w14:paraId="36028984" w14:textId="77777777" w:rsidR="00843222" w:rsidRPr="004737C5" w:rsidRDefault="00843222" w:rsidP="006D3BE8">
      <w:pPr>
        <w:pBdr>
          <w:top w:val="single" w:sz="4" w:space="1" w:color="auto"/>
          <w:left w:val="single" w:sz="4" w:space="4" w:color="auto"/>
          <w:bottom w:val="single" w:sz="4" w:space="1" w:color="auto"/>
          <w:right w:val="single" w:sz="4" w:space="4" w:color="auto"/>
        </w:pBdr>
        <w:spacing w:after="0"/>
        <w:rPr>
          <w:rFonts w:cstheme="minorHAnsi"/>
          <w:b/>
          <w:bCs/>
        </w:rPr>
      </w:pPr>
      <w:r w:rsidRPr="004737C5">
        <w:rPr>
          <w:rFonts w:cstheme="minorHAnsi"/>
          <w:b/>
          <w:bCs/>
        </w:rPr>
        <w:t>c) Disclosure and transparency</w:t>
      </w:r>
    </w:p>
    <w:p w14:paraId="1A626E5D" w14:textId="1F4344E7" w:rsidR="00843222" w:rsidRPr="004737C5" w:rsidRDefault="00843222" w:rsidP="00893068">
      <w:pPr>
        <w:pBdr>
          <w:top w:val="single" w:sz="4" w:space="1" w:color="auto"/>
          <w:left w:val="single" w:sz="4" w:space="4" w:color="auto"/>
          <w:bottom w:val="single" w:sz="4" w:space="1" w:color="auto"/>
          <w:right w:val="single" w:sz="4" w:space="4" w:color="auto"/>
        </w:pBdr>
        <w:rPr>
          <w:rFonts w:cstheme="minorHAnsi"/>
        </w:rPr>
      </w:pPr>
      <w:r w:rsidRPr="004737C5">
        <w:rPr>
          <w:rFonts w:cstheme="minorHAnsi"/>
        </w:rPr>
        <w:t>Businesses should provide complete, accurate and not misl</w:t>
      </w:r>
      <w:r w:rsidR="00893068" w:rsidRPr="004737C5">
        <w:rPr>
          <w:rFonts w:cstheme="minorHAnsi"/>
        </w:rPr>
        <w:t>eading information regarding</w:t>
      </w:r>
      <w:r w:rsidRPr="004737C5">
        <w:rPr>
          <w:rFonts w:cstheme="minorHAnsi"/>
        </w:rPr>
        <w:t xml:space="preserve"> goods and services, terms, conditions, applicable fees and final costs to enable consumers to take informed decisions. Business should ensure easy access to this information, especially to the key terms and conditions, regardless of the means of technology used. </w:t>
      </w:r>
      <w:r w:rsidRPr="004737C5">
        <w:rPr>
          <w:rFonts w:cstheme="minorHAnsi"/>
        </w:rPr>
        <w:tab/>
      </w:r>
      <w:r w:rsidRPr="004737C5">
        <w:rPr>
          <w:rFonts w:cstheme="minorHAnsi"/>
        </w:rPr>
        <w:br/>
      </w:r>
      <w:r w:rsidR="00C83B72" w:rsidRPr="004737C5">
        <w:rPr>
          <w:rFonts w:cstheme="minorHAnsi"/>
        </w:rPr>
        <w:t xml:space="preserve">(see </w:t>
      </w:r>
      <w:r w:rsidR="00291489" w:rsidRPr="004737C5">
        <w:rPr>
          <w:rFonts w:cstheme="minorHAnsi"/>
        </w:rPr>
        <w:t>UNGCP: section V.</w:t>
      </w:r>
      <w:r w:rsidRPr="004737C5">
        <w:rPr>
          <w:rFonts w:cstheme="minorHAnsi"/>
        </w:rPr>
        <w:t>C on promotion and protection of consumers</w:t>
      </w:r>
      <w:r w:rsidR="002C56F7" w:rsidRPr="004737C5">
        <w:rPr>
          <w:rFonts w:cstheme="minorHAnsi"/>
        </w:rPr>
        <w:t>’ economic interests and</w:t>
      </w:r>
      <w:r w:rsidR="00291489" w:rsidRPr="004737C5">
        <w:rPr>
          <w:rFonts w:cstheme="minorHAnsi"/>
        </w:rPr>
        <w:t xml:space="preserve"> section V.</w:t>
      </w:r>
      <w:r w:rsidRPr="004737C5">
        <w:rPr>
          <w:rFonts w:cstheme="minorHAnsi"/>
        </w:rPr>
        <w:t>J on financial ser</w:t>
      </w:r>
      <w:r w:rsidR="00291489" w:rsidRPr="004737C5">
        <w:rPr>
          <w:rFonts w:cstheme="minorHAnsi"/>
        </w:rPr>
        <w:t>vices;</w:t>
      </w:r>
      <w:r w:rsidR="004240DC" w:rsidRPr="004737C5">
        <w:rPr>
          <w:rFonts w:cstheme="minorHAnsi"/>
        </w:rPr>
        <w:t xml:space="preserve"> UNCTAD manual: chapter X</w:t>
      </w:r>
      <w:r w:rsidRPr="004737C5">
        <w:rPr>
          <w:rFonts w:cstheme="minorHAnsi"/>
        </w:rPr>
        <w:t xml:space="preserve"> on consumer information and education</w:t>
      </w:r>
      <w:r w:rsidR="00C83B72" w:rsidRPr="004737C5">
        <w:rPr>
          <w:rFonts w:cstheme="minorHAnsi"/>
        </w:rPr>
        <w:t>)</w:t>
      </w:r>
      <w:r w:rsidR="00893068" w:rsidRPr="004737C5">
        <w:rPr>
          <w:rFonts w:cstheme="minorHAnsi"/>
        </w:rPr>
        <w:t>.</w:t>
      </w:r>
    </w:p>
    <w:p w14:paraId="4D309E5B" w14:textId="77777777" w:rsidR="00843222" w:rsidRPr="004737C5" w:rsidRDefault="00843222"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
          <w:bCs/>
          <w:sz w:val="22"/>
          <w:szCs w:val="22"/>
        </w:rPr>
      </w:pPr>
      <w:r w:rsidRPr="004737C5">
        <w:rPr>
          <w:rFonts w:asciiTheme="minorHAnsi" w:hAnsiTheme="minorHAnsi" w:cstheme="minorHAnsi"/>
          <w:b/>
          <w:bCs/>
          <w:sz w:val="22"/>
          <w:szCs w:val="22"/>
        </w:rPr>
        <w:t xml:space="preserve">d) Education and raising awareness </w:t>
      </w:r>
    </w:p>
    <w:p w14:paraId="5D37E837" w14:textId="77777777" w:rsidR="00843222" w:rsidRPr="004737C5" w:rsidRDefault="00843222"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sz w:val="22"/>
          <w:szCs w:val="22"/>
        </w:rPr>
      </w:pPr>
      <w:r w:rsidRPr="004737C5">
        <w:rPr>
          <w:rFonts w:asciiTheme="minorHAnsi" w:hAnsiTheme="minorHAnsi" w:cstheme="minorHAnsi"/>
          <w:sz w:val="22"/>
          <w:szCs w:val="22"/>
        </w:rPr>
        <w:t>Businesses should, as appropriate, develop programmes and mechanisms to assist consumers to d</w:t>
      </w:r>
      <w:r w:rsidR="00893068" w:rsidRPr="004737C5">
        <w:rPr>
          <w:rFonts w:asciiTheme="minorHAnsi" w:hAnsiTheme="minorHAnsi" w:cstheme="minorHAnsi"/>
          <w:sz w:val="22"/>
          <w:szCs w:val="22"/>
        </w:rPr>
        <w:t>evelop the knowledge and skills</w:t>
      </w:r>
      <w:r w:rsidRPr="004737C5">
        <w:rPr>
          <w:rFonts w:asciiTheme="minorHAnsi" w:hAnsiTheme="minorHAnsi" w:cstheme="minorHAnsi"/>
          <w:sz w:val="22"/>
          <w:szCs w:val="22"/>
        </w:rPr>
        <w:t xml:space="preserve"> necessary to understand risks, including financial ri</w:t>
      </w:r>
      <w:r w:rsidR="00893068" w:rsidRPr="004737C5">
        <w:rPr>
          <w:rFonts w:asciiTheme="minorHAnsi" w:hAnsiTheme="minorHAnsi" w:cstheme="minorHAnsi"/>
          <w:sz w:val="22"/>
          <w:szCs w:val="22"/>
        </w:rPr>
        <w:t>sks, to take informed decisions</w:t>
      </w:r>
      <w:r w:rsidRPr="004737C5">
        <w:rPr>
          <w:rFonts w:asciiTheme="minorHAnsi" w:hAnsiTheme="minorHAnsi" w:cstheme="minorHAnsi"/>
          <w:sz w:val="22"/>
          <w:szCs w:val="22"/>
        </w:rPr>
        <w:t xml:space="preserve"> and to access competent and professional advice and assistance, preferably from an independent third party, when needed. </w:t>
      </w:r>
    </w:p>
    <w:p w14:paraId="44D47A0B" w14:textId="77777777" w:rsidR="00843222" w:rsidRPr="004737C5" w:rsidRDefault="00C83B72" w:rsidP="0046696C">
      <w:pPr>
        <w:pStyle w:val="Default"/>
        <w:pBdr>
          <w:top w:val="single" w:sz="4" w:space="1" w:color="auto"/>
          <w:left w:val="single" w:sz="4" w:space="4" w:color="auto"/>
          <w:bottom w:val="single" w:sz="4" w:space="1" w:color="auto"/>
          <w:right w:val="single" w:sz="4" w:space="4" w:color="auto"/>
        </w:pBdr>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lastRenderedPageBreak/>
        <w:t xml:space="preserve">(see </w:t>
      </w:r>
      <w:r w:rsidR="00843222" w:rsidRPr="004737C5">
        <w:rPr>
          <w:rFonts w:asciiTheme="minorHAnsi" w:hAnsiTheme="minorHAnsi" w:cstheme="minorHAnsi"/>
          <w:sz w:val="22"/>
          <w:szCs w:val="22"/>
        </w:rPr>
        <w:t>UNGCP: section G on education and info</w:t>
      </w:r>
      <w:r w:rsidR="009B5EA1" w:rsidRPr="004737C5">
        <w:rPr>
          <w:rFonts w:asciiTheme="minorHAnsi" w:hAnsiTheme="minorHAnsi" w:cstheme="minorHAnsi"/>
          <w:sz w:val="22"/>
          <w:szCs w:val="22"/>
        </w:rPr>
        <w:t>rmation programmes, especially g</w:t>
      </w:r>
      <w:r w:rsidR="00843222" w:rsidRPr="004737C5">
        <w:rPr>
          <w:rFonts w:asciiTheme="minorHAnsi" w:hAnsiTheme="minorHAnsi" w:cstheme="minorHAnsi"/>
          <w:sz w:val="22"/>
          <w:szCs w:val="22"/>
        </w:rPr>
        <w:t>uideli</w:t>
      </w:r>
      <w:r w:rsidR="00291489" w:rsidRPr="004737C5">
        <w:rPr>
          <w:rFonts w:asciiTheme="minorHAnsi" w:hAnsiTheme="minorHAnsi" w:cstheme="minorHAnsi"/>
          <w:sz w:val="22"/>
          <w:szCs w:val="22"/>
        </w:rPr>
        <w:t>ne 46;</w:t>
      </w:r>
      <w:r w:rsidR="004240DC" w:rsidRPr="004737C5">
        <w:rPr>
          <w:rFonts w:asciiTheme="minorHAnsi" w:hAnsiTheme="minorHAnsi" w:cstheme="minorHAnsi"/>
          <w:sz w:val="22"/>
          <w:szCs w:val="22"/>
        </w:rPr>
        <w:t xml:space="preserve"> UNCTAD manual: chapter X</w:t>
      </w:r>
      <w:r w:rsidR="00843222" w:rsidRPr="004737C5">
        <w:rPr>
          <w:rFonts w:asciiTheme="minorHAnsi" w:hAnsiTheme="minorHAnsi" w:cstheme="minorHAnsi"/>
          <w:sz w:val="22"/>
          <w:szCs w:val="22"/>
        </w:rPr>
        <w:t xml:space="preserve"> on consumer information and education</w:t>
      </w:r>
      <w:r w:rsidRPr="004737C5">
        <w:rPr>
          <w:rFonts w:asciiTheme="minorHAnsi" w:hAnsiTheme="minorHAnsi" w:cstheme="minorHAnsi"/>
          <w:sz w:val="22"/>
          <w:szCs w:val="22"/>
        </w:rPr>
        <w:t>)</w:t>
      </w:r>
      <w:r w:rsidR="00893068" w:rsidRPr="004737C5">
        <w:rPr>
          <w:rFonts w:asciiTheme="minorHAnsi" w:hAnsiTheme="minorHAnsi" w:cstheme="minorHAnsi"/>
          <w:sz w:val="22"/>
          <w:szCs w:val="22"/>
        </w:rPr>
        <w:t xml:space="preserve">. </w:t>
      </w:r>
    </w:p>
    <w:p w14:paraId="265ADFB3" w14:textId="77777777" w:rsidR="00843222" w:rsidRPr="004737C5" w:rsidRDefault="00843222"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
          <w:bCs/>
          <w:sz w:val="22"/>
          <w:szCs w:val="22"/>
        </w:rPr>
      </w:pPr>
      <w:r w:rsidRPr="004737C5">
        <w:rPr>
          <w:rFonts w:asciiTheme="minorHAnsi" w:hAnsiTheme="minorHAnsi" w:cstheme="minorHAnsi"/>
          <w:b/>
          <w:bCs/>
          <w:sz w:val="22"/>
          <w:szCs w:val="22"/>
        </w:rPr>
        <w:t xml:space="preserve">e) Protection of privacy </w:t>
      </w:r>
    </w:p>
    <w:p w14:paraId="0744987E" w14:textId="77777777" w:rsidR="00843222" w:rsidRPr="004737C5" w:rsidRDefault="00843222" w:rsidP="006D3BE8">
      <w:pPr>
        <w:pBdr>
          <w:top w:val="single" w:sz="4" w:space="1" w:color="auto"/>
          <w:left w:val="single" w:sz="4" w:space="4" w:color="auto"/>
          <w:bottom w:val="single" w:sz="4" w:space="1" w:color="auto"/>
          <w:right w:val="single" w:sz="4" w:space="4" w:color="auto"/>
        </w:pBdr>
        <w:spacing w:after="0"/>
        <w:rPr>
          <w:rFonts w:cstheme="minorHAnsi"/>
        </w:rPr>
      </w:pPr>
      <w:r w:rsidRPr="004737C5">
        <w:rPr>
          <w:rFonts w:cstheme="minorHAnsi"/>
        </w:rPr>
        <w:t>Busi</w:t>
      </w:r>
      <w:r w:rsidR="00893068" w:rsidRPr="004737C5">
        <w:rPr>
          <w:rFonts w:cstheme="minorHAnsi"/>
        </w:rPr>
        <w:t>nesses should protect consumers’</w:t>
      </w:r>
      <w:r w:rsidRPr="004737C5">
        <w:rPr>
          <w:rFonts w:cstheme="minorHAnsi"/>
        </w:rPr>
        <w:t xml:space="preserve"> privacy through a combination of appropriate control, security, transparency and consent mechanisms relating to the collection and use of their personal data.</w:t>
      </w:r>
    </w:p>
    <w:p w14:paraId="6D9AD1AB" w14:textId="77777777" w:rsidR="00843222" w:rsidRPr="004737C5" w:rsidRDefault="00C83B72" w:rsidP="00893068">
      <w:pPr>
        <w:pBdr>
          <w:top w:val="single" w:sz="4" w:space="1" w:color="auto"/>
          <w:left w:val="single" w:sz="4" w:space="4" w:color="auto"/>
          <w:bottom w:val="single" w:sz="4" w:space="1" w:color="auto"/>
          <w:right w:val="single" w:sz="4" w:space="4" w:color="auto"/>
        </w:pBdr>
        <w:rPr>
          <w:rFonts w:cstheme="minorHAnsi"/>
        </w:rPr>
      </w:pPr>
      <w:r w:rsidRPr="004737C5">
        <w:rPr>
          <w:rFonts w:cstheme="minorHAnsi"/>
        </w:rPr>
        <w:t xml:space="preserve">(see </w:t>
      </w:r>
      <w:r w:rsidR="009B5EA1" w:rsidRPr="004737C5">
        <w:rPr>
          <w:rFonts w:cstheme="minorHAnsi"/>
        </w:rPr>
        <w:t>UNGCP: Guidelines 5k</w:t>
      </w:r>
      <w:r w:rsidR="00843222" w:rsidRPr="004737C5">
        <w:rPr>
          <w:rFonts w:cstheme="minorHAnsi"/>
        </w:rPr>
        <w:t xml:space="preserve"> and </w:t>
      </w:r>
      <w:r w:rsidR="009B5EA1" w:rsidRPr="004737C5">
        <w:rPr>
          <w:rFonts w:cstheme="minorHAnsi"/>
        </w:rPr>
        <w:t>66g;</w:t>
      </w:r>
      <w:r w:rsidR="004240DC" w:rsidRPr="004737C5">
        <w:rPr>
          <w:rFonts w:cstheme="minorHAnsi"/>
        </w:rPr>
        <w:t xml:space="preserve"> UNCTAD manual: chapter XIII</w:t>
      </w:r>
      <w:r w:rsidR="00843222" w:rsidRPr="004737C5">
        <w:rPr>
          <w:rFonts w:cstheme="minorHAnsi"/>
        </w:rPr>
        <w:t xml:space="preserve"> on privacy and data protection</w:t>
      </w:r>
      <w:r w:rsidRPr="004737C5">
        <w:rPr>
          <w:rFonts w:cstheme="minorHAnsi"/>
        </w:rPr>
        <w:t>)</w:t>
      </w:r>
      <w:r w:rsidR="00893068" w:rsidRPr="004737C5">
        <w:rPr>
          <w:rFonts w:cstheme="minorHAnsi"/>
        </w:rPr>
        <w:t>.</w:t>
      </w:r>
    </w:p>
    <w:p w14:paraId="676A7A4A" w14:textId="77777777" w:rsidR="00843222" w:rsidRPr="004737C5" w:rsidRDefault="00843222" w:rsidP="006D3BE8">
      <w:pPr>
        <w:pStyle w:val="Default"/>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
          <w:bCs/>
          <w:sz w:val="22"/>
          <w:szCs w:val="22"/>
        </w:rPr>
      </w:pPr>
      <w:r w:rsidRPr="004737C5">
        <w:rPr>
          <w:rFonts w:asciiTheme="minorHAnsi" w:hAnsiTheme="minorHAnsi" w:cstheme="minorHAnsi"/>
          <w:b/>
          <w:bCs/>
          <w:sz w:val="22"/>
          <w:szCs w:val="22"/>
        </w:rPr>
        <w:t xml:space="preserve">f) Consumer complaints and disputes </w:t>
      </w:r>
    </w:p>
    <w:p w14:paraId="7AE25BBF" w14:textId="77777777" w:rsidR="00843222" w:rsidRPr="004737C5" w:rsidRDefault="00843222" w:rsidP="006D3BE8">
      <w:pPr>
        <w:pBdr>
          <w:top w:val="single" w:sz="4" w:space="1" w:color="auto"/>
          <w:left w:val="single" w:sz="4" w:space="4" w:color="auto"/>
          <w:bottom w:val="single" w:sz="4" w:space="1" w:color="auto"/>
          <w:right w:val="single" w:sz="4" w:space="4" w:color="auto"/>
        </w:pBdr>
        <w:spacing w:after="0"/>
        <w:rPr>
          <w:rFonts w:cstheme="minorHAnsi"/>
        </w:rPr>
      </w:pPr>
      <w:r w:rsidRPr="004737C5">
        <w:rPr>
          <w:rFonts w:cstheme="minorHAnsi"/>
        </w:rPr>
        <w:t>Businesses should make available complaints handling mechanisms that provide consumers with expeditious, fair, transparent, inexpensive, accessible, speedy and effective dispute resolution without unnecessary cost or burden. Businesses should consider subscribing to domestic and international standards, pertaining to internal complaints handling, alternative dispute resolution services, and customer satisfaction codes.</w:t>
      </w:r>
    </w:p>
    <w:p w14:paraId="58E699AF" w14:textId="77777777" w:rsidR="00843222" w:rsidRPr="004737C5" w:rsidRDefault="00C83B72" w:rsidP="00893068">
      <w:pPr>
        <w:pBdr>
          <w:top w:val="single" w:sz="4" w:space="1" w:color="auto"/>
          <w:left w:val="single" w:sz="4" w:space="4" w:color="auto"/>
          <w:bottom w:val="single" w:sz="4" w:space="1" w:color="auto"/>
          <w:right w:val="single" w:sz="4" w:space="4" w:color="auto"/>
        </w:pBdr>
        <w:rPr>
          <w:rFonts w:cstheme="minorHAnsi"/>
        </w:rPr>
      </w:pPr>
      <w:r w:rsidRPr="004737C5">
        <w:rPr>
          <w:rFonts w:cstheme="minorHAnsi"/>
        </w:rPr>
        <w:t xml:space="preserve">(see </w:t>
      </w:r>
      <w:r w:rsidR="004240DC" w:rsidRPr="004737C5">
        <w:rPr>
          <w:rFonts w:cstheme="minorHAnsi"/>
        </w:rPr>
        <w:t>UNGCP: section V.</w:t>
      </w:r>
      <w:r w:rsidR="00843222" w:rsidRPr="004737C5">
        <w:rPr>
          <w:rFonts w:cstheme="minorHAnsi"/>
        </w:rPr>
        <w:t>F on dispute resolution and r</w:t>
      </w:r>
      <w:r w:rsidR="004240DC" w:rsidRPr="004737C5">
        <w:rPr>
          <w:rFonts w:cstheme="minorHAnsi"/>
        </w:rPr>
        <w:t>edress; UNCTAD manual: chapter XI</w:t>
      </w:r>
      <w:r w:rsidR="00843222" w:rsidRPr="004737C5">
        <w:rPr>
          <w:rFonts w:cstheme="minorHAnsi"/>
        </w:rPr>
        <w:t xml:space="preserve"> on </w:t>
      </w:r>
      <w:r w:rsidR="004240DC" w:rsidRPr="004737C5">
        <w:rPr>
          <w:rFonts w:cstheme="minorHAnsi"/>
        </w:rPr>
        <w:t>c</w:t>
      </w:r>
      <w:r w:rsidR="00843222" w:rsidRPr="004737C5">
        <w:rPr>
          <w:rFonts w:cstheme="minorHAnsi"/>
        </w:rPr>
        <w:t xml:space="preserve">onsumer </w:t>
      </w:r>
      <w:r w:rsidR="004240DC" w:rsidRPr="004737C5">
        <w:rPr>
          <w:rFonts w:cstheme="minorHAnsi"/>
        </w:rPr>
        <w:t>dispute r</w:t>
      </w:r>
      <w:r w:rsidRPr="004737C5">
        <w:rPr>
          <w:rFonts w:cstheme="minorHAnsi"/>
        </w:rPr>
        <w:t xml:space="preserve">esolution and </w:t>
      </w:r>
      <w:r w:rsidR="004240DC" w:rsidRPr="004737C5">
        <w:rPr>
          <w:rFonts w:cstheme="minorHAnsi"/>
        </w:rPr>
        <w:t>r</w:t>
      </w:r>
      <w:r w:rsidR="00843222" w:rsidRPr="004737C5">
        <w:rPr>
          <w:rFonts w:cstheme="minorHAnsi"/>
        </w:rPr>
        <w:t>edress</w:t>
      </w:r>
      <w:r w:rsidRPr="004737C5">
        <w:rPr>
          <w:rFonts w:cstheme="minorHAnsi"/>
        </w:rPr>
        <w:t>)</w:t>
      </w:r>
      <w:r w:rsidR="00893068" w:rsidRPr="004737C5">
        <w:rPr>
          <w:rFonts w:cstheme="minorHAnsi"/>
        </w:rPr>
        <w:t>.</w:t>
      </w:r>
    </w:p>
    <w:p w14:paraId="21A2AC9D" w14:textId="2559F899" w:rsidR="00843222" w:rsidRPr="004737C5" w:rsidRDefault="00843222" w:rsidP="00893068">
      <w:pPr>
        <w:pBdr>
          <w:top w:val="single" w:sz="4" w:space="1" w:color="auto"/>
          <w:left w:val="single" w:sz="4" w:space="4" w:color="auto"/>
          <w:bottom w:val="single" w:sz="4" w:space="1" w:color="auto"/>
          <w:right w:val="single" w:sz="4" w:space="4" w:color="auto"/>
        </w:pBdr>
        <w:rPr>
          <w:rFonts w:cstheme="minorHAnsi"/>
          <w:sz w:val="20"/>
          <w:szCs w:val="20"/>
        </w:rPr>
      </w:pPr>
      <w:r w:rsidRPr="004737C5">
        <w:rPr>
          <w:rFonts w:cstheme="minorHAnsi"/>
          <w:i/>
          <w:sz w:val="20"/>
          <w:szCs w:val="20"/>
        </w:rPr>
        <w:t>Source</w:t>
      </w:r>
      <w:r w:rsidR="00893068" w:rsidRPr="004737C5">
        <w:rPr>
          <w:rFonts w:cstheme="minorHAnsi"/>
          <w:sz w:val="20"/>
          <w:szCs w:val="20"/>
        </w:rPr>
        <w:t>: UNCTAD</w:t>
      </w:r>
      <w:r w:rsidR="002D603B" w:rsidRPr="004737C5">
        <w:rPr>
          <w:rFonts w:cstheme="minorHAnsi"/>
          <w:sz w:val="20"/>
          <w:szCs w:val="20"/>
        </w:rPr>
        <w:t>.</w:t>
      </w:r>
    </w:p>
    <w:p w14:paraId="78C4B4EF" w14:textId="76562A45" w:rsidR="00843222" w:rsidRPr="004737C5" w:rsidRDefault="00843222" w:rsidP="006D3BE8">
      <w:pPr>
        <w:rPr>
          <w:rFonts w:cstheme="minorHAnsi"/>
          <w:i/>
        </w:rPr>
      </w:pPr>
      <w:r w:rsidRPr="004737C5">
        <w:rPr>
          <w:rFonts w:cstheme="minorHAnsi"/>
        </w:rPr>
        <w:t>With the notable exception of privacy,</w:t>
      </w:r>
      <w:r w:rsidR="009B5EA1" w:rsidRPr="004737C5">
        <w:rPr>
          <w:rFonts w:cstheme="minorHAnsi"/>
        </w:rPr>
        <w:t xml:space="preserve"> many of the new principles in g</w:t>
      </w:r>
      <w:r w:rsidRPr="004737C5">
        <w:rPr>
          <w:rFonts w:cstheme="minorHAnsi"/>
        </w:rPr>
        <w:t>uideline 11 were covered, or at least touched upon, in the preceding version of the UNGCP, albeit scattered in differ</w:t>
      </w:r>
      <w:r w:rsidR="00291489" w:rsidRPr="004737C5">
        <w:rPr>
          <w:rFonts w:cstheme="minorHAnsi"/>
        </w:rPr>
        <w:t>ent sections, in particular s</w:t>
      </w:r>
      <w:r w:rsidRPr="004737C5">
        <w:rPr>
          <w:rFonts w:cstheme="minorHAnsi"/>
        </w:rPr>
        <w:t xml:space="preserve">ection V.C on the </w:t>
      </w:r>
      <w:r w:rsidR="001B23E4" w:rsidRPr="004737C5">
        <w:rPr>
          <w:rFonts w:cstheme="minorHAnsi"/>
        </w:rPr>
        <w:t>“</w:t>
      </w:r>
      <w:r w:rsidRPr="004737C5">
        <w:rPr>
          <w:rFonts w:cstheme="minorHAnsi"/>
        </w:rPr>
        <w:t>promot</w:t>
      </w:r>
      <w:r w:rsidR="001B23E4" w:rsidRPr="004737C5">
        <w:rPr>
          <w:rFonts w:cstheme="minorHAnsi"/>
        </w:rPr>
        <w:t>ion and protection of consumers’</w:t>
      </w:r>
      <w:r w:rsidRPr="004737C5">
        <w:rPr>
          <w:rFonts w:cstheme="minorHAnsi"/>
        </w:rPr>
        <w:t xml:space="preserve"> economic interests</w:t>
      </w:r>
      <w:r w:rsidR="001B23E4" w:rsidRPr="004737C5">
        <w:rPr>
          <w:rFonts w:cstheme="minorHAnsi"/>
        </w:rPr>
        <w:t>”</w:t>
      </w:r>
      <w:r w:rsidRPr="004737C5">
        <w:rPr>
          <w:rFonts w:cstheme="minorHAnsi"/>
        </w:rPr>
        <w:t>. Apart from the above new section, busines</w:t>
      </w:r>
      <w:r w:rsidR="009B5EA1" w:rsidRPr="004737C5">
        <w:rPr>
          <w:rFonts w:cstheme="minorHAnsi"/>
        </w:rPr>
        <w:t>s conduct is also addressed in g</w:t>
      </w:r>
      <w:r w:rsidRPr="004737C5">
        <w:rPr>
          <w:rFonts w:cstheme="minorHAnsi"/>
        </w:rPr>
        <w:t>u</w:t>
      </w:r>
      <w:r w:rsidR="001B23E4" w:rsidRPr="004737C5">
        <w:rPr>
          <w:rFonts w:cstheme="minorHAnsi"/>
        </w:rPr>
        <w:t>ideline 9, which restates that “</w:t>
      </w:r>
      <w:r w:rsidRPr="004737C5">
        <w:rPr>
          <w:rFonts w:cstheme="minorHAnsi"/>
        </w:rPr>
        <w:t>all enterprises should obey the relevant laws and regulations of the countries in which they do business</w:t>
      </w:r>
      <w:r w:rsidR="001B23E4" w:rsidRPr="004737C5">
        <w:rPr>
          <w:rFonts w:cstheme="minorHAnsi"/>
        </w:rPr>
        <w:t>”.</w:t>
      </w:r>
      <w:r w:rsidRPr="004737C5">
        <w:rPr>
          <w:rFonts w:cstheme="minorHAnsi"/>
          <w:i/>
        </w:rPr>
        <w:t xml:space="preserve"> </w:t>
      </w:r>
      <w:r w:rsidRPr="004737C5">
        <w:rPr>
          <w:rFonts w:cstheme="minorHAnsi"/>
          <w:iCs/>
        </w:rPr>
        <w:t>There are</w:t>
      </w:r>
      <w:r w:rsidR="009B5EA1" w:rsidRPr="004737C5">
        <w:rPr>
          <w:rFonts w:cstheme="minorHAnsi"/>
          <w:iCs/>
        </w:rPr>
        <w:t xml:space="preserve"> other relevant guidelines: a) g</w:t>
      </w:r>
      <w:r w:rsidRPr="004737C5">
        <w:rPr>
          <w:rFonts w:cstheme="minorHAnsi"/>
          <w:iCs/>
        </w:rPr>
        <w:t>uideline 18 refers to the obligati</w:t>
      </w:r>
      <w:r w:rsidR="009B5EA1" w:rsidRPr="004737C5">
        <w:rPr>
          <w:rFonts w:cstheme="minorHAnsi"/>
          <w:iCs/>
        </w:rPr>
        <w:t>on for hazard notification; b) g</w:t>
      </w:r>
      <w:r w:rsidRPr="004737C5">
        <w:rPr>
          <w:rFonts w:cstheme="minorHAnsi"/>
          <w:iCs/>
        </w:rPr>
        <w:t>uideline 25 deals with spare par</w:t>
      </w:r>
      <w:r w:rsidR="009B5EA1" w:rsidRPr="004737C5">
        <w:rPr>
          <w:rFonts w:cstheme="minorHAnsi"/>
          <w:iCs/>
        </w:rPr>
        <w:t>ts and after sales service; c) g</w:t>
      </w:r>
      <w:r w:rsidRPr="004737C5">
        <w:rPr>
          <w:rFonts w:cstheme="minorHAnsi"/>
          <w:iCs/>
        </w:rPr>
        <w:t>uidelines 26 and 27 go into greater detai</w:t>
      </w:r>
      <w:r w:rsidR="00291489" w:rsidRPr="004737C5">
        <w:rPr>
          <w:rFonts w:cstheme="minorHAnsi"/>
          <w:iCs/>
        </w:rPr>
        <w:t>l on the principles set out in s</w:t>
      </w:r>
      <w:r w:rsidRPr="004737C5">
        <w:rPr>
          <w:rFonts w:cstheme="minorHAnsi"/>
          <w:iCs/>
        </w:rPr>
        <w:t>ection IV; d) section V.F on dispute resolution and redr</w:t>
      </w:r>
      <w:r w:rsidR="009B5EA1" w:rsidRPr="004737C5">
        <w:rPr>
          <w:rFonts w:cstheme="minorHAnsi"/>
          <w:iCs/>
        </w:rPr>
        <w:t>ess fleshes out the content of guideline 11f</w:t>
      </w:r>
      <w:r w:rsidRPr="004737C5">
        <w:rPr>
          <w:rFonts w:cstheme="minorHAnsi"/>
          <w:iCs/>
        </w:rPr>
        <w:t xml:space="preserve"> </w:t>
      </w:r>
      <w:r w:rsidR="009B5EA1" w:rsidRPr="004737C5">
        <w:rPr>
          <w:rFonts w:cstheme="minorHAnsi"/>
          <w:iCs/>
        </w:rPr>
        <w:t>reproduced in b</w:t>
      </w:r>
      <w:r w:rsidR="00C83B72" w:rsidRPr="004737C5">
        <w:rPr>
          <w:rFonts w:cstheme="minorHAnsi"/>
          <w:iCs/>
        </w:rPr>
        <w:t>ox 1</w:t>
      </w:r>
      <w:r w:rsidR="009B5EA1" w:rsidRPr="004737C5">
        <w:rPr>
          <w:rFonts w:cstheme="minorHAnsi"/>
          <w:iCs/>
        </w:rPr>
        <w:t>; e) g</w:t>
      </w:r>
      <w:r w:rsidRPr="004737C5">
        <w:rPr>
          <w:rFonts w:cstheme="minorHAnsi"/>
          <w:iCs/>
        </w:rPr>
        <w:t>uideline 46 encourages business to take part in consumer education and information programs</w:t>
      </w:r>
      <w:r w:rsidR="009B5EA1" w:rsidRPr="004737C5">
        <w:rPr>
          <w:rFonts w:cstheme="minorHAnsi"/>
          <w:iCs/>
        </w:rPr>
        <w:t>; f) g</w:t>
      </w:r>
      <w:r w:rsidR="001B23E4" w:rsidRPr="004737C5">
        <w:rPr>
          <w:rFonts w:cstheme="minorHAnsi"/>
          <w:iCs/>
        </w:rPr>
        <w:t>uideline 50 states that “b</w:t>
      </w:r>
      <w:r w:rsidRPr="004737C5">
        <w:rPr>
          <w:rFonts w:cstheme="minorHAnsi"/>
          <w:iCs/>
        </w:rPr>
        <w:t>usiness has a responsibility for promoting sustainable consumption through the design, production and distribution of goods and services</w:t>
      </w:r>
      <w:r w:rsidR="002C56F7" w:rsidRPr="004737C5">
        <w:rPr>
          <w:rFonts w:cstheme="minorHAnsi"/>
          <w:iCs/>
        </w:rPr>
        <w:t>”;</w:t>
      </w:r>
      <w:r w:rsidRPr="004737C5">
        <w:rPr>
          <w:rFonts w:cstheme="minorHAnsi"/>
          <w:iCs/>
        </w:rPr>
        <w:t xml:space="preserve"> and finally g) busi</w:t>
      </w:r>
      <w:r w:rsidR="00291489" w:rsidRPr="004737C5">
        <w:rPr>
          <w:rFonts w:cstheme="minorHAnsi"/>
          <w:iCs/>
        </w:rPr>
        <w:t>ness is encouraged throughout s</w:t>
      </w:r>
      <w:r w:rsidRPr="004737C5">
        <w:rPr>
          <w:rFonts w:cstheme="minorHAnsi"/>
          <w:iCs/>
        </w:rPr>
        <w:t>ection</w:t>
      </w:r>
      <w:r w:rsidRPr="004737C5">
        <w:rPr>
          <w:rFonts w:cstheme="minorHAnsi"/>
        </w:rPr>
        <w:t xml:space="preserve"> H to take part in the general promotion of sustainable consumption.</w:t>
      </w:r>
      <w:r w:rsidRPr="004737C5">
        <w:rPr>
          <w:rFonts w:cstheme="minorHAnsi"/>
          <w:i/>
        </w:rPr>
        <w:t xml:space="preserve"> </w:t>
      </w:r>
    </w:p>
    <w:p w14:paraId="2D5E33FB" w14:textId="5641EA8D" w:rsidR="00843222" w:rsidRPr="004737C5" w:rsidRDefault="003F08AB" w:rsidP="006D3BE8">
      <w:pPr>
        <w:rPr>
          <w:rFonts w:cstheme="minorHAnsi"/>
        </w:rPr>
      </w:pPr>
      <w:r w:rsidRPr="004737C5">
        <w:rPr>
          <w:rFonts w:cstheme="minorHAnsi"/>
        </w:rPr>
        <w:t>The UNGCP broach</w:t>
      </w:r>
      <w:r w:rsidR="00843222" w:rsidRPr="004737C5">
        <w:rPr>
          <w:rFonts w:cstheme="minorHAnsi"/>
        </w:rPr>
        <w:t xml:space="preserve"> issues of se</w:t>
      </w:r>
      <w:r w:rsidR="009B5EA1" w:rsidRPr="004737C5">
        <w:rPr>
          <w:rFonts w:cstheme="minorHAnsi"/>
        </w:rPr>
        <w:t>lf-regulation in g</w:t>
      </w:r>
      <w:r w:rsidR="001B23E4" w:rsidRPr="004737C5">
        <w:rPr>
          <w:rFonts w:cstheme="minorHAnsi"/>
        </w:rPr>
        <w:t>uideline 31: “Member S</w:t>
      </w:r>
      <w:r w:rsidR="00073835" w:rsidRPr="004737C5">
        <w:rPr>
          <w:rFonts w:cstheme="minorHAnsi"/>
        </w:rPr>
        <w:t>tates</w:t>
      </w:r>
      <w:r w:rsidR="00843222" w:rsidRPr="004737C5">
        <w:rPr>
          <w:rFonts w:cstheme="minorHAnsi"/>
        </w:rPr>
        <w:t xml:space="preserve"> should, within their own national context, encourage the formulation and implementation by business, in cooperation with consumer organizations, of codes of marketing and other business practices to ensure adequate consumer protection. Voluntary agreements may also be established jointly by business, consumer organizations and other interested parties. These codes should receive adequate publicity</w:t>
      </w:r>
      <w:r w:rsidR="001B23E4" w:rsidRPr="004737C5">
        <w:rPr>
          <w:rFonts w:cstheme="minorHAnsi"/>
        </w:rPr>
        <w:t>.”</w:t>
      </w:r>
      <w:r w:rsidR="00843222" w:rsidRPr="004737C5">
        <w:rPr>
          <w:rFonts w:cstheme="minorHAnsi"/>
        </w:rPr>
        <w:t xml:space="preserve"> This issue is discussed later in th</w:t>
      </w:r>
      <w:r w:rsidR="00073835" w:rsidRPr="004737C5">
        <w:rPr>
          <w:rFonts w:cstheme="minorHAnsi"/>
        </w:rPr>
        <w:t>is</w:t>
      </w:r>
      <w:r w:rsidR="00843222" w:rsidRPr="004737C5">
        <w:rPr>
          <w:rFonts w:cstheme="minorHAnsi"/>
        </w:rPr>
        <w:t xml:space="preserve"> chapter.</w:t>
      </w:r>
    </w:p>
    <w:p w14:paraId="11FCE11A" w14:textId="5AF56FAD" w:rsidR="00843222" w:rsidRPr="004737C5" w:rsidRDefault="00843222" w:rsidP="006D3BE8">
      <w:pPr>
        <w:rPr>
          <w:rFonts w:cstheme="minorHAnsi"/>
        </w:rPr>
      </w:pPr>
      <w:r w:rsidRPr="004737C5">
        <w:rPr>
          <w:rFonts w:cstheme="minorHAnsi"/>
        </w:rPr>
        <w:t xml:space="preserve">The UNCTAD 2013 survey on the implementation of the UNGCP reports briefly on self-regulation codes and agreements, noting that they have been promoted by consumer protection agencies and adopted by the private sector. These include self-regulation of advertising in Colombia and </w:t>
      </w:r>
      <w:r w:rsidR="002C56F7" w:rsidRPr="004737C5">
        <w:rPr>
          <w:rFonts w:cstheme="minorHAnsi"/>
        </w:rPr>
        <w:t>of marketing of cosmetics,</w:t>
      </w:r>
      <w:r w:rsidRPr="004737C5">
        <w:rPr>
          <w:rFonts w:cstheme="minorHAnsi"/>
        </w:rPr>
        <w:t xml:space="preserve"> food and drink to children in Mexic</w:t>
      </w:r>
      <w:r w:rsidR="004240DC" w:rsidRPr="004737C5">
        <w:rPr>
          <w:rFonts w:cstheme="minorHAnsi"/>
        </w:rPr>
        <w:t>o. As chapter X</w:t>
      </w:r>
      <w:r w:rsidR="001B23E4" w:rsidRPr="004737C5">
        <w:rPr>
          <w:rFonts w:cstheme="minorHAnsi"/>
        </w:rPr>
        <w:t xml:space="preserve"> discusses, </w:t>
      </w:r>
      <w:r w:rsidR="002C56F7" w:rsidRPr="004737C5">
        <w:rPr>
          <w:rFonts w:cstheme="minorHAnsi"/>
        </w:rPr>
        <w:t xml:space="preserve">the </w:t>
      </w:r>
      <w:r w:rsidRPr="004737C5">
        <w:rPr>
          <w:rFonts w:cstheme="minorHAnsi"/>
        </w:rPr>
        <w:t xml:space="preserve">United Kingdom </w:t>
      </w:r>
      <w:r w:rsidR="001B23E4" w:rsidRPr="004737C5">
        <w:rPr>
          <w:rFonts w:cstheme="minorHAnsi"/>
        </w:rPr>
        <w:t xml:space="preserve">of Great Britain and Northern Ireland </w:t>
      </w:r>
      <w:r w:rsidRPr="004737C5">
        <w:rPr>
          <w:rFonts w:cstheme="minorHAnsi"/>
        </w:rPr>
        <w:t>relies heavily on self-regulation for advertising, including sales promotion and direct marketing.</w:t>
      </w:r>
    </w:p>
    <w:p w14:paraId="2D546FC6" w14:textId="77777777" w:rsidR="00843222" w:rsidRPr="004737C5" w:rsidRDefault="00843222" w:rsidP="006D3BE8">
      <w:pPr>
        <w:rPr>
          <w:rFonts w:cstheme="minorHAnsi"/>
        </w:rPr>
      </w:pPr>
      <w:r w:rsidRPr="004737C5">
        <w:rPr>
          <w:rFonts w:cstheme="minorHAnsi"/>
        </w:rPr>
        <w:t>In Switzerland, self-regulation has been entirely privately initiated and is reported by UNCTAD as yielding very satisfactory results.</w:t>
      </w:r>
      <w:r w:rsidRPr="004737C5">
        <w:rPr>
          <w:rStyle w:val="FootnoteReference"/>
          <w:rFonts w:cstheme="minorHAnsi"/>
        </w:rPr>
        <w:footnoteReference w:id="79"/>
      </w:r>
      <w:r w:rsidRPr="004737C5">
        <w:rPr>
          <w:rFonts w:cstheme="minorHAnsi"/>
        </w:rPr>
        <w:t xml:space="preserve"> Although Swiss law does not mandate private codes of marketing </w:t>
      </w:r>
      <w:r w:rsidRPr="004737C5">
        <w:rPr>
          <w:rFonts w:cstheme="minorHAnsi"/>
        </w:rPr>
        <w:lastRenderedPageBreak/>
        <w:t>or other business practices, the marketing sector has formulated its own, which is based on the Federal Act against Unfair Competition. If a business violates this code, a consumer can file a complaint at a private commission, which will decide whether the code has been violated. This commission is t</w:t>
      </w:r>
      <w:r w:rsidR="001B23E4" w:rsidRPr="004737C5">
        <w:rPr>
          <w:rFonts w:cstheme="minorHAnsi"/>
        </w:rPr>
        <w:t>he executive body of the Swiss f</w:t>
      </w:r>
      <w:r w:rsidRPr="004737C5">
        <w:rPr>
          <w:rFonts w:cstheme="minorHAnsi"/>
        </w:rPr>
        <w:t>oundation for fair business practices whose members are the principal private organizations and associations in the Swiss marketing sector.</w:t>
      </w:r>
      <w:r w:rsidRPr="004737C5">
        <w:rPr>
          <w:rStyle w:val="FootnoteReference"/>
          <w:rFonts w:cstheme="minorHAnsi"/>
        </w:rPr>
        <w:footnoteReference w:id="80"/>
      </w:r>
    </w:p>
    <w:p w14:paraId="1B50C3CB" w14:textId="77777777" w:rsidR="001B23E4" w:rsidRPr="004737C5" w:rsidRDefault="001B23E4" w:rsidP="009771AD">
      <w:pPr>
        <w:spacing w:before="200"/>
        <w:rPr>
          <w:rFonts w:cstheme="minorHAnsi"/>
          <w:color w:val="5B9BD5" w:themeColor="accent1"/>
          <w:sz w:val="24"/>
          <w:szCs w:val="24"/>
        </w:rPr>
      </w:pPr>
      <w:bookmarkStart w:id="54" w:name="_Toc492650007"/>
      <w:r w:rsidRPr="004737C5">
        <w:rPr>
          <w:rStyle w:val="Heading2Char"/>
          <w:rFonts w:cstheme="minorHAnsi"/>
          <w:color w:val="auto"/>
          <w:sz w:val="24"/>
          <w:szCs w:val="24"/>
        </w:rPr>
        <w:t>B.</w:t>
      </w:r>
      <w:r w:rsidR="00843222" w:rsidRPr="004737C5">
        <w:rPr>
          <w:rStyle w:val="Heading2Char"/>
          <w:rFonts w:cstheme="minorHAnsi"/>
          <w:color w:val="auto"/>
          <w:sz w:val="24"/>
          <w:szCs w:val="24"/>
        </w:rPr>
        <w:t xml:space="preserve"> Corporate social responsibility</w:t>
      </w:r>
      <w:bookmarkEnd w:id="54"/>
      <w:r w:rsidR="00843222" w:rsidRPr="004737C5">
        <w:rPr>
          <w:rFonts w:cstheme="minorHAnsi"/>
          <w:color w:val="5B9BD5" w:themeColor="accent1"/>
          <w:sz w:val="24"/>
          <w:szCs w:val="24"/>
        </w:rPr>
        <w:tab/>
      </w:r>
    </w:p>
    <w:p w14:paraId="0473F374" w14:textId="77777777" w:rsidR="00843222" w:rsidRPr="004737C5" w:rsidRDefault="00843222" w:rsidP="001B23E4">
      <w:pPr>
        <w:rPr>
          <w:rFonts w:cstheme="minorHAnsi"/>
          <w:color w:val="5B9BD5" w:themeColor="accent1"/>
          <w:sz w:val="24"/>
          <w:szCs w:val="24"/>
        </w:rPr>
      </w:pPr>
      <w:r w:rsidRPr="004737C5">
        <w:rPr>
          <w:rFonts w:cstheme="minorHAnsi"/>
        </w:rPr>
        <w:t>Corporate social responsibility (CSR) is about good corporate citizensh</w:t>
      </w:r>
      <w:r w:rsidR="001B23E4" w:rsidRPr="004737C5">
        <w:rPr>
          <w:rFonts w:cstheme="minorHAnsi"/>
        </w:rPr>
        <w:t>ip. It covers a range of issues</w:t>
      </w:r>
      <w:r w:rsidRPr="004737C5">
        <w:rPr>
          <w:rFonts w:cstheme="minorHAnsi"/>
        </w:rPr>
        <w:t xml:space="preserve"> such as human rights and environmental matters that go beyond transactions between consumers and business. Interest in CSR has intensified since the publication of the last revision of this manual, resulting in important publications</w:t>
      </w:r>
      <w:r w:rsidR="001B23E4" w:rsidRPr="004737C5">
        <w:rPr>
          <w:rFonts w:cstheme="minorHAnsi"/>
        </w:rPr>
        <w:t xml:space="preserve"> such as ISO 26000 Guidance S</w:t>
      </w:r>
      <w:r w:rsidRPr="004737C5">
        <w:rPr>
          <w:rFonts w:cstheme="minorHAnsi"/>
        </w:rPr>
        <w:t>tandard on Social Responsibility</w:t>
      </w:r>
      <w:r w:rsidRPr="004737C5">
        <w:rPr>
          <w:rStyle w:val="FootnoteReference"/>
          <w:rFonts w:cstheme="minorHAnsi"/>
        </w:rPr>
        <w:footnoteReference w:id="81"/>
      </w:r>
      <w:r w:rsidR="001B23E4" w:rsidRPr="004737C5">
        <w:rPr>
          <w:rFonts w:cstheme="minorHAnsi"/>
        </w:rPr>
        <w:t xml:space="preserve"> and the OECD guidelines for m</w:t>
      </w:r>
      <w:r w:rsidRPr="004737C5">
        <w:rPr>
          <w:rFonts w:cstheme="minorHAnsi"/>
        </w:rPr>
        <w:t>ultinational enterprises.</w:t>
      </w:r>
      <w:r w:rsidRPr="004737C5">
        <w:rPr>
          <w:rStyle w:val="FootnoteReference"/>
          <w:rFonts w:cstheme="minorHAnsi"/>
        </w:rPr>
        <w:footnoteReference w:id="82"/>
      </w:r>
    </w:p>
    <w:p w14:paraId="6F4F5F29" w14:textId="77777777" w:rsidR="00843222" w:rsidRPr="004737C5" w:rsidRDefault="00843222" w:rsidP="006D3BE8">
      <w:pPr>
        <w:rPr>
          <w:rFonts w:cstheme="minorHAnsi"/>
        </w:rPr>
      </w:pPr>
      <w:r w:rsidRPr="004737C5">
        <w:rPr>
          <w:rFonts w:cstheme="minorHAnsi"/>
        </w:rPr>
        <w:t>However, the notion</w:t>
      </w:r>
      <w:r w:rsidR="001B23E4" w:rsidRPr="004737C5">
        <w:rPr>
          <w:rFonts w:cstheme="minorHAnsi"/>
        </w:rPr>
        <w:t xml:space="preserve"> of CSR is not new. There were “model employers”</w:t>
      </w:r>
      <w:r w:rsidRPr="004737C5">
        <w:rPr>
          <w:rFonts w:cstheme="minorHAnsi"/>
        </w:rPr>
        <w:t xml:space="preserve"> in </w:t>
      </w:r>
      <w:r w:rsidR="001B23E4" w:rsidRPr="004737C5">
        <w:rPr>
          <w:rFonts w:cstheme="minorHAnsi"/>
        </w:rPr>
        <w:t xml:space="preserve">nineteenth century Europe, which </w:t>
      </w:r>
      <w:r w:rsidRPr="004737C5">
        <w:rPr>
          <w:rFonts w:cstheme="minorHAnsi"/>
        </w:rPr>
        <w:t>were preceded by the New Lanark model village factories of Robert Owen in Scotland, a utopian project later transplanted to United States</w:t>
      </w:r>
      <w:r w:rsidR="001B23E4" w:rsidRPr="004737C5">
        <w:rPr>
          <w:rFonts w:cstheme="minorHAnsi"/>
        </w:rPr>
        <w:t xml:space="preserve"> of America</w:t>
      </w:r>
      <w:r w:rsidRPr="004737C5">
        <w:rPr>
          <w:rFonts w:cstheme="minorHAnsi"/>
        </w:rPr>
        <w:t>. The 1920s saw the development of the concept of socially responsible investment, which has also experienced a renaissance</w:t>
      </w:r>
      <w:r w:rsidR="004240DC" w:rsidRPr="004737C5">
        <w:rPr>
          <w:rFonts w:cstheme="minorHAnsi"/>
        </w:rPr>
        <w:t xml:space="preserve"> in recent years. Chapter V</w:t>
      </w:r>
      <w:r w:rsidR="001B23E4" w:rsidRPr="004737C5">
        <w:rPr>
          <w:rFonts w:cstheme="minorHAnsi"/>
        </w:rPr>
        <w:t xml:space="preserve"> </w:t>
      </w:r>
      <w:r w:rsidRPr="004737C5">
        <w:rPr>
          <w:rFonts w:cstheme="minorHAnsi"/>
        </w:rPr>
        <w:t xml:space="preserve">already </w:t>
      </w:r>
      <w:r w:rsidR="00603928" w:rsidRPr="004737C5">
        <w:rPr>
          <w:rFonts w:cstheme="minorHAnsi"/>
        </w:rPr>
        <w:t>mention</w:t>
      </w:r>
      <w:r w:rsidRPr="004737C5">
        <w:rPr>
          <w:rFonts w:cstheme="minorHAnsi"/>
        </w:rPr>
        <w:t>ed how the consumer cooperative movement developed in Europe during the nineteenth century.</w:t>
      </w:r>
      <w:r w:rsidRPr="004737C5">
        <w:rPr>
          <w:rStyle w:val="FootnoteReference"/>
          <w:rFonts w:cstheme="minorHAnsi"/>
        </w:rPr>
        <w:footnoteReference w:id="83"/>
      </w:r>
      <w:r w:rsidRPr="004737C5">
        <w:rPr>
          <w:rFonts w:cstheme="minorHAnsi"/>
        </w:rPr>
        <w:t xml:space="preserve"> Industrial cooperatives are still widespread in the Basque country</w:t>
      </w:r>
      <w:r w:rsidR="001B23E4" w:rsidRPr="004737C5">
        <w:rPr>
          <w:rFonts w:cstheme="minorHAnsi"/>
        </w:rPr>
        <w:t>,</w:t>
      </w:r>
      <w:r w:rsidRPr="004737C5">
        <w:rPr>
          <w:rFonts w:cstheme="minorHAnsi"/>
        </w:rPr>
        <w:t xml:space="preserve"> to take a well-known example, and to this day, cooperatives are recognized by the European Union as speaking for consumers. </w:t>
      </w:r>
    </w:p>
    <w:p w14:paraId="5302A6AC" w14:textId="77777777" w:rsidR="00843222" w:rsidRPr="004737C5" w:rsidRDefault="00843222" w:rsidP="006D3BE8">
      <w:pPr>
        <w:rPr>
          <w:rFonts w:cstheme="minorHAnsi"/>
        </w:rPr>
      </w:pPr>
      <w:r w:rsidRPr="004737C5">
        <w:rPr>
          <w:rFonts w:cstheme="minorHAnsi"/>
        </w:rPr>
        <w:t xml:space="preserve">The notion of CSR taps deeper roots than modern Western business concepts. The 2016 </w:t>
      </w:r>
      <w:r w:rsidR="001B23E4" w:rsidRPr="004737C5">
        <w:rPr>
          <w:rFonts w:cstheme="minorHAnsi"/>
          <w:i/>
        </w:rPr>
        <w:t>tour d’horizon</w:t>
      </w:r>
      <w:r w:rsidR="001B23E4" w:rsidRPr="004737C5">
        <w:rPr>
          <w:rFonts w:cstheme="minorHAnsi"/>
        </w:rPr>
        <w:t xml:space="preserve"> </w:t>
      </w:r>
      <w:r w:rsidRPr="004737C5">
        <w:rPr>
          <w:rFonts w:cstheme="minorHAnsi"/>
        </w:rPr>
        <w:t>by Christopher Hodges draws upon Rousseau’s social contract and John Rawls’ corporate citizenship.</w:t>
      </w:r>
      <w:r w:rsidRPr="004737C5">
        <w:rPr>
          <w:rStyle w:val="FootnoteReference"/>
          <w:rFonts w:cstheme="minorHAnsi"/>
        </w:rPr>
        <w:footnoteReference w:id="84"/>
      </w:r>
      <w:r w:rsidR="001B23E4" w:rsidRPr="004737C5">
        <w:rPr>
          <w:rFonts w:cstheme="minorHAnsi"/>
        </w:rPr>
        <w:t xml:space="preserve"> </w:t>
      </w:r>
      <w:r w:rsidRPr="004737C5">
        <w:rPr>
          <w:rFonts w:cstheme="minorHAnsi"/>
        </w:rPr>
        <w:t>The concept of CSR is spreading in India, taking in elements of Gandhian philosophy and its pr</w:t>
      </w:r>
      <w:r w:rsidR="00704F3D" w:rsidRPr="004737C5">
        <w:rPr>
          <w:rFonts w:cstheme="minorHAnsi"/>
        </w:rPr>
        <w:t>inciple of “trusteeship”</w:t>
      </w:r>
      <w:r w:rsidRPr="004737C5">
        <w:rPr>
          <w:rFonts w:cstheme="minorHAnsi"/>
        </w:rPr>
        <w:t xml:space="preserve">, the idea that </w:t>
      </w:r>
      <w:r w:rsidR="00704F3D" w:rsidRPr="004737C5">
        <w:rPr>
          <w:rFonts w:cstheme="minorHAnsi"/>
        </w:rPr>
        <w:t>citizens enjoy “delegated ownership”</w:t>
      </w:r>
      <w:r w:rsidRPr="004737C5">
        <w:rPr>
          <w:rFonts w:cstheme="minorHAnsi"/>
        </w:rPr>
        <w:t xml:space="preserve"> of the world. Laxmitant Sharma argues</w:t>
      </w:r>
      <w:r w:rsidR="00704F3D" w:rsidRPr="004737C5">
        <w:rPr>
          <w:rFonts w:cstheme="minorHAnsi"/>
        </w:rPr>
        <w:t xml:space="preserve"> that the duty of philanthropy “</w:t>
      </w:r>
      <w:r w:rsidRPr="004737C5">
        <w:rPr>
          <w:rFonts w:cstheme="minorHAnsi"/>
        </w:rPr>
        <w:t>correlates to the concept of CSR</w:t>
      </w:r>
      <w:r w:rsidR="00704F3D" w:rsidRPr="004737C5">
        <w:rPr>
          <w:rFonts w:cstheme="minorHAnsi"/>
        </w:rPr>
        <w:t>”</w:t>
      </w:r>
      <w:r w:rsidRPr="004737C5">
        <w:rPr>
          <w:rFonts w:cstheme="minorHAnsi"/>
          <w:i/>
        </w:rPr>
        <w:t xml:space="preserve"> </w:t>
      </w:r>
      <w:r w:rsidRPr="004737C5">
        <w:rPr>
          <w:rFonts w:cstheme="minorHAnsi"/>
        </w:rPr>
        <w:t>while stil</w:t>
      </w:r>
      <w:r w:rsidR="00704F3D" w:rsidRPr="004737C5">
        <w:rPr>
          <w:rFonts w:cstheme="minorHAnsi"/>
        </w:rPr>
        <w:t>l acting as a driver for growth</w:t>
      </w:r>
      <w:r w:rsidRPr="004737C5">
        <w:rPr>
          <w:rFonts w:cstheme="minorHAnsi"/>
        </w:rPr>
        <w:t xml:space="preserve"> and development of new markets.</w:t>
      </w:r>
      <w:r w:rsidRPr="004737C5">
        <w:rPr>
          <w:rStyle w:val="FootnoteReference"/>
          <w:rFonts w:cstheme="minorHAnsi"/>
        </w:rPr>
        <w:footnoteReference w:id="85"/>
      </w:r>
    </w:p>
    <w:p w14:paraId="27C0FB36" w14:textId="77777777" w:rsidR="00704F3D" w:rsidRPr="004737C5" w:rsidRDefault="00843222" w:rsidP="009771AD">
      <w:pPr>
        <w:spacing w:before="200"/>
        <w:rPr>
          <w:rFonts w:cstheme="minorHAnsi"/>
        </w:rPr>
      </w:pPr>
      <w:bookmarkStart w:id="55" w:name="_Toc492650008"/>
      <w:r w:rsidRPr="004737C5">
        <w:rPr>
          <w:rStyle w:val="Heading3Char"/>
          <w:rFonts w:cstheme="minorHAnsi"/>
          <w:color w:val="auto"/>
        </w:rPr>
        <w:t>1</w:t>
      </w:r>
      <w:r w:rsidR="00704F3D" w:rsidRPr="004737C5">
        <w:rPr>
          <w:rStyle w:val="Heading3Char"/>
          <w:rFonts w:cstheme="minorHAnsi"/>
          <w:color w:val="auto"/>
        </w:rPr>
        <w:t>.</w:t>
      </w:r>
      <w:r w:rsidRPr="004737C5">
        <w:rPr>
          <w:rStyle w:val="Heading3Char"/>
          <w:rFonts w:cstheme="minorHAnsi"/>
          <w:color w:val="auto"/>
        </w:rPr>
        <w:t xml:space="preserve"> European Union definitions of corporate social responsibility</w:t>
      </w:r>
      <w:bookmarkEnd w:id="55"/>
      <w:r w:rsidRPr="004737C5">
        <w:rPr>
          <w:rStyle w:val="Heading3Char"/>
          <w:rFonts w:cstheme="minorHAnsi"/>
        </w:rPr>
        <w:t xml:space="preserve"> </w:t>
      </w:r>
      <w:r w:rsidRPr="004737C5">
        <w:rPr>
          <w:rStyle w:val="Heading3Char"/>
          <w:rFonts w:cstheme="minorHAnsi"/>
        </w:rPr>
        <w:tab/>
      </w:r>
    </w:p>
    <w:p w14:paraId="31722195" w14:textId="77777777" w:rsidR="00843222" w:rsidRPr="004737C5" w:rsidRDefault="00843222" w:rsidP="00704F3D">
      <w:pPr>
        <w:rPr>
          <w:rFonts w:cstheme="minorHAnsi"/>
          <w:b/>
          <w:color w:val="5B9BD5" w:themeColor="accent1"/>
        </w:rPr>
      </w:pPr>
      <w:r w:rsidRPr="004737C5">
        <w:rPr>
          <w:rFonts w:cstheme="minorHAnsi"/>
        </w:rPr>
        <w:t>In its 2011 Communication, the European Commission put forward a simplified definition of CSR as “the responsibility of enterprises for their impacts on society”</w:t>
      </w:r>
      <w:r w:rsidRPr="004737C5">
        <w:rPr>
          <w:rFonts w:cstheme="minorHAnsi"/>
          <w:b/>
          <w:bCs/>
        </w:rPr>
        <w:t xml:space="preserve"> </w:t>
      </w:r>
      <w:r w:rsidRPr="004737C5">
        <w:rPr>
          <w:rFonts w:cstheme="minorHAnsi"/>
        </w:rPr>
        <w:t>and outlined what an enterprise should do to meet that responsibility “over and above their legal obligations”.</w:t>
      </w:r>
      <w:r w:rsidRPr="004737C5">
        <w:rPr>
          <w:rStyle w:val="FootnoteReference"/>
          <w:rFonts w:cstheme="minorHAnsi"/>
        </w:rPr>
        <w:footnoteReference w:id="86"/>
      </w:r>
      <w:r w:rsidR="00704F3D" w:rsidRPr="004737C5">
        <w:rPr>
          <w:rFonts w:cstheme="minorHAnsi"/>
        </w:rPr>
        <w:t xml:space="preserve"> Its previous definition was</w:t>
      </w:r>
      <w:r w:rsidRPr="004737C5">
        <w:rPr>
          <w:rFonts w:cstheme="minorHAnsi"/>
        </w:rPr>
        <w:t xml:space="preserve"> “a concept whereby companies integrate social and environmental concerns in their business operations and in their interaction with their stakeholders on a voluntary basis”.</w:t>
      </w:r>
      <w:r w:rsidRPr="004737C5">
        <w:rPr>
          <w:rStyle w:val="FootnoteReference"/>
          <w:rFonts w:cstheme="minorHAnsi"/>
        </w:rPr>
        <w:footnoteReference w:id="87"/>
      </w:r>
      <w:r w:rsidRPr="004737C5">
        <w:rPr>
          <w:rFonts w:cstheme="minorHAnsi"/>
        </w:rPr>
        <w:t xml:space="preserve"> Some express disappointment at the apparent shift of emphasis away from the voluntary nature of CSR </w:t>
      </w:r>
      <w:r w:rsidRPr="004737C5">
        <w:rPr>
          <w:rFonts w:cstheme="minorHAnsi"/>
        </w:rPr>
        <w:lastRenderedPageBreak/>
        <w:t>under the new definition,</w:t>
      </w:r>
      <w:r w:rsidRPr="004737C5" w:rsidDel="006620A3">
        <w:rPr>
          <w:rStyle w:val="FootnoteReference"/>
          <w:rFonts w:cstheme="minorHAnsi"/>
        </w:rPr>
        <w:t xml:space="preserve"> </w:t>
      </w:r>
      <w:r w:rsidRPr="004737C5">
        <w:rPr>
          <w:rFonts w:cstheme="minorHAnsi"/>
        </w:rPr>
        <w:t xml:space="preserve"> but the more succinct later definition is consistent with </w:t>
      </w:r>
      <w:r w:rsidRPr="004737C5">
        <w:rPr>
          <w:rFonts w:cstheme="minorHAnsi"/>
          <w:bCs/>
        </w:rPr>
        <w:t>internationally recognized CSR principles and guidelines</w:t>
      </w:r>
      <w:r w:rsidRPr="004737C5">
        <w:rPr>
          <w:rFonts w:cstheme="minorHAnsi"/>
        </w:rPr>
        <w:t>, such as OECD</w:t>
      </w:r>
      <w:r w:rsidRPr="004737C5">
        <w:rPr>
          <w:rStyle w:val="FootnoteReference"/>
          <w:rFonts w:cstheme="minorHAnsi"/>
        </w:rPr>
        <w:footnoteReference w:id="88"/>
      </w:r>
      <w:r w:rsidRPr="004737C5">
        <w:rPr>
          <w:rFonts w:cstheme="minorHAnsi"/>
        </w:rPr>
        <w:t xml:space="preserve"> and ISO documents. CSR was not envisaged by the European Union as limited to goods acquired through retail purchases, but as extending to services including public services.</w:t>
      </w:r>
      <w:r w:rsidRPr="004737C5">
        <w:rPr>
          <w:rStyle w:val="FootnoteReference"/>
          <w:rFonts w:cstheme="minorHAnsi"/>
        </w:rPr>
        <w:footnoteReference w:id="89"/>
      </w:r>
      <w:r w:rsidRPr="004737C5">
        <w:rPr>
          <w:rFonts w:cstheme="minorHAnsi"/>
        </w:rPr>
        <w:t xml:space="preserve"> </w:t>
      </w:r>
    </w:p>
    <w:p w14:paraId="027F183D" w14:textId="77777777" w:rsidR="00704F3D" w:rsidRPr="004737C5" w:rsidRDefault="00843222" w:rsidP="009771AD">
      <w:pPr>
        <w:autoSpaceDE w:val="0"/>
        <w:autoSpaceDN w:val="0"/>
        <w:adjustRightInd w:val="0"/>
        <w:spacing w:before="200"/>
        <w:rPr>
          <w:rFonts w:cstheme="minorHAnsi"/>
        </w:rPr>
      </w:pPr>
      <w:bookmarkStart w:id="56" w:name="_Toc492650009"/>
      <w:r w:rsidRPr="004737C5">
        <w:rPr>
          <w:rStyle w:val="Heading3Char"/>
          <w:rFonts w:cstheme="minorHAnsi"/>
          <w:color w:val="auto"/>
        </w:rPr>
        <w:t>2</w:t>
      </w:r>
      <w:r w:rsidR="00704F3D" w:rsidRPr="004737C5">
        <w:rPr>
          <w:rStyle w:val="Heading3Char"/>
          <w:rFonts w:cstheme="minorHAnsi"/>
          <w:color w:val="auto"/>
        </w:rPr>
        <w:t xml:space="preserve">. ISO 26000 guidance on </w:t>
      </w:r>
      <w:r w:rsidRPr="004737C5">
        <w:rPr>
          <w:rStyle w:val="Heading3Char"/>
          <w:rFonts w:cstheme="minorHAnsi"/>
          <w:color w:val="auto"/>
        </w:rPr>
        <w:t>social responsibility</w:t>
      </w:r>
      <w:bookmarkEnd w:id="56"/>
      <w:r w:rsidRPr="004737C5">
        <w:rPr>
          <w:rStyle w:val="Heading3Char"/>
          <w:rFonts w:cstheme="minorHAnsi"/>
        </w:rPr>
        <w:tab/>
      </w:r>
    </w:p>
    <w:p w14:paraId="60D19E18" w14:textId="1A09D951" w:rsidR="00843222" w:rsidRPr="004737C5" w:rsidRDefault="00843222" w:rsidP="00704F3D">
      <w:pPr>
        <w:autoSpaceDE w:val="0"/>
        <w:autoSpaceDN w:val="0"/>
        <w:adjustRightInd w:val="0"/>
        <w:rPr>
          <w:rFonts w:cstheme="minorHAnsi"/>
          <w:b/>
          <w:color w:val="5B9BD5" w:themeColor="accent1"/>
        </w:rPr>
      </w:pPr>
      <w:r w:rsidRPr="004737C5">
        <w:rPr>
          <w:rFonts w:cstheme="minorHAnsi"/>
        </w:rPr>
        <w:t xml:space="preserve">In 2002, ISO’s Consumer </w:t>
      </w:r>
      <w:r w:rsidR="00704F3D" w:rsidRPr="004737C5">
        <w:rPr>
          <w:rFonts w:cstheme="minorHAnsi"/>
        </w:rPr>
        <w:t>Policy Committee put forward a</w:t>
      </w:r>
      <w:r w:rsidRPr="004737C5">
        <w:rPr>
          <w:rFonts w:cstheme="minorHAnsi"/>
        </w:rPr>
        <w:t xml:space="preserve"> proposal for a ground-breaking standard on CSR. The negotiation process attracted enormous interest: one meeting had 400 participants. 70 countries were involved, some 80 consumer experts (including national delegations)</w:t>
      </w:r>
      <w:r w:rsidR="00704F3D" w:rsidRPr="004737C5">
        <w:rPr>
          <w:rFonts w:cstheme="minorHAnsi"/>
        </w:rPr>
        <w:t>,</w:t>
      </w:r>
      <w:r w:rsidRPr="004737C5">
        <w:rPr>
          <w:rFonts w:cstheme="minorHAnsi"/>
        </w:rPr>
        <w:t xml:space="preserve"> 30 liaison organizations and six stakeholder groups. ISO 26000 was published in November 2010.</w:t>
      </w:r>
      <w:r w:rsidRPr="004737C5">
        <w:rPr>
          <w:rStyle w:val="FootnoteReference"/>
          <w:rFonts w:cstheme="minorHAnsi"/>
        </w:rPr>
        <w:footnoteReference w:id="90"/>
      </w:r>
      <w:r w:rsidRPr="004737C5">
        <w:rPr>
          <w:rFonts w:cstheme="minorHAnsi"/>
        </w:rPr>
        <w:t xml:space="preserve"> </w:t>
      </w:r>
    </w:p>
    <w:p w14:paraId="64AAF8ED" w14:textId="77777777" w:rsidR="00843222" w:rsidRPr="004737C5" w:rsidRDefault="00843222" w:rsidP="006D3BE8">
      <w:pPr>
        <w:autoSpaceDE w:val="0"/>
        <w:autoSpaceDN w:val="0"/>
        <w:adjustRightInd w:val="0"/>
        <w:rPr>
          <w:rFonts w:cstheme="minorHAnsi"/>
        </w:rPr>
      </w:pPr>
      <w:r w:rsidRPr="004737C5">
        <w:rPr>
          <w:rFonts w:cstheme="minorHAnsi"/>
        </w:rPr>
        <w:t>This was the first time that consumer issu</w:t>
      </w:r>
      <w:r w:rsidR="00704F3D" w:rsidRPr="004737C5">
        <w:rPr>
          <w:rFonts w:cstheme="minorHAnsi"/>
        </w:rPr>
        <w:t>es were recognized by ISO as a “core issue”</w:t>
      </w:r>
      <w:r w:rsidRPr="004737C5">
        <w:rPr>
          <w:rFonts w:cstheme="minorHAnsi"/>
        </w:rPr>
        <w:t xml:space="preserve"> in social responsibility terms, but it is important to recognize that ISO 26000 covers a wider canvas. The following are the core issues: </w:t>
      </w:r>
    </w:p>
    <w:p w14:paraId="0E1C96C2" w14:textId="77777777" w:rsidR="00843222" w:rsidRPr="004737C5" w:rsidRDefault="00704F3D" w:rsidP="002473E9">
      <w:pPr>
        <w:pStyle w:val="ListParagraph"/>
        <w:numPr>
          <w:ilvl w:val="0"/>
          <w:numId w:val="39"/>
        </w:numPr>
        <w:tabs>
          <w:tab w:val="clear" w:pos="1080"/>
          <w:tab w:val="num" w:pos="709"/>
        </w:tabs>
        <w:ind w:left="709" w:hanging="425"/>
        <w:rPr>
          <w:rFonts w:cstheme="minorHAnsi"/>
        </w:rPr>
      </w:pPr>
      <w:r w:rsidRPr="004737C5">
        <w:rPr>
          <w:rFonts w:cstheme="minorHAnsi"/>
        </w:rPr>
        <w:t>Organizational governance</w:t>
      </w:r>
    </w:p>
    <w:p w14:paraId="79D05136" w14:textId="77777777" w:rsidR="00843222" w:rsidRPr="004737C5" w:rsidRDefault="00704F3D" w:rsidP="002473E9">
      <w:pPr>
        <w:pStyle w:val="ListParagraph"/>
        <w:numPr>
          <w:ilvl w:val="0"/>
          <w:numId w:val="39"/>
        </w:numPr>
        <w:tabs>
          <w:tab w:val="clear" w:pos="1080"/>
          <w:tab w:val="num" w:pos="709"/>
        </w:tabs>
        <w:ind w:left="709" w:hanging="425"/>
        <w:rPr>
          <w:rFonts w:cstheme="minorHAnsi"/>
        </w:rPr>
      </w:pPr>
      <w:r w:rsidRPr="004737C5">
        <w:rPr>
          <w:rFonts w:cstheme="minorHAnsi"/>
        </w:rPr>
        <w:t>Human rights</w:t>
      </w:r>
    </w:p>
    <w:p w14:paraId="47C8826C" w14:textId="77777777" w:rsidR="00843222" w:rsidRPr="004737C5" w:rsidRDefault="00704F3D" w:rsidP="002473E9">
      <w:pPr>
        <w:pStyle w:val="ListParagraph"/>
        <w:numPr>
          <w:ilvl w:val="0"/>
          <w:numId w:val="39"/>
        </w:numPr>
        <w:tabs>
          <w:tab w:val="clear" w:pos="1080"/>
          <w:tab w:val="num" w:pos="709"/>
        </w:tabs>
        <w:ind w:left="709" w:hanging="425"/>
        <w:rPr>
          <w:rFonts w:cstheme="minorHAnsi"/>
        </w:rPr>
      </w:pPr>
      <w:r w:rsidRPr="004737C5">
        <w:rPr>
          <w:rFonts w:cstheme="minorHAnsi"/>
        </w:rPr>
        <w:t>Labour</w:t>
      </w:r>
    </w:p>
    <w:p w14:paraId="7240422C" w14:textId="77777777" w:rsidR="00843222" w:rsidRPr="004737C5" w:rsidRDefault="00704F3D" w:rsidP="002473E9">
      <w:pPr>
        <w:pStyle w:val="ListParagraph"/>
        <w:numPr>
          <w:ilvl w:val="0"/>
          <w:numId w:val="39"/>
        </w:numPr>
        <w:tabs>
          <w:tab w:val="clear" w:pos="1080"/>
          <w:tab w:val="num" w:pos="709"/>
        </w:tabs>
        <w:ind w:left="709" w:hanging="425"/>
        <w:rPr>
          <w:rFonts w:cstheme="minorHAnsi"/>
        </w:rPr>
      </w:pPr>
      <w:r w:rsidRPr="004737C5">
        <w:rPr>
          <w:rFonts w:cstheme="minorHAnsi"/>
        </w:rPr>
        <w:t>Environment</w:t>
      </w:r>
    </w:p>
    <w:p w14:paraId="26378321" w14:textId="77777777" w:rsidR="00843222" w:rsidRPr="004737C5" w:rsidRDefault="00704F3D" w:rsidP="002473E9">
      <w:pPr>
        <w:pStyle w:val="ListParagraph"/>
        <w:numPr>
          <w:ilvl w:val="0"/>
          <w:numId w:val="39"/>
        </w:numPr>
        <w:tabs>
          <w:tab w:val="clear" w:pos="1080"/>
          <w:tab w:val="num" w:pos="709"/>
        </w:tabs>
        <w:ind w:left="709" w:hanging="425"/>
        <w:rPr>
          <w:rFonts w:cstheme="minorHAnsi"/>
        </w:rPr>
      </w:pPr>
      <w:r w:rsidRPr="004737C5">
        <w:rPr>
          <w:rFonts w:cstheme="minorHAnsi"/>
        </w:rPr>
        <w:t>Fair operating practices</w:t>
      </w:r>
    </w:p>
    <w:p w14:paraId="3AAE4741" w14:textId="77777777" w:rsidR="00843222" w:rsidRPr="004737C5" w:rsidRDefault="00704F3D" w:rsidP="002473E9">
      <w:pPr>
        <w:pStyle w:val="ListParagraph"/>
        <w:numPr>
          <w:ilvl w:val="0"/>
          <w:numId w:val="39"/>
        </w:numPr>
        <w:tabs>
          <w:tab w:val="clear" w:pos="1080"/>
          <w:tab w:val="num" w:pos="709"/>
        </w:tabs>
        <w:ind w:left="709" w:hanging="425"/>
        <w:rPr>
          <w:rFonts w:cstheme="minorHAnsi"/>
        </w:rPr>
      </w:pPr>
      <w:r w:rsidRPr="004737C5">
        <w:rPr>
          <w:rFonts w:cstheme="minorHAnsi"/>
        </w:rPr>
        <w:t>Consumer issues</w:t>
      </w:r>
    </w:p>
    <w:p w14:paraId="4AF06047" w14:textId="77777777" w:rsidR="00843222" w:rsidRPr="004737C5" w:rsidRDefault="00843222" w:rsidP="002473E9">
      <w:pPr>
        <w:pStyle w:val="ListParagraph"/>
        <w:numPr>
          <w:ilvl w:val="0"/>
          <w:numId w:val="39"/>
        </w:numPr>
        <w:tabs>
          <w:tab w:val="clear" w:pos="1080"/>
          <w:tab w:val="num" w:pos="709"/>
        </w:tabs>
        <w:ind w:left="709" w:hanging="425"/>
        <w:rPr>
          <w:rFonts w:cstheme="minorHAnsi"/>
        </w:rPr>
      </w:pPr>
      <w:r w:rsidRPr="004737C5">
        <w:rPr>
          <w:rFonts w:cstheme="minorHAnsi"/>
        </w:rPr>
        <w:t>Community involvement and develop</w:t>
      </w:r>
      <w:r w:rsidR="00704F3D" w:rsidRPr="004737C5">
        <w:rPr>
          <w:rFonts w:cstheme="minorHAnsi"/>
        </w:rPr>
        <w:t>ment</w:t>
      </w:r>
    </w:p>
    <w:p w14:paraId="02AA7191" w14:textId="77777777" w:rsidR="00843222" w:rsidRPr="004737C5" w:rsidRDefault="00704F3D" w:rsidP="006D3BE8">
      <w:pPr>
        <w:autoSpaceDE w:val="0"/>
        <w:autoSpaceDN w:val="0"/>
        <w:adjustRightInd w:val="0"/>
        <w:rPr>
          <w:rFonts w:cstheme="minorHAnsi"/>
        </w:rPr>
      </w:pPr>
      <w:r w:rsidRPr="004737C5">
        <w:rPr>
          <w:rFonts w:cstheme="minorHAnsi"/>
        </w:rPr>
        <w:t>ISO 26000 is not a “certifiable”</w:t>
      </w:r>
      <w:r w:rsidR="00843222" w:rsidRPr="004737C5">
        <w:rPr>
          <w:rFonts w:cstheme="minorHAnsi"/>
        </w:rPr>
        <w:t xml:space="preserve"> standard. That is to say it does not have precise quantifiable standards that can be measured and ag</w:t>
      </w:r>
      <w:r w:rsidRPr="004737C5">
        <w:rPr>
          <w:rFonts w:cstheme="minorHAnsi"/>
        </w:rPr>
        <w:t>ainst which enterprises can be “passed” or “</w:t>
      </w:r>
      <w:r w:rsidR="00843222" w:rsidRPr="004737C5">
        <w:rPr>
          <w:rFonts w:cstheme="minorHAnsi"/>
        </w:rPr>
        <w:t>failed</w:t>
      </w:r>
      <w:r w:rsidRPr="004737C5">
        <w:rPr>
          <w:rFonts w:cstheme="minorHAnsi"/>
        </w:rPr>
        <w:t>”.</w:t>
      </w:r>
      <w:r w:rsidR="00843222" w:rsidRPr="004737C5">
        <w:rPr>
          <w:rFonts w:cstheme="minorHAnsi"/>
        </w:rPr>
        <w:t xml:space="preserve"> It is a guidance standard, developed by consensus in the committee. Since it does not contain precise targets (in contrast to food standards, for example) it cannot amo</w:t>
      </w:r>
      <w:r w:rsidRPr="004737C5">
        <w:rPr>
          <w:rFonts w:cstheme="minorHAnsi"/>
        </w:rPr>
        <w:t>unt to a barrier to trade: no g</w:t>
      </w:r>
      <w:r w:rsidR="00843222" w:rsidRPr="004737C5">
        <w:rPr>
          <w:rFonts w:cstheme="minorHAnsi"/>
        </w:rPr>
        <w:t>overnment can ban imports of a product if the enterprise does not follow ISO 26000 in its production processes.</w:t>
      </w:r>
      <w:r w:rsidR="00843222" w:rsidRPr="004737C5">
        <w:rPr>
          <w:rStyle w:val="FootnoteReference"/>
          <w:rFonts w:cstheme="minorHAnsi"/>
        </w:rPr>
        <w:footnoteReference w:id="91"/>
      </w:r>
      <w:r w:rsidR="00843222" w:rsidRPr="004737C5">
        <w:rPr>
          <w:rFonts w:cstheme="minorHAnsi"/>
        </w:rPr>
        <w:t xml:space="preserve"> ISO, anticipating potential misunderstandings on the nature of the new standard, is quite explicit about this: </w:t>
      </w:r>
    </w:p>
    <w:p w14:paraId="5FD37F1F" w14:textId="77777777" w:rsidR="00843222" w:rsidRPr="004737C5" w:rsidRDefault="00843222" w:rsidP="00704F3D">
      <w:pPr>
        <w:autoSpaceDE w:val="0"/>
        <w:autoSpaceDN w:val="0"/>
        <w:adjustRightInd w:val="0"/>
        <w:ind w:left="567" w:right="567"/>
        <w:rPr>
          <w:rFonts w:cstheme="minorHAnsi"/>
        </w:rPr>
      </w:pPr>
      <w:r w:rsidRPr="004737C5">
        <w:rPr>
          <w:rFonts w:cstheme="minorHAnsi"/>
        </w:rPr>
        <w:t>ISO 26000 is not a management system standard. It is not intended or appropriate for certification purposes or regulatory or contractual use. Any offer to certify, or claims to be certified, to ISO 26000 would be a misrepresentation of the intent and purpose and a misuse of this international standard. As ISO 26000 does not contain requirements, any such certification would not be a demonstration of conformity wi</w:t>
      </w:r>
      <w:r w:rsidR="00704F3D" w:rsidRPr="004737C5">
        <w:rPr>
          <w:rFonts w:cstheme="minorHAnsi"/>
        </w:rPr>
        <w:t>th this international standard.</w:t>
      </w:r>
      <w:r w:rsidRPr="004737C5">
        <w:rPr>
          <w:rStyle w:val="FootnoteReference"/>
          <w:rFonts w:cstheme="minorHAnsi"/>
        </w:rPr>
        <w:footnoteReference w:id="92"/>
      </w:r>
    </w:p>
    <w:p w14:paraId="4FC0B1FD" w14:textId="77777777" w:rsidR="00843222" w:rsidRPr="004737C5" w:rsidRDefault="00843222" w:rsidP="006D3BE8">
      <w:pPr>
        <w:rPr>
          <w:rFonts w:cstheme="minorHAnsi"/>
        </w:rPr>
      </w:pPr>
      <w:r w:rsidRPr="004737C5">
        <w:rPr>
          <w:rFonts w:cstheme="minorHAnsi"/>
        </w:rPr>
        <w:t>Turning to the chapter that deals with consumer issues, ISO 26000 drew upon the UNGCP as a framework. I</w:t>
      </w:r>
      <w:r w:rsidR="00704F3D" w:rsidRPr="004737C5">
        <w:rPr>
          <w:rFonts w:cstheme="minorHAnsi"/>
        </w:rPr>
        <w:t>n addition to drawing upon the “legitimate needs”</w:t>
      </w:r>
      <w:r w:rsidRPr="004737C5">
        <w:rPr>
          <w:rFonts w:cstheme="minorHAnsi"/>
        </w:rPr>
        <w:t xml:space="preserve"> </w:t>
      </w:r>
      <w:r w:rsidR="00704F3D" w:rsidRPr="004737C5">
        <w:rPr>
          <w:rFonts w:cstheme="minorHAnsi"/>
        </w:rPr>
        <w:t xml:space="preserve">guideline </w:t>
      </w:r>
      <w:r w:rsidRPr="004737C5">
        <w:rPr>
          <w:rFonts w:cstheme="minorHAnsi"/>
        </w:rPr>
        <w:t>of the UNGCP, four principles were put forward in the standard. These are:</w:t>
      </w:r>
    </w:p>
    <w:p w14:paraId="2E790CB4" w14:textId="77777777" w:rsidR="00843222" w:rsidRPr="004737C5" w:rsidRDefault="00843222" w:rsidP="002C56F7">
      <w:pPr>
        <w:pStyle w:val="ListParagraph"/>
        <w:numPr>
          <w:ilvl w:val="0"/>
          <w:numId w:val="57"/>
        </w:numPr>
        <w:ind w:left="709" w:hanging="425"/>
        <w:rPr>
          <w:rFonts w:cstheme="minorHAnsi"/>
        </w:rPr>
      </w:pPr>
      <w:r w:rsidRPr="004737C5">
        <w:rPr>
          <w:rFonts w:cstheme="minorHAnsi"/>
        </w:rPr>
        <w:t>Respect for the right to privacy (drawn from the univers</w:t>
      </w:r>
      <w:r w:rsidR="00704F3D" w:rsidRPr="004737C5">
        <w:rPr>
          <w:rFonts w:cstheme="minorHAnsi"/>
        </w:rPr>
        <w:t xml:space="preserve">al declaration of human rights; </w:t>
      </w:r>
      <w:r w:rsidRPr="004737C5">
        <w:rPr>
          <w:rFonts w:cstheme="minorHAnsi"/>
        </w:rPr>
        <w:t>discussed</w:t>
      </w:r>
      <w:r w:rsidR="004240DC" w:rsidRPr="004737C5">
        <w:rPr>
          <w:rFonts w:cstheme="minorHAnsi"/>
        </w:rPr>
        <w:t xml:space="preserve"> in chapter XII</w:t>
      </w:r>
      <w:r w:rsidR="00704F3D" w:rsidRPr="004737C5">
        <w:rPr>
          <w:rFonts w:cstheme="minorHAnsi"/>
        </w:rPr>
        <w:t xml:space="preserve"> of this manual) </w:t>
      </w:r>
    </w:p>
    <w:p w14:paraId="74E92E67" w14:textId="77777777" w:rsidR="00843222" w:rsidRPr="004737C5" w:rsidRDefault="00843222" w:rsidP="002C56F7">
      <w:pPr>
        <w:pStyle w:val="ListParagraph"/>
        <w:numPr>
          <w:ilvl w:val="0"/>
          <w:numId w:val="57"/>
        </w:numPr>
        <w:ind w:left="709" w:hanging="425"/>
        <w:rPr>
          <w:rFonts w:cstheme="minorHAnsi"/>
        </w:rPr>
      </w:pPr>
      <w:r w:rsidRPr="004737C5">
        <w:rPr>
          <w:rFonts w:cstheme="minorHAnsi"/>
        </w:rPr>
        <w:lastRenderedPageBreak/>
        <w:t>The precautionary approach, drawn from the Rio declaration</w:t>
      </w:r>
      <w:r w:rsidR="00704F3D" w:rsidRPr="004737C5">
        <w:rPr>
          <w:rFonts w:cstheme="minorHAnsi"/>
        </w:rPr>
        <w:t xml:space="preserve"> on Environment and Development</w:t>
      </w:r>
      <w:r w:rsidRPr="004737C5">
        <w:rPr>
          <w:rFonts w:cstheme="minorHAnsi"/>
        </w:rPr>
        <w:t xml:space="preserve"> (disc</w:t>
      </w:r>
      <w:r w:rsidR="004240DC" w:rsidRPr="004737C5">
        <w:rPr>
          <w:rFonts w:cstheme="minorHAnsi"/>
        </w:rPr>
        <w:t>ussed in chapter IX</w:t>
      </w:r>
      <w:r w:rsidR="00704F3D" w:rsidRPr="004737C5">
        <w:rPr>
          <w:rFonts w:cstheme="minorHAnsi"/>
        </w:rPr>
        <w:t>)</w:t>
      </w:r>
    </w:p>
    <w:p w14:paraId="30A61D87" w14:textId="77777777" w:rsidR="00843222" w:rsidRPr="004737C5" w:rsidRDefault="00843222" w:rsidP="002C56F7">
      <w:pPr>
        <w:pStyle w:val="ListParagraph"/>
        <w:numPr>
          <w:ilvl w:val="0"/>
          <w:numId w:val="57"/>
        </w:numPr>
        <w:ind w:left="709" w:hanging="425"/>
        <w:rPr>
          <w:rFonts w:cstheme="minorHAnsi"/>
        </w:rPr>
      </w:pPr>
      <w:r w:rsidRPr="004737C5">
        <w:rPr>
          <w:rFonts w:cstheme="minorHAnsi"/>
        </w:rPr>
        <w:t>Promotion of gender equality and the empowerment of women, drawn from United Nations Univer</w:t>
      </w:r>
      <w:r w:rsidR="00704F3D" w:rsidRPr="004737C5">
        <w:rPr>
          <w:rFonts w:cstheme="minorHAnsi"/>
        </w:rPr>
        <w:t>sal Declaration of Human Rights</w:t>
      </w:r>
    </w:p>
    <w:p w14:paraId="6FC7A479" w14:textId="77777777" w:rsidR="00843222" w:rsidRPr="004737C5" w:rsidRDefault="00843222" w:rsidP="002C56F7">
      <w:pPr>
        <w:pStyle w:val="ListParagraph"/>
        <w:numPr>
          <w:ilvl w:val="0"/>
          <w:numId w:val="57"/>
        </w:numPr>
        <w:ind w:left="709" w:hanging="425"/>
        <w:rPr>
          <w:rFonts w:cstheme="minorHAnsi"/>
        </w:rPr>
      </w:pPr>
      <w:r w:rsidRPr="004737C5">
        <w:rPr>
          <w:rFonts w:cstheme="minorHAnsi"/>
        </w:rPr>
        <w:t>Promotion of universal design, intended to enable usage of products by all,</w:t>
      </w:r>
      <w:r w:rsidR="00704F3D" w:rsidRPr="004737C5">
        <w:rPr>
          <w:rFonts w:cstheme="minorHAnsi"/>
        </w:rPr>
        <w:t xml:space="preserve"> especially for disabled people</w:t>
      </w:r>
    </w:p>
    <w:p w14:paraId="58FDAD64" w14:textId="77777777" w:rsidR="00843222" w:rsidRPr="004737C5" w:rsidRDefault="00843222" w:rsidP="006D3BE8">
      <w:pPr>
        <w:autoSpaceDE w:val="0"/>
        <w:autoSpaceDN w:val="0"/>
        <w:adjustRightInd w:val="0"/>
        <w:rPr>
          <w:rFonts w:cstheme="minorHAnsi"/>
        </w:rPr>
      </w:pPr>
      <w:r w:rsidRPr="004737C5">
        <w:rPr>
          <w:rFonts w:cstheme="minorHAnsi"/>
        </w:rPr>
        <w:t>Building on the totality of the principles listed above, the specific issues identified by the consumer chapter are:</w:t>
      </w:r>
    </w:p>
    <w:p w14:paraId="16F1C3DA" w14:textId="77777777" w:rsidR="00843222" w:rsidRPr="004737C5" w:rsidRDefault="00843222" w:rsidP="002473E9">
      <w:pPr>
        <w:numPr>
          <w:ilvl w:val="0"/>
          <w:numId w:val="9"/>
        </w:numPr>
        <w:spacing w:after="0"/>
        <w:ind w:left="709" w:hanging="425"/>
        <w:rPr>
          <w:rFonts w:cstheme="minorHAnsi"/>
        </w:rPr>
      </w:pPr>
      <w:r w:rsidRPr="004737C5">
        <w:rPr>
          <w:rFonts w:cstheme="minorHAnsi"/>
        </w:rPr>
        <w:t>Fair marketing, factual and unbiased information</w:t>
      </w:r>
      <w:r w:rsidR="00704F3D" w:rsidRPr="004737C5">
        <w:rPr>
          <w:rFonts w:cstheme="minorHAnsi"/>
        </w:rPr>
        <w:t xml:space="preserve"> and fair contractual practices</w:t>
      </w:r>
    </w:p>
    <w:p w14:paraId="53F33299" w14:textId="77777777" w:rsidR="00843222" w:rsidRPr="004737C5" w:rsidRDefault="00843222" w:rsidP="002473E9">
      <w:pPr>
        <w:numPr>
          <w:ilvl w:val="0"/>
          <w:numId w:val="9"/>
        </w:numPr>
        <w:spacing w:after="0"/>
        <w:ind w:left="709" w:hanging="425"/>
        <w:rPr>
          <w:rFonts w:cstheme="minorHAnsi"/>
        </w:rPr>
      </w:pPr>
      <w:r w:rsidRPr="004737C5">
        <w:rPr>
          <w:rFonts w:cstheme="minorHAnsi"/>
        </w:rPr>
        <w:t>Protecti</w:t>
      </w:r>
      <w:r w:rsidR="00704F3D" w:rsidRPr="004737C5">
        <w:rPr>
          <w:rFonts w:cstheme="minorHAnsi"/>
        </w:rPr>
        <w:t>ng consumers’ health and safety</w:t>
      </w:r>
    </w:p>
    <w:p w14:paraId="33E8FE76" w14:textId="77777777" w:rsidR="00843222" w:rsidRPr="004737C5" w:rsidRDefault="00843222" w:rsidP="002473E9">
      <w:pPr>
        <w:numPr>
          <w:ilvl w:val="0"/>
          <w:numId w:val="9"/>
        </w:numPr>
        <w:spacing w:after="0"/>
        <w:ind w:left="709" w:hanging="425"/>
        <w:rPr>
          <w:rFonts w:cstheme="minorHAnsi"/>
        </w:rPr>
      </w:pPr>
      <w:r w:rsidRPr="004737C5">
        <w:rPr>
          <w:rFonts w:cstheme="minorHAnsi"/>
        </w:rPr>
        <w:t>Sustainable cons</w:t>
      </w:r>
      <w:r w:rsidR="00704F3D" w:rsidRPr="004737C5">
        <w:rPr>
          <w:rFonts w:cstheme="minorHAnsi"/>
        </w:rPr>
        <w:t>umption</w:t>
      </w:r>
    </w:p>
    <w:p w14:paraId="0C76B768" w14:textId="77777777" w:rsidR="00843222" w:rsidRPr="004737C5" w:rsidRDefault="00704F3D" w:rsidP="002473E9">
      <w:pPr>
        <w:numPr>
          <w:ilvl w:val="0"/>
          <w:numId w:val="9"/>
        </w:numPr>
        <w:spacing w:after="0"/>
        <w:ind w:left="709" w:hanging="425"/>
        <w:rPr>
          <w:rFonts w:cstheme="minorHAnsi"/>
        </w:rPr>
      </w:pPr>
      <w:r w:rsidRPr="004737C5">
        <w:rPr>
          <w:rFonts w:cstheme="minorHAnsi"/>
        </w:rPr>
        <w:t>Consumer service, support</w:t>
      </w:r>
      <w:r w:rsidR="00843222" w:rsidRPr="004737C5">
        <w:rPr>
          <w:rFonts w:cstheme="minorHAnsi"/>
        </w:rPr>
        <w:t xml:space="preserve"> and c</w:t>
      </w:r>
      <w:r w:rsidRPr="004737C5">
        <w:rPr>
          <w:rFonts w:cstheme="minorHAnsi"/>
        </w:rPr>
        <w:t>omplaint and dispute resolution</w:t>
      </w:r>
    </w:p>
    <w:p w14:paraId="4166CFA5" w14:textId="77777777" w:rsidR="00843222" w:rsidRPr="004737C5" w:rsidRDefault="00843222" w:rsidP="002473E9">
      <w:pPr>
        <w:numPr>
          <w:ilvl w:val="0"/>
          <w:numId w:val="9"/>
        </w:numPr>
        <w:spacing w:after="0"/>
        <w:ind w:left="709" w:hanging="425"/>
        <w:rPr>
          <w:rFonts w:cstheme="minorHAnsi"/>
        </w:rPr>
      </w:pPr>
      <w:r w:rsidRPr="004737C5">
        <w:rPr>
          <w:rFonts w:cstheme="minorHAnsi"/>
        </w:rPr>
        <w:t>Consu</w:t>
      </w:r>
      <w:r w:rsidR="00704F3D" w:rsidRPr="004737C5">
        <w:rPr>
          <w:rFonts w:cstheme="minorHAnsi"/>
        </w:rPr>
        <w:t>mer data protection and privacy</w:t>
      </w:r>
    </w:p>
    <w:p w14:paraId="2038D5FE" w14:textId="77777777" w:rsidR="00843222" w:rsidRPr="004737C5" w:rsidRDefault="00704F3D" w:rsidP="002473E9">
      <w:pPr>
        <w:numPr>
          <w:ilvl w:val="0"/>
          <w:numId w:val="9"/>
        </w:numPr>
        <w:spacing w:after="0"/>
        <w:ind w:left="709" w:hanging="425"/>
        <w:rPr>
          <w:rFonts w:cstheme="minorHAnsi"/>
        </w:rPr>
      </w:pPr>
      <w:r w:rsidRPr="004737C5">
        <w:rPr>
          <w:rFonts w:cstheme="minorHAnsi"/>
        </w:rPr>
        <w:t>Access to essential services</w:t>
      </w:r>
    </w:p>
    <w:p w14:paraId="3F763E13" w14:textId="77777777" w:rsidR="00843222" w:rsidRPr="004737C5" w:rsidRDefault="00704F3D" w:rsidP="002473E9">
      <w:pPr>
        <w:numPr>
          <w:ilvl w:val="0"/>
          <w:numId w:val="9"/>
        </w:numPr>
        <w:ind w:left="709" w:hanging="425"/>
        <w:rPr>
          <w:rFonts w:cstheme="minorHAnsi"/>
        </w:rPr>
      </w:pPr>
      <w:r w:rsidRPr="004737C5">
        <w:rPr>
          <w:rFonts w:cstheme="minorHAnsi"/>
        </w:rPr>
        <w:t>Education and awareness</w:t>
      </w:r>
    </w:p>
    <w:p w14:paraId="36383FB6" w14:textId="77777777" w:rsidR="00843222" w:rsidRPr="004737C5" w:rsidRDefault="00843222" w:rsidP="006D3BE8">
      <w:pPr>
        <w:rPr>
          <w:rFonts w:cstheme="minorHAnsi"/>
        </w:rPr>
      </w:pPr>
      <w:r w:rsidRPr="004737C5">
        <w:rPr>
          <w:rFonts w:cstheme="minorHAnsi"/>
        </w:rPr>
        <w:t xml:space="preserve">These are clearly congruent with the UNGCP but at the time, the UNGCP did not include privacy or access to essential goods and services, and so in that sense, ISO 26000 was ahead of the curve, and vindicated by the inclusion of these two elements in the </w:t>
      </w:r>
      <w:r w:rsidR="0058225F" w:rsidRPr="004737C5">
        <w:rPr>
          <w:rFonts w:cstheme="minorHAnsi"/>
        </w:rPr>
        <w:t>revised</w:t>
      </w:r>
      <w:r w:rsidRPr="004737C5">
        <w:rPr>
          <w:rFonts w:cstheme="minorHAnsi"/>
        </w:rPr>
        <w:t xml:space="preserve"> UNGCP. </w:t>
      </w:r>
    </w:p>
    <w:p w14:paraId="26F0F6AB" w14:textId="3668581B" w:rsidR="00704F3D" w:rsidRPr="004737C5" w:rsidRDefault="00843222" w:rsidP="009771AD">
      <w:pPr>
        <w:spacing w:before="200"/>
        <w:rPr>
          <w:rFonts w:cstheme="minorHAnsi"/>
        </w:rPr>
      </w:pPr>
      <w:bookmarkStart w:id="57" w:name="_Toc492650010"/>
      <w:r w:rsidRPr="004737C5">
        <w:rPr>
          <w:rStyle w:val="Heading3Char"/>
          <w:rFonts w:cstheme="minorHAnsi"/>
          <w:color w:val="auto"/>
        </w:rPr>
        <w:t>3</w:t>
      </w:r>
      <w:r w:rsidR="009771AD" w:rsidRPr="004737C5">
        <w:rPr>
          <w:rStyle w:val="Heading3Char"/>
          <w:rFonts w:cstheme="minorHAnsi"/>
          <w:color w:val="auto"/>
        </w:rPr>
        <w:t>. OECD Guidelines for Multinational E</w:t>
      </w:r>
      <w:r w:rsidRPr="004737C5">
        <w:rPr>
          <w:rStyle w:val="Heading3Char"/>
          <w:rFonts w:cstheme="minorHAnsi"/>
          <w:color w:val="auto"/>
        </w:rPr>
        <w:t>nterprises</w:t>
      </w:r>
      <w:bookmarkEnd w:id="57"/>
      <w:r w:rsidRPr="004737C5">
        <w:rPr>
          <w:rStyle w:val="Heading3Char"/>
          <w:rFonts w:cstheme="minorHAnsi"/>
          <w:color w:val="auto"/>
        </w:rPr>
        <w:tab/>
      </w:r>
    </w:p>
    <w:p w14:paraId="0533D7E4" w14:textId="77777777" w:rsidR="00843222" w:rsidRPr="004737C5" w:rsidRDefault="00843222" w:rsidP="00704F3D">
      <w:pPr>
        <w:rPr>
          <w:rFonts w:cstheme="minorHAnsi"/>
          <w:b/>
          <w:color w:val="5B9BD5" w:themeColor="accent1"/>
        </w:rPr>
      </w:pPr>
      <w:r w:rsidRPr="004737C5">
        <w:rPr>
          <w:rFonts w:cstheme="minorHAnsi"/>
        </w:rPr>
        <w:t>The OECD’s revised Guidelines for Multinational Enterprises were agreed in 2011, but did not include reference to ISO 26000. They p</w:t>
      </w:r>
      <w:r w:rsidR="00704F3D" w:rsidRPr="004737C5">
        <w:rPr>
          <w:rFonts w:cstheme="minorHAnsi"/>
        </w:rPr>
        <w:t>rovide guidance on human rights,</w:t>
      </w:r>
      <w:r w:rsidRPr="004737C5">
        <w:rPr>
          <w:rFonts w:cstheme="minorHAnsi"/>
        </w:rPr>
        <w:t xml:space="preserve"> emplo</w:t>
      </w:r>
      <w:r w:rsidR="00704F3D" w:rsidRPr="004737C5">
        <w:rPr>
          <w:rFonts w:cstheme="minorHAnsi"/>
        </w:rPr>
        <w:t>yment and industrial relations, environment, combating bribery,</w:t>
      </w:r>
      <w:r w:rsidRPr="004737C5">
        <w:rPr>
          <w:rFonts w:cstheme="minorHAnsi"/>
        </w:rPr>
        <w:t xml:space="preserve"> b</w:t>
      </w:r>
      <w:r w:rsidR="00704F3D" w:rsidRPr="004737C5">
        <w:rPr>
          <w:rFonts w:cstheme="minorHAnsi"/>
        </w:rPr>
        <w:t>ribe solicitation and extortion,</w:t>
      </w:r>
      <w:r w:rsidRPr="004737C5">
        <w:rPr>
          <w:rFonts w:cstheme="minorHAnsi"/>
        </w:rPr>
        <w:t xml:space="preserve"> consu</w:t>
      </w:r>
      <w:r w:rsidR="00704F3D" w:rsidRPr="004737C5">
        <w:rPr>
          <w:rFonts w:cstheme="minorHAnsi"/>
        </w:rPr>
        <w:t>mer interests, science and technology, competition</w:t>
      </w:r>
      <w:r w:rsidRPr="004737C5">
        <w:rPr>
          <w:rFonts w:cstheme="minorHAnsi"/>
        </w:rPr>
        <w:t xml:space="preserve"> and taxation. Consumer issues are common to both guidelines</w:t>
      </w:r>
      <w:r w:rsidR="00704F3D" w:rsidRPr="004737C5">
        <w:rPr>
          <w:rFonts w:cstheme="minorHAnsi"/>
        </w:rPr>
        <w:t>,</w:t>
      </w:r>
      <w:r w:rsidRPr="004737C5">
        <w:rPr>
          <w:rFonts w:cstheme="minorHAnsi"/>
        </w:rPr>
        <w:t xml:space="preserve"> as are human rights, environment and employment matters. One might say that broadly speaking, OECD describes principles and policies, while ISO offers detailed guidance on practices. </w:t>
      </w:r>
    </w:p>
    <w:p w14:paraId="30EDEA2B" w14:textId="77777777" w:rsidR="00843222" w:rsidRPr="004737C5" w:rsidRDefault="00843222" w:rsidP="002C56F7">
      <w:pPr>
        <w:pStyle w:val="Heading3"/>
        <w:spacing w:after="160" w:line="240" w:lineRule="auto"/>
        <w:rPr>
          <w:rFonts w:cstheme="minorHAnsi"/>
        </w:rPr>
      </w:pPr>
      <w:bookmarkStart w:id="58" w:name="_Toc492650011"/>
      <w:r w:rsidRPr="004737C5">
        <w:rPr>
          <w:rFonts w:cstheme="minorHAnsi"/>
          <w:color w:val="auto"/>
        </w:rPr>
        <w:t>4</w:t>
      </w:r>
      <w:r w:rsidR="00704F3D" w:rsidRPr="004737C5">
        <w:rPr>
          <w:rFonts w:cstheme="minorHAnsi"/>
          <w:color w:val="auto"/>
        </w:rPr>
        <w:t>.</w:t>
      </w:r>
      <w:r w:rsidRPr="004737C5">
        <w:rPr>
          <w:rFonts w:cstheme="minorHAnsi"/>
          <w:color w:val="auto"/>
        </w:rPr>
        <w:t xml:space="preserve"> Is corporate social responsibility making progress?</w:t>
      </w:r>
      <w:bookmarkEnd w:id="58"/>
    </w:p>
    <w:p w14:paraId="323D5122" w14:textId="77777777" w:rsidR="00843222" w:rsidRPr="004737C5" w:rsidRDefault="00843222" w:rsidP="006D3BE8">
      <w:pPr>
        <w:rPr>
          <w:rFonts w:cstheme="minorHAnsi"/>
        </w:rPr>
      </w:pPr>
      <w:r w:rsidRPr="004737C5">
        <w:rPr>
          <w:rFonts w:cstheme="minorHAnsi"/>
        </w:rPr>
        <w:t xml:space="preserve">There is no doubt </w:t>
      </w:r>
      <w:r w:rsidR="00704F3D" w:rsidRPr="004737C5">
        <w:rPr>
          <w:rFonts w:cstheme="minorHAnsi"/>
        </w:rPr>
        <w:t xml:space="preserve">that </w:t>
      </w:r>
      <w:r w:rsidRPr="004737C5">
        <w:rPr>
          <w:rFonts w:cstheme="minorHAnsi"/>
        </w:rPr>
        <w:t>CSR activity</w:t>
      </w:r>
      <w:r w:rsidR="00704F3D" w:rsidRPr="004737C5">
        <w:rPr>
          <w:rFonts w:cstheme="minorHAnsi"/>
        </w:rPr>
        <w:t xml:space="preserve"> has expanded</w:t>
      </w:r>
      <w:r w:rsidRPr="004737C5">
        <w:rPr>
          <w:rFonts w:cstheme="minorHAnsi"/>
        </w:rPr>
        <w:t>. Among multinational enterprises (MNEs), annual global reporting output increased from close to zero in 1992, to around 4,000 in 2010.</w:t>
      </w:r>
      <w:r w:rsidRPr="004737C5">
        <w:rPr>
          <w:rStyle w:val="FootnoteReference"/>
          <w:rFonts w:cstheme="minorHAnsi"/>
        </w:rPr>
        <w:footnoteReference w:id="93"/>
      </w:r>
      <w:r w:rsidRPr="004737C5">
        <w:rPr>
          <w:rFonts w:cstheme="minorHAnsi"/>
        </w:rPr>
        <w:t xml:space="preserve"> Some 600 European Union enterprises had signed the United Nations Global Compact (on human rights, environment and labour) by 2006, some 1</w:t>
      </w:r>
      <w:r w:rsidR="00704F3D" w:rsidRPr="004737C5">
        <w:rPr>
          <w:rFonts w:cstheme="minorHAnsi"/>
        </w:rPr>
        <w:t>,</w:t>
      </w:r>
      <w:r w:rsidRPr="004737C5">
        <w:rPr>
          <w:rFonts w:cstheme="minorHAnsi"/>
        </w:rPr>
        <w:t>900 by 2011. By 2006, 270 MNEs had issued sustainability reports; 850 by 2011.</w:t>
      </w:r>
      <w:r w:rsidRPr="004737C5">
        <w:rPr>
          <w:rStyle w:val="FootnoteReference"/>
          <w:rFonts w:cstheme="minorHAnsi"/>
        </w:rPr>
        <w:footnoteReference w:id="94"/>
      </w:r>
      <w:r w:rsidRPr="004737C5">
        <w:rPr>
          <w:rFonts w:cstheme="minorHAnsi"/>
        </w:rPr>
        <w:t xml:space="preserve"> However, there is still a long way to go as there are approximately 82,000 MNEs in existence today. </w:t>
      </w:r>
    </w:p>
    <w:p w14:paraId="755E5333" w14:textId="0AF5204A" w:rsidR="00843222" w:rsidRPr="004737C5" w:rsidRDefault="00843222" w:rsidP="006D3BE8">
      <w:pPr>
        <w:rPr>
          <w:rFonts w:cstheme="minorHAnsi"/>
        </w:rPr>
      </w:pPr>
      <w:r w:rsidRPr="004737C5">
        <w:rPr>
          <w:rFonts w:cstheme="minorHAnsi"/>
        </w:rPr>
        <w:t>National initiatives in the European Union, reported by the CSR Compendium, have included</w:t>
      </w:r>
      <w:r w:rsidR="00704F3D" w:rsidRPr="004737C5">
        <w:rPr>
          <w:rFonts w:cstheme="minorHAnsi"/>
        </w:rPr>
        <w:t xml:space="preserve"> </w:t>
      </w:r>
      <w:r w:rsidRPr="004737C5">
        <w:rPr>
          <w:rFonts w:cstheme="minorHAnsi"/>
        </w:rPr>
        <w:t>a Danish action plan, Spanish legislation establishing trans</w:t>
      </w:r>
      <w:r w:rsidR="00704F3D" w:rsidRPr="004737C5">
        <w:rPr>
          <w:rFonts w:cstheme="minorHAnsi"/>
        </w:rPr>
        <w:t>parency requirements</w:t>
      </w:r>
      <w:r w:rsidRPr="004737C5">
        <w:rPr>
          <w:rFonts w:cstheme="minorHAnsi"/>
        </w:rPr>
        <w:t xml:space="preserve"> and performance indi</w:t>
      </w:r>
      <w:r w:rsidR="00704F3D" w:rsidRPr="004737C5">
        <w:rPr>
          <w:rFonts w:cstheme="minorHAnsi"/>
        </w:rPr>
        <w:t>cators in cooperation with the s</w:t>
      </w:r>
      <w:r w:rsidRPr="004737C5">
        <w:rPr>
          <w:rFonts w:cstheme="minorHAnsi"/>
        </w:rPr>
        <w:t xml:space="preserve">tate council on CSR. In Scandinavia and the Netherlands, heavy emphasis has been placed on the supply chain, thus connecting with retail consumers. The Dutch Social and Economic Council launched the International CSR Initiative, calling on Dutch trade and industry </w:t>
      </w:r>
      <w:r w:rsidR="0058225F" w:rsidRPr="004737C5">
        <w:rPr>
          <w:rFonts w:cstheme="minorHAnsi"/>
        </w:rPr>
        <w:t xml:space="preserve">to </w:t>
      </w:r>
      <w:r w:rsidR="002C56F7" w:rsidRPr="004737C5">
        <w:rPr>
          <w:rFonts w:cstheme="minorHAnsi"/>
        </w:rPr>
        <w:t xml:space="preserve">actively </w:t>
      </w:r>
      <w:r w:rsidRPr="004737C5">
        <w:rPr>
          <w:rFonts w:cstheme="minorHAnsi"/>
        </w:rPr>
        <w:t>pursue responsible supply chain practices, based on ILO</w:t>
      </w:r>
      <w:r w:rsidR="002C56F7" w:rsidRPr="004737C5">
        <w:rPr>
          <w:rFonts w:cstheme="minorHAnsi"/>
        </w:rPr>
        <w:t>,</w:t>
      </w:r>
      <w:r w:rsidRPr="004737C5">
        <w:rPr>
          <w:rFonts w:cstheme="minorHAnsi"/>
        </w:rPr>
        <w:t xml:space="preserve"> OECD and International Chambers of Commerce (ICC)</w:t>
      </w:r>
      <w:r w:rsidR="002C56F7" w:rsidRPr="004737C5">
        <w:rPr>
          <w:rFonts w:cstheme="minorHAnsi"/>
        </w:rPr>
        <w:t xml:space="preserve"> recommendations</w:t>
      </w:r>
      <w:r w:rsidRPr="004737C5">
        <w:rPr>
          <w:rFonts w:cstheme="minorHAnsi"/>
        </w:rPr>
        <w:t xml:space="preserve">. </w:t>
      </w:r>
      <w:r w:rsidR="00704F3D" w:rsidRPr="004737C5">
        <w:rPr>
          <w:rFonts w:cstheme="minorHAnsi"/>
        </w:rPr>
        <w:t>Similar</w:t>
      </w:r>
      <w:r w:rsidRPr="004737C5">
        <w:rPr>
          <w:rFonts w:cstheme="minorHAnsi"/>
        </w:rPr>
        <w:t xml:space="preserve"> countries </w:t>
      </w:r>
      <w:r w:rsidR="0058225F" w:rsidRPr="004737C5">
        <w:rPr>
          <w:rFonts w:cstheme="minorHAnsi"/>
        </w:rPr>
        <w:t>may take</w:t>
      </w:r>
      <w:r w:rsidRPr="004737C5">
        <w:rPr>
          <w:rFonts w:cstheme="minorHAnsi"/>
        </w:rPr>
        <w:t xml:space="preserve"> different approaches. A national prize for quality in the Czech Republic was amended to include the criterion of responsible </w:t>
      </w:r>
      <w:r w:rsidRPr="004737C5">
        <w:rPr>
          <w:rFonts w:cstheme="minorHAnsi"/>
        </w:rPr>
        <w:lastRenderedPageBreak/>
        <w:t>supply chain selection; in Slovakia the Via Bona awards were made by the Pontis Foundation for projects promoting business transparency beyond legal requirements.</w:t>
      </w:r>
      <w:r w:rsidRPr="004737C5">
        <w:rPr>
          <w:rStyle w:val="FootnoteReference"/>
          <w:rFonts w:cstheme="minorHAnsi"/>
        </w:rPr>
        <w:footnoteReference w:id="95"/>
      </w:r>
      <w:r w:rsidRPr="004737C5">
        <w:rPr>
          <w:rFonts w:cstheme="minorHAnsi"/>
        </w:rPr>
        <w:t xml:space="preserve"> </w:t>
      </w:r>
    </w:p>
    <w:p w14:paraId="3EAAC12A" w14:textId="77777777" w:rsidR="00843222" w:rsidRPr="004737C5" w:rsidRDefault="00843222" w:rsidP="006D3BE8">
      <w:pPr>
        <w:rPr>
          <w:rFonts w:cstheme="minorHAnsi"/>
        </w:rPr>
      </w:pPr>
      <w:r w:rsidRPr="004737C5">
        <w:rPr>
          <w:rFonts w:cstheme="minorHAnsi"/>
        </w:rPr>
        <w:t>There is a recurrent criti</w:t>
      </w:r>
      <w:r w:rsidR="00704F3D" w:rsidRPr="004737C5">
        <w:rPr>
          <w:rFonts w:cstheme="minorHAnsi"/>
        </w:rPr>
        <w:t>cism of the slow pace at which s</w:t>
      </w:r>
      <w:r w:rsidRPr="004737C5">
        <w:rPr>
          <w:rFonts w:cstheme="minorHAnsi"/>
        </w:rPr>
        <w:t>tate</w:t>
      </w:r>
      <w:r w:rsidR="00704F3D" w:rsidRPr="004737C5">
        <w:rPr>
          <w:rFonts w:cstheme="minorHAnsi"/>
        </w:rPr>
        <w:t>s expose their own services or s</w:t>
      </w:r>
      <w:r w:rsidRPr="004737C5">
        <w:rPr>
          <w:rFonts w:cstheme="minorHAnsi"/>
        </w:rPr>
        <w:t xml:space="preserve">tate-owned enterprises to CSR concepts, although Spain has moved in that direction. There has been widespread discussion on introducing mandatory requirements for CSR reporting and the European consumer federation, the </w:t>
      </w:r>
      <w:r w:rsidRPr="004737C5">
        <w:rPr>
          <w:rFonts w:cstheme="minorHAnsi"/>
          <w:iCs/>
        </w:rPr>
        <w:t>Bureau Européen des Unions de Consommateurs</w:t>
      </w:r>
      <w:r w:rsidRPr="004737C5">
        <w:rPr>
          <w:rFonts w:cstheme="minorHAnsi"/>
        </w:rPr>
        <w:t xml:space="preserve"> (BEUC), has urged the European Union to move in this direction.</w:t>
      </w:r>
      <w:r w:rsidRPr="004737C5">
        <w:rPr>
          <w:rStyle w:val="FootnoteReference"/>
          <w:rFonts w:cstheme="minorHAnsi"/>
        </w:rPr>
        <w:footnoteReference w:id="96"/>
      </w:r>
      <w:r w:rsidRPr="004737C5">
        <w:rPr>
          <w:rFonts w:cstheme="minorHAnsi"/>
        </w:rPr>
        <w:t xml:space="preserve"> </w:t>
      </w:r>
    </w:p>
    <w:p w14:paraId="37C148FE" w14:textId="2CF1D8C0" w:rsidR="00843222" w:rsidRPr="004737C5" w:rsidRDefault="00843222" w:rsidP="006D3BE8">
      <w:pPr>
        <w:rPr>
          <w:rFonts w:cstheme="minorHAnsi"/>
        </w:rPr>
      </w:pPr>
      <w:r w:rsidRPr="004737C5">
        <w:rPr>
          <w:rFonts w:cstheme="minorHAnsi"/>
        </w:rPr>
        <w:t xml:space="preserve">A 2012 report on a survey of Fortune 500 companies in </w:t>
      </w:r>
      <w:r w:rsidR="00AF4438" w:rsidRPr="004737C5">
        <w:rPr>
          <w:rFonts w:cstheme="minorHAnsi"/>
        </w:rPr>
        <w:t xml:space="preserve">the </w:t>
      </w:r>
      <w:r w:rsidRPr="004737C5">
        <w:rPr>
          <w:rFonts w:cstheme="minorHAnsi"/>
        </w:rPr>
        <w:t>United States</w:t>
      </w:r>
      <w:r w:rsidR="00704F3D" w:rsidRPr="004737C5">
        <w:rPr>
          <w:rFonts w:cstheme="minorHAnsi"/>
        </w:rPr>
        <w:t xml:space="preserve"> of America </w:t>
      </w:r>
      <w:r w:rsidRPr="004737C5">
        <w:rPr>
          <w:rFonts w:cstheme="minorHAnsi"/>
        </w:rPr>
        <w:t>recorde</w:t>
      </w:r>
      <w:r w:rsidR="00704F3D" w:rsidRPr="004737C5">
        <w:rPr>
          <w:rFonts w:cstheme="minorHAnsi"/>
        </w:rPr>
        <w:t>d that, around the turn of the m</w:t>
      </w:r>
      <w:r w:rsidRPr="004737C5">
        <w:rPr>
          <w:rFonts w:cstheme="minorHAnsi"/>
        </w:rPr>
        <w:t>illennium, only about a dozen issued a CSR or sustainability report. By 2012, a majority were doing so.</w:t>
      </w:r>
      <w:r w:rsidRPr="004737C5">
        <w:rPr>
          <w:rStyle w:val="FootnoteReference"/>
          <w:rFonts w:cstheme="minorHAnsi"/>
        </w:rPr>
        <w:footnoteReference w:id="97"/>
      </w:r>
      <w:r w:rsidR="00704F3D" w:rsidRPr="004737C5">
        <w:rPr>
          <w:rFonts w:cstheme="minorHAnsi"/>
        </w:rPr>
        <w:t xml:space="preserve"> The United Nations has</w:t>
      </w:r>
      <w:r w:rsidRPr="004737C5">
        <w:rPr>
          <w:rFonts w:cstheme="minorHAnsi"/>
        </w:rPr>
        <w:t xml:space="preserve"> made </w:t>
      </w:r>
      <w:r w:rsidR="00704F3D" w:rsidRPr="004737C5">
        <w:rPr>
          <w:rFonts w:cstheme="minorHAnsi"/>
        </w:rPr>
        <w:t xml:space="preserve">its </w:t>
      </w:r>
      <w:r w:rsidRPr="004737C5">
        <w:rPr>
          <w:rFonts w:cstheme="minorHAnsi"/>
        </w:rPr>
        <w:t>own contribution through the adoption by the Human Ri</w:t>
      </w:r>
      <w:r w:rsidR="00704F3D" w:rsidRPr="004737C5">
        <w:rPr>
          <w:rFonts w:cstheme="minorHAnsi"/>
        </w:rPr>
        <w:t>ghts Council</w:t>
      </w:r>
      <w:r w:rsidRPr="004737C5">
        <w:rPr>
          <w:rFonts w:cstheme="minorHAnsi"/>
        </w:rPr>
        <w:t xml:space="preserve"> of the Guiding Principles on Business a</w:t>
      </w:r>
      <w:r w:rsidR="00704F3D" w:rsidRPr="004737C5">
        <w:rPr>
          <w:rFonts w:cstheme="minorHAnsi"/>
        </w:rPr>
        <w:t>nd Human Rights of 2011 with their “three pillars”</w:t>
      </w:r>
      <w:r w:rsidRPr="004737C5">
        <w:rPr>
          <w:rFonts w:cstheme="minorHAnsi"/>
        </w:rPr>
        <w:t xml:space="preserve"> </w:t>
      </w:r>
      <w:r w:rsidR="00704F3D" w:rsidRPr="004737C5">
        <w:rPr>
          <w:rFonts w:cstheme="minorHAnsi"/>
        </w:rPr>
        <w:t>known as the “Ruggie principles”</w:t>
      </w:r>
      <w:r w:rsidRPr="004737C5">
        <w:rPr>
          <w:rFonts w:cstheme="minorHAnsi"/>
        </w:rPr>
        <w:t xml:space="preserve">: </w:t>
      </w:r>
    </w:p>
    <w:p w14:paraId="0D19FEDC" w14:textId="301A7091" w:rsidR="00843222" w:rsidRPr="004737C5" w:rsidRDefault="004C39F1" w:rsidP="002473E9">
      <w:pPr>
        <w:pStyle w:val="ListParagraph"/>
        <w:numPr>
          <w:ilvl w:val="0"/>
          <w:numId w:val="10"/>
        </w:numPr>
        <w:spacing w:after="0"/>
        <w:ind w:left="709" w:hanging="425"/>
        <w:rPr>
          <w:rFonts w:cstheme="minorHAnsi"/>
          <w:bCs/>
          <w:iCs/>
        </w:rPr>
      </w:pPr>
      <w:r w:rsidRPr="004737C5">
        <w:rPr>
          <w:rFonts w:cstheme="minorHAnsi"/>
          <w:bCs/>
          <w:iCs/>
        </w:rPr>
        <w:t>Protect: the s</w:t>
      </w:r>
      <w:r w:rsidR="00843222" w:rsidRPr="004737C5">
        <w:rPr>
          <w:rFonts w:cstheme="minorHAnsi"/>
          <w:bCs/>
          <w:iCs/>
        </w:rPr>
        <w:t>tate</w:t>
      </w:r>
      <w:r w:rsidR="00AF4438" w:rsidRPr="004737C5">
        <w:rPr>
          <w:rFonts w:cstheme="minorHAnsi"/>
          <w:bCs/>
          <w:iCs/>
        </w:rPr>
        <w:t>’s duty to protect human rights</w:t>
      </w:r>
    </w:p>
    <w:p w14:paraId="3952F572" w14:textId="77777777" w:rsidR="00843222" w:rsidRPr="004737C5" w:rsidRDefault="004C39F1" w:rsidP="002473E9">
      <w:pPr>
        <w:pStyle w:val="ListParagraph"/>
        <w:numPr>
          <w:ilvl w:val="0"/>
          <w:numId w:val="10"/>
        </w:numPr>
        <w:spacing w:after="0"/>
        <w:ind w:left="709" w:hanging="425"/>
        <w:rPr>
          <w:rFonts w:cstheme="minorHAnsi"/>
          <w:bCs/>
          <w:iCs/>
        </w:rPr>
      </w:pPr>
      <w:r w:rsidRPr="004737C5">
        <w:rPr>
          <w:rFonts w:cstheme="minorHAnsi"/>
          <w:bCs/>
          <w:iCs/>
        </w:rPr>
        <w:t>Respect: c</w:t>
      </w:r>
      <w:r w:rsidR="00843222" w:rsidRPr="004737C5">
        <w:rPr>
          <w:rFonts w:cstheme="minorHAnsi"/>
          <w:bCs/>
          <w:iCs/>
        </w:rPr>
        <w:t>orporate responsibility to respect human rights</w:t>
      </w:r>
    </w:p>
    <w:p w14:paraId="7020BA0E" w14:textId="50A3EFC9" w:rsidR="00843222" w:rsidRPr="004737C5" w:rsidRDefault="00843222" w:rsidP="00AF4438">
      <w:pPr>
        <w:pStyle w:val="ListParagraph"/>
        <w:numPr>
          <w:ilvl w:val="0"/>
          <w:numId w:val="10"/>
        </w:numPr>
        <w:ind w:left="709" w:hanging="425"/>
        <w:rPr>
          <w:rFonts w:cstheme="minorHAnsi"/>
          <w:bCs/>
          <w:iCs/>
        </w:rPr>
      </w:pPr>
      <w:r w:rsidRPr="004737C5">
        <w:rPr>
          <w:rFonts w:cstheme="minorHAnsi"/>
          <w:bCs/>
          <w:iCs/>
        </w:rPr>
        <w:t>Remed</w:t>
      </w:r>
      <w:r w:rsidR="004C39F1" w:rsidRPr="004737C5">
        <w:rPr>
          <w:rFonts w:cstheme="minorHAnsi"/>
          <w:bCs/>
          <w:iCs/>
        </w:rPr>
        <w:t>y: a</w:t>
      </w:r>
      <w:r w:rsidRPr="004737C5">
        <w:rPr>
          <w:rFonts w:cstheme="minorHAnsi"/>
          <w:bCs/>
          <w:iCs/>
        </w:rPr>
        <w:t>ccess to remedies for victims</w:t>
      </w:r>
      <w:r w:rsidR="004C39F1" w:rsidRPr="004737C5">
        <w:rPr>
          <w:rFonts w:cstheme="minorHAnsi"/>
          <w:bCs/>
          <w:iCs/>
        </w:rPr>
        <w:t xml:space="preserve"> of business-related activities</w:t>
      </w:r>
    </w:p>
    <w:p w14:paraId="328E8D8B" w14:textId="77777777" w:rsidR="00843222" w:rsidRPr="004737C5" w:rsidRDefault="00843222" w:rsidP="006D3BE8">
      <w:pPr>
        <w:pStyle w:val="BodyText3"/>
        <w:spacing w:after="160"/>
        <w:rPr>
          <w:rFonts w:asciiTheme="minorHAnsi" w:hAnsiTheme="minorHAnsi" w:cstheme="minorHAnsi"/>
          <w:szCs w:val="22"/>
        </w:rPr>
      </w:pPr>
      <w:r w:rsidRPr="004737C5">
        <w:rPr>
          <w:rFonts w:asciiTheme="minorHAnsi" w:hAnsiTheme="minorHAnsi" w:cstheme="minorHAnsi"/>
          <w:szCs w:val="22"/>
        </w:rPr>
        <w:t xml:space="preserve">These principles are relevant to the increasing emphasis by consumer associations and individual consumers on ethical purchasing and information about products. </w:t>
      </w:r>
    </w:p>
    <w:p w14:paraId="21D8DB0D" w14:textId="77777777" w:rsidR="00843222" w:rsidRPr="004737C5" w:rsidRDefault="00843222" w:rsidP="006D3BE8">
      <w:pPr>
        <w:pStyle w:val="BodyText3"/>
        <w:spacing w:after="160"/>
        <w:rPr>
          <w:rFonts w:asciiTheme="minorHAnsi" w:hAnsiTheme="minorHAnsi" w:cstheme="minorHAnsi"/>
          <w:i/>
          <w:szCs w:val="22"/>
        </w:rPr>
      </w:pPr>
      <w:r w:rsidRPr="004737C5">
        <w:rPr>
          <w:rFonts w:asciiTheme="minorHAnsi" w:hAnsiTheme="minorHAnsi" w:cstheme="minorHAnsi"/>
          <w:szCs w:val="22"/>
        </w:rPr>
        <w:t>Some commentators from opposite ends of the spectrum take the view that CSR is a contradiction in terms: some business journalists, on the on</w:t>
      </w:r>
      <w:r w:rsidR="004C39F1" w:rsidRPr="004737C5">
        <w:rPr>
          <w:rFonts w:asciiTheme="minorHAnsi" w:hAnsiTheme="minorHAnsi" w:cstheme="minorHAnsi"/>
          <w:szCs w:val="22"/>
        </w:rPr>
        <w:t>e hand, and NGOs, on the other,</w:t>
      </w:r>
      <w:r w:rsidRPr="004737C5">
        <w:rPr>
          <w:rFonts w:asciiTheme="minorHAnsi" w:hAnsiTheme="minorHAnsi" w:cstheme="minorHAnsi"/>
          <w:szCs w:val="22"/>
        </w:rPr>
        <w:t xml:space="preserve"> take the </w:t>
      </w:r>
      <w:r w:rsidR="004C39F1" w:rsidRPr="004737C5">
        <w:rPr>
          <w:rFonts w:asciiTheme="minorHAnsi" w:hAnsiTheme="minorHAnsi" w:cstheme="minorHAnsi"/>
          <w:szCs w:val="22"/>
        </w:rPr>
        <w:t>view that businesses are single-</w:t>
      </w:r>
      <w:r w:rsidRPr="004737C5">
        <w:rPr>
          <w:rFonts w:asciiTheme="minorHAnsi" w:hAnsiTheme="minorHAnsi" w:cstheme="minorHAnsi"/>
          <w:szCs w:val="22"/>
        </w:rPr>
        <w:t>minded in the pursuit of profit, and indeed legally constrained from being otherwise. While some regard the concept of CSR as a kind of corporate public relations,</w:t>
      </w:r>
      <w:r w:rsidRPr="004737C5">
        <w:rPr>
          <w:rStyle w:val="FootnoteReference"/>
          <w:rFonts w:asciiTheme="minorHAnsi" w:hAnsiTheme="minorHAnsi" w:cstheme="minorHAnsi"/>
          <w:szCs w:val="22"/>
        </w:rPr>
        <w:footnoteReference w:id="98"/>
      </w:r>
      <w:r w:rsidRPr="004737C5">
        <w:rPr>
          <w:rFonts w:asciiTheme="minorHAnsi" w:hAnsiTheme="minorHAnsi" w:cstheme="minorHAnsi"/>
          <w:szCs w:val="22"/>
        </w:rPr>
        <w:t xml:space="preserve"> others, perhaps most notoriously Milton Friedman, regard it as a subversion of business objectives. There are potential pitfalls that are safeguarded against by the principle set out by the European Union that CSR should go above and beyond legal obligations. This is particularly important in the context of consumers, as so much consumer protection is already subject to extensive legal obligations. Nevertheless, there has been a shift: CSR has evolved from philanthropy to a core activity for an increasing num</w:t>
      </w:r>
      <w:r w:rsidR="004C39F1" w:rsidRPr="004737C5">
        <w:rPr>
          <w:rFonts w:asciiTheme="minorHAnsi" w:hAnsiTheme="minorHAnsi" w:cstheme="minorHAnsi"/>
          <w:szCs w:val="22"/>
        </w:rPr>
        <w:t>ber of businesses, progressing “</w:t>
      </w:r>
      <w:r w:rsidRPr="004737C5">
        <w:rPr>
          <w:rFonts w:asciiTheme="minorHAnsi" w:hAnsiTheme="minorHAnsi" w:cstheme="minorHAnsi"/>
          <w:szCs w:val="22"/>
        </w:rPr>
        <w:t>from how business spread their money to how they earn it</w:t>
      </w:r>
      <w:r w:rsidR="004C39F1" w:rsidRPr="004737C5">
        <w:rPr>
          <w:rFonts w:asciiTheme="minorHAnsi" w:hAnsiTheme="minorHAnsi" w:cstheme="minorHAnsi"/>
          <w:szCs w:val="22"/>
        </w:rPr>
        <w:t>”.</w:t>
      </w:r>
      <w:r w:rsidRPr="004737C5">
        <w:rPr>
          <w:rStyle w:val="FootnoteReference"/>
          <w:rFonts w:asciiTheme="minorHAnsi" w:hAnsiTheme="minorHAnsi" w:cstheme="minorHAnsi"/>
          <w:szCs w:val="22"/>
        </w:rPr>
        <w:footnoteReference w:id="99"/>
      </w:r>
    </w:p>
    <w:p w14:paraId="17583520" w14:textId="77777777" w:rsidR="004C39F1" w:rsidRPr="004737C5" w:rsidRDefault="00843222" w:rsidP="009771AD">
      <w:pPr>
        <w:pStyle w:val="BodyText3"/>
        <w:spacing w:before="200" w:after="160"/>
        <w:rPr>
          <w:rFonts w:asciiTheme="minorHAnsi" w:hAnsiTheme="minorHAnsi" w:cstheme="minorHAnsi"/>
          <w:szCs w:val="22"/>
        </w:rPr>
      </w:pPr>
      <w:bookmarkStart w:id="59" w:name="_Toc492650012"/>
      <w:r w:rsidRPr="004737C5">
        <w:rPr>
          <w:rStyle w:val="Heading3Char"/>
          <w:rFonts w:asciiTheme="minorHAnsi" w:hAnsiTheme="minorHAnsi" w:cstheme="minorHAnsi"/>
          <w:color w:val="auto"/>
        </w:rPr>
        <w:t>5</w:t>
      </w:r>
      <w:r w:rsidR="004C39F1" w:rsidRPr="004737C5">
        <w:rPr>
          <w:rStyle w:val="Heading3Char"/>
          <w:rFonts w:asciiTheme="minorHAnsi" w:hAnsiTheme="minorHAnsi" w:cstheme="minorHAnsi"/>
          <w:color w:val="auto"/>
        </w:rPr>
        <w:t>.</w:t>
      </w:r>
      <w:r w:rsidRPr="004737C5">
        <w:rPr>
          <w:rStyle w:val="Heading3Char"/>
          <w:rFonts w:asciiTheme="minorHAnsi" w:hAnsiTheme="minorHAnsi" w:cstheme="minorHAnsi"/>
          <w:color w:val="auto"/>
        </w:rPr>
        <w:t xml:space="preserve"> Is it possible to do well by doing good?</w:t>
      </w:r>
      <w:bookmarkEnd w:id="59"/>
      <w:r w:rsidRPr="004737C5">
        <w:rPr>
          <w:rStyle w:val="Heading3Char"/>
          <w:rFonts w:asciiTheme="minorHAnsi" w:hAnsiTheme="minorHAnsi" w:cstheme="minorHAnsi"/>
          <w:color w:val="auto"/>
        </w:rPr>
        <w:t xml:space="preserve"> </w:t>
      </w:r>
      <w:r w:rsidRPr="004737C5">
        <w:rPr>
          <w:rStyle w:val="Heading3Char"/>
          <w:rFonts w:asciiTheme="minorHAnsi" w:hAnsiTheme="minorHAnsi" w:cstheme="minorHAnsi"/>
        </w:rPr>
        <w:tab/>
      </w:r>
    </w:p>
    <w:p w14:paraId="2DFAD754" w14:textId="77777777" w:rsidR="00843222" w:rsidRPr="004737C5" w:rsidRDefault="00843222" w:rsidP="004C39F1">
      <w:pPr>
        <w:pStyle w:val="BodyText3"/>
        <w:spacing w:after="240"/>
        <w:rPr>
          <w:rFonts w:asciiTheme="minorHAnsi" w:hAnsiTheme="minorHAnsi" w:cstheme="minorHAnsi"/>
          <w:iCs/>
          <w:szCs w:val="22"/>
        </w:rPr>
      </w:pPr>
      <w:r w:rsidRPr="004737C5">
        <w:rPr>
          <w:rFonts w:asciiTheme="minorHAnsi" w:hAnsiTheme="minorHAnsi" w:cstheme="minorHAnsi"/>
          <w:szCs w:val="22"/>
        </w:rPr>
        <w:t>One central ques</w:t>
      </w:r>
      <w:r w:rsidR="004C39F1" w:rsidRPr="004737C5">
        <w:rPr>
          <w:rFonts w:asciiTheme="minorHAnsi" w:hAnsiTheme="minorHAnsi" w:cstheme="minorHAnsi"/>
          <w:szCs w:val="22"/>
        </w:rPr>
        <w:t>tion for all business is</w:t>
      </w:r>
      <w:r w:rsidRPr="004737C5">
        <w:rPr>
          <w:rFonts w:asciiTheme="minorHAnsi" w:hAnsiTheme="minorHAnsi" w:cstheme="minorHAnsi"/>
          <w:szCs w:val="22"/>
        </w:rPr>
        <w:t xml:space="preserve"> </w:t>
      </w:r>
      <w:r w:rsidR="004C39F1" w:rsidRPr="004737C5">
        <w:rPr>
          <w:rFonts w:asciiTheme="minorHAnsi" w:hAnsiTheme="minorHAnsi" w:cstheme="minorHAnsi"/>
          <w:szCs w:val="22"/>
        </w:rPr>
        <w:t>“</w:t>
      </w:r>
      <w:r w:rsidRPr="004737C5">
        <w:rPr>
          <w:rFonts w:asciiTheme="minorHAnsi" w:hAnsiTheme="minorHAnsi" w:cstheme="minorHAnsi"/>
          <w:szCs w:val="22"/>
        </w:rPr>
        <w:t>does</w:t>
      </w:r>
      <w:r w:rsidRPr="004737C5">
        <w:rPr>
          <w:rFonts w:asciiTheme="minorHAnsi" w:hAnsiTheme="minorHAnsi" w:cstheme="minorHAnsi"/>
          <w:b/>
          <w:i/>
          <w:szCs w:val="22"/>
        </w:rPr>
        <w:t xml:space="preserve"> </w:t>
      </w:r>
      <w:r w:rsidRPr="004737C5">
        <w:rPr>
          <w:rFonts w:asciiTheme="minorHAnsi" w:hAnsiTheme="minorHAnsi" w:cstheme="minorHAnsi"/>
          <w:szCs w:val="22"/>
        </w:rPr>
        <w:t>having a better corporate consumer protection policy yield better economic results?</w:t>
      </w:r>
      <w:r w:rsidR="004C39F1" w:rsidRPr="004737C5">
        <w:rPr>
          <w:rFonts w:asciiTheme="minorHAnsi" w:hAnsiTheme="minorHAnsi" w:cstheme="minorHAnsi"/>
          <w:szCs w:val="22"/>
        </w:rPr>
        <w:t>”</w:t>
      </w:r>
      <w:r w:rsidRPr="004737C5">
        <w:rPr>
          <w:rFonts w:asciiTheme="minorHAnsi" w:hAnsiTheme="minorHAnsi" w:cstheme="minorHAnsi"/>
          <w:szCs w:val="22"/>
        </w:rPr>
        <w:t xml:space="preserve"> There is an extensive literature on the subject but little synthesis until recently. A literature review of 167 studies undertaken by Harvard</w:t>
      </w:r>
      <w:r w:rsidR="004C39F1" w:rsidRPr="004737C5">
        <w:rPr>
          <w:rFonts w:asciiTheme="minorHAnsi" w:hAnsiTheme="minorHAnsi" w:cstheme="minorHAnsi"/>
          <w:szCs w:val="22"/>
        </w:rPr>
        <w:t xml:space="preserve"> Business School and the U</w:t>
      </w:r>
      <w:r w:rsidRPr="004737C5">
        <w:rPr>
          <w:rFonts w:asciiTheme="minorHAnsi" w:hAnsiTheme="minorHAnsi" w:cstheme="minorHAnsi"/>
          <w:szCs w:val="22"/>
        </w:rPr>
        <w:t>niversi</w:t>
      </w:r>
      <w:r w:rsidR="004C39F1" w:rsidRPr="004737C5">
        <w:rPr>
          <w:rFonts w:asciiTheme="minorHAnsi" w:hAnsiTheme="minorHAnsi" w:cstheme="minorHAnsi"/>
          <w:szCs w:val="22"/>
        </w:rPr>
        <w:t>ties of California and Michigan concluded that</w:t>
      </w:r>
      <w:r w:rsidRPr="004737C5">
        <w:rPr>
          <w:rFonts w:asciiTheme="minorHAnsi" w:hAnsiTheme="minorHAnsi" w:cstheme="minorHAnsi"/>
          <w:szCs w:val="22"/>
        </w:rPr>
        <w:t xml:space="preserve"> </w:t>
      </w:r>
      <w:r w:rsidRPr="004737C5">
        <w:rPr>
          <w:rFonts w:asciiTheme="minorHAnsi" w:hAnsiTheme="minorHAnsi" w:cstheme="minorHAnsi"/>
          <w:iCs/>
          <w:szCs w:val="22"/>
        </w:rPr>
        <w:t>“after 35 years of research, the preponderance of scholarly evidence suggests a mildly positive relationship between corporate social performance and corporate financial performance and finds no indication that corporate social investment systematica</w:t>
      </w:r>
      <w:r w:rsidR="004C39F1" w:rsidRPr="004737C5">
        <w:rPr>
          <w:rFonts w:asciiTheme="minorHAnsi" w:hAnsiTheme="minorHAnsi" w:cstheme="minorHAnsi"/>
          <w:iCs/>
          <w:szCs w:val="22"/>
        </w:rPr>
        <w:t>lly decreases shareholder value”</w:t>
      </w:r>
      <w:r w:rsidRPr="004737C5">
        <w:rPr>
          <w:rFonts w:asciiTheme="minorHAnsi" w:hAnsiTheme="minorHAnsi" w:cstheme="minorHAnsi"/>
          <w:iCs/>
          <w:szCs w:val="22"/>
        </w:rPr>
        <w:t>.</w:t>
      </w:r>
      <w:r w:rsidRPr="004737C5">
        <w:rPr>
          <w:rStyle w:val="FootnoteReference"/>
          <w:rFonts w:asciiTheme="minorHAnsi" w:hAnsiTheme="minorHAnsi" w:cstheme="minorHAnsi"/>
          <w:iCs/>
          <w:szCs w:val="22"/>
        </w:rPr>
        <w:footnoteReference w:id="100"/>
      </w:r>
    </w:p>
    <w:tbl>
      <w:tblPr>
        <w:tblStyle w:val="TableGrid"/>
        <w:tblW w:w="0" w:type="auto"/>
        <w:tblLook w:val="04A0" w:firstRow="1" w:lastRow="0" w:firstColumn="1" w:lastColumn="0" w:noHBand="0" w:noVBand="1"/>
      </w:tblPr>
      <w:tblGrid>
        <w:gridCol w:w="9243"/>
      </w:tblGrid>
      <w:tr w:rsidR="004C39F1" w:rsidRPr="004737C5" w14:paraId="53E85BEA" w14:textId="77777777" w:rsidTr="004C39F1">
        <w:tc>
          <w:tcPr>
            <w:tcW w:w="9628" w:type="dxa"/>
          </w:tcPr>
          <w:p w14:paraId="0B238F08" w14:textId="77777777" w:rsidR="004C39F1" w:rsidRPr="004737C5" w:rsidRDefault="004C39F1" w:rsidP="00AF4438">
            <w:pPr>
              <w:spacing w:after="160"/>
              <w:rPr>
                <w:rFonts w:cstheme="minorHAnsi"/>
                <w:b/>
              </w:rPr>
            </w:pPr>
            <w:r w:rsidRPr="004737C5">
              <w:rPr>
                <w:rFonts w:cstheme="minorHAnsi"/>
                <w:b/>
              </w:rPr>
              <w:lastRenderedPageBreak/>
              <w:t xml:space="preserve">Box 2: Peru’s promotion of good business practices </w:t>
            </w:r>
          </w:p>
          <w:p w14:paraId="6E32CD64" w14:textId="77777777" w:rsidR="004C39F1" w:rsidRPr="004737C5" w:rsidRDefault="004C39F1" w:rsidP="00AF4438">
            <w:pPr>
              <w:spacing w:before="160" w:after="160"/>
              <w:rPr>
                <w:rFonts w:cstheme="minorHAnsi"/>
              </w:rPr>
            </w:pPr>
            <w:r w:rsidRPr="004737C5">
              <w:rPr>
                <w:rFonts w:cstheme="minorHAnsi"/>
              </w:rPr>
              <w:t xml:space="preserve">Since 2014, INDECOPI, the national authority for consumer protection of Peru, has organized the contest </w:t>
            </w:r>
            <w:r w:rsidRPr="004737C5">
              <w:rPr>
                <w:rFonts w:cstheme="minorHAnsi"/>
                <w:i/>
                <w:iCs/>
              </w:rPr>
              <w:t>Primero los Clientes</w:t>
            </w:r>
            <w:r w:rsidRPr="004737C5">
              <w:rPr>
                <w:rFonts w:cstheme="minorHAnsi"/>
              </w:rPr>
              <w:t xml:space="preserve"> (Customers First) as a national recognition of private and public companies that succeed in implementing good practices in prevention and management of consumer complaints.</w:t>
            </w:r>
          </w:p>
          <w:p w14:paraId="2DFE6AF8" w14:textId="18A8769C" w:rsidR="004C39F1" w:rsidRPr="004737C5" w:rsidRDefault="005B6DC6" w:rsidP="00AF4438">
            <w:pPr>
              <w:rPr>
                <w:rFonts w:cstheme="minorHAnsi"/>
              </w:rPr>
            </w:pPr>
            <w:r w:rsidRPr="004737C5">
              <w:rPr>
                <w:rFonts w:cstheme="minorHAnsi"/>
              </w:rPr>
              <w:t>The contest aims to recogniz</w:t>
            </w:r>
            <w:r w:rsidR="004C39F1" w:rsidRPr="004737C5">
              <w:rPr>
                <w:rFonts w:cstheme="minorHAnsi"/>
              </w:rPr>
              <w:t>e good business practices for the benefit of consumers and has received nearly one hundred applications in just three contests. Such practices are expected to inspire replication by peers and encourage others to develop their own internal policies.</w:t>
            </w:r>
          </w:p>
          <w:p w14:paraId="145A6677" w14:textId="77777777" w:rsidR="004C39F1" w:rsidRPr="004737C5" w:rsidRDefault="004C39F1" w:rsidP="00AF4438">
            <w:pPr>
              <w:spacing w:before="160"/>
              <w:rPr>
                <w:rFonts w:cstheme="minorHAnsi"/>
              </w:rPr>
            </w:pPr>
            <w:r w:rsidRPr="004737C5">
              <w:rPr>
                <w:rFonts w:cstheme="minorHAnsi"/>
              </w:rPr>
              <w:t>The three categories are:</w:t>
            </w:r>
          </w:p>
          <w:p w14:paraId="6B19A9D0" w14:textId="77777777" w:rsidR="004C39F1" w:rsidRPr="004737C5" w:rsidRDefault="004C39F1" w:rsidP="00AF4438">
            <w:pPr>
              <w:pStyle w:val="ListParagraph"/>
              <w:numPr>
                <w:ilvl w:val="0"/>
                <w:numId w:val="51"/>
              </w:numPr>
              <w:ind w:left="709" w:hanging="425"/>
              <w:rPr>
                <w:rFonts w:cstheme="minorHAnsi"/>
              </w:rPr>
            </w:pPr>
            <w:r w:rsidRPr="004737C5">
              <w:rPr>
                <w:rFonts w:cstheme="minorHAnsi"/>
              </w:rPr>
              <w:t>Information mechanisms, including communication channels to provide information or receive feedback from consumers</w:t>
            </w:r>
          </w:p>
          <w:p w14:paraId="52946E72" w14:textId="77777777" w:rsidR="004C39F1" w:rsidRPr="004737C5" w:rsidRDefault="006A32BA" w:rsidP="00AF4438">
            <w:pPr>
              <w:pStyle w:val="ListParagraph"/>
              <w:numPr>
                <w:ilvl w:val="0"/>
                <w:numId w:val="51"/>
              </w:numPr>
              <w:ind w:left="709" w:hanging="425"/>
              <w:rPr>
                <w:rFonts w:cstheme="minorHAnsi"/>
              </w:rPr>
            </w:pPr>
            <w:r w:rsidRPr="004737C5">
              <w:rPr>
                <w:rFonts w:cstheme="minorHAnsi"/>
              </w:rPr>
              <w:t>Complaints management,</w:t>
            </w:r>
            <w:r w:rsidR="004C39F1" w:rsidRPr="004737C5">
              <w:rPr>
                <w:rFonts w:cstheme="minorHAnsi"/>
              </w:rPr>
              <w:t xml:space="preserve"> including experiences aimed at the </w:t>
            </w:r>
            <w:r w:rsidRPr="004737C5">
              <w:rPr>
                <w:rFonts w:cstheme="minorHAnsi"/>
              </w:rPr>
              <w:t>resolution of customer problems</w:t>
            </w:r>
          </w:p>
          <w:p w14:paraId="235DFC2F" w14:textId="77777777" w:rsidR="004C39F1" w:rsidRPr="004737C5" w:rsidRDefault="006A32BA" w:rsidP="00AF4438">
            <w:pPr>
              <w:pStyle w:val="ListParagraph"/>
              <w:numPr>
                <w:ilvl w:val="0"/>
                <w:numId w:val="51"/>
              </w:numPr>
              <w:ind w:left="709" w:hanging="425"/>
              <w:rPr>
                <w:rFonts w:cstheme="minorHAnsi"/>
              </w:rPr>
            </w:pPr>
            <w:r w:rsidRPr="004737C5">
              <w:rPr>
                <w:rFonts w:cstheme="minorHAnsi"/>
              </w:rPr>
              <w:t>Execution of warranty,</w:t>
            </w:r>
            <w:r w:rsidR="004C39F1" w:rsidRPr="004737C5">
              <w:rPr>
                <w:rFonts w:cstheme="minorHAnsi"/>
              </w:rPr>
              <w:t xml:space="preserve"> including practices focused on the execution of warranties without the need fo</w:t>
            </w:r>
            <w:r w:rsidRPr="004737C5">
              <w:rPr>
                <w:rFonts w:cstheme="minorHAnsi"/>
              </w:rPr>
              <w:t>r consumers to file a complaint</w:t>
            </w:r>
          </w:p>
          <w:p w14:paraId="67A058B6" w14:textId="77777777" w:rsidR="006A32BA" w:rsidRPr="004737C5" w:rsidRDefault="006A32BA" w:rsidP="00AF4438">
            <w:pPr>
              <w:spacing w:before="160"/>
              <w:rPr>
                <w:rFonts w:cstheme="minorHAnsi"/>
              </w:rPr>
            </w:pPr>
            <w:r w:rsidRPr="004737C5">
              <w:rPr>
                <w:rFonts w:cstheme="minorHAnsi"/>
              </w:rPr>
              <w:t xml:space="preserve">Successful practices should have a positive impact on customer satisfaction, be original, go beyond the legal obligations and be replicable by other businesses. For example, </w:t>
            </w:r>
            <w:r w:rsidR="00A14A52" w:rsidRPr="004737C5">
              <w:rPr>
                <w:rFonts w:cstheme="minorHAnsi"/>
              </w:rPr>
              <w:t>in 2016 the successful candidat</w:t>
            </w:r>
            <w:r w:rsidRPr="004737C5">
              <w:rPr>
                <w:rFonts w:cstheme="minorHAnsi"/>
              </w:rPr>
              <w:t>e on information mechanisms presented the initiative of an electric company operating in remote parts of the country to train teachers on the sustainable use of electricity through workshops and information campaigns.</w:t>
            </w:r>
          </w:p>
          <w:p w14:paraId="0D781C75" w14:textId="613EB8EC" w:rsidR="004C39F1" w:rsidRPr="004737C5" w:rsidRDefault="00A14A52" w:rsidP="002D603B">
            <w:pPr>
              <w:spacing w:before="160"/>
              <w:rPr>
                <w:rFonts w:cstheme="minorHAnsi"/>
                <w:sz w:val="20"/>
                <w:szCs w:val="20"/>
              </w:rPr>
            </w:pPr>
            <w:r w:rsidRPr="004737C5">
              <w:rPr>
                <w:rFonts w:cstheme="minorHAnsi"/>
                <w:i/>
                <w:sz w:val="20"/>
                <w:szCs w:val="20"/>
              </w:rPr>
              <w:t>Source</w:t>
            </w:r>
            <w:r w:rsidRPr="004737C5">
              <w:rPr>
                <w:rFonts w:cstheme="minorHAnsi"/>
                <w:sz w:val="20"/>
                <w:szCs w:val="20"/>
              </w:rPr>
              <w:t>: INDECOPI</w:t>
            </w:r>
            <w:r w:rsidR="00AF4438" w:rsidRPr="004737C5">
              <w:rPr>
                <w:rFonts w:cstheme="minorHAnsi"/>
                <w:sz w:val="20"/>
                <w:szCs w:val="20"/>
              </w:rPr>
              <w:t>,</w:t>
            </w:r>
            <w:r w:rsidRPr="004737C5">
              <w:rPr>
                <w:rFonts w:cstheme="minorHAnsi"/>
                <w:sz w:val="20"/>
                <w:szCs w:val="20"/>
              </w:rPr>
              <w:t xml:space="preserve"> 2016</w:t>
            </w:r>
            <w:r w:rsidR="002D603B" w:rsidRPr="004737C5">
              <w:rPr>
                <w:rFonts w:cstheme="minorHAnsi"/>
                <w:sz w:val="20"/>
                <w:szCs w:val="20"/>
              </w:rPr>
              <w:t>.</w:t>
            </w:r>
          </w:p>
        </w:tc>
      </w:tr>
    </w:tbl>
    <w:p w14:paraId="141B0EAE" w14:textId="77777777" w:rsidR="00843222" w:rsidRPr="004737C5" w:rsidRDefault="00A14A52" w:rsidP="00AF4438">
      <w:pPr>
        <w:pStyle w:val="Heading2"/>
        <w:spacing w:after="160"/>
        <w:rPr>
          <w:rFonts w:cstheme="minorHAnsi"/>
          <w:color w:val="auto"/>
          <w:sz w:val="24"/>
          <w:szCs w:val="24"/>
        </w:rPr>
      </w:pPr>
      <w:bookmarkStart w:id="60" w:name="_Toc492650013"/>
      <w:r w:rsidRPr="004737C5">
        <w:rPr>
          <w:rFonts w:cstheme="minorHAnsi"/>
          <w:color w:val="auto"/>
          <w:sz w:val="24"/>
          <w:szCs w:val="24"/>
        </w:rPr>
        <w:t>C.</w:t>
      </w:r>
      <w:r w:rsidR="00843222" w:rsidRPr="004737C5">
        <w:rPr>
          <w:rFonts w:cstheme="minorHAnsi"/>
          <w:color w:val="auto"/>
          <w:sz w:val="24"/>
          <w:szCs w:val="24"/>
        </w:rPr>
        <w:t xml:space="preserve"> Self-</w:t>
      </w:r>
      <w:r w:rsidR="00084B7A" w:rsidRPr="004737C5">
        <w:rPr>
          <w:rFonts w:cstheme="minorHAnsi"/>
          <w:color w:val="auto"/>
          <w:sz w:val="24"/>
          <w:szCs w:val="24"/>
        </w:rPr>
        <w:t xml:space="preserve"> and co-</w:t>
      </w:r>
      <w:r w:rsidR="00843222" w:rsidRPr="004737C5">
        <w:rPr>
          <w:rFonts w:cstheme="minorHAnsi"/>
          <w:color w:val="auto"/>
          <w:sz w:val="24"/>
          <w:szCs w:val="24"/>
        </w:rPr>
        <w:t>regulation</w:t>
      </w:r>
      <w:bookmarkEnd w:id="60"/>
    </w:p>
    <w:p w14:paraId="6D0EE78D" w14:textId="77777777" w:rsidR="00843222" w:rsidRPr="004737C5" w:rsidRDefault="00843222" w:rsidP="006D3BE8">
      <w:pPr>
        <w:rPr>
          <w:rFonts w:cstheme="minorHAnsi"/>
        </w:rPr>
      </w:pPr>
      <w:r w:rsidRPr="004737C5">
        <w:rPr>
          <w:rFonts w:cstheme="minorHAnsi"/>
        </w:rPr>
        <w:t xml:space="preserve">As with CSR, some consumer advocates see self-regulation as a poor alternative to statute. Some academic economists see self-regulation as a recipe for legalized cartels. Yet, as we have seen, it is envisaged and encouraged under United Nations guidelines. There seem to be three broad sets of circumstances for which </w:t>
      </w:r>
      <w:r w:rsidR="00007A5E" w:rsidRPr="004737C5">
        <w:rPr>
          <w:rFonts w:cstheme="minorHAnsi"/>
        </w:rPr>
        <w:t>self-regulation</w:t>
      </w:r>
      <w:r w:rsidRPr="004737C5">
        <w:rPr>
          <w:rFonts w:cstheme="minorHAnsi"/>
        </w:rPr>
        <w:t xml:space="preserve"> is designed. One is where the task of protecting c</w:t>
      </w:r>
      <w:r w:rsidR="00A14A52" w:rsidRPr="004737C5">
        <w:rPr>
          <w:rFonts w:cstheme="minorHAnsi"/>
        </w:rPr>
        <w:t>onsumers has been delegated by g</w:t>
      </w:r>
      <w:r w:rsidRPr="004737C5">
        <w:rPr>
          <w:rFonts w:cstheme="minorHAnsi"/>
        </w:rPr>
        <w:t>overnment to the professions and reinforced by legislation and licensing arr</w:t>
      </w:r>
      <w:r w:rsidR="00A14A52" w:rsidRPr="004737C5">
        <w:rPr>
          <w:rFonts w:cstheme="minorHAnsi"/>
        </w:rPr>
        <w:t>angements. One could call this “delegated self-regulation”</w:t>
      </w:r>
      <w:r w:rsidRPr="004737C5">
        <w:rPr>
          <w:rFonts w:cstheme="minorHAnsi"/>
        </w:rPr>
        <w:t xml:space="preserve"> as common</w:t>
      </w:r>
      <w:r w:rsidR="00A14A52" w:rsidRPr="004737C5">
        <w:rPr>
          <w:rFonts w:cstheme="minorHAnsi"/>
        </w:rPr>
        <w:t>ly used for lawyers and doctors.</w:t>
      </w:r>
      <w:r w:rsidRPr="004737C5">
        <w:rPr>
          <w:rFonts w:cstheme="minorHAnsi"/>
        </w:rPr>
        <w:t xml:space="preserve"> </w:t>
      </w:r>
      <w:r w:rsidR="00A14A52" w:rsidRPr="004737C5">
        <w:rPr>
          <w:rFonts w:cstheme="minorHAnsi"/>
        </w:rPr>
        <w:t xml:space="preserve">The </w:t>
      </w:r>
      <w:r w:rsidRPr="004737C5">
        <w:rPr>
          <w:rFonts w:cstheme="minorHAnsi"/>
        </w:rPr>
        <w:t xml:space="preserve">emphasis is increasingly on stakeholder verification. </w:t>
      </w:r>
    </w:p>
    <w:p w14:paraId="6FD5EADB" w14:textId="77777777" w:rsidR="00843222" w:rsidRPr="004737C5" w:rsidRDefault="00843222" w:rsidP="006D3BE8">
      <w:pPr>
        <w:rPr>
          <w:rFonts w:cstheme="minorHAnsi"/>
        </w:rPr>
      </w:pPr>
      <w:r w:rsidRPr="004737C5">
        <w:rPr>
          <w:rFonts w:cstheme="minorHAnsi"/>
        </w:rPr>
        <w:t>The second kind of self-regulation is where a group of businesses choose to regulate themselves, making voluntary commitments to behave in a certain w</w:t>
      </w:r>
      <w:r w:rsidR="00A14A52" w:rsidRPr="004737C5">
        <w:rPr>
          <w:rFonts w:cstheme="minorHAnsi"/>
        </w:rPr>
        <w:t>ay. This could be described as “</w:t>
      </w:r>
      <w:r w:rsidRPr="004737C5">
        <w:rPr>
          <w:rFonts w:cstheme="minorHAnsi"/>
        </w:rPr>
        <w:t>voluntary self-regulation</w:t>
      </w:r>
      <w:r w:rsidR="00A14A52" w:rsidRPr="004737C5">
        <w:rPr>
          <w:rFonts w:cstheme="minorHAnsi"/>
        </w:rPr>
        <w:t>”.</w:t>
      </w:r>
      <w:r w:rsidRPr="004737C5">
        <w:rPr>
          <w:rFonts w:cstheme="minorHAnsi"/>
        </w:rPr>
        <w:t xml:space="preserve"> I</w:t>
      </w:r>
      <w:r w:rsidR="00A14A52" w:rsidRPr="004737C5">
        <w:rPr>
          <w:rFonts w:cstheme="minorHAnsi"/>
        </w:rPr>
        <w:t>n plain words, businesses say “it’s up to us”</w:t>
      </w:r>
      <w:r w:rsidRPr="004737C5">
        <w:rPr>
          <w:rFonts w:cstheme="minorHAnsi"/>
        </w:rPr>
        <w:t xml:space="preserve">. Commitments should go beyond any legal requirements and set standards in areas where there are none set by law. </w:t>
      </w:r>
    </w:p>
    <w:p w14:paraId="7C9FBD47" w14:textId="510E3C22" w:rsidR="00843222" w:rsidRPr="004737C5" w:rsidRDefault="00843222" w:rsidP="006D3BE8">
      <w:pPr>
        <w:rPr>
          <w:rFonts w:cstheme="minorHAnsi"/>
        </w:rPr>
      </w:pPr>
      <w:r w:rsidRPr="004737C5">
        <w:rPr>
          <w:rFonts w:cstheme="minorHAnsi"/>
        </w:rPr>
        <w:t>A frequent weakness of such schemes is the limited extent of the market that is covered by the members of the code. When the OECD</w:t>
      </w:r>
      <w:r w:rsidR="00B67F51" w:rsidRPr="004737C5">
        <w:rPr>
          <w:rFonts w:cstheme="minorHAnsi"/>
        </w:rPr>
        <w:t>’s</w:t>
      </w:r>
      <w:r w:rsidRPr="004737C5">
        <w:rPr>
          <w:rFonts w:cstheme="minorHAnsi"/>
        </w:rPr>
        <w:t xml:space="preserve"> </w:t>
      </w:r>
      <w:r w:rsidR="00103B40" w:rsidRPr="004737C5">
        <w:rPr>
          <w:rFonts w:cstheme="minorHAnsi"/>
        </w:rPr>
        <w:t>Committee on Consumer Policy (</w:t>
      </w:r>
      <w:r w:rsidRPr="004737C5">
        <w:rPr>
          <w:rFonts w:cstheme="minorHAnsi"/>
        </w:rPr>
        <w:t>CCP</w:t>
      </w:r>
      <w:r w:rsidR="00103B40" w:rsidRPr="004737C5">
        <w:rPr>
          <w:rFonts w:cstheme="minorHAnsi"/>
        </w:rPr>
        <w:t>)</w:t>
      </w:r>
      <w:r w:rsidRPr="004737C5">
        <w:rPr>
          <w:rFonts w:cstheme="minorHAnsi"/>
        </w:rPr>
        <w:t xml:space="preserve"> investigated </w:t>
      </w:r>
      <w:r w:rsidR="00007A5E" w:rsidRPr="004737C5">
        <w:rPr>
          <w:rFonts w:cstheme="minorHAnsi"/>
        </w:rPr>
        <w:t>self-regulation</w:t>
      </w:r>
      <w:r w:rsidRPr="004737C5">
        <w:rPr>
          <w:rFonts w:cstheme="minorHAnsi"/>
        </w:rPr>
        <w:t xml:space="preserve">, it noted </w:t>
      </w:r>
      <w:r w:rsidR="00AF4438" w:rsidRPr="004737C5">
        <w:rPr>
          <w:rFonts w:cstheme="minorHAnsi"/>
        </w:rPr>
        <w:t xml:space="preserve">the contrasting examples of the </w:t>
      </w:r>
      <w:r w:rsidRPr="004737C5">
        <w:rPr>
          <w:rFonts w:cstheme="minorHAnsi"/>
        </w:rPr>
        <w:t xml:space="preserve">Direct Sales Association </w:t>
      </w:r>
      <w:r w:rsidR="00AF4438" w:rsidRPr="004737C5">
        <w:rPr>
          <w:rFonts w:cstheme="minorHAnsi"/>
        </w:rPr>
        <w:t xml:space="preserve">of the United Kingdom of Great Britain and Northern Ireland, </w:t>
      </w:r>
      <w:r w:rsidRPr="004737C5">
        <w:rPr>
          <w:rFonts w:cstheme="minorHAnsi"/>
        </w:rPr>
        <w:t>which had about 53 per cent of the direct sales market, while the membership of the equivalent body in New Zealand account</w:t>
      </w:r>
      <w:r w:rsidR="003672A3" w:rsidRPr="004737C5">
        <w:rPr>
          <w:rFonts w:cstheme="minorHAnsi"/>
        </w:rPr>
        <w:t>ed for 90 per cent. New Zealand’</w:t>
      </w:r>
      <w:r w:rsidRPr="004737C5">
        <w:rPr>
          <w:rFonts w:cstheme="minorHAnsi"/>
        </w:rPr>
        <w:t xml:space="preserve">s high figure was thought to be </w:t>
      </w:r>
      <w:r w:rsidR="00AF4438" w:rsidRPr="004737C5">
        <w:rPr>
          <w:rFonts w:cstheme="minorHAnsi"/>
        </w:rPr>
        <w:t>due</w:t>
      </w:r>
      <w:r w:rsidRPr="004737C5">
        <w:rPr>
          <w:rFonts w:cstheme="minorHAnsi"/>
        </w:rPr>
        <w:t xml:space="preserve"> </w:t>
      </w:r>
      <w:r w:rsidR="00AF4438" w:rsidRPr="004737C5">
        <w:rPr>
          <w:rFonts w:cstheme="minorHAnsi"/>
        </w:rPr>
        <w:t xml:space="preserve">to </w:t>
      </w:r>
      <w:r w:rsidRPr="004737C5">
        <w:rPr>
          <w:rFonts w:cstheme="minorHAnsi"/>
        </w:rPr>
        <w:t>the fact that the code did little more than restate the law.</w:t>
      </w:r>
      <w:r w:rsidRPr="004737C5">
        <w:rPr>
          <w:rStyle w:val="FootnoteReference"/>
          <w:rFonts w:cstheme="minorHAnsi"/>
        </w:rPr>
        <w:footnoteReference w:id="101"/>
      </w:r>
      <w:r w:rsidRPr="004737C5">
        <w:rPr>
          <w:rFonts w:cstheme="minorHAnsi"/>
        </w:rPr>
        <w:t xml:space="preserve"> This illustrates </w:t>
      </w:r>
      <w:r w:rsidR="003672A3" w:rsidRPr="004737C5">
        <w:rPr>
          <w:rFonts w:cstheme="minorHAnsi"/>
        </w:rPr>
        <w:t>a</w:t>
      </w:r>
      <w:r w:rsidRPr="004737C5">
        <w:rPr>
          <w:rFonts w:cstheme="minorHAnsi"/>
        </w:rPr>
        <w:t xml:space="preserve"> problem with the voluntary approach. The further the code goes beyond the law, the less inclined a trader may be to join, unless all their rivals do so as well – also known as </w:t>
      </w:r>
      <w:r w:rsidR="003672A3" w:rsidRPr="004737C5">
        <w:rPr>
          <w:rFonts w:cstheme="minorHAnsi"/>
        </w:rPr>
        <w:t>the “first mover”</w:t>
      </w:r>
      <w:r w:rsidRPr="004737C5">
        <w:rPr>
          <w:rFonts w:cstheme="minorHAnsi"/>
        </w:rPr>
        <w:t xml:space="preserve"> dilemma. </w:t>
      </w:r>
    </w:p>
    <w:p w14:paraId="172D5863" w14:textId="77777777" w:rsidR="00843222" w:rsidRPr="004737C5" w:rsidRDefault="00843222" w:rsidP="00AF4438">
      <w:pPr>
        <w:rPr>
          <w:rFonts w:cstheme="minorHAnsi"/>
        </w:rPr>
      </w:pPr>
      <w:r w:rsidRPr="004737C5">
        <w:rPr>
          <w:rFonts w:cstheme="minorHAnsi"/>
        </w:rPr>
        <w:lastRenderedPageBreak/>
        <w:t xml:space="preserve">There is </w:t>
      </w:r>
      <w:r w:rsidR="003672A3" w:rsidRPr="004737C5">
        <w:rPr>
          <w:rFonts w:cstheme="minorHAnsi"/>
        </w:rPr>
        <w:t>also a third “hybrid”</w:t>
      </w:r>
      <w:r w:rsidRPr="004737C5">
        <w:rPr>
          <w:rFonts w:cstheme="minorHAnsi"/>
        </w:rPr>
        <w:t xml:space="preserve"> route. Under this ca</w:t>
      </w:r>
      <w:r w:rsidR="003672A3" w:rsidRPr="004737C5">
        <w:rPr>
          <w:rFonts w:cstheme="minorHAnsi"/>
        </w:rPr>
        <w:t>tegory, criteria can be set by g</w:t>
      </w:r>
      <w:r w:rsidRPr="004737C5">
        <w:rPr>
          <w:rFonts w:cstheme="minorHAnsi"/>
        </w:rPr>
        <w:t xml:space="preserve">overnment for schemes to describe themselves as </w:t>
      </w:r>
      <w:r w:rsidR="00007A5E" w:rsidRPr="004737C5">
        <w:rPr>
          <w:rFonts w:cstheme="minorHAnsi"/>
        </w:rPr>
        <w:t>self-regulation</w:t>
      </w:r>
      <w:r w:rsidRPr="004737C5">
        <w:rPr>
          <w:rFonts w:cstheme="minorHAnsi"/>
        </w:rPr>
        <w:t xml:space="preserve">, to </w:t>
      </w:r>
      <w:r w:rsidR="003672A3" w:rsidRPr="004737C5">
        <w:rPr>
          <w:rFonts w:cstheme="minorHAnsi"/>
        </w:rPr>
        <w:t>safe</w:t>
      </w:r>
      <w:r w:rsidRPr="004737C5">
        <w:rPr>
          <w:rFonts w:cstheme="minorHAnsi"/>
        </w:rPr>
        <w:t xml:space="preserve">guard the integrity of the description. Such criteria include: </w:t>
      </w:r>
    </w:p>
    <w:p w14:paraId="41A490BA" w14:textId="77777777" w:rsidR="00843222" w:rsidRPr="004737C5" w:rsidRDefault="00843222" w:rsidP="002473E9">
      <w:pPr>
        <w:pStyle w:val="ListParagraph"/>
        <w:numPr>
          <w:ilvl w:val="0"/>
          <w:numId w:val="11"/>
        </w:numPr>
        <w:ind w:left="709" w:hanging="425"/>
        <w:rPr>
          <w:rFonts w:cstheme="minorHAnsi"/>
        </w:rPr>
      </w:pPr>
      <w:r w:rsidRPr="004737C5">
        <w:rPr>
          <w:rFonts w:cstheme="minorHAnsi"/>
        </w:rPr>
        <w:t xml:space="preserve">Benefits </w:t>
      </w:r>
      <w:r w:rsidR="00B82059" w:rsidRPr="004737C5">
        <w:rPr>
          <w:rFonts w:cstheme="minorHAnsi"/>
        </w:rPr>
        <w:t xml:space="preserve">to consumers </w:t>
      </w:r>
      <w:r w:rsidR="003672A3" w:rsidRPr="004737C5">
        <w:rPr>
          <w:rFonts w:cstheme="minorHAnsi"/>
        </w:rPr>
        <w:t>which go beyond the law</w:t>
      </w:r>
    </w:p>
    <w:p w14:paraId="61510357" w14:textId="77777777" w:rsidR="00843222" w:rsidRPr="004737C5" w:rsidRDefault="00843222" w:rsidP="002473E9">
      <w:pPr>
        <w:pStyle w:val="ListParagraph"/>
        <w:numPr>
          <w:ilvl w:val="0"/>
          <w:numId w:val="11"/>
        </w:numPr>
        <w:ind w:left="709" w:hanging="425"/>
        <w:rPr>
          <w:rFonts w:cstheme="minorHAnsi"/>
        </w:rPr>
      </w:pPr>
      <w:r w:rsidRPr="004737C5">
        <w:rPr>
          <w:rFonts w:cstheme="minorHAnsi"/>
        </w:rPr>
        <w:t>The organization that sets up a code having a sign</w:t>
      </w:r>
      <w:r w:rsidR="003672A3" w:rsidRPr="004737C5">
        <w:rPr>
          <w:rFonts w:cstheme="minorHAnsi"/>
        </w:rPr>
        <w:t>ificant influence in the sector</w:t>
      </w:r>
    </w:p>
    <w:p w14:paraId="7BF9FD4A" w14:textId="77777777" w:rsidR="00843222" w:rsidRPr="004737C5" w:rsidRDefault="003672A3" w:rsidP="00AF4438">
      <w:pPr>
        <w:pStyle w:val="ListParagraph"/>
        <w:numPr>
          <w:ilvl w:val="0"/>
          <w:numId w:val="11"/>
        </w:numPr>
        <w:ind w:left="709" w:hanging="425"/>
        <w:rPr>
          <w:rFonts w:cstheme="minorHAnsi"/>
        </w:rPr>
      </w:pPr>
      <w:r w:rsidRPr="004737C5">
        <w:rPr>
          <w:rFonts w:cstheme="minorHAnsi"/>
        </w:rPr>
        <w:t>Independent organizations</w:t>
      </w:r>
      <w:r w:rsidR="00843222" w:rsidRPr="004737C5">
        <w:rPr>
          <w:rFonts w:cstheme="minorHAnsi"/>
        </w:rPr>
        <w:t xml:space="preserve"> (such as consumer or advisory bodies) having influence </w:t>
      </w:r>
      <w:r w:rsidRPr="004737C5">
        <w:rPr>
          <w:rFonts w:cstheme="minorHAnsi"/>
        </w:rPr>
        <w:t>on the preparation of the code</w:t>
      </w:r>
      <w:r w:rsidRPr="004737C5">
        <w:rPr>
          <w:rFonts w:cstheme="minorHAnsi"/>
        </w:rPr>
        <w:tab/>
      </w:r>
    </w:p>
    <w:p w14:paraId="4076F42C" w14:textId="77777777" w:rsidR="00843222" w:rsidRPr="004737C5" w:rsidRDefault="00843222" w:rsidP="00AF4438">
      <w:pPr>
        <w:pStyle w:val="ListParagraph"/>
        <w:numPr>
          <w:ilvl w:val="0"/>
          <w:numId w:val="11"/>
        </w:numPr>
        <w:ind w:left="709" w:hanging="425"/>
        <w:rPr>
          <w:rFonts w:cstheme="minorHAnsi"/>
        </w:rPr>
      </w:pPr>
      <w:r w:rsidRPr="004737C5">
        <w:rPr>
          <w:rFonts w:cstheme="minorHAnsi"/>
        </w:rPr>
        <w:t>Adequate complaints mechanisms and re</w:t>
      </w:r>
      <w:r w:rsidR="003672A3" w:rsidRPr="004737C5">
        <w:rPr>
          <w:rFonts w:cstheme="minorHAnsi"/>
        </w:rPr>
        <w:t>dress for breaches of the code</w:t>
      </w:r>
    </w:p>
    <w:p w14:paraId="2E82123A" w14:textId="77777777" w:rsidR="00843222" w:rsidRPr="004737C5" w:rsidRDefault="00843222" w:rsidP="00AF4438">
      <w:pPr>
        <w:pStyle w:val="ListParagraph"/>
        <w:numPr>
          <w:ilvl w:val="0"/>
          <w:numId w:val="11"/>
        </w:numPr>
        <w:ind w:left="709" w:hanging="425"/>
        <w:rPr>
          <w:rFonts w:cstheme="minorHAnsi"/>
        </w:rPr>
      </w:pPr>
      <w:r w:rsidRPr="004737C5">
        <w:rPr>
          <w:rFonts w:cstheme="minorHAnsi"/>
        </w:rPr>
        <w:t>Revi</w:t>
      </w:r>
      <w:r w:rsidR="003672A3" w:rsidRPr="004737C5">
        <w:rPr>
          <w:rFonts w:cstheme="minorHAnsi"/>
        </w:rPr>
        <w:t>ew and monitoring of the scheme</w:t>
      </w:r>
    </w:p>
    <w:p w14:paraId="4F021788" w14:textId="77777777" w:rsidR="00843222" w:rsidRPr="004737C5" w:rsidRDefault="00843222" w:rsidP="00AF4438">
      <w:pPr>
        <w:pStyle w:val="ListParagraph"/>
        <w:numPr>
          <w:ilvl w:val="0"/>
          <w:numId w:val="11"/>
        </w:numPr>
        <w:ind w:left="709" w:hanging="425"/>
        <w:rPr>
          <w:rFonts w:cstheme="minorHAnsi"/>
        </w:rPr>
      </w:pPr>
      <w:r w:rsidRPr="004737C5">
        <w:rPr>
          <w:rFonts w:cstheme="minorHAnsi"/>
        </w:rPr>
        <w:t>Sanc</w:t>
      </w:r>
      <w:r w:rsidR="003672A3" w:rsidRPr="004737C5">
        <w:rPr>
          <w:rFonts w:cstheme="minorHAnsi"/>
        </w:rPr>
        <w:t>tions against failure to comply</w:t>
      </w:r>
    </w:p>
    <w:p w14:paraId="1E4D9BCB" w14:textId="77777777" w:rsidR="003672A3" w:rsidRPr="004737C5" w:rsidRDefault="003672A3" w:rsidP="00AF4438">
      <w:pPr>
        <w:pStyle w:val="ListParagraph"/>
        <w:numPr>
          <w:ilvl w:val="0"/>
          <w:numId w:val="11"/>
        </w:numPr>
        <w:ind w:left="709" w:hanging="425"/>
        <w:rPr>
          <w:rFonts w:cstheme="minorHAnsi"/>
        </w:rPr>
      </w:pPr>
      <w:r w:rsidRPr="004737C5">
        <w:rPr>
          <w:rFonts w:cstheme="minorHAnsi"/>
        </w:rPr>
        <w:t>Adequate publicity</w:t>
      </w:r>
    </w:p>
    <w:p w14:paraId="225E76FE" w14:textId="77777777" w:rsidR="00843222" w:rsidRPr="004737C5" w:rsidRDefault="003672A3" w:rsidP="003672A3">
      <w:pPr>
        <w:rPr>
          <w:rFonts w:cstheme="minorHAnsi"/>
        </w:rPr>
      </w:pPr>
      <w:r w:rsidRPr="004737C5">
        <w:rPr>
          <w:rFonts w:cstheme="minorHAnsi"/>
        </w:rPr>
        <w:t>Under the hybrid model, the s</w:t>
      </w:r>
      <w:r w:rsidR="00843222" w:rsidRPr="004737C5">
        <w:rPr>
          <w:rFonts w:cstheme="minorHAnsi"/>
        </w:rPr>
        <w:t xml:space="preserve">tate has a legitimate interest in protecting the </w:t>
      </w:r>
      <w:r w:rsidR="00007A5E" w:rsidRPr="004737C5">
        <w:rPr>
          <w:rFonts w:cstheme="minorHAnsi"/>
        </w:rPr>
        <w:t>self-regulation</w:t>
      </w:r>
      <w:r w:rsidRPr="004737C5">
        <w:rPr>
          <w:rFonts w:cstheme="minorHAnsi"/>
        </w:rPr>
        <w:t xml:space="preserve"> “brand”</w:t>
      </w:r>
      <w:r w:rsidR="00843222" w:rsidRPr="004737C5">
        <w:rPr>
          <w:rFonts w:cstheme="minorHAnsi"/>
        </w:rPr>
        <w:t>, especially where it vests its own authority</w:t>
      </w:r>
      <w:r w:rsidRPr="004737C5">
        <w:rPr>
          <w:rFonts w:cstheme="minorHAnsi"/>
        </w:rPr>
        <w:t xml:space="preserve"> in the existence of a scheme</w:t>
      </w:r>
      <w:r w:rsidR="00843222" w:rsidRPr="004737C5">
        <w:rPr>
          <w:rFonts w:cstheme="minorHAnsi"/>
        </w:rPr>
        <w:t xml:space="preserve"> through a badge of approval</w:t>
      </w:r>
      <w:r w:rsidRPr="004737C5">
        <w:rPr>
          <w:rFonts w:cstheme="minorHAnsi"/>
        </w:rPr>
        <w:t>. Crucially, the s</w:t>
      </w:r>
      <w:r w:rsidR="00843222" w:rsidRPr="004737C5">
        <w:rPr>
          <w:rFonts w:cstheme="minorHAnsi"/>
        </w:rPr>
        <w:t xml:space="preserve">tate has to hold the reserve power to legislate should the </w:t>
      </w:r>
      <w:r w:rsidR="00007A5E" w:rsidRPr="004737C5">
        <w:rPr>
          <w:rFonts w:cstheme="minorHAnsi"/>
        </w:rPr>
        <w:t>self-regulation</w:t>
      </w:r>
      <w:r w:rsidR="00843222" w:rsidRPr="004737C5">
        <w:rPr>
          <w:rFonts w:cstheme="minorHAnsi"/>
        </w:rPr>
        <w:t xml:space="preserve"> mechanisms prove too weak.  </w:t>
      </w:r>
    </w:p>
    <w:p w14:paraId="1D07A340" w14:textId="79F30525" w:rsidR="00843222" w:rsidRPr="004737C5" w:rsidRDefault="00843222" w:rsidP="006D3BE8">
      <w:pPr>
        <w:rPr>
          <w:rFonts w:cstheme="minorHAnsi"/>
        </w:rPr>
      </w:pPr>
      <w:r w:rsidRPr="004737C5">
        <w:rPr>
          <w:rFonts w:cstheme="minorHAnsi"/>
        </w:rPr>
        <w:t>Indeed, the</w:t>
      </w:r>
      <w:r w:rsidR="003672A3" w:rsidRPr="004737C5">
        <w:rPr>
          <w:rFonts w:cstheme="minorHAnsi"/>
        </w:rPr>
        <w:t>re are dilemmas associated with</w:t>
      </w:r>
      <w:r w:rsidRPr="004737C5">
        <w:rPr>
          <w:rFonts w:cstheme="minorHAnsi"/>
        </w:rPr>
        <w:t xml:space="preserve"> </w:t>
      </w:r>
      <w:r w:rsidR="00007A5E" w:rsidRPr="004737C5">
        <w:rPr>
          <w:rFonts w:cstheme="minorHAnsi"/>
        </w:rPr>
        <w:t>self-regulation</w:t>
      </w:r>
      <w:r w:rsidRPr="004737C5">
        <w:rPr>
          <w:rFonts w:cstheme="minorHAnsi"/>
        </w:rPr>
        <w:t xml:space="preserve">. If </w:t>
      </w:r>
      <w:r w:rsidR="00007A5E" w:rsidRPr="004737C5">
        <w:rPr>
          <w:rFonts w:cstheme="minorHAnsi"/>
        </w:rPr>
        <w:t>self-regulation</w:t>
      </w:r>
      <w:r w:rsidRPr="004737C5">
        <w:rPr>
          <w:rFonts w:cstheme="minorHAnsi"/>
        </w:rPr>
        <w:t xml:space="preserve"> is too weak the concept is devalued. On t</w:t>
      </w:r>
      <w:r w:rsidR="003672A3" w:rsidRPr="004737C5">
        <w:rPr>
          <w:rFonts w:cstheme="minorHAnsi"/>
        </w:rPr>
        <w:t>he other hand, if it is too far-</w:t>
      </w:r>
      <w:r w:rsidRPr="004737C5">
        <w:rPr>
          <w:rFonts w:cstheme="minorHAnsi"/>
        </w:rPr>
        <w:t xml:space="preserve">reaching, </w:t>
      </w:r>
      <w:r w:rsidR="00007A5E" w:rsidRPr="004737C5">
        <w:rPr>
          <w:rFonts w:cstheme="minorHAnsi"/>
        </w:rPr>
        <w:t>self-regulation</w:t>
      </w:r>
      <w:r w:rsidRPr="004737C5">
        <w:rPr>
          <w:rFonts w:cstheme="minorHAnsi"/>
        </w:rPr>
        <w:t xml:space="preserve"> could impose barriers to entry into a trade and thus act in an anti-competitive way. Delegated self-regulation tends to have the most comprehensive level of coverage (indeed</w:t>
      </w:r>
      <w:r w:rsidR="00AF4438" w:rsidRPr="004737C5">
        <w:rPr>
          <w:rFonts w:cstheme="minorHAnsi"/>
        </w:rPr>
        <w:t>,</w:t>
      </w:r>
      <w:r w:rsidRPr="004737C5">
        <w:rPr>
          <w:rFonts w:cstheme="minorHAnsi"/>
        </w:rPr>
        <w:t xml:space="preserve"> membership may become almost a license condition) and voluntary </w:t>
      </w:r>
      <w:r w:rsidR="003672A3" w:rsidRPr="004737C5">
        <w:rPr>
          <w:rFonts w:cstheme="minorHAnsi"/>
        </w:rPr>
        <w:t xml:space="preserve">self-regulation </w:t>
      </w:r>
      <w:r w:rsidRPr="004737C5">
        <w:rPr>
          <w:rFonts w:cstheme="minorHAnsi"/>
        </w:rPr>
        <w:t xml:space="preserve">the least. Voluntary </w:t>
      </w:r>
      <w:r w:rsidR="00007A5E" w:rsidRPr="004737C5">
        <w:rPr>
          <w:rFonts w:cstheme="minorHAnsi"/>
        </w:rPr>
        <w:t>self-regulation</w:t>
      </w:r>
      <w:r w:rsidRPr="004737C5">
        <w:rPr>
          <w:rFonts w:cstheme="minorHAnsi"/>
        </w:rPr>
        <w:t xml:space="preserve"> sometimes has an excessive number of small schemes. There are over 100 Japanese schemes, covering very narrow product areas such as soybean paste, </w:t>
      </w:r>
      <w:r w:rsidR="003672A3" w:rsidRPr="004737C5">
        <w:rPr>
          <w:rFonts w:cstheme="minorHAnsi"/>
        </w:rPr>
        <w:t>soy sauce, biscuits, eyeglasses and</w:t>
      </w:r>
      <w:r w:rsidRPr="004737C5">
        <w:rPr>
          <w:rFonts w:cstheme="minorHAnsi"/>
        </w:rPr>
        <w:t xml:space="preserve"> pianos, as well as major product sectors such as home electronics and banking. Such diversity of scale and specialization may complicate consumer information efforts.</w:t>
      </w:r>
      <w:r w:rsidRPr="004737C5">
        <w:rPr>
          <w:rStyle w:val="FootnoteReference"/>
          <w:rFonts w:cstheme="minorHAnsi"/>
        </w:rPr>
        <w:footnoteReference w:id="102"/>
      </w:r>
    </w:p>
    <w:p w14:paraId="490E91D6" w14:textId="6D1A02AC" w:rsidR="00843222" w:rsidRPr="004737C5" w:rsidRDefault="00843222" w:rsidP="006D3BE8">
      <w:pPr>
        <w:rPr>
          <w:rFonts w:cstheme="minorHAnsi"/>
        </w:rPr>
      </w:pPr>
      <w:r w:rsidRPr="004737C5">
        <w:rPr>
          <w:rFonts w:cstheme="minorHAnsi"/>
        </w:rPr>
        <w:t xml:space="preserve">With the emergence of the hybrid, the language of </w:t>
      </w:r>
      <w:r w:rsidR="00007A5E" w:rsidRPr="004737C5">
        <w:rPr>
          <w:rFonts w:cstheme="minorHAnsi"/>
        </w:rPr>
        <w:t>self-regulation</w:t>
      </w:r>
      <w:r w:rsidRPr="004737C5">
        <w:rPr>
          <w:rFonts w:cstheme="minorHAnsi"/>
        </w:rPr>
        <w:t xml:space="preserve"> began to change and the twin but distinct concepts of self- and co-regulation emerged. For example,</w:t>
      </w:r>
      <w:r w:rsidR="003C76E3" w:rsidRPr="004737C5">
        <w:rPr>
          <w:rFonts w:cstheme="minorHAnsi"/>
        </w:rPr>
        <w:t xml:space="preserve"> a United Kingdom </w:t>
      </w:r>
      <w:r w:rsidR="00AF4438" w:rsidRPr="004737C5">
        <w:rPr>
          <w:rFonts w:cstheme="minorHAnsi"/>
        </w:rPr>
        <w:t xml:space="preserve">of Great Britain and Northern Ireland government </w:t>
      </w:r>
      <w:r w:rsidR="003C76E3" w:rsidRPr="004737C5">
        <w:rPr>
          <w:rFonts w:cstheme="minorHAnsi"/>
        </w:rPr>
        <w:t>white p</w:t>
      </w:r>
      <w:r w:rsidRPr="004737C5">
        <w:rPr>
          <w:rFonts w:cstheme="minorHAnsi"/>
        </w:rPr>
        <w:t>aper</w:t>
      </w:r>
      <w:r w:rsidRPr="004737C5">
        <w:rPr>
          <w:rStyle w:val="FootnoteReference"/>
          <w:rFonts w:cstheme="minorHAnsi"/>
        </w:rPr>
        <w:footnoteReference w:id="103"/>
      </w:r>
      <w:r w:rsidRPr="004737C5">
        <w:rPr>
          <w:rFonts w:cstheme="minorHAnsi"/>
        </w:rPr>
        <w:t xml:space="preserve"> defined the two concepts as follows:</w:t>
      </w:r>
    </w:p>
    <w:p w14:paraId="4EFD9270" w14:textId="77777777" w:rsidR="00843222" w:rsidRPr="004737C5" w:rsidRDefault="00843222" w:rsidP="003672A3">
      <w:pPr>
        <w:pStyle w:val="BodyText"/>
        <w:spacing w:after="160"/>
        <w:ind w:left="567" w:right="567"/>
        <w:rPr>
          <w:rFonts w:asciiTheme="minorHAnsi" w:hAnsiTheme="minorHAnsi" w:cstheme="minorHAnsi"/>
          <w:i/>
          <w:iCs/>
          <w:sz w:val="22"/>
          <w:szCs w:val="22"/>
        </w:rPr>
      </w:pPr>
      <w:r w:rsidRPr="004737C5">
        <w:rPr>
          <w:rFonts w:asciiTheme="minorHAnsi" w:hAnsiTheme="minorHAnsi" w:cstheme="minorHAnsi"/>
          <w:sz w:val="22"/>
          <w:szCs w:val="22"/>
        </w:rPr>
        <w:t>Self-regulation refers to processes whereby stakeholders (predominantly the industry) take the initiative to set standards for</w:t>
      </w:r>
      <w:r w:rsidR="005A2086" w:rsidRPr="004737C5">
        <w:rPr>
          <w:rFonts w:asciiTheme="minorHAnsi" w:hAnsiTheme="minorHAnsi" w:cstheme="minorHAnsi"/>
          <w:sz w:val="22"/>
          <w:szCs w:val="22"/>
        </w:rPr>
        <w:t xml:space="preserve"> the benefit of consumers. The G</w:t>
      </w:r>
      <w:r w:rsidRPr="004737C5">
        <w:rPr>
          <w:rFonts w:asciiTheme="minorHAnsi" w:hAnsiTheme="minorHAnsi" w:cstheme="minorHAnsi"/>
          <w:sz w:val="22"/>
          <w:szCs w:val="22"/>
        </w:rPr>
        <w:t>overnment (or regulator) need not have any formal involvement.</w:t>
      </w:r>
      <w:r w:rsidRPr="004737C5">
        <w:rPr>
          <w:rFonts w:asciiTheme="minorHAnsi" w:hAnsiTheme="minorHAnsi" w:cstheme="minorHAnsi"/>
          <w:sz w:val="22"/>
          <w:szCs w:val="22"/>
        </w:rPr>
        <w:tab/>
      </w:r>
    </w:p>
    <w:p w14:paraId="70E7A867" w14:textId="77777777" w:rsidR="00843222" w:rsidRPr="004737C5" w:rsidRDefault="00843222" w:rsidP="003672A3">
      <w:pPr>
        <w:pStyle w:val="BodyText"/>
        <w:spacing w:after="160"/>
        <w:ind w:left="567" w:right="567"/>
        <w:rPr>
          <w:rFonts w:asciiTheme="minorHAnsi" w:hAnsiTheme="minorHAnsi" w:cstheme="minorHAnsi"/>
          <w:i/>
          <w:iCs/>
          <w:sz w:val="22"/>
          <w:szCs w:val="22"/>
        </w:rPr>
      </w:pPr>
      <w:r w:rsidRPr="004737C5">
        <w:rPr>
          <w:rFonts w:asciiTheme="minorHAnsi" w:hAnsiTheme="minorHAnsi" w:cstheme="minorHAnsi"/>
          <w:sz w:val="22"/>
          <w:szCs w:val="22"/>
        </w:rPr>
        <w:t>Co-regulation refers to the situation where the regulator and industry stakeholders work together with, typically, the regulator setting the framework to work within. It may be left to industry stakeholders to draft detailed rules within this framework and to take responsibility for implementation and enforcement. Incentives for cooperation are often in the form of str</w:t>
      </w:r>
      <w:r w:rsidR="00B82059" w:rsidRPr="004737C5">
        <w:rPr>
          <w:rFonts w:asciiTheme="minorHAnsi" w:hAnsiTheme="minorHAnsi" w:cstheme="minorHAnsi"/>
          <w:sz w:val="22"/>
          <w:szCs w:val="22"/>
        </w:rPr>
        <w:t>o</w:t>
      </w:r>
      <w:r w:rsidRPr="004737C5">
        <w:rPr>
          <w:rFonts w:asciiTheme="minorHAnsi" w:hAnsiTheme="minorHAnsi" w:cstheme="minorHAnsi"/>
          <w:sz w:val="22"/>
          <w:szCs w:val="22"/>
        </w:rPr>
        <w:t>ng fal</w:t>
      </w:r>
      <w:r w:rsidR="003672A3" w:rsidRPr="004737C5">
        <w:rPr>
          <w:rFonts w:asciiTheme="minorHAnsi" w:hAnsiTheme="minorHAnsi" w:cstheme="minorHAnsi"/>
          <w:sz w:val="22"/>
          <w:szCs w:val="22"/>
        </w:rPr>
        <w:t>lback powers for the regulator.</w:t>
      </w:r>
    </w:p>
    <w:p w14:paraId="02346FD5" w14:textId="7DF022D5" w:rsidR="00843222" w:rsidRPr="004737C5" w:rsidRDefault="00843222" w:rsidP="006D3BE8">
      <w:pPr>
        <w:autoSpaceDE w:val="0"/>
        <w:autoSpaceDN w:val="0"/>
        <w:adjustRightInd w:val="0"/>
        <w:rPr>
          <w:rFonts w:cstheme="minorHAnsi"/>
        </w:rPr>
      </w:pPr>
      <w:r w:rsidRPr="004737C5">
        <w:rPr>
          <w:rFonts w:cstheme="minorHAnsi"/>
        </w:rPr>
        <w:t>The trend has been towards co-regula</w:t>
      </w:r>
      <w:r w:rsidR="005A2086" w:rsidRPr="004737C5">
        <w:rPr>
          <w:rFonts w:cstheme="minorHAnsi"/>
        </w:rPr>
        <w:t>tion in particular because the G</w:t>
      </w:r>
      <w:r w:rsidRPr="004737C5">
        <w:rPr>
          <w:rFonts w:cstheme="minorHAnsi"/>
        </w:rPr>
        <w:t>overnment’s reserve powers allow it to keep the scheme up to standard and to point out to</w:t>
      </w:r>
      <w:r w:rsidR="003672A3" w:rsidRPr="004737C5">
        <w:rPr>
          <w:rFonts w:cstheme="minorHAnsi"/>
        </w:rPr>
        <w:t xml:space="preserve"> the</w:t>
      </w:r>
      <w:r w:rsidRPr="004737C5">
        <w:rPr>
          <w:rFonts w:cstheme="minorHAnsi"/>
        </w:rPr>
        <w:t xml:space="preserve"> </w:t>
      </w:r>
      <w:r w:rsidR="003672A3" w:rsidRPr="004737C5">
        <w:rPr>
          <w:rFonts w:cstheme="minorHAnsi"/>
        </w:rPr>
        <w:t>(sometimes sceptical)</w:t>
      </w:r>
      <w:r w:rsidRPr="004737C5">
        <w:rPr>
          <w:rFonts w:cstheme="minorHAnsi"/>
        </w:rPr>
        <w:t xml:space="preserve"> public that it is not abandoning its responsibilities. This was the basis of the establishment of the Consumer Codes Approval Scheme by the Office of Fair Trading</w:t>
      </w:r>
      <w:r w:rsidR="004A78BD" w:rsidRPr="004737C5">
        <w:rPr>
          <w:rFonts w:cstheme="minorHAnsi"/>
        </w:rPr>
        <w:t xml:space="preserve"> (OFT)</w:t>
      </w:r>
      <w:r w:rsidRPr="004737C5">
        <w:rPr>
          <w:rFonts w:cstheme="minorHAnsi"/>
        </w:rPr>
        <w:t xml:space="preserve"> to validate the integrity of self-regulatory consumer codes. When codes did not meet certain criteria, </w:t>
      </w:r>
      <w:r w:rsidR="003672A3" w:rsidRPr="004737C5">
        <w:rPr>
          <w:rFonts w:cstheme="minorHAnsi"/>
        </w:rPr>
        <w:t>OFT</w:t>
      </w:r>
      <w:r w:rsidRPr="004737C5">
        <w:rPr>
          <w:rFonts w:cstheme="minorHAnsi"/>
        </w:rPr>
        <w:t xml:space="preserve"> approval was withdrawn.</w:t>
      </w:r>
      <w:r w:rsidRPr="004737C5">
        <w:rPr>
          <w:rStyle w:val="FootnoteReference"/>
          <w:rFonts w:cstheme="minorHAnsi"/>
        </w:rPr>
        <w:footnoteReference w:id="104"/>
      </w:r>
      <w:r w:rsidRPr="004737C5">
        <w:rPr>
          <w:rFonts w:cstheme="minorHAnsi"/>
        </w:rPr>
        <w:t xml:space="preserve"> The </w:t>
      </w:r>
      <w:r w:rsidRPr="004737C5">
        <w:rPr>
          <w:rFonts w:cstheme="minorHAnsi"/>
        </w:rPr>
        <w:lastRenderedPageBreak/>
        <w:t xml:space="preserve">scheme continues in a slightly different form under the Consumer Codes Approval Board, operated by the Trading Standards Institute (which works </w:t>
      </w:r>
      <w:r w:rsidR="000843A2" w:rsidRPr="004737C5">
        <w:rPr>
          <w:rFonts w:cstheme="minorHAnsi"/>
        </w:rPr>
        <w:t xml:space="preserve">with </w:t>
      </w:r>
      <w:r w:rsidRPr="004737C5">
        <w:rPr>
          <w:rFonts w:cstheme="minorHAnsi"/>
        </w:rPr>
        <w:t>the local trading standards departments). In this way, the in</w:t>
      </w:r>
      <w:r w:rsidR="003672A3" w:rsidRPr="004737C5">
        <w:rPr>
          <w:rFonts w:cstheme="minorHAnsi"/>
        </w:rPr>
        <w:t>tegrity of the self-regulation “brand”</w:t>
      </w:r>
      <w:r w:rsidRPr="004737C5">
        <w:rPr>
          <w:rFonts w:cstheme="minorHAnsi"/>
        </w:rPr>
        <w:t xml:space="preserve"> is safeguarded. </w:t>
      </w:r>
    </w:p>
    <w:p w14:paraId="30B2EDF6" w14:textId="77777777" w:rsidR="003672A3" w:rsidRPr="004737C5" w:rsidRDefault="003672A3" w:rsidP="006D3BE8">
      <w:pPr>
        <w:autoSpaceDE w:val="0"/>
        <w:autoSpaceDN w:val="0"/>
        <w:adjustRightInd w:val="0"/>
        <w:rPr>
          <w:rFonts w:cstheme="minorHAnsi"/>
          <w:iCs/>
          <w:color w:val="000000"/>
        </w:rPr>
      </w:pPr>
      <w:r w:rsidRPr="004737C5">
        <w:rPr>
          <w:rFonts w:cstheme="minorHAnsi"/>
          <w:color w:val="000000"/>
        </w:rPr>
        <w:t>A</w:t>
      </w:r>
      <w:r w:rsidR="00843222" w:rsidRPr="004737C5">
        <w:rPr>
          <w:rFonts w:cstheme="minorHAnsi"/>
          <w:color w:val="000000"/>
        </w:rPr>
        <w:t xml:space="preserve"> World Bank study on the reform of financial services in the transitional economies recommends</w:t>
      </w:r>
      <w:r w:rsidRPr="004737C5">
        <w:rPr>
          <w:rFonts w:cstheme="minorHAnsi"/>
          <w:color w:val="000000"/>
        </w:rPr>
        <w:t xml:space="preserve"> that</w:t>
      </w:r>
      <w:r w:rsidR="00843222" w:rsidRPr="004737C5">
        <w:rPr>
          <w:rFonts w:cstheme="minorHAnsi"/>
          <w:color w:val="000000"/>
        </w:rPr>
        <w:t xml:space="preserve">: </w:t>
      </w:r>
    </w:p>
    <w:p w14:paraId="5B5FB6F5" w14:textId="77777777" w:rsidR="00843222" w:rsidRPr="004737C5" w:rsidRDefault="00843222" w:rsidP="003672A3">
      <w:pPr>
        <w:autoSpaceDE w:val="0"/>
        <w:autoSpaceDN w:val="0"/>
        <w:adjustRightInd w:val="0"/>
        <w:ind w:left="567" w:right="567"/>
        <w:rPr>
          <w:rFonts w:cstheme="minorHAnsi"/>
          <w:color w:val="000000"/>
        </w:rPr>
      </w:pPr>
      <w:r w:rsidRPr="004737C5">
        <w:rPr>
          <w:rFonts w:cstheme="minorHAnsi"/>
          <w:iCs/>
          <w:color w:val="000000"/>
        </w:rPr>
        <w:t>A code of conduct for sector-specific financial institutions is developed by the sector-specific associations (in consultation with the financial supervisory agency and consumer associations if possible). Monitored by a statutory agency or an effective self-regulatory agency, this code is formally adhered to by all sector-specific institutions. The code may be augmented by voluntary codes of conduct devised by individual financial institutions for their own operations. Th</w:t>
      </w:r>
      <w:r w:rsidR="003672A3" w:rsidRPr="004737C5">
        <w:rPr>
          <w:rFonts w:cstheme="minorHAnsi"/>
          <w:iCs/>
          <w:color w:val="000000"/>
        </w:rPr>
        <w:t>ese codes are widely publicized</w:t>
      </w:r>
      <w:r w:rsidRPr="004737C5">
        <w:rPr>
          <w:rFonts w:cstheme="minorHAnsi"/>
          <w:iCs/>
          <w:color w:val="000000"/>
        </w:rPr>
        <w:t>.</w:t>
      </w:r>
      <w:r w:rsidRPr="004737C5">
        <w:rPr>
          <w:rStyle w:val="FootnoteReference"/>
          <w:rFonts w:cstheme="minorHAnsi"/>
          <w:iCs/>
          <w:color w:val="000000"/>
        </w:rPr>
        <w:footnoteReference w:id="105"/>
      </w:r>
    </w:p>
    <w:p w14:paraId="01FAB584" w14:textId="77777777" w:rsidR="003672A3" w:rsidRPr="004737C5" w:rsidRDefault="00843222" w:rsidP="009771AD">
      <w:pPr>
        <w:spacing w:before="200"/>
        <w:rPr>
          <w:rFonts w:cstheme="minorHAnsi"/>
        </w:rPr>
      </w:pPr>
      <w:bookmarkStart w:id="61" w:name="_Toc492650014"/>
      <w:r w:rsidRPr="004737C5">
        <w:rPr>
          <w:rStyle w:val="Heading3Char"/>
          <w:rFonts w:cstheme="minorHAnsi"/>
          <w:color w:val="auto"/>
        </w:rPr>
        <w:t>1</w:t>
      </w:r>
      <w:r w:rsidR="003672A3" w:rsidRPr="004737C5">
        <w:rPr>
          <w:rStyle w:val="Heading3Char"/>
          <w:rFonts w:cstheme="minorHAnsi"/>
          <w:color w:val="auto"/>
        </w:rPr>
        <w:t>.</w:t>
      </w:r>
      <w:r w:rsidRPr="004737C5">
        <w:rPr>
          <w:rStyle w:val="Heading3Char"/>
          <w:rFonts w:cstheme="minorHAnsi"/>
          <w:color w:val="auto"/>
        </w:rPr>
        <w:t xml:space="preserve"> Cross-border codes</w:t>
      </w:r>
      <w:bookmarkEnd w:id="61"/>
      <w:r w:rsidRPr="004737C5">
        <w:rPr>
          <w:rStyle w:val="Heading3Char"/>
          <w:rFonts w:cstheme="minorHAnsi"/>
        </w:rPr>
        <w:tab/>
      </w:r>
    </w:p>
    <w:p w14:paraId="0A123AA2" w14:textId="77777777" w:rsidR="00843222" w:rsidRPr="004737C5" w:rsidRDefault="00843222" w:rsidP="003672A3">
      <w:pPr>
        <w:rPr>
          <w:rFonts w:cstheme="minorHAnsi"/>
          <w:b/>
          <w:sz w:val="24"/>
          <w:szCs w:val="24"/>
        </w:rPr>
      </w:pPr>
      <w:r w:rsidRPr="004737C5">
        <w:rPr>
          <w:rFonts w:cstheme="minorHAnsi"/>
        </w:rPr>
        <w:t xml:space="preserve">One argument in favour of </w:t>
      </w:r>
      <w:r w:rsidR="00007A5E" w:rsidRPr="004737C5">
        <w:rPr>
          <w:rFonts w:cstheme="minorHAnsi"/>
        </w:rPr>
        <w:t>self-regulation</w:t>
      </w:r>
      <w:r w:rsidRPr="004737C5">
        <w:rPr>
          <w:rFonts w:cstheme="minorHAnsi"/>
        </w:rPr>
        <w:t xml:space="preserve"> is that its flexibility makes it easier to o</w:t>
      </w:r>
      <w:r w:rsidR="004240DC" w:rsidRPr="004737C5">
        <w:rPr>
          <w:rFonts w:cstheme="minorHAnsi"/>
        </w:rPr>
        <w:t>perate across borders. Chapter VII</w:t>
      </w:r>
      <w:r w:rsidRPr="004737C5">
        <w:rPr>
          <w:rFonts w:cstheme="minorHAnsi"/>
        </w:rPr>
        <w:t xml:space="preserve"> reviews some of the challenges around the legal enforceability of cross-border regulation arising from jurisdictional issues. Such disputes may be avoided by cross-border codes precisely because they are not laws</w:t>
      </w:r>
      <w:r w:rsidR="003672A3" w:rsidRPr="004737C5">
        <w:rPr>
          <w:rFonts w:cstheme="minorHAnsi"/>
        </w:rPr>
        <w:t>. Clearly, within a given multi</w:t>
      </w:r>
      <w:r w:rsidRPr="004737C5">
        <w:rPr>
          <w:rFonts w:cstheme="minorHAnsi"/>
        </w:rPr>
        <w:t xml:space="preserve">national company the scheme should be relatively easy to establish with common criteria being agreed upon. However, sectoral codes may also </w:t>
      </w:r>
      <w:r w:rsidR="00B82059" w:rsidRPr="004737C5">
        <w:rPr>
          <w:rFonts w:cstheme="minorHAnsi"/>
        </w:rPr>
        <w:t xml:space="preserve">be </w:t>
      </w:r>
      <w:r w:rsidR="000843A2" w:rsidRPr="004737C5">
        <w:rPr>
          <w:rFonts w:cstheme="minorHAnsi"/>
        </w:rPr>
        <w:t>establish</w:t>
      </w:r>
      <w:r w:rsidR="00B82059" w:rsidRPr="004737C5">
        <w:rPr>
          <w:rFonts w:cstheme="minorHAnsi"/>
        </w:rPr>
        <w:t>ed</w:t>
      </w:r>
      <w:r w:rsidRPr="004737C5">
        <w:rPr>
          <w:rFonts w:cstheme="minorHAnsi"/>
        </w:rPr>
        <w:t xml:space="preserve"> at the global level. The concept of a public commitment to standards of conduct by companies to respect certain codes of conduct wherever they operate is a core element.</w:t>
      </w:r>
    </w:p>
    <w:p w14:paraId="78601CBC" w14:textId="2FCA46FA" w:rsidR="00843222" w:rsidRPr="004737C5" w:rsidRDefault="00843222" w:rsidP="006D3BE8">
      <w:pPr>
        <w:autoSpaceDE w:val="0"/>
        <w:autoSpaceDN w:val="0"/>
        <w:adjustRightInd w:val="0"/>
        <w:rPr>
          <w:rFonts w:cstheme="minorHAnsi"/>
        </w:rPr>
      </w:pPr>
      <w:r w:rsidRPr="004737C5">
        <w:rPr>
          <w:rFonts w:cstheme="minorHAnsi"/>
        </w:rPr>
        <w:t xml:space="preserve">In the field of advertising, for example, the International Chamber of Commerce (ICC) developed a </w:t>
      </w:r>
      <w:r w:rsidRPr="004737C5">
        <w:rPr>
          <w:rFonts w:cstheme="minorHAnsi"/>
          <w:iCs/>
        </w:rPr>
        <w:t>Consolidated ICC Code of Advertising and Marketing Communication Practice</w:t>
      </w:r>
      <w:r w:rsidRPr="004737C5">
        <w:rPr>
          <w:rFonts w:cstheme="minorHAnsi"/>
          <w:i/>
          <w:iCs/>
        </w:rPr>
        <w:t xml:space="preserve"> </w:t>
      </w:r>
      <w:r w:rsidRPr="004737C5">
        <w:rPr>
          <w:rFonts w:cstheme="minorHAnsi"/>
        </w:rPr>
        <w:t>that is designed, on the business side, to provide ethical guidelines that create a</w:t>
      </w:r>
      <w:r w:rsidR="001A0359" w:rsidRPr="004737C5">
        <w:rPr>
          <w:rFonts w:cstheme="minorHAnsi"/>
        </w:rPr>
        <w:t xml:space="preserve"> level playing field and minimiz</w:t>
      </w:r>
      <w:r w:rsidRPr="004737C5">
        <w:rPr>
          <w:rFonts w:cstheme="minorHAnsi"/>
        </w:rPr>
        <w:t>e the need for legislative or regulatory restrictions. On the consumer side, it is designed to build trust with the consumer by assuring them of advertising that is honest, legal, decent and truthful</w:t>
      </w:r>
      <w:r w:rsidR="003672A3" w:rsidRPr="004737C5">
        <w:rPr>
          <w:rFonts w:cstheme="minorHAnsi"/>
        </w:rPr>
        <w:t>,</w:t>
      </w:r>
      <w:r w:rsidRPr="004737C5">
        <w:rPr>
          <w:rFonts w:cstheme="minorHAnsi"/>
        </w:rPr>
        <w:t xml:space="preserve"> </w:t>
      </w:r>
      <w:r w:rsidR="00B82059" w:rsidRPr="004737C5">
        <w:rPr>
          <w:rFonts w:cstheme="minorHAnsi"/>
        </w:rPr>
        <w:t xml:space="preserve">with </w:t>
      </w:r>
      <w:r w:rsidR="003672A3" w:rsidRPr="004737C5">
        <w:rPr>
          <w:rFonts w:cstheme="minorHAnsi"/>
        </w:rPr>
        <w:t>quick and</w:t>
      </w:r>
      <w:r w:rsidRPr="004737C5">
        <w:rPr>
          <w:rFonts w:cstheme="minorHAnsi"/>
        </w:rPr>
        <w:t xml:space="preserve"> easy redress when transgressions occur.</w:t>
      </w:r>
      <w:r w:rsidRPr="004737C5">
        <w:rPr>
          <w:rStyle w:val="FootnoteReference"/>
          <w:rFonts w:cstheme="minorHAnsi"/>
        </w:rPr>
        <w:footnoteReference w:id="106"/>
      </w:r>
      <w:r w:rsidRPr="004737C5">
        <w:rPr>
          <w:rFonts w:cstheme="minorHAnsi"/>
        </w:rPr>
        <w:t xml:space="preserve"> Related work ha</w:t>
      </w:r>
      <w:r w:rsidR="003672A3" w:rsidRPr="004737C5">
        <w:rPr>
          <w:rFonts w:cstheme="minorHAnsi"/>
        </w:rPr>
        <w:t>s been developed in a number of</w:t>
      </w:r>
      <w:r w:rsidRPr="004737C5">
        <w:rPr>
          <w:rFonts w:cstheme="minorHAnsi"/>
        </w:rPr>
        <w:t xml:space="preserve"> areas including behavioural advertising, food and beverage marketing, environmental marketing and direct selling practices.</w:t>
      </w:r>
      <w:r w:rsidRPr="004737C5">
        <w:rPr>
          <w:rStyle w:val="FootnoteReference"/>
          <w:rFonts w:cstheme="minorHAnsi"/>
        </w:rPr>
        <w:footnoteReference w:id="107"/>
      </w:r>
    </w:p>
    <w:p w14:paraId="1A3B5EDD" w14:textId="536FF47E" w:rsidR="003672A3" w:rsidRPr="004737C5" w:rsidRDefault="00843222" w:rsidP="009771AD">
      <w:pPr>
        <w:spacing w:before="200"/>
        <w:rPr>
          <w:rStyle w:val="Heading3Char"/>
          <w:rFonts w:cstheme="minorHAnsi"/>
        </w:rPr>
      </w:pPr>
      <w:bookmarkStart w:id="62" w:name="_Toc492650015"/>
      <w:r w:rsidRPr="004737C5">
        <w:rPr>
          <w:rStyle w:val="Heading3Char"/>
          <w:rFonts w:cstheme="minorHAnsi"/>
          <w:color w:val="auto"/>
        </w:rPr>
        <w:t>2</w:t>
      </w:r>
      <w:r w:rsidR="003672A3" w:rsidRPr="004737C5">
        <w:rPr>
          <w:rStyle w:val="Heading3Char"/>
          <w:rFonts w:cstheme="minorHAnsi"/>
          <w:color w:val="auto"/>
        </w:rPr>
        <w:t>.</w:t>
      </w:r>
      <w:r w:rsidRPr="004737C5">
        <w:rPr>
          <w:rStyle w:val="Heading3Char"/>
          <w:rFonts w:cstheme="minorHAnsi"/>
          <w:color w:val="auto"/>
        </w:rPr>
        <w:t xml:space="preserve"> Criteria for self-regulation</w:t>
      </w:r>
      <w:bookmarkEnd w:id="62"/>
      <w:r w:rsidRPr="004737C5">
        <w:rPr>
          <w:rStyle w:val="Heading3Char"/>
          <w:rFonts w:cstheme="minorHAnsi"/>
        </w:rPr>
        <w:tab/>
      </w:r>
    </w:p>
    <w:p w14:paraId="09036AA1" w14:textId="24F1875C" w:rsidR="002D603B" w:rsidRPr="004737C5" w:rsidRDefault="002D603B" w:rsidP="002D603B">
      <w:pPr>
        <w:rPr>
          <w:rFonts w:cstheme="minorHAnsi"/>
          <w:b/>
          <w:bCs/>
          <w:color w:val="5B9BD5" w:themeColor="accent1"/>
        </w:rPr>
      </w:pPr>
      <w:r w:rsidRPr="004737C5">
        <w:rPr>
          <w:rFonts w:cstheme="minorHAnsi"/>
        </w:rPr>
        <w:t>Drawing on the above discussion, box 3 contains some schematic criteria for the consideration of self-regulation schemes.</w:t>
      </w:r>
    </w:p>
    <w:p w14:paraId="55E090A2" w14:textId="77777777" w:rsidR="00843222" w:rsidRPr="004737C5" w:rsidRDefault="00843222" w:rsidP="006D3BE8">
      <w:pPr>
        <w:pBdr>
          <w:top w:val="single" w:sz="4" w:space="1" w:color="auto"/>
          <w:left w:val="single" w:sz="4" w:space="4" w:color="auto"/>
          <w:bottom w:val="single" w:sz="4" w:space="1" w:color="auto"/>
          <w:right w:val="single" w:sz="4" w:space="4" w:color="auto"/>
        </w:pBdr>
        <w:rPr>
          <w:rFonts w:cstheme="minorHAnsi"/>
          <w:b/>
          <w:iCs/>
        </w:rPr>
      </w:pPr>
      <w:r w:rsidRPr="004737C5">
        <w:rPr>
          <w:rFonts w:cstheme="minorHAnsi"/>
          <w:b/>
          <w:iCs/>
        </w:rPr>
        <w:t>Box 3</w:t>
      </w:r>
      <w:r w:rsidR="005F1C44" w:rsidRPr="004737C5">
        <w:rPr>
          <w:rFonts w:cstheme="minorHAnsi"/>
          <w:b/>
          <w:iCs/>
        </w:rPr>
        <w:t>.</w:t>
      </w:r>
      <w:r w:rsidRPr="004737C5">
        <w:rPr>
          <w:rFonts w:cstheme="minorHAnsi"/>
          <w:b/>
          <w:iCs/>
        </w:rPr>
        <w:t xml:space="preserve"> Criteria for self-regulation </w:t>
      </w:r>
    </w:p>
    <w:p w14:paraId="23197962" w14:textId="77777777" w:rsidR="00843222" w:rsidRPr="004737C5" w:rsidRDefault="00843222" w:rsidP="006D3BE8">
      <w:pPr>
        <w:pBdr>
          <w:top w:val="single" w:sz="4" w:space="1" w:color="auto"/>
          <w:left w:val="single" w:sz="4" w:space="4" w:color="auto"/>
          <w:bottom w:val="single" w:sz="4" w:space="1" w:color="auto"/>
          <w:right w:val="single" w:sz="4" w:space="4" w:color="auto"/>
        </w:pBdr>
        <w:rPr>
          <w:rFonts w:cstheme="minorHAnsi"/>
          <w:bCs/>
          <w:iCs/>
        </w:rPr>
      </w:pPr>
      <w:r w:rsidRPr="004737C5">
        <w:rPr>
          <w:rFonts w:cstheme="minorHAnsi"/>
          <w:bCs/>
          <w:iCs/>
        </w:rPr>
        <w:t>Codes for self-regulation broadly divide into three types: voluntary, delegated and hybrid.</w:t>
      </w:r>
    </w:p>
    <w:p w14:paraId="235278F9" w14:textId="77777777" w:rsidR="005F1C44" w:rsidRPr="004737C5" w:rsidRDefault="00843222" w:rsidP="002D603B">
      <w:pPr>
        <w:pBdr>
          <w:top w:val="single" w:sz="4" w:space="1" w:color="auto"/>
          <w:left w:val="single" w:sz="4" w:space="4" w:color="auto"/>
          <w:bottom w:val="single" w:sz="4" w:space="1" w:color="auto"/>
          <w:right w:val="single" w:sz="4" w:space="4" w:color="auto"/>
        </w:pBdr>
        <w:spacing w:after="0"/>
        <w:rPr>
          <w:rFonts w:cstheme="minorHAnsi"/>
          <w:bCs/>
          <w:iCs/>
        </w:rPr>
      </w:pPr>
      <w:r w:rsidRPr="004737C5">
        <w:rPr>
          <w:rFonts w:cstheme="minorHAnsi"/>
          <w:b/>
          <w:bCs/>
          <w:iCs/>
        </w:rPr>
        <w:t>Voluntary</w:t>
      </w:r>
    </w:p>
    <w:p w14:paraId="2DF7B02A" w14:textId="77777777" w:rsidR="00843222" w:rsidRPr="004737C5" w:rsidRDefault="005F1C44" w:rsidP="006D3BE8">
      <w:pPr>
        <w:pBdr>
          <w:top w:val="single" w:sz="4" w:space="1" w:color="auto"/>
          <w:left w:val="single" w:sz="4" w:space="4" w:color="auto"/>
          <w:bottom w:val="single" w:sz="4" w:space="1" w:color="auto"/>
          <w:right w:val="single" w:sz="4" w:space="4" w:color="auto"/>
        </w:pBdr>
        <w:rPr>
          <w:rFonts w:cstheme="minorHAnsi"/>
          <w:bCs/>
          <w:iCs/>
        </w:rPr>
      </w:pPr>
      <w:r w:rsidRPr="004737C5">
        <w:rPr>
          <w:rFonts w:cstheme="minorHAnsi"/>
          <w:bCs/>
          <w:iCs/>
        </w:rPr>
        <w:t>S</w:t>
      </w:r>
      <w:r w:rsidR="00843222" w:rsidRPr="004737C5">
        <w:rPr>
          <w:rFonts w:cstheme="minorHAnsi"/>
          <w:bCs/>
          <w:iCs/>
        </w:rPr>
        <w:t xml:space="preserve">anctions are set by the trade association, membership is voluntary, standards may be more than legal requirements and accreditation will usually be validated by a trade association badge. </w:t>
      </w:r>
    </w:p>
    <w:p w14:paraId="122E0E95"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rPr>
          <w:rFonts w:cstheme="minorHAnsi"/>
          <w:b/>
          <w:bCs/>
          <w:iCs/>
        </w:rPr>
      </w:pPr>
      <w:r w:rsidRPr="004737C5">
        <w:rPr>
          <w:rFonts w:cstheme="minorHAnsi"/>
          <w:b/>
          <w:bCs/>
          <w:iCs/>
        </w:rPr>
        <w:t>Delegated</w:t>
      </w:r>
      <w:r w:rsidR="00843222" w:rsidRPr="004737C5">
        <w:rPr>
          <w:rFonts w:cstheme="minorHAnsi"/>
          <w:b/>
          <w:bCs/>
          <w:iCs/>
        </w:rPr>
        <w:t xml:space="preserve"> </w:t>
      </w:r>
    </w:p>
    <w:p w14:paraId="0BF21D02" w14:textId="45CF3B54" w:rsidR="00843222" w:rsidRPr="004737C5" w:rsidRDefault="005F1C44" w:rsidP="006D3BE8">
      <w:pPr>
        <w:pBdr>
          <w:top w:val="single" w:sz="4" w:space="1" w:color="auto"/>
          <w:left w:val="single" w:sz="4" w:space="4" w:color="auto"/>
          <w:bottom w:val="single" w:sz="4" w:space="1" w:color="auto"/>
          <w:right w:val="single" w:sz="4" w:space="4" w:color="auto"/>
        </w:pBdr>
        <w:rPr>
          <w:rFonts w:cstheme="minorHAnsi"/>
          <w:bCs/>
          <w:iCs/>
        </w:rPr>
      </w:pPr>
      <w:r w:rsidRPr="004737C5">
        <w:rPr>
          <w:rFonts w:cstheme="minorHAnsi"/>
          <w:bCs/>
          <w:iCs/>
        </w:rPr>
        <w:lastRenderedPageBreak/>
        <w:t>L</w:t>
      </w:r>
      <w:r w:rsidR="00843222" w:rsidRPr="004737C5">
        <w:rPr>
          <w:rFonts w:cstheme="minorHAnsi"/>
          <w:bCs/>
          <w:iCs/>
        </w:rPr>
        <w:t xml:space="preserve">egal </w:t>
      </w:r>
      <w:r w:rsidRPr="004737C5">
        <w:rPr>
          <w:rFonts w:cstheme="minorHAnsi"/>
          <w:bCs/>
          <w:iCs/>
        </w:rPr>
        <w:t>regulation is delegated by the s</w:t>
      </w:r>
      <w:r w:rsidR="00843222" w:rsidRPr="004737C5">
        <w:rPr>
          <w:rFonts w:cstheme="minorHAnsi"/>
          <w:bCs/>
          <w:iCs/>
        </w:rPr>
        <w:t xml:space="preserve">tate to the self-regulatory body, as is </w:t>
      </w:r>
      <w:r w:rsidR="00B82059" w:rsidRPr="004737C5">
        <w:rPr>
          <w:rFonts w:cstheme="minorHAnsi"/>
          <w:bCs/>
          <w:iCs/>
        </w:rPr>
        <w:t xml:space="preserve">commonly </w:t>
      </w:r>
      <w:r w:rsidR="00843222" w:rsidRPr="004737C5">
        <w:rPr>
          <w:rFonts w:cstheme="minorHAnsi"/>
          <w:bCs/>
          <w:iCs/>
        </w:rPr>
        <w:t>the case for legal services and medicine. Membership is compulsory and</w:t>
      </w:r>
      <w:r w:rsidR="002D603B" w:rsidRPr="004737C5">
        <w:rPr>
          <w:rFonts w:cstheme="minorHAnsi"/>
          <w:bCs/>
          <w:iCs/>
        </w:rPr>
        <w:t xml:space="preserve"> similar to a license to practise. Standard-</w:t>
      </w:r>
      <w:r w:rsidR="00843222" w:rsidRPr="004737C5">
        <w:rPr>
          <w:rFonts w:cstheme="minorHAnsi"/>
          <w:bCs/>
          <w:iCs/>
        </w:rPr>
        <w:t>setting will usually be delegated to such bodies.</w:t>
      </w:r>
    </w:p>
    <w:p w14:paraId="624F9603"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rPr>
          <w:rFonts w:cstheme="minorHAnsi"/>
          <w:b/>
          <w:bCs/>
          <w:iCs/>
        </w:rPr>
      </w:pPr>
      <w:r w:rsidRPr="004737C5">
        <w:rPr>
          <w:rFonts w:cstheme="minorHAnsi"/>
          <w:b/>
          <w:bCs/>
          <w:iCs/>
        </w:rPr>
        <w:t>Hybrid</w:t>
      </w:r>
    </w:p>
    <w:p w14:paraId="223AEB73" w14:textId="0B9153C6" w:rsidR="00843222" w:rsidRPr="004737C5" w:rsidRDefault="005F1C44" w:rsidP="006D3BE8">
      <w:pPr>
        <w:pBdr>
          <w:top w:val="single" w:sz="4" w:space="1" w:color="auto"/>
          <w:left w:val="single" w:sz="4" w:space="4" w:color="auto"/>
          <w:bottom w:val="single" w:sz="4" w:space="1" w:color="auto"/>
          <w:right w:val="single" w:sz="4" w:space="4" w:color="auto"/>
        </w:pBdr>
        <w:rPr>
          <w:rFonts w:cstheme="minorHAnsi"/>
          <w:bCs/>
          <w:iCs/>
        </w:rPr>
      </w:pPr>
      <w:r w:rsidRPr="004737C5">
        <w:rPr>
          <w:rFonts w:cstheme="minorHAnsi"/>
          <w:bCs/>
          <w:iCs/>
        </w:rPr>
        <w:t>M</w:t>
      </w:r>
      <w:r w:rsidR="00843222" w:rsidRPr="004737C5">
        <w:rPr>
          <w:rFonts w:cstheme="minorHAnsi"/>
          <w:bCs/>
          <w:iCs/>
        </w:rPr>
        <w:t>embership is not compulsory by law but recognition of the title of</w:t>
      </w:r>
      <w:r w:rsidRPr="004737C5">
        <w:rPr>
          <w:rFonts w:cstheme="minorHAnsi"/>
          <w:bCs/>
          <w:iCs/>
        </w:rPr>
        <w:t xml:space="preserve"> “approved code” is awarded by g</w:t>
      </w:r>
      <w:r w:rsidR="00843222" w:rsidRPr="004737C5">
        <w:rPr>
          <w:rFonts w:cstheme="minorHAnsi"/>
          <w:bCs/>
          <w:iCs/>
        </w:rPr>
        <w:t>overnment and the observance of standards by practitioners may be equivalent to meeti</w:t>
      </w:r>
      <w:r w:rsidR="002D603B" w:rsidRPr="004737C5">
        <w:rPr>
          <w:rFonts w:cstheme="minorHAnsi"/>
          <w:bCs/>
          <w:iCs/>
        </w:rPr>
        <w:t>ng legal requirements. Standard-</w:t>
      </w:r>
      <w:r w:rsidR="00843222" w:rsidRPr="004737C5">
        <w:rPr>
          <w:rFonts w:cstheme="minorHAnsi"/>
          <w:bCs/>
          <w:iCs/>
        </w:rPr>
        <w:t>setting may be delegated to a national standards body by the industry body alongside consumer bodies.</w:t>
      </w:r>
    </w:p>
    <w:p w14:paraId="49676601" w14:textId="0C0EBC79" w:rsidR="00843222" w:rsidRPr="004737C5" w:rsidRDefault="00843222" w:rsidP="006D3BE8">
      <w:pPr>
        <w:pBdr>
          <w:top w:val="single" w:sz="4" w:space="1" w:color="auto"/>
          <w:left w:val="single" w:sz="4" w:space="4" w:color="auto"/>
          <w:bottom w:val="single" w:sz="4" w:space="1" w:color="auto"/>
          <w:right w:val="single" w:sz="4" w:space="4" w:color="auto"/>
        </w:pBdr>
        <w:rPr>
          <w:rFonts w:cstheme="minorHAnsi"/>
          <w:bCs/>
          <w:iCs/>
          <w:color w:val="5B9BD5" w:themeColor="accent1"/>
          <w:sz w:val="20"/>
          <w:szCs w:val="20"/>
        </w:rPr>
      </w:pPr>
      <w:r w:rsidRPr="004737C5">
        <w:rPr>
          <w:rFonts w:cstheme="minorHAnsi"/>
          <w:bCs/>
          <w:i/>
          <w:iCs/>
          <w:sz w:val="20"/>
          <w:szCs w:val="20"/>
        </w:rPr>
        <w:t>Source</w:t>
      </w:r>
      <w:r w:rsidRPr="004737C5">
        <w:rPr>
          <w:rFonts w:cstheme="minorHAnsi"/>
          <w:bCs/>
          <w:iCs/>
          <w:sz w:val="20"/>
          <w:szCs w:val="20"/>
        </w:rPr>
        <w:t>: OECD</w:t>
      </w:r>
      <w:r w:rsidR="002D603B" w:rsidRPr="004737C5">
        <w:rPr>
          <w:rFonts w:cstheme="minorHAnsi"/>
          <w:bCs/>
          <w:iCs/>
          <w:sz w:val="20"/>
          <w:szCs w:val="20"/>
        </w:rPr>
        <w:t>, 2015,</w:t>
      </w:r>
      <w:r w:rsidRPr="004737C5">
        <w:rPr>
          <w:rFonts w:cstheme="minorHAnsi"/>
          <w:bCs/>
          <w:iCs/>
          <w:sz w:val="20"/>
          <w:szCs w:val="20"/>
        </w:rPr>
        <w:t xml:space="preserve"> </w:t>
      </w:r>
      <w:r w:rsidR="002D603B" w:rsidRPr="004737C5">
        <w:rPr>
          <w:rFonts w:cstheme="minorHAnsi"/>
          <w:bCs/>
          <w:i/>
          <w:iCs/>
          <w:sz w:val="20"/>
          <w:szCs w:val="20"/>
        </w:rPr>
        <w:t>Industry S</w:t>
      </w:r>
      <w:r w:rsidRPr="004737C5">
        <w:rPr>
          <w:rFonts w:cstheme="minorHAnsi"/>
          <w:bCs/>
          <w:i/>
          <w:iCs/>
          <w:sz w:val="20"/>
          <w:szCs w:val="20"/>
        </w:rPr>
        <w:t>e</w:t>
      </w:r>
      <w:r w:rsidR="002D603B" w:rsidRPr="004737C5">
        <w:rPr>
          <w:rFonts w:cstheme="minorHAnsi"/>
          <w:bCs/>
          <w:i/>
          <w:iCs/>
          <w:sz w:val="20"/>
          <w:szCs w:val="20"/>
        </w:rPr>
        <w:t>lf-regulation: Role and Use in S</w:t>
      </w:r>
      <w:r w:rsidRPr="004737C5">
        <w:rPr>
          <w:rFonts w:cstheme="minorHAnsi"/>
          <w:bCs/>
          <w:i/>
          <w:iCs/>
          <w:sz w:val="20"/>
          <w:szCs w:val="20"/>
        </w:rPr>
        <w:t>up</w:t>
      </w:r>
      <w:r w:rsidR="002D603B" w:rsidRPr="004737C5">
        <w:rPr>
          <w:rFonts w:cstheme="minorHAnsi"/>
          <w:bCs/>
          <w:i/>
          <w:iCs/>
          <w:sz w:val="20"/>
          <w:szCs w:val="20"/>
        </w:rPr>
        <w:t>porting Consumer Interests</w:t>
      </w:r>
      <w:r w:rsidR="002D603B" w:rsidRPr="004737C5">
        <w:rPr>
          <w:rFonts w:cstheme="minorHAnsi"/>
          <w:bCs/>
          <w:iCs/>
          <w:sz w:val="20"/>
          <w:szCs w:val="20"/>
        </w:rPr>
        <w:t>.</w:t>
      </w:r>
    </w:p>
    <w:p w14:paraId="1EC11C4B" w14:textId="588058F0" w:rsidR="00843222" w:rsidRPr="004737C5" w:rsidRDefault="00843222" w:rsidP="006D3BE8">
      <w:pPr>
        <w:rPr>
          <w:rFonts w:cstheme="minorHAnsi"/>
          <w:bCs/>
        </w:rPr>
      </w:pPr>
      <w:r w:rsidRPr="004737C5">
        <w:rPr>
          <w:rFonts w:cstheme="minorHAnsi"/>
          <w:bCs/>
        </w:rPr>
        <w:t>Of course</w:t>
      </w:r>
      <w:r w:rsidR="002D603B" w:rsidRPr="004737C5">
        <w:rPr>
          <w:rFonts w:cstheme="minorHAnsi"/>
          <w:bCs/>
        </w:rPr>
        <w:t>,</w:t>
      </w:r>
      <w:r w:rsidRPr="004737C5">
        <w:rPr>
          <w:rFonts w:cstheme="minorHAnsi"/>
          <w:bCs/>
        </w:rPr>
        <w:t xml:space="preserve"> there is no perfect system, and potential strengths and weaknesses need to be considered. These are </w:t>
      </w:r>
      <w:r w:rsidR="00AF1448" w:rsidRPr="004737C5">
        <w:rPr>
          <w:rFonts w:cstheme="minorHAnsi"/>
          <w:bCs/>
        </w:rPr>
        <w:t>summariz</w:t>
      </w:r>
      <w:r w:rsidRPr="004737C5">
        <w:rPr>
          <w:rFonts w:cstheme="minorHAnsi"/>
          <w:bCs/>
        </w:rPr>
        <w:t>ed in box 4.</w:t>
      </w:r>
    </w:p>
    <w:p w14:paraId="71671A3F" w14:textId="77777777" w:rsidR="00843222" w:rsidRPr="004737C5" w:rsidRDefault="005F1C44" w:rsidP="006D3BE8">
      <w:pPr>
        <w:pBdr>
          <w:top w:val="single" w:sz="4" w:space="1" w:color="auto"/>
          <w:left w:val="single" w:sz="4" w:space="4" w:color="auto"/>
          <w:bottom w:val="single" w:sz="4" w:space="1" w:color="auto"/>
          <w:right w:val="single" w:sz="4" w:space="4" w:color="auto"/>
        </w:pBdr>
        <w:rPr>
          <w:rFonts w:cstheme="minorHAnsi"/>
          <w:b/>
          <w:bCs/>
          <w:iCs/>
        </w:rPr>
      </w:pPr>
      <w:r w:rsidRPr="004737C5">
        <w:rPr>
          <w:rFonts w:cstheme="minorHAnsi"/>
          <w:b/>
          <w:bCs/>
          <w:iCs/>
        </w:rPr>
        <w:t>Box 4.</w:t>
      </w:r>
      <w:r w:rsidR="00843222" w:rsidRPr="004737C5">
        <w:rPr>
          <w:rFonts w:cstheme="minorHAnsi"/>
          <w:b/>
          <w:bCs/>
          <w:iCs/>
        </w:rPr>
        <w:t xml:space="preserve"> Strengths and weaknesses of self-regulatory systems and legislation</w:t>
      </w:r>
    </w:p>
    <w:p w14:paraId="1B66DB26" w14:textId="77777777" w:rsidR="005F1C44" w:rsidRPr="004737C5" w:rsidRDefault="005F1C44" w:rsidP="005F1C44">
      <w:pPr>
        <w:pBdr>
          <w:top w:val="single" w:sz="4" w:space="1" w:color="auto"/>
          <w:left w:val="single" w:sz="4" w:space="4" w:color="auto"/>
          <w:bottom w:val="single" w:sz="4" w:space="1" w:color="auto"/>
          <w:right w:val="single" w:sz="4" w:space="4" w:color="auto"/>
        </w:pBdr>
        <w:jc w:val="left"/>
        <w:rPr>
          <w:rFonts w:cstheme="minorHAnsi"/>
          <w:iCs/>
        </w:rPr>
      </w:pPr>
      <w:r w:rsidRPr="004737C5">
        <w:rPr>
          <w:rFonts w:cstheme="minorHAnsi"/>
          <w:b/>
          <w:bCs/>
          <w:iCs/>
        </w:rPr>
        <w:t>Self-regulation</w:t>
      </w:r>
    </w:p>
    <w:p w14:paraId="53F208CF"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jc w:val="left"/>
        <w:rPr>
          <w:rFonts w:cstheme="minorHAnsi"/>
          <w:iCs/>
        </w:rPr>
      </w:pPr>
      <w:r w:rsidRPr="004737C5">
        <w:rPr>
          <w:rFonts w:cstheme="minorHAnsi"/>
          <w:b/>
          <w:iCs/>
        </w:rPr>
        <w:t>Strengths:</w:t>
      </w:r>
      <w:r w:rsidRPr="004737C5">
        <w:rPr>
          <w:rFonts w:cstheme="minorHAnsi"/>
          <w:iCs/>
        </w:rPr>
        <w:t xml:space="preserve"> </w:t>
      </w:r>
    </w:p>
    <w:p w14:paraId="0748DC66"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a)</w:t>
      </w:r>
      <w:r w:rsidRPr="004737C5">
        <w:rPr>
          <w:rFonts w:cstheme="minorHAnsi"/>
          <w:iCs/>
        </w:rPr>
        <w:tab/>
      </w:r>
      <w:r w:rsidR="00843222" w:rsidRPr="004737C5">
        <w:rPr>
          <w:rFonts w:cstheme="minorHAnsi"/>
          <w:iCs/>
        </w:rPr>
        <w:t>Voluntary codes are flexible, easier to change than laws,</w:t>
      </w:r>
      <w:r w:rsidRPr="004737C5">
        <w:rPr>
          <w:rFonts w:cstheme="minorHAnsi"/>
          <w:iCs/>
        </w:rPr>
        <w:t xml:space="preserve"> and can fill regulatory gaps</w:t>
      </w:r>
    </w:p>
    <w:p w14:paraId="113BD773"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b)</w:t>
      </w:r>
      <w:r w:rsidRPr="004737C5">
        <w:rPr>
          <w:rFonts w:cstheme="minorHAnsi"/>
          <w:iCs/>
        </w:rPr>
        <w:tab/>
      </w:r>
      <w:r w:rsidR="00843222" w:rsidRPr="004737C5">
        <w:rPr>
          <w:rFonts w:cstheme="minorHAnsi"/>
          <w:iCs/>
        </w:rPr>
        <w:t>Codes can promote good practic</w:t>
      </w:r>
      <w:r w:rsidRPr="004737C5">
        <w:rPr>
          <w:rFonts w:cstheme="minorHAnsi"/>
          <w:iCs/>
        </w:rPr>
        <w:t>e not just prevent bad practice</w:t>
      </w:r>
      <w:r w:rsidRPr="004737C5">
        <w:rPr>
          <w:rFonts w:cstheme="minorHAnsi"/>
          <w:iCs/>
        </w:rPr>
        <w:tab/>
      </w:r>
    </w:p>
    <w:p w14:paraId="3FC51891"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c)</w:t>
      </w:r>
      <w:r w:rsidRPr="004737C5">
        <w:rPr>
          <w:rFonts w:cstheme="minorHAnsi"/>
          <w:iCs/>
        </w:rPr>
        <w:tab/>
      </w:r>
      <w:r w:rsidR="00843222" w:rsidRPr="004737C5">
        <w:rPr>
          <w:rFonts w:cstheme="minorHAnsi"/>
          <w:iCs/>
        </w:rPr>
        <w:t>An industry may identify more closely with a code it has drafted itself and</w:t>
      </w:r>
      <w:r w:rsidRPr="004737C5">
        <w:rPr>
          <w:rFonts w:cstheme="minorHAnsi"/>
          <w:iCs/>
        </w:rPr>
        <w:t xml:space="preserve"> therefore more readily comply</w:t>
      </w:r>
    </w:p>
    <w:p w14:paraId="074C3896" w14:textId="77777777" w:rsidR="005F1C44" w:rsidRPr="004737C5" w:rsidRDefault="00843222"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 xml:space="preserve">d) </w:t>
      </w:r>
      <w:r w:rsidR="005F1C44" w:rsidRPr="004737C5">
        <w:rPr>
          <w:rFonts w:cstheme="minorHAnsi"/>
          <w:iCs/>
        </w:rPr>
        <w:tab/>
      </w:r>
      <w:r w:rsidRPr="004737C5">
        <w:rPr>
          <w:rFonts w:cstheme="minorHAnsi"/>
          <w:iCs/>
        </w:rPr>
        <w:t xml:space="preserve">A code can deal intuitively with cultural matters, such as taste or decency, which are </w:t>
      </w:r>
      <w:r w:rsidR="005F1C44" w:rsidRPr="004737C5">
        <w:rPr>
          <w:rFonts w:cstheme="minorHAnsi"/>
          <w:iCs/>
        </w:rPr>
        <w:t>very difficult to legislate for</w:t>
      </w:r>
      <w:r w:rsidR="005F1C44" w:rsidRPr="004737C5">
        <w:rPr>
          <w:rFonts w:cstheme="minorHAnsi"/>
          <w:iCs/>
        </w:rPr>
        <w:tab/>
      </w:r>
    </w:p>
    <w:p w14:paraId="12239807"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e)</w:t>
      </w:r>
      <w:r w:rsidRPr="004737C5">
        <w:rPr>
          <w:rFonts w:cstheme="minorHAnsi"/>
          <w:iCs/>
        </w:rPr>
        <w:tab/>
      </w:r>
      <w:r w:rsidR="00843222" w:rsidRPr="004737C5">
        <w:rPr>
          <w:rFonts w:cstheme="minorHAnsi"/>
          <w:iCs/>
        </w:rPr>
        <w:t>A code is expected to go beyond simple legal compliance</w:t>
      </w:r>
      <w:r w:rsidRPr="004737C5">
        <w:rPr>
          <w:rFonts w:cstheme="minorHAnsi"/>
          <w:iCs/>
        </w:rPr>
        <w:t xml:space="preserve"> and so may be more innovative</w:t>
      </w:r>
      <w:r w:rsidRPr="004737C5">
        <w:rPr>
          <w:rFonts w:cstheme="minorHAnsi"/>
          <w:iCs/>
        </w:rPr>
        <w:tab/>
      </w:r>
    </w:p>
    <w:p w14:paraId="7A8C0D98"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 xml:space="preserve">f) </w:t>
      </w:r>
      <w:r w:rsidRPr="004737C5">
        <w:rPr>
          <w:rFonts w:cstheme="minorHAnsi"/>
          <w:iCs/>
        </w:rPr>
        <w:tab/>
      </w:r>
      <w:r w:rsidR="00843222" w:rsidRPr="004737C5">
        <w:rPr>
          <w:rFonts w:cstheme="minorHAnsi"/>
          <w:iCs/>
        </w:rPr>
        <w:t>Redr</w:t>
      </w:r>
      <w:r w:rsidRPr="004737C5">
        <w:rPr>
          <w:rFonts w:cstheme="minorHAnsi"/>
          <w:iCs/>
        </w:rPr>
        <w:t>ess may be cheaper and faster</w:t>
      </w:r>
      <w:r w:rsidRPr="004737C5">
        <w:rPr>
          <w:rFonts w:cstheme="minorHAnsi"/>
          <w:iCs/>
        </w:rPr>
        <w:tab/>
      </w:r>
    </w:p>
    <w:p w14:paraId="69F2843D"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g)</w:t>
      </w:r>
      <w:r w:rsidRPr="004737C5">
        <w:rPr>
          <w:rFonts w:cstheme="minorHAnsi"/>
          <w:iCs/>
        </w:rPr>
        <w:tab/>
      </w:r>
      <w:r w:rsidR="00843222" w:rsidRPr="004737C5">
        <w:rPr>
          <w:rFonts w:cstheme="minorHAnsi"/>
          <w:iCs/>
        </w:rPr>
        <w:t>The cost of implement</w:t>
      </w:r>
      <w:r w:rsidR="00B82059" w:rsidRPr="004737C5">
        <w:rPr>
          <w:rFonts w:cstheme="minorHAnsi"/>
          <w:iCs/>
        </w:rPr>
        <w:t>ing</w:t>
      </w:r>
      <w:r w:rsidR="00843222" w:rsidRPr="004737C5">
        <w:rPr>
          <w:rFonts w:cstheme="minorHAnsi"/>
          <w:iCs/>
        </w:rPr>
        <w:t xml:space="preserve"> a c</w:t>
      </w:r>
      <w:r w:rsidRPr="004737C5">
        <w:rPr>
          <w:rFonts w:cstheme="minorHAnsi"/>
          <w:iCs/>
        </w:rPr>
        <w:t>ode is borne by industry itself</w:t>
      </w:r>
    </w:p>
    <w:p w14:paraId="17C81A77" w14:textId="77777777" w:rsidR="00843222" w:rsidRPr="004737C5" w:rsidRDefault="005F1C44" w:rsidP="005F1C44">
      <w:pPr>
        <w:pBdr>
          <w:top w:val="single" w:sz="4" w:space="1" w:color="auto"/>
          <w:left w:val="single" w:sz="4" w:space="4" w:color="auto"/>
          <w:bottom w:val="single" w:sz="4" w:space="1" w:color="auto"/>
          <w:right w:val="single" w:sz="4" w:space="4" w:color="auto"/>
        </w:pBdr>
        <w:ind w:left="425" w:hanging="425"/>
        <w:jc w:val="left"/>
        <w:rPr>
          <w:rFonts w:cstheme="minorHAnsi"/>
          <w:b/>
          <w:bCs/>
          <w:iCs/>
        </w:rPr>
      </w:pPr>
      <w:r w:rsidRPr="004737C5">
        <w:rPr>
          <w:rFonts w:cstheme="minorHAnsi"/>
          <w:iCs/>
        </w:rPr>
        <w:t>h)</w:t>
      </w:r>
      <w:r w:rsidRPr="004737C5">
        <w:rPr>
          <w:rFonts w:cstheme="minorHAnsi"/>
          <w:iCs/>
        </w:rPr>
        <w:tab/>
      </w:r>
      <w:r w:rsidR="00843222" w:rsidRPr="004737C5">
        <w:rPr>
          <w:rFonts w:cstheme="minorHAnsi"/>
          <w:iCs/>
        </w:rPr>
        <w:t>Technical expertise can easily be br</w:t>
      </w:r>
      <w:r w:rsidRPr="004737C5">
        <w:rPr>
          <w:rFonts w:cstheme="minorHAnsi"/>
          <w:iCs/>
        </w:rPr>
        <w:t>ought to bear from the industry</w:t>
      </w:r>
      <w:r w:rsidRPr="004737C5">
        <w:rPr>
          <w:rFonts w:cstheme="minorHAnsi"/>
          <w:iCs/>
        </w:rPr>
        <w:tab/>
      </w:r>
    </w:p>
    <w:p w14:paraId="72ABF5D5" w14:textId="77777777" w:rsidR="005F1C44" w:rsidRPr="004737C5" w:rsidRDefault="00843222"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b/>
          <w:iCs/>
        </w:rPr>
        <w:t>Weaknesses:</w:t>
      </w:r>
    </w:p>
    <w:p w14:paraId="4A02EBD5"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a)</w:t>
      </w:r>
      <w:r w:rsidRPr="004737C5">
        <w:rPr>
          <w:rFonts w:cstheme="minorHAnsi"/>
          <w:iCs/>
        </w:rPr>
        <w:tab/>
      </w:r>
      <w:r w:rsidR="00843222" w:rsidRPr="004737C5">
        <w:rPr>
          <w:rFonts w:cstheme="minorHAnsi"/>
          <w:iCs/>
        </w:rPr>
        <w:t xml:space="preserve">A voluntary scheme only </w:t>
      </w:r>
      <w:r w:rsidRPr="004737C5">
        <w:rPr>
          <w:rFonts w:cstheme="minorHAnsi"/>
          <w:iCs/>
        </w:rPr>
        <w:t>covers those who sign up to it</w:t>
      </w:r>
      <w:r w:rsidRPr="004737C5">
        <w:rPr>
          <w:rFonts w:cstheme="minorHAnsi"/>
          <w:iCs/>
        </w:rPr>
        <w:tab/>
      </w:r>
    </w:p>
    <w:p w14:paraId="6D1E232B"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b)</w:t>
      </w:r>
      <w:r w:rsidRPr="004737C5">
        <w:rPr>
          <w:rFonts w:cstheme="minorHAnsi"/>
          <w:iCs/>
        </w:rPr>
        <w:tab/>
      </w:r>
      <w:r w:rsidR="00843222" w:rsidRPr="004737C5">
        <w:rPr>
          <w:rFonts w:cstheme="minorHAnsi"/>
          <w:iCs/>
        </w:rPr>
        <w:t>A comprehensive scheme may lead to anti-competitive behaviou</w:t>
      </w:r>
      <w:r w:rsidRPr="004737C5">
        <w:rPr>
          <w:rFonts w:cstheme="minorHAnsi"/>
          <w:iCs/>
        </w:rPr>
        <w:t>r</w:t>
      </w:r>
    </w:p>
    <w:p w14:paraId="38380BD4"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c)</w:t>
      </w:r>
      <w:r w:rsidRPr="004737C5">
        <w:rPr>
          <w:rFonts w:cstheme="minorHAnsi"/>
          <w:iCs/>
        </w:rPr>
        <w:tab/>
      </w:r>
      <w:r w:rsidR="00843222" w:rsidRPr="004737C5">
        <w:rPr>
          <w:rFonts w:cstheme="minorHAnsi"/>
          <w:iCs/>
        </w:rPr>
        <w:t>Non-</w:t>
      </w:r>
      <w:r w:rsidRPr="004737C5">
        <w:rPr>
          <w:rFonts w:cstheme="minorHAnsi"/>
          <w:iCs/>
        </w:rPr>
        <w:t>members may undercut standards</w:t>
      </w:r>
    </w:p>
    <w:p w14:paraId="592A8A5F"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d)</w:t>
      </w:r>
      <w:r w:rsidRPr="004737C5">
        <w:rPr>
          <w:rFonts w:cstheme="minorHAnsi"/>
          <w:iCs/>
        </w:rPr>
        <w:tab/>
      </w:r>
      <w:r w:rsidR="00843222" w:rsidRPr="004737C5">
        <w:rPr>
          <w:rFonts w:cstheme="minorHAnsi"/>
          <w:iCs/>
        </w:rPr>
        <w:t>Requirements may not be ta</w:t>
      </w:r>
      <w:r w:rsidRPr="004737C5">
        <w:rPr>
          <w:rFonts w:cstheme="minorHAnsi"/>
          <w:iCs/>
        </w:rPr>
        <w:t>ken seriously if not statutory</w:t>
      </w:r>
    </w:p>
    <w:p w14:paraId="500B4DDB"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e)</w:t>
      </w:r>
      <w:r w:rsidRPr="004737C5">
        <w:rPr>
          <w:rFonts w:cstheme="minorHAnsi"/>
          <w:iCs/>
        </w:rPr>
        <w:tab/>
      </w:r>
      <w:r w:rsidR="00843222" w:rsidRPr="004737C5">
        <w:rPr>
          <w:rFonts w:cstheme="minorHAnsi"/>
          <w:iCs/>
        </w:rPr>
        <w:t xml:space="preserve">A variety </w:t>
      </w:r>
      <w:r w:rsidRPr="004737C5">
        <w:rPr>
          <w:rFonts w:cstheme="minorHAnsi"/>
          <w:iCs/>
        </w:rPr>
        <w:t>of codes may confuse consumers</w:t>
      </w:r>
    </w:p>
    <w:p w14:paraId="5CB6A140"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f)</w:t>
      </w:r>
      <w:r w:rsidRPr="004737C5">
        <w:rPr>
          <w:rFonts w:cstheme="minorHAnsi"/>
          <w:iCs/>
        </w:rPr>
        <w:tab/>
      </w:r>
      <w:r w:rsidR="00843222" w:rsidRPr="004737C5">
        <w:rPr>
          <w:rFonts w:cstheme="minorHAnsi"/>
          <w:iCs/>
        </w:rPr>
        <w:t>Sanctions may be too weak (reluctance to discipline p</w:t>
      </w:r>
      <w:r w:rsidRPr="004737C5">
        <w:rPr>
          <w:rFonts w:cstheme="minorHAnsi"/>
          <w:iCs/>
        </w:rPr>
        <w:t>eers) or too strong (expulsion)</w:t>
      </w:r>
      <w:r w:rsidRPr="004737C5">
        <w:rPr>
          <w:rFonts w:cstheme="minorHAnsi"/>
          <w:iCs/>
        </w:rPr>
        <w:tab/>
      </w:r>
    </w:p>
    <w:p w14:paraId="6554F428" w14:textId="77777777" w:rsidR="005F1C44" w:rsidRPr="004737C5" w:rsidRDefault="005F1C44" w:rsidP="005F1C44">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g)</w:t>
      </w:r>
      <w:r w:rsidRPr="004737C5">
        <w:rPr>
          <w:rFonts w:cstheme="minorHAnsi"/>
          <w:iCs/>
        </w:rPr>
        <w:tab/>
      </w:r>
      <w:r w:rsidR="00843222" w:rsidRPr="004737C5">
        <w:rPr>
          <w:rFonts w:cstheme="minorHAnsi"/>
          <w:iCs/>
        </w:rPr>
        <w:t>Consumers might be scept</w:t>
      </w:r>
      <w:r w:rsidRPr="004737C5">
        <w:rPr>
          <w:rFonts w:cstheme="minorHAnsi"/>
          <w:iCs/>
        </w:rPr>
        <w:t>ical about the force of codes</w:t>
      </w:r>
    </w:p>
    <w:p w14:paraId="07278F8E"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h)</w:t>
      </w:r>
      <w:r w:rsidRPr="004737C5">
        <w:rPr>
          <w:rFonts w:cstheme="minorHAnsi"/>
          <w:iCs/>
        </w:rPr>
        <w:tab/>
      </w:r>
      <w:r w:rsidR="00843222" w:rsidRPr="004737C5">
        <w:rPr>
          <w:rFonts w:cstheme="minorHAnsi"/>
          <w:iCs/>
        </w:rPr>
        <w:t>Conflict of interest may arise within trade association between representing m</w:t>
      </w:r>
      <w:r w:rsidRPr="004737C5">
        <w:rPr>
          <w:rFonts w:cstheme="minorHAnsi"/>
          <w:iCs/>
        </w:rPr>
        <w:t>embers and upholding standards</w:t>
      </w:r>
    </w:p>
    <w:p w14:paraId="13BAF914" w14:textId="77777777" w:rsidR="005F1C44" w:rsidRPr="004737C5" w:rsidRDefault="005F1C44" w:rsidP="002D603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i)</w:t>
      </w:r>
      <w:r w:rsidRPr="004737C5">
        <w:rPr>
          <w:rFonts w:cstheme="minorHAnsi"/>
          <w:iCs/>
        </w:rPr>
        <w:tab/>
      </w:r>
      <w:r w:rsidR="00843222" w:rsidRPr="004737C5">
        <w:rPr>
          <w:rFonts w:cstheme="minorHAnsi"/>
          <w:iCs/>
        </w:rPr>
        <w:t>Codes may become ba</w:t>
      </w:r>
      <w:r w:rsidRPr="004737C5">
        <w:rPr>
          <w:rFonts w:cstheme="minorHAnsi"/>
          <w:iCs/>
        </w:rPr>
        <w:t>rriers to necessary legislation</w:t>
      </w:r>
    </w:p>
    <w:p w14:paraId="06F23A7A" w14:textId="77777777" w:rsidR="00843222" w:rsidRPr="004737C5" w:rsidRDefault="00360C5B" w:rsidP="00360C5B">
      <w:pPr>
        <w:pBdr>
          <w:top w:val="single" w:sz="4" w:space="1" w:color="auto"/>
          <w:left w:val="single" w:sz="4" w:space="4" w:color="auto"/>
          <w:bottom w:val="single" w:sz="4" w:space="1" w:color="auto"/>
          <w:right w:val="single" w:sz="4" w:space="4" w:color="auto"/>
        </w:pBdr>
        <w:ind w:left="425" w:hanging="425"/>
        <w:jc w:val="left"/>
        <w:rPr>
          <w:rFonts w:cstheme="minorHAnsi"/>
          <w:iCs/>
        </w:rPr>
      </w:pPr>
      <w:r w:rsidRPr="004737C5">
        <w:rPr>
          <w:rFonts w:cstheme="minorHAnsi"/>
          <w:iCs/>
        </w:rPr>
        <w:t>j)</w:t>
      </w:r>
      <w:r w:rsidRPr="004737C5">
        <w:rPr>
          <w:rFonts w:cstheme="minorHAnsi"/>
          <w:iCs/>
        </w:rPr>
        <w:tab/>
      </w:r>
      <w:r w:rsidR="00843222" w:rsidRPr="004737C5">
        <w:rPr>
          <w:rFonts w:cstheme="minorHAnsi"/>
          <w:iCs/>
        </w:rPr>
        <w:t>Codes may be inadequately monitor</w:t>
      </w:r>
      <w:r w:rsidRPr="004737C5">
        <w:rPr>
          <w:rFonts w:cstheme="minorHAnsi"/>
          <w:iCs/>
        </w:rPr>
        <w:t>ed</w:t>
      </w:r>
    </w:p>
    <w:p w14:paraId="15BA155E" w14:textId="77777777" w:rsidR="00360C5B" w:rsidRPr="004737C5" w:rsidRDefault="00360C5B" w:rsidP="00360C5B">
      <w:pPr>
        <w:pBdr>
          <w:top w:val="single" w:sz="4" w:space="1" w:color="auto"/>
          <w:left w:val="single" w:sz="4" w:space="4" w:color="auto"/>
          <w:bottom w:val="single" w:sz="4" w:space="1" w:color="auto"/>
          <w:right w:val="single" w:sz="4" w:space="4" w:color="auto"/>
        </w:pBdr>
        <w:rPr>
          <w:rFonts w:cstheme="minorHAnsi"/>
          <w:iCs/>
          <w:u w:val="single"/>
        </w:rPr>
      </w:pPr>
      <w:r w:rsidRPr="004737C5">
        <w:rPr>
          <w:rFonts w:cstheme="minorHAnsi"/>
          <w:b/>
          <w:bCs/>
          <w:iCs/>
        </w:rPr>
        <w:t>Legislation</w:t>
      </w:r>
    </w:p>
    <w:p w14:paraId="1ED26FB9" w14:textId="77777777" w:rsidR="00360C5B" w:rsidRPr="004737C5" w:rsidRDefault="00843222" w:rsidP="00360C5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b/>
          <w:iCs/>
        </w:rPr>
        <w:t>Strengths:</w:t>
      </w:r>
    </w:p>
    <w:p w14:paraId="0A14C502" w14:textId="77777777" w:rsidR="00360C5B" w:rsidRPr="004737C5" w:rsidRDefault="00360C5B" w:rsidP="00360C5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a)</w:t>
      </w:r>
      <w:r w:rsidRPr="004737C5">
        <w:rPr>
          <w:rFonts w:cstheme="minorHAnsi"/>
          <w:iCs/>
        </w:rPr>
        <w:tab/>
        <w:t>Authority of government</w:t>
      </w:r>
    </w:p>
    <w:p w14:paraId="59D68510" w14:textId="77777777" w:rsidR="00360C5B" w:rsidRPr="004737C5" w:rsidRDefault="00843222" w:rsidP="00360C5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 xml:space="preserve">b) </w:t>
      </w:r>
      <w:r w:rsidR="00360C5B" w:rsidRPr="004737C5">
        <w:rPr>
          <w:rFonts w:cstheme="minorHAnsi"/>
          <w:iCs/>
        </w:rPr>
        <w:tab/>
      </w:r>
      <w:r w:rsidRPr="004737C5">
        <w:rPr>
          <w:rFonts w:cstheme="minorHAnsi"/>
          <w:iCs/>
        </w:rPr>
        <w:t>Coercive effec</w:t>
      </w:r>
      <w:r w:rsidR="00360C5B" w:rsidRPr="004737C5">
        <w:rPr>
          <w:rFonts w:cstheme="minorHAnsi"/>
          <w:iCs/>
        </w:rPr>
        <w:t>t where compliance is mandatory</w:t>
      </w:r>
      <w:r w:rsidR="00360C5B" w:rsidRPr="004737C5">
        <w:rPr>
          <w:rFonts w:cstheme="minorHAnsi"/>
          <w:iCs/>
        </w:rPr>
        <w:tab/>
      </w:r>
    </w:p>
    <w:p w14:paraId="15BB9E84" w14:textId="77777777" w:rsidR="00360C5B" w:rsidRPr="004737C5" w:rsidRDefault="00360C5B" w:rsidP="00360C5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c)</w:t>
      </w:r>
      <w:r w:rsidRPr="004737C5">
        <w:rPr>
          <w:rFonts w:cstheme="minorHAnsi"/>
          <w:iCs/>
        </w:rPr>
        <w:tab/>
      </w:r>
      <w:r w:rsidR="00843222" w:rsidRPr="004737C5">
        <w:rPr>
          <w:rFonts w:cstheme="minorHAnsi"/>
          <w:iCs/>
        </w:rPr>
        <w:t>Comprehensi</w:t>
      </w:r>
      <w:r w:rsidRPr="004737C5">
        <w:rPr>
          <w:rFonts w:cstheme="minorHAnsi"/>
          <w:iCs/>
        </w:rPr>
        <w:t>ve coverage throughout sectors</w:t>
      </w:r>
    </w:p>
    <w:p w14:paraId="59BCF06A" w14:textId="77777777" w:rsidR="00360C5B" w:rsidRPr="004737C5" w:rsidRDefault="00843222" w:rsidP="00360C5B">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 xml:space="preserve">d) </w:t>
      </w:r>
      <w:r w:rsidR="00360C5B" w:rsidRPr="004737C5">
        <w:rPr>
          <w:rFonts w:cstheme="minorHAnsi"/>
          <w:iCs/>
        </w:rPr>
        <w:tab/>
      </w:r>
      <w:r w:rsidRPr="004737C5">
        <w:rPr>
          <w:rFonts w:cstheme="minorHAnsi"/>
          <w:iCs/>
        </w:rPr>
        <w:t>Adaptable in terms of co</w:t>
      </w:r>
      <w:r w:rsidR="00360C5B" w:rsidRPr="004737C5">
        <w:rPr>
          <w:rFonts w:cstheme="minorHAnsi"/>
          <w:iCs/>
        </w:rPr>
        <w:t>ntent and no veto from industry</w:t>
      </w:r>
    </w:p>
    <w:p w14:paraId="405FF0C5" w14:textId="77777777" w:rsidR="00843222" w:rsidRPr="004737C5" w:rsidRDefault="00360C5B" w:rsidP="00360C5B">
      <w:pPr>
        <w:pBdr>
          <w:top w:val="single" w:sz="4" w:space="1" w:color="auto"/>
          <w:left w:val="single" w:sz="4" w:space="4" w:color="auto"/>
          <w:bottom w:val="single" w:sz="4" w:space="1" w:color="auto"/>
          <w:right w:val="single" w:sz="4" w:space="4" w:color="auto"/>
        </w:pBdr>
        <w:ind w:left="425" w:hanging="425"/>
        <w:rPr>
          <w:rFonts w:cstheme="minorHAnsi"/>
          <w:iCs/>
        </w:rPr>
      </w:pPr>
      <w:r w:rsidRPr="004737C5">
        <w:rPr>
          <w:rFonts w:cstheme="minorHAnsi"/>
          <w:iCs/>
        </w:rPr>
        <w:t>e)</w:t>
      </w:r>
      <w:r w:rsidRPr="004737C5">
        <w:rPr>
          <w:rFonts w:cstheme="minorHAnsi"/>
          <w:iCs/>
        </w:rPr>
        <w:tab/>
        <w:t>Credibility with consumers</w:t>
      </w:r>
    </w:p>
    <w:p w14:paraId="3BA47C60" w14:textId="77777777" w:rsidR="00360C5B" w:rsidRPr="004737C5" w:rsidRDefault="00843222" w:rsidP="004D53FF">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b/>
          <w:iCs/>
        </w:rPr>
        <w:t>Weaknesses:</w:t>
      </w:r>
    </w:p>
    <w:p w14:paraId="30443B4E" w14:textId="77777777" w:rsidR="004D53FF" w:rsidRPr="004737C5" w:rsidRDefault="00360C5B" w:rsidP="004D53FF">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a)</w:t>
      </w:r>
      <w:r w:rsidRPr="004737C5">
        <w:rPr>
          <w:rFonts w:cstheme="minorHAnsi"/>
          <w:iCs/>
        </w:rPr>
        <w:tab/>
      </w:r>
      <w:r w:rsidR="00843222" w:rsidRPr="004737C5">
        <w:rPr>
          <w:rFonts w:cstheme="minorHAnsi"/>
          <w:iCs/>
        </w:rPr>
        <w:t>Difficult to obtain legislative time; may be overtake</w:t>
      </w:r>
      <w:r w:rsidR="004D53FF" w:rsidRPr="004737C5">
        <w:rPr>
          <w:rFonts w:cstheme="minorHAnsi"/>
          <w:iCs/>
        </w:rPr>
        <w:t>n by developments in the market</w:t>
      </w:r>
      <w:r w:rsidR="004D53FF" w:rsidRPr="004737C5">
        <w:rPr>
          <w:rFonts w:cstheme="minorHAnsi"/>
          <w:iCs/>
        </w:rPr>
        <w:tab/>
      </w:r>
    </w:p>
    <w:p w14:paraId="44A3DD4D" w14:textId="77777777" w:rsidR="004D53FF" w:rsidRPr="004737C5" w:rsidRDefault="004D53FF" w:rsidP="004D53FF">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lastRenderedPageBreak/>
        <w:t>b)</w:t>
      </w:r>
      <w:r w:rsidRPr="004737C5">
        <w:rPr>
          <w:rFonts w:cstheme="minorHAnsi"/>
          <w:iCs/>
        </w:rPr>
        <w:tab/>
      </w:r>
      <w:r w:rsidR="00843222" w:rsidRPr="004737C5">
        <w:rPr>
          <w:rFonts w:cstheme="minorHAnsi"/>
          <w:iCs/>
        </w:rPr>
        <w:t>Negativ</w:t>
      </w:r>
      <w:r w:rsidRPr="004737C5">
        <w:rPr>
          <w:rFonts w:cstheme="minorHAnsi"/>
          <w:iCs/>
        </w:rPr>
        <w:t>e approach rather than positive</w:t>
      </w:r>
      <w:r w:rsidRPr="004737C5">
        <w:rPr>
          <w:rFonts w:cstheme="minorHAnsi"/>
          <w:iCs/>
        </w:rPr>
        <w:tab/>
      </w:r>
      <w:r w:rsidRPr="004737C5">
        <w:rPr>
          <w:rFonts w:cstheme="minorHAnsi"/>
          <w:iCs/>
        </w:rPr>
        <w:tab/>
      </w:r>
    </w:p>
    <w:p w14:paraId="5D6DB521" w14:textId="77777777" w:rsidR="004D53FF" w:rsidRPr="004737C5" w:rsidRDefault="004D53FF" w:rsidP="004D53FF">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c)</w:t>
      </w:r>
      <w:r w:rsidRPr="004737C5">
        <w:rPr>
          <w:rFonts w:cstheme="minorHAnsi"/>
          <w:iCs/>
        </w:rPr>
        <w:tab/>
      </w:r>
      <w:r w:rsidR="00843222" w:rsidRPr="004737C5">
        <w:rPr>
          <w:rFonts w:cstheme="minorHAnsi"/>
          <w:iCs/>
        </w:rPr>
        <w:t>General legislation is usually vague, while s</w:t>
      </w:r>
      <w:r w:rsidRPr="004737C5">
        <w:rPr>
          <w:rFonts w:cstheme="minorHAnsi"/>
          <w:iCs/>
        </w:rPr>
        <w:t>pecific legislation is complex</w:t>
      </w:r>
    </w:p>
    <w:p w14:paraId="54CA8AE1" w14:textId="77777777" w:rsidR="004D53FF" w:rsidRPr="004737C5" w:rsidRDefault="004D53FF" w:rsidP="004D53FF">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d)</w:t>
      </w:r>
      <w:r w:rsidRPr="004737C5">
        <w:rPr>
          <w:rFonts w:cstheme="minorHAnsi"/>
          <w:iCs/>
        </w:rPr>
        <w:tab/>
      </w:r>
      <w:r w:rsidR="00843222" w:rsidRPr="004737C5">
        <w:rPr>
          <w:rFonts w:cstheme="minorHAnsi"/>
          <w:iCs/>
        </w:rPr>
        <w:t>Criminal law is unwieldy and i</w:t>
      </w:r>
      <w:r w:rsidRPr="004737C5">
        <w:rPr>
          <w:rFonts w:cstheme="minorHAnsi"/>
          <w:iCs/>
        </w:rPr>
        <w:t>nflexible</w:t>
      </w:r>
    </w:p>
    <w:p w14:paraId="793EB60C" w14:textId="77777777" w:rsidR="004D53FF" w:rsidRPr="004737C5" w:rsidRDefault="004D53FF" w:rsidP="004D53FF">
      <w:pPr>
        <w:pBdr>
          <w:top w:val="single" w:sz="4" w:space="1" w:color="auto"/>
          <w:left w:val="single" w:sz="4" w:space="4" w:color="auto"/>
          <w:bottom w:val="single" w:sz="4" w:space="1" w:color="auto"/>
          <w:right w:val="single" w:sz="4" w:space="4" w:color="auto"/>
        </w:pBdr>
        <w:spacing w:after="0"/>
        <w:ind w:left="425" w:hanging="425"/>
        <w:rPr>
          <w:rFonts w:cstheme="minorHAnsi"/>
          <w:iCs/>
        </w:rPr>
      </w:pPr>
      <w:r w:rsidRPr="004737C5">
        <w:rPr>
          <w:rFonts w:cstheme="minorHAnsi"/>
          <w:iCs/>
        </w:rPr>
        <w:t>e)</w:t>
      </w:r>
      <w:r w:rsidRPr="004737C5">
        <w:rPr>
          <w:rFonts w:cstheme="minorHAnsi"/>
          <w:iCs/>
        </w:rPr>
        <w:tab/>
      </w:r>
      <w:r w:rsidR="00843222" w:rsidRPr="004737C5">
        <w:rPr>
          <w:rFonts w:cstheme="minorHAnsi"/>
          <w:iCs/>
        </w:rPr>
        <w:t>Unintended consequen</w:t>
      </w:r>
      <w:r w:rsidRPr="004737C5">
        <w:rPr>
          <w:rFonts w:cstheme="minorHAnsi"/>
          <w:iCs/>
        </w:rPr>
        <w:t>ces not foreseen by legislators</w:t>
      </w:r>
      <w:r w:rsidRPr="004737C5">
        <w:rPr>
          <w:rFonts w:cstheme="minorHAnsi"/>
          <w:iCs/>
        </w:rPr>
        <w:tab/>
      </w:r>
    </w:p>
    <w:p w14:paraId="75DAE22B" w14:textId="77777777" w:rsidR="00843222" w:rsidRPr="004737C5" w:rsidRDefault="004D53FF" w:rsidP="00360C5B">
      <w:pPr>
        <w:pBdr>
          <w:top w:val="single" w:sz="4" w:space="1" w:color="auto"/>
          <w:left w:val="single" w:sz="4" w:space="4" w:color="auto"/>
          <w:bottom w:val="single" w:sz="4" w:space="1" w:color="auto"/>
          <w:right w:val="single" w:sz="4" w:space="4" w:color="auto"/>
        </w:pBdr>
        <w:ind w:left="425" w:hanging="425"/>
        <w:rPr>
          <w:rFonts w:cstheme="minorHAnsi"/>
          <w:iCs/>
        </w:rPr>
      </w:pPr>
      <w:r w:rsidRPr="004737C5">
        <w:rPr>
          <w:rFonts w:cstheme="minorHAnsi"/>
          <w:iCs/>
        </w:rPr>
        <w:t>f)</w:t>
      </w:r>
      <w:r w:rsidRPr="004737C5">
        <w:rPr>
          <w:rFonts w:cstheme="minorHAnsi"/>
          <w:iCs/>
        </w:rPr>
        <w:tab/>
        <w:t>Built-in obsolescence</w:t>
      </w:r>
      <w:r w:rsidR="00843222" w:rsidRPr="004737C5">
        <w:rPr>
          <w:rFonts w:cstheme="minorHAnsi"/>
          <w:iCs/>
          <w:color w:val="5B9BD5" w:themeColor="accent1"/>
          <w:sz w:val="24"/>
          <w:szCs w:val="24"/>
        </w:rPr>
        <w:t xml:space="preserve"> </w:t>
      </w:r>
    </w:p>
    <w:p w14:paraId="6923768B" w14:textId="0BC46A2A" w:rsidR="00843222" w:rsidRPr="004737C5" w:rsidRDefault="00843222" w:rsidP="006D3BE8">
      <w:pPr>
        <w:pBdr>
          <w:top w:val="single" w:sz="4" w:space="1" w:color="auto"/>
          <w:left w:val="single" w:sz="4" w:space="4" w:color="auto"/>
          <w:bottom w:val="single" w:sz="4" w:space="1" w:color="auto"/>
          <w:right w:val="single" w:sz="4" w:space="4" w:color="auto"/>
        </w:pBdr>
        <w:rPr>
          <w:rFonts w:cstheme="minorHAnsi"/>
          <w:iCs/>
          <w:color w:val="5B9BD5" w:themeColor="accent1"/>
          <w:sz w:val="20"/>
          <w:szCs w:val="20"/>
        </w:rPr>
      </w:pPr>
      <w:r w:rsidRPr="004737C5">
        <w:rPr>
          <w:rFonts w:cstheme="minorHAnsi"/>
          <w:i/>
          <w:iCs/>
          <w:sz w:val="20"/>
          <w:szCs w:val="20"/>
        </w:rPr>
        <w:t>Source</w:t>
      </w:r>
      <w:r w:rsidRPr="004737C5">
        <w:rPr>
          <w:rFonts w:cstheme="minorHAnsi"/>
          <w:iCs/>
          <w:sz w:val="20"/>
          <w:szCs w:val="20"/>
        </w:rPr>
        <w:t>: OECD</w:t>
      </w:r>
      <w:r w:rsidR="002D603B" w:rsidRPr="004737C5">
        <w:rPr>
          <w:rFonts w:cstheme="minorHAnsi"/>
          <w:iCs/>
          <w:sz w:val="20"/>
          <w:szCs w:val="20"/>
        </w:rPr>
        <w:t>, 2015,</w:t>
      </w:r>
      <w:r w:rsidRPr="004737C5">
        <w:rPr>
          <w:rFonts w:cstheme="minorHAnsi"/>
          <w:iCs/>
          <w:sz w:val="20"/>
          <w:szCs w:val="20"/>
        </w:rPr>
        <w:t xml:space="preserve"> </w:t>
      </w:r>
      <w:r w:rsidR="002D603B" w:rsidRPr="004737C5">
        <w:rPr>
          <w:rFonts w:cstheme="minorHAnsi"/>
          <w:i/>
          <w:iCs/>
          <w:sz w:val="20"/>
          <w:szCs w:val="20"/>
        </w:rPr>
        <w:t>Industry Self-regulation: R</w:t>
      </w:r>
      <w:r w:rsidRPr="004737C5">
        <w:rPr>
          <w:rFonts w:cstheme="minorHAnsi"/>
          <w:i/>
          <w:iCs/>
          <w:sz w:val="20"/>
          <w:szCs w:val="20"/>
        </w:rPr>
        <w:t xml:space="preserve">ole </w:t>
      </w:r>
      <w:r w:rsidR="002D603B" w:rsidRPr="004737C5">
        <w:rPr>
          <w:rFonts w:cstheme="minorHAnsi"/>
          <w:i/>
          <w:iCs/>
          <w:sz w:val="20"/>
          <w:szCs w:val="20"/>
        </w:rPr>
        <w:t>and Use in Supporting Consumer I</w:t>
      </w:r>
      <w:r w:rsidRPr="004737C5">
        <w:rPr>
          <w:rFonts w:cstheme="minorHAnsi"/>
          <w:i/>
          <w:iCs/>
          <w:sz w:val="20"/>
          <w:szCs w:val="20"/>
        </w:rPr>
        <w:t>nterests</w:t>
      </w:r>
      <w:r w:rsidR="002D603B" w:rsidRPr="004737C5">
        <w:rPr>
          <w:rFonts w:cstheme="minorHAnsi"/>
          <w:iCs/>
          <w:sz w:val="20"/>
          <w:szCs w:val="20"/>
        </w:rPr>
        <w:t>.</w:t>
      </w:r>
    </w:p>
    <w:p w14:paraId="10879422" w14:textId="77777777" w:rsidR="00843222" w:rsidRPr="004737C5" w:rsidRDefault="004D53FF" w:rsidP="006D3BE8">
      <w:pPr>
        <w:rPr>
          <w:rFonts w:cstheme="minorHAnsi"/>
        </w:rPr>
      </w:pPr>
      <w:r w:rsidRPr="004737C5">
        <w:rPr>
          <w:rFonts w:cstheme="minorHAnsi"/>
        </w:rPr>
        <w:t>There are various cases of g</w:t>
      </w:r>
      <w:r w:rsidR="00843222" w:rsidRPr="004737C5">
        <w:rPr>
          <w:rFonts w:cstheme="minorHAnsi"/>
        </w:rPr>
        <w:t>overnments</w:t>
      </w:r>
      <w:r w:rsidR="00843222" w:rsidRPr="004737C5">
        <w:rPr>
          <w:rFonts w:cstheme="minorHAnsi"/>
          <w:i/>
        </w:rPr>
        <w:t xml:space="preserve"> </w:t>
      </w:r>
      <w:r w:rsidR="00843222" w:rsidRPr="004737C5">
        <w:rPr>
          <w:rFonts w:cstheme="minorHAnsi"/>
        </w:rPr>
        <w:t>failing to secure adequate statutory regulation, sometimes due to political lobbying by the industry c</w:t>
      </w:r>
      <w:r w:rsidRPr="004737C5">
        <w:rPr>
          <w:rFonts w:cstheme="minorHAnsi"/>
        </w:rPr>
        <w:t>oncerned. In consequence, many s</w:t>
      </w:r>
      <w:r w:rsidR="00843222" w:rsidRPr="004737C5">
        <w:rPr>
          <w:rFonts w:cstheme="minorHAnsi"/>
        </w:rPr>
        <w:t xml:space="preserve">tates have promoted </w:t>
      </w:r>
      <w:r w:rsidR="00007A5E" w:rsidRPr="004737C5">
        <w:rPr>
          <w:rFonts w:cstheme="minorHAnsi"/>
        </w:rPr>
        <w:t>self-regulation</w:t>
      </w:r>
      <w:r w:rsidRPr="004737C5">
        <w:rPr>
          <w:rFonts w:cstheme="minorHAnsi"/>
        </w:rPr>
        <w:t xml:space="preserve"> as a fall</w:t>
      </w:r>
      <w:r w:rsidR="00843222" w:rsidRPr="004737C5">
        <w:rPr>
          <w:rFonts w:cstheme="minorHAnsi"/>
        </w:rPr>
        <w:t xml:space="preserve">back option, sometimes under pressure from consumer lobbies. Indeed, consumer groups usually prefer regulation over </w:t>
      </w:r>
      <w:r w:rsidR="00007A5E" w:rsidRPr="004737C5">
        <w:rPr>
          <w:rFonts w:cstheme="minorHAnsi"/>
        </w:rPr>
        <w:t>self-regulation</w:t>
      </w:r>
      <w:r w:rsidR="00843222" w:rsidRPr="004737C5">
        <w:rPr>
          <w:rFonts w:cstheme="minorHAnsi"/>
        </w:rPr>
        <w:t xml:space="preserve">, but prefer </w:t>
      </w:r>
      <w:r w:rsidR="00007A5E" w:rsidRPr="004737C5">
        <w:rPr>
          <w:rFonts w:cstheme="minorHAnsi"/>
        </w:rPr>
        <w:t>self-regulation</w:t>
      </w:r>
      <w:r w:rsidR="00843222" w:rsidRPr="004737C5">
        <w:rPr>
          <w:rFonts w:cstheme="minorHAnsi"/>
        </w:rPr>
        <w:t xml:space="preserve"> over no framework at </w:t>
      </w:r>
      <w:r w:rsidRPr="004737C5">
        <w:rPr>
          <w:rFonts w:cstheme="minorHAnsi"/>
        </w:rPr>
        <w:t>all. There are also cases where g</w:t>
      </w:r>
      <w:r w:rsidR="00843222" w:rsidRPr="004737C5">
        <w:rPr>
          <w:rFonts w:cstheme="minorHAnsi"/>
        </w:rPr>
        <w:t>overnments have been slow to act and businesses have taken the initiative to develop codes of practice themselves. M-Pesa in Kenya is a case in point, having taken the strategic decision, during its early growth phase, to develop its own regulations and to behave as if it were a regulated entity.</w:t>
      </w:r>
      <w:r w:rsidR="00843222" w:rsidRPr="004737C5">
        <w:rPr>
          <w:rStyle w:val="FootnoteReference"/>
          <w:rFonts w:cstheme="minorHAnsi"/>
        </w:rPr>
        <w:footnoteReference w:id="108"/>
      </w:r>
    </w:p>
    <w:p w14:paraId="3C4A8377" w14:textId="2C7C454F" w:rsidR="00843222" w:rsidRPr="004737C5" w:rsidRDefault="00843222" w:rsidP="006D3BE8">
      <w:pPr>
        <w:autoSpaceDE w:val="0"/>
        <w:autoSpaceDN w:val="0"/>
        <w:adjustRightInd w:val="0"/>
        <w:rPr>
          <w:rFonts w:cstheme="minorHAnsi"/>
        </w:rPr>
      </w:pPr>
      <w:r w:rsidRPr="004737C5">
        <w:rPr>
          <w:rFonts w:cstheme="minorHAnsi"/>
        </w:rPr>
        <w:t xml:space="preserve">In </w:t>
      </w:r>
      <w:r w:rsidR="00B82059" w:rsidRPr="004737C5">
        <w:rPr>
          <w:rFonts w:cstheme="minorHAnsi"/>
        </w:rPr>
        <w:t>another case,</w:t>
      </w:r>
      <w:r w:rsidR="007007BF" w:rsidRPr="004737C5">
        <w:rPr>
          <w:rFonts w:cstheme="minorHAnsi"/>
        </w:rPr>
        <w:t xml:space="preserve"> </w:t>
      </w:r>
      <w:r w:rsidR="00B82059" w:rsidRPr="004737C5">
        <w:rPr>
          <w:rFonts w:cstheme="minorHAnsi"/>
        </w:rPr>
        <w:t>c</w:t>
      </w:r>
      <w:r w:rsidRPr="004737C5">
        <w:rPr>
          <w:rFonts w:cstheme="minorHAnsi"/>
        </w:rPr>
        <w:t>lient protection principles were develo</w:t>
      </w:r>
      <w:r w:rsidR="002D603B" w:rsidRPr="004737C5">
        <w:rPr>
          <w:rFonts w:cstheme="minorHAnsi"/>
        </w:rPr>
        <w:t>ped as a code of ethics by Accio</w:t>
      </w:r>
      <w:r w:rsidRPr="004737C5">
        <w:rPr>
          <w:rFonts w:cstheme="minorHAnsi"/>
        </w:rPr>
        <w:t>n and other microfinance industry investors who</w:t>
      </w:r>
      <w:r w:rsidR="004D53FF" w:rsidRPr="004737C5">
        <w:rPr>
          <w:rFonts w:cstheme="minorHAnsi"/>
        </w:rPr>
        <w:t xml:space="preserve"> established the Smart Campaign</w:t>
      </w:r>
      <w:r w:rsidRPr="004737C5">
        <w:rPr>
          <w:rFonts w:cstheme="minorHAnsi"/>
        </w:rPr>
        <w:t xml:space="preserve"> following widespread criticism of the </w:t>
      </w:r>
      <w:r w:rsidR="004D53FF" w:rsidRPr="004737C5">
        <w:rPr>
          <w:rFonts w:cstheme="minorHAnsi"/>
        </w:rPr>
        <w:t>US</w:t>
      </w:r>
      <w:r w:rsidRPr="004737C5">
        <w:rPr>
          <w:rFonts w:cstheme="minorHAnsi"/>
        </w:rPr>
        <w:t>$150 million profit made by Compartamos of Mexico.</w:t>
      </w:r>
      <w:r w:rsidRPr="004737C5">
        <w:rPr>
          <w:rStyle w:val="FootnoteReference"/>
          <w:rFonts w:cstheme="minorHAnsi"/>
        </w:rPr>
        <w:footnoteReference w:id="109"/>
      </w:r>
      <w:r w:rsidRPr="004737C5">
        <w:rPr>
          <w:rFonts w:cstheme="minorHAnsi"/>
        </w:rPr>
        <w:t xml:space="preserve"> Microfinance Transparency guidelines have been developed and endorsed by various NGOs, development agencies and service providers working to raise standards. In Uganda, the Association of Microfinance Institutions has developed a code of practice for consumer protection with a focus on disclosure and financial education. It has been adopted by over 40 microfinance institutions and it is a condition of entry to the</w:t>
      </w:r>
      <w:r w:rsidR="004D53FF" w:rsidRPr="004737C5">
        <w:rPr>
          <w:rFonts w:cstheme="minorHAnsi"/>
        </w:rPr>
        <w:t xml:space="preserve"> association, thus providing a “badge”</w:t>
      </w:r>
      <w:r w:rsidRPr="004737C5">
        <w:rPr>
          <w:rFonts w:cstheme="minorHAnsi"/>
        </w:rPr>
        <w:t xml:space="preserve"> of conduct to reassure consumers.</w:t>
      </w:r>
      <w:r w:rsidRPr="004737C5">
        <w:rPr>
          <w:rStyle w:val="FootnoteReference"/>
          <w:rFonts w:cstheme="minorHAnsi"/>
        </w:rPr>
        <w:footnoteReference w:id="110"/>
      </w:r>
    </w:p>
    <w:p w14:paraId="11A23F08" w14:textId="77777777" w:rsidR="004D53FF" w:rsidRPr="004737C5" w:rsidRDefault="004D53FF" w:rsidP="009771AD">
      <w:pPr>
        <w:spacing w:before="200"/>
        <w:rPr>
          <w:rFonts w:cstheme="minorHAnsi"/>
        </w:rPr>
      </w:pPr>
      <w:bookmarkStart w:id="63" w:name="_Toc492650016"/>
      <w:r w:rsidRPr="004737C5">
        <w:rPr>
          <w:rStyle w:val="Heading2Char"/>
          <w:rFonts w:cstheme="minorHAnsi"/>
          <w:color w:val="auto"/>
          <w:sz w:val="24"/>
          <w:szCs w:val="24"/>
        </w:rPr>
        <w:t>D.</w:t>
      </w:r>
      <w:r w:rsidR="00843222" w:rsidRPr="004737C5">
        <w:rPr>
          <w:rStyle w:val="Heading2Char"/>
          <w:rFonts w:cstheme="minorHAnsi"/>
          <w:color w:val="auto"/>
          <w:sz w:val="24"/>
          <w:szCs w:val="24"/>
        </w:rPr>
        <w:t xml:space="preserve"> Does collaboration work?</w:t>
      </w:r>
      <w:bookmarkEnd w:id="63"/>
      <w:r w:rsidR="00843222" w:rsidRPr="004737C5">
        <w:rPr>
          <w:rStyle w:val="Heading2Char"/>
          <w:rFonts w:cstheme="minorHAnsi"/>
        </w:rPr>
        <w:tab/>
      </w:r>
    </w:p>
    <w:p w14:paraId="1858BE5F" w14:textId="27EC07A6" w:rsidR="00843222" w:rsidRPr="004737C5" w:rsidRDefault="00843222" w:rsidP="004D53FF">
      <w:pPr>
        <w:rPr>
          <w:rFonts w:cstheme="minorHAnsi"/>
          <w:iCs/>
        </w:rPr>
      </w:pPr>
      <w:r w:rsidRPr="004737C5">
        <w:rPr>
          <w:rFonts w:cstheme="minorHAnsi"/>
        </w:rPr>
        <w:t>Professor Christopher Hodges mounts an eloquent plea for a collaborative approach to consum</w:t>
      </w:r>
      <w:r w:rsidR="004D53FF" w:rsidRPr="004737C5">
        <w:rPr>
          <w:rFonts w:cstheme="minorHAnsi"/>
        </w:rPr>
        <w:t>er protection and regulation: “t</w:t>
      </w:r>
      <w:r w:rsidRPr="004737C5">
        <w:rPr>
          <w:rFonts w:cstheme="minorHAnsi"/>
        </w:rPr>
        <w:t>he basic idea is one of a collaborative approach between businesses, their stakeholders and public officials, base</w:t>
      </w:r>
      <w:r w:rsidR="004D53FF" w:rsidRPr="004737C5">
        <w:rPr>
          <w:rFonts w:cstheme="minorHAnsi"/>
        </w:rPr>
        <w:t>d on a shared ethical approach”.</w:t>
      </w:r>
      <w:r w:rsidRPr="004737C5">
        <w:rPr>
          <w:rStyle w:val="FootnoteReference"/>
          <w:rFonts w:cstheme="minorHAnsi"/>
        </w:rPr>
        <w:footnoteReference w:id="111"/>
      </w:r>
      <w:r w:rsidR="002D603B" w:rsidRPr="004737C5">
        <w:rPr>
          <w:rFonts w:cstheme="minorHAnsi"/>
        </w:rPr>
        <w:t xml:space="preserve"> He argues that findings from</w:t>
      </w:r>
      <w:r w:rsidRPr="004737C5">
        <w:rPr>
          <w:rFonts w:cstheme="minorHAnsi"/>
        </w:rPr>
        <w:t xml:space="preserve"> behavioural psychology suggest that the regulatory system will be most effective in affecting the behaviour of individuals where it supports ethical and</w:t>
      </w:r>
      <w:r w:rsidR="004D53FF" w:rsidRPr="004737C5">
        <w:rPr>
          <w:rFonts w:cstheme="minorHAnsi"/>
        </w:rPr>
        <w:t xml:space="preserve"> fair behaviour. He finds that </w:t>
      </w:r>
      <w:r w:rsidRPr="004737C5">
        <w:rPr>
          <w:rFonts w:eastAsia="Times New Roman" w:cstheme="minorHAnsi"/>
        </w:rPr>
        <w:t>individuals will not volunteer information if they fear attracting criticism or blame,</w:t>
      </w:r>
      <w:r w:rsidR="004D53FF" w:rsidRPr="004737C5">
        <w:rPr>
          <w:rFonts w:cstheme="minorHAnsi"/>
        </w:rPr>
        <w:t xml:space="preserve"> and that a “blame culture”</w:t>
      </w:r>
      <w:r w:rsidRPr="004737C5">
        <w:rPr>
          <w:rFonts w:cstheme="minorHAnsi"/>
        </w:rPr>
        <w:t xml:space="preserve"> will inhibit learning and the development of an ethical culture, so businesses and regulators should support an essentially open collaborative culture in which complaints are treated as gifts. This may sound fanciful</w:t>
      </w:r>
      <w:r w:rsidR="00B82059" w:rsidRPr="004737C5">
        <w:rPr>
          <w:rFonts w:cstheme="minorHAnsi"/>
        </w:rPr>
        <w:t xml:space="preserve"> to some</w:t>
      </w:r>
      <w:r w:rsidRPr="004737C5">
        <w:rPr>
          <w:rFonts w:cstheme="minorHAnsi"/>
        </w:rPr>
        <w:t>, but some private sector companies have indeed adopted this model and sought out complaints. Nev</w:t>
      </w:r>
      <w:r w:rsidR="004D53FF" w:rsidRPr="004737C5">
        <w:rPr>
          <w:rFonts w:cstheme="minorHAnsi"/>
        </w:rPr>
        <w:t>ertheless, he acknowledges that “</w:t>
      </w:r>
      <w:r w:rsidRPr="004737C5">
        <w:rPr>
          <w:rFonts w:cstheme="minorHAnsi"/>
        </w:rPr>
        <w:t>where people break rules or behave immorally, people expect to see a proportionate response</w:t>
      </w:r>
      <w:r w:rsidR="004D53FF" w:rsidRPr="004737C5">
        <w:rPr>
          <w:rFonts w:cstheme="minorHAnsi"/>
        </w:rPr>
        <w:t>”.</w:t>
      </w:r>
    </w:p>
    <w:p w14:paraId="1F8BF949" w14:textId="0F4F4B3F" w:rsidR="000843A2" w:rsidRPr="004737C5" w:rsidRDefault="00843222" w:rsidP="006D3BE8">
      <w:pPr>
        <w:rPr>
          <w:rFonts w:cstheme="minorHAnsi"/>
          <w:bCs/>
        </w:rPr>
      </w:pPr>
      <w:r w:rsidRPr="004737C5">
        <w:rPr>
          <w:rFonts w:cstheme="minorHAnsi"/>
          <w:bCs/>
        </w:rPr>
        <w:t xml:space="preserve">Bearing this in mind, one could apply many criteria to both CSR and </w:t>
      </w:r>
      <w:r w:rsidR="00007A5E" w:rsidRPr="004737C5">
        <w:rPr>
          <w:rFonts w:cstheme="minorHAnsi"/>
          <w:bCs/>
        </w:rPr>
        <w:t>self-regulation</w:t>
      </w:r>
      <w:r w:rsidRPr="004737C5">
        <w:rPr>
          <w:rFonts w:cstheme="minorHAnsi"/>
          <w:bCs/>
        </w:rPr>
        <w:t>. Box 5 contains a ch</w:t>
      </w:r>
      <w:r w:rsidR="009771AD" w:rsidRPr="004737C5">
        <w:rPr>
          <w:rFonts w:cstheme="minorHAnsi"/>
          <w:bCs/>
        </w:rPr>
        <w:t>eck</w:t>
      </w:r>
      <w:r w:rsidRPr="004737C5">
        <w:rPr>
          <w:rFonts w:cstheme="minorHAnsi"/>
          <w:bCs/>
        </w:rPr>
        <w:t xml:space="preserve">list for </w:t>
      </w:r>
      <w:r w:rsidR="00007A5E" w:rsidRPr="004737C5">
        <w:rPr>
          <w:rFonts w:cstheme="minorHAnsi"/>
          <w:bCs/>
        </w:rPr>
        <w:t>self-regulation</w:t>
      </w:r>
      <w:r w:rsidR="004D53FF" w:rsidRPr="004737C5">
        <w:rPr>
          <w:rFonts w:cstheme="minorHAnsi"/>
          <w:bCs/>
        </w:rPr>
        <w:t xml:space="preserve"> and CSR.</w:t>
      </w:r>
    </w:p>
    <w:tbl>
      <w:tblPr>
        <w:tblStyle w:val="TableGrid"/>
        <w:tblW w:w="0" w:type="auto"/>
        <w:tblLook w:val="04A0" w:firstRow="1" w:lastRow="0" w:firstColumn="1" w:lastColumn="0" w:noHBand="0" w:noVBand="1"/>
      </w:tblPr>
      <w:tblGrid>
        <w:gridCol w:w="9243"/>
      </w:tblGrid>
      <w:tr w:rsidR="00B67F51" w:rsidRPr="004737C5" w14:paraId="005E7DD2" w14:textId="77777777" w:rsidTr="00B67F51">
        <w:tc>
          <w:tcPr>
            <w:tcW w:w="9628" w:type="dxa"/>
          </w:tcPr>
          <w:p w14:paraId="57E736E4" w14:textId="4BB680A0" w:rsidR="00B67F51" w:rsidRPr="004737C5" w:rsidRDefault="009771AD" w:rsidP="006D3BE8">
            <w:pPr>
              <w:rPr>
                <w:rFonts w:cstheme="minorHAnsi"/>
                <w:b/>
                <w:bCs/>
              </w:rPr>
            </w:pPr>
            <w:r w:rsidRPr="004737C5">
              <w:rPr>
                <w:rFonts w:cstheme="minorHAnsi"/>
                <w:b/>
                <w:bCs/>
              </w:rPr>
              <w:t>Box 5. Check</w:t>
            </w:r>
            <w:r w:rsidR="00B67F51" w:rsidRPr="004737C5">
              <w:rPr>
                <w:rFonts w:cstheme="minorHAnsi"/>
                <w:b/>
                <w:bCs/>
              </w:rPr>
              <w:t>list for self-regulation and corporate social responsibility</w:t>
            </w:r>
          </w:p>
          <w:p w14:paraId="5C31ACB5" w14:textId="77777777" w:rsidR="00B67F51" w:rsidRPr="004737C5" w:rsidRDefault="00B67F51" w:rsidP="002D603B">
            <w:pPr>
              <w:pStyle w:val="ListParagraph"/>
              <w:numPr>
                <w:ilvl w:val="1"/>
                <w:numId w:val="8"/>
              </w:numPr>
              <w:spacing w:before="160"/>
              <w:ind w:left="425" w:hanging="425"/>
              <w:rPr>
                <w:rFonts w:cstheme="minorHAnsi"/>
                <w:iCs/>
              </w:rPr>
            </w:pPr>
            <w:r w:rsidRPr="004737C5">
              <w:rPr>
                <w:rFonts w:cstheme="minorHAnsi"/>
                <w:iCs/>
              </w:rPr>
              <w:t>Does the scheme command public confidence?</w:t>
            </w:r>
            <w:r w:rsidRPr="004737C5">
              <w:rPr>
                <w:rFonts w:cstheme="minorHAnsi"/>
                <w:iCs/>
              </w:rPr>
              <w:tab/>
            </w:r>
          </w:p>
          <w:p w14:paraId="78BB7A76"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Is there external involvement?</w:t>
            </w:r>
          </w:p>
          <w:p w14:paraId="4B55F17C"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lastRenderedPageBreak/>
              <w:t>Are there non-industry members in the governing body? If so, how powerful are they?</w:t>
            </w:r>
          </w:p>
          <w:p w14:paraId="3B1DFC30"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Is the scheme autonomous from the rest of the industry?</w:t>
            </w:r>
            <w:r w:rsidRPr="004737C5">
              <w:rPr>
                <w:rFonts w:cstheme="minorHAnsi"/>
                <w:bCs/>
              </w:rPr>
              <w:tab/>
            </w:r>
          </w:p>
          <w:p w14:paraId="086084A0"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Are there clear objectives and measurable standards?</w:t>
            </w:r>
            <w:r w:rsidRPr="004737C5">
              <w:rPr>
                <w:rFonts w:cstheme="minorHAnsi"/>
                <w:bCs/>
              </w:rPr>
              <w:tab/>
            </w:r>
          </w:p>
          <w:p w14:paraId="79CC90AA"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Are there clear complaints procedures when the code is breached?</w:t>
            </w:r>
            <w:r w:rsidRPr="004737C5">
              <w:rPr>
                <w:rFonts w:cstheme="minorHAnsi"/>
                <w:bCs/>
              </w:rPr>
              <w:tab/>
            </w:r>
          </w:p>
          <w:p w14:paraId="37D6BFD8"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Are there clear sanctions for non-observance of the code?</w:t>
            </w:r>
            <w:r w:rsidRPr="004737C5">
              <w:rPr>
                <w:rFonts w:cstheme="minorHAnsi"/>
                <w:bCs/>
              </w:rPr>
              <w:tab/>
            </w:r>
          </w:p>
          <w:p w14:paraId="448AA580"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How is compliance monitored?</w:t>
            </w:r>
          </w:p>
          <w:p w14:paraId="15FBE5C9"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Are there performance indicators for effectiveness of scheme?</w:t>
            </w:r>
            <w:r w:rsidRPr="004737C5">
              <w:rPr>
                <w:rFonts w:cstheme="minorHAnsi"/>
                <w:bCs/>
              </w:rPr>
              <w:tab/>
            </w:r>
          </w:p>
          <w:p w14:paraId="7BAB1207"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Is there a public reporting mechanism?</w:t>
            </w:r>
            <w:r w:rsidRPr="004737C5">
              <w:rPr>
                <w:rFonts w:cstheme="minorHAnsi"/>
                <w:bCs/>
              </w:rPr>
              <w:tab/>
            </w:r>
          </w:p>
          <w:p w14:paraId="6CDF97B8"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Is the scheme well publicized?</w:t>
            </w:r>
            <w:r w:rsidRPr="004737C5">
              <w:rPr>
                <w:rFonts w:cstheme="minorHAnsi"/>
                <w:bCs/>
              </w:rPr>
              <w:tab/>
            </w:r>
          </w:p>
          <w:p w14:paraId="58CC4D60"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Does the scheme have adequate resources?</w:t>
            </w:r>
            <w:r w:rsidRPr="004737C5">
              <w:rPr>
                <w:rFonts w:cstheme="minorHAnsi"/>
                <w:bCs/>
              </w:rPr>
              <w:tab/>
            </w:r>
          </w:p>
          <w:p w14:paraId="30C14C7E"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Is the dispute resolution system independent in its decision-making?</w:t>
            </w:r>
            <w:r w:rsidRPr="004737C5">
              <w:rPr>
                <w:rFonts w:cstheme="minorHAnsi"/>
                <w:bCs/>
              </w:rPr>
              <w:tab/>
            </w:r>
          </w:p>
          <w:p w14:paraId="02A057D7" w14:textId="77777777" w:rsidR="00B67F51" w:rsidRPr="004737C5" w:rsidRDefault="00B67F51" w:rsidP="002473E9">
            <w:pPr>
              <w:pStyle w:val="ListParagraph"/>
              <w:numPr>
                <w:ilvl w:val="1"/>
                <w:numId w:val="8"/>
              </w:numPr>
              <w:ind w:left="425" w:hanging="425"/>
              <w:rPr>
                <w:rFonts w:cstheme="minorHAnsi"/>
                <w:bCs/>
              </w:rPr>
            </w:pPr>
            <w:r w:rsidRPr="004737C5">
              <w:rPr>
                <w:rFonts w:cstheme="minorHAnsi"/>
                <w:bCs/>
              </w:rPr>
              <w:t>Is the scheme capable of being updated as industry and consumer needs evolve?</w:t>
            </w:r>
          </w:p>
          <w:p w14:paraId="5C569351" w14:textId="599A0917" w:rsidR="00B67F51" w:rsidRPr="004737C5" w:rsidRDefault="00B67F51" w:rsidP="002D603B">
            <w:pPr>
              <w:spacing w:before="160"/>
              <w:rPr>
                <w:rFonts w:cstheme="minorHAnsi"/>
                <w:bCs/>
                <w:sz w:val="20"/>
                <w:szCs w:val="20"/>
              </w:rPr>
            </w:pPr>
            <w:r w:rsidRPr="004737C5">
              <w:rPr>
                <w:rFonts w:cstheme="minorHAnsi"/>
                <w:bCs/>
                <w:i/>
                <w:sz w:val="20"/>
                <w:szCs w:val="20"/>
              </w:rPr>
              <w:t>Source</w:t>
            </w:r>
            <w:r w:rsidRPr="004737C5">
              <w:rPr>
                <w:rFonts w:cstheme="minorHAnsi"/>
                <w:bCs/>
                <w:sz w:val="20"/>
                <w:szCs w:val="20"/>
              </w:rPr>
              <w:t>: UNCTAD</w:t>
            </w:r>
            <w:r w:rsidR="002D603B" w:rsidRPr="004737C5">
              <w:rPr>
                <w:rFonts w:cstheme="minorHAnsi"/>
                <w:bCs/>
                <w:sz w:val="20"/>
                <w:szCs w:val="20"/>
              </w:rPr>
              <w:t>.</w:t>
            </w:r>
          </w:p>
        </w:tc>
      </w:tr>
    </w:tbl>
    <w:p w14:paraId="440DA147" w14:textId="77777777" w:rsidR="00843222" w:rsidRPr="004737C5" w:rsidRDefault="00F66385" w:rsidP="002D603B">
      <w:pPr>
        <w:pStyle w:val="Heading2"/>
        <w:spacing w:after="160"/>
        <w:rPr>
          <w:rFonts w:cstheme="minorHAnsi"/>
          <w:i/>
          <w:iCs/>
          <w:color w:val="auto"/>
          <w:sz w:val="24"/>
          <w:szCs w:val="24"/>
        </w:rPr>
      </w:pPr>
      <w:bookmarkStart w:id="64" w:name="_Toc492650017"/>
      <w:r w:rsidRPr="004737C5">
        <w:rPr>
          <w:rFonts w:cstheme="minorHAnsi"/>
          <w:color w:val="auto"/>
          <w:sz w:val="24"/>
          <w:szCs w:val="24"/>
        </w:rPr>
        <w:lastRenderedPageBreak/>
        <w:t>E.</w:t>
      </w:r>
      <w:r w:rsidR="00843222" w:rsidRPr="004737C5">
        <w:rPr>
          <w:rFonts w:cstheme="minorHAnsi"/>
          <w:color w:val="auto"/>
          <w:sz w:val="24"/>
          <w:szCs w:val="24"/>
        </w:rPr>
        <w:t xml:space="preserve"> Conclusion</w:t>
      </w:r>
      <w:bookmarkEnd w:id="64"/>
    </w:p>
    <w:p w14:paraId="59F0FF47" w14:textId="77777777" w:rsidR="00B82059" w:rsidRPr="004737C5" w:rsidRDefault="00843222" w:rsidP="006D3BE8">
      <w:pPr>
        <w:rPr>
          <w:rFonts w:cstheme="minorHAnsi"/>
        </w:rPr>
      </w:pPr>
      <w:r w:rsidRPr="004737C5">
        <w:rPr>
          <w:rFonts w:cstheme="minorHAnsi"/>
        </w:rPr>
        <w:t xml:space="preserve">CSR and </w:t>
      </w:r>
      <w:r w:rsidR="00007A5E" w:rsidRPr="004737C5">
        <w:rPr>
          <w:rFonts w:cstheme="minorHAnsi"/>
        </w:rPr>
        <w:t>self-regulation</w:t>
      </w:r>
      <w:r w:rsidRPr="004737C5">
        <w:rPr>
          <w:rFonts w:cstheme="minorHAnsi"/>
        </w:rPr>
        <w:t xml:space="preserve"> codes commonly </w:t>
      </w:r>
      <w:r w:rsidR="00B82059" w:rsidRPr="004737C5">
        <w:rPr>
          <w:rFonts w:cstheme="minorHAnsi"/>
        </w:rPr>
        <w:t xml:space="preserve">provoke </w:t>
      </w:r>
      <w:r w:rsidRPr="004737C5">
        <w:rPr>
          <w:rFonts w:cstheme="minorHAnsi"/>
        </w:rPr>
        <w:t>two rather simplistic reactions. One is that they are too weak and need to be backe</w:t>
      </w:r>
      <w:r w:rsidR="00F66385" w:rsidRPr="004737C5">
        <w:rPr>
          <w:rFonts w:cstheme="minorHAnsi"/>
        </w:rPr>
        <w:t>d by legislation at some point.</w:t>
      </w:r>
      <w:r w:rsidR="00B82059" w:rsidRPr="004737C5">
        <w:rPr>
          <w:rFonts w:cstheme="minorHAnsi"/>
        </w:rPr>
        <w:t xml:space="preserve"> </w:t>
      </w:r>
      <w:r w:rsidR="00F66385" w:rsidRPr="004737C5">
        <w:rPr>
          <w:rFonts w:cstheme="minorHAnsi"/>
        </w:rPr>
        <w:t>The other, and opposite, reaction is that statutory regulation always fails or produces perverse effects and that therefore the answer lies with self-regulation codes. I</w:t>
      </w:r>
      <w:r w:rsidRPr="004737C5">
        <w:rPr>
          <w:rFonts w:cstheme="minorHAnsi"/>
        </w:rPr>
        <w:t xml:space="preserve">t is worth noting that during the years </w:t>
      </w:r>
      <w:r w:rsidR="00B82059" w:rsidRPr="004737C5">
        <w:rPr>
          <w:rFonts w:cstheme="minorHAnsi"/>
        </w:rPr>
        <w:t>preceding</w:t>
      </w:r>
      <w:r w:rsidRPr="004737C5">
        <w:rPr>
          <w:rFonts w:cstheme="minorHAnsi"/>
        </w:rPr>
        <w:t xml:space="preserve"> the financial crisis, many dubious practices were perfectly legal, a situation that reflects the scope for legislators to be outflanked or even captured and the risks therefore of waiting for legislation. </w:t>
      </w:r>
    </w:p>
    <w:p w14:paraId="0D7E30E5" w14:textId="681DB389" w:rsidR="00843222" w:rsidRPr="004737C5" w:rsidRDefault="00843222" w:rsidP="006D3BE8">
      <w:pPr>
        <w:rPr>
          <w:rFonts w:cstheme="minorHAnsi"/>
          <w:i/>
          <w:iCs/>
        </w:rPr>
      </w:pPr>
      <w:r w:rsidRPr="004737C5">
        <w:rPr>
          <w:rFonts w:cstheme="minorHAnsi"/>
        </w:rPr>
        <w:t>In any case</w:t>
      </w:r>
      <w:r w:rsidR="002D603B" w:rsidRPr="004737C5">
        <w:rPr>
          <w:rFonts w:cstheme="minorHAnsi"/>
        </w:rPr>
        <w:t>,</w:t>
      </w:r>
      <w:r w:rsidRPr="004737C5">
        <w:rPr>
          <w:rFonts w:cstheme="minorHAnsi"/>
        </w:rPr>
        <w:t xml:space="preserve"> the weaknesses of </w:t>
      </w:r>
      <w:r w:rsidR="00007A5E" w:rsidRPr="004737C5">
        <w:rPr>
          <w:rFonts w:cstheme="minorHAnsi"/>
        </w:rPr>
        <w:t>self-regulation</w:t>
      </w:r>
      <w:r w:rsidRPr="004737C5">
        <w:rPr>
          <w:rFonts w:cstheme="minorHAnsi"/>
        </w:rPr>
        <w:t xml:space="preserve"> and CSR are commonly exaggerated; they can have quasi-legal and even fully legal effects. For example, FTC </w:t>
      </w:r>
      <w:r w:rsidR="002D603B" w:rsidRPr="004737C5">
        <w:rPr>
          <w:rFonts w:cstheme="minorHAnsi"/>
        </w:rPr>
        <w:t xml:space="preserve">of the United States of America </w:t>
      </w:r>
      <w:r w:rsidRPr="004737C5">
        <w:rPr>
          <w:rFonts w:cstheme="minorHAnsi"/>
        </w:rPr>
        <w:t>ha</w:t>
      </w:r>
      <w:r w:rsidR="002D603B" w:rsidRPr="004737C5">
        <w:rPr>
          <w:rFonts w:cstheme="minorHAnsi"/>
        </w:rPr>
        <w:t>s</w:t>
      </w:r>
      <w:r w:rsidR="00551DD1" w:rsidRPr="004737C5">
        <w:rPr>
          <w:rFonts w:cstheme="minorHAnsi"/>
        </w:rPr>
        <w:t xml:space="preserve"> put forward a</w:t>
      </w:r>
      <w:r w:rsidRPr="004737C5">
        <w:rPr>
          <w:rFonts w:cstheme="minorHAnsi"/>
        </w:rPr>
        <w:t xml:space="preserve"> policy that a company that publicly claims to follow the principles set out in a code and which then fails to do so can be found to be guilty of deceptive practices.</w:t>
      </w:r>
      <w:r w:rsidRPr="004737C5">
        <w:rPr>
          <w:rStyle w:val="FootnoteReference"/>
          <w:rFonts w:cstheme="minorHAnsi"/>
        </w:rPr>
        <w:footnoteReference w:id="112"/>
      </w:r>
      <w:r w:rsidRPr="004737C5">
        <w:rPr>
          <w:rFonts w:cstheme="minorHAnsi"/>
        </w:rPr>
        <w:t xml:space="preserve"> This is a very simple step and one which seems to be a good bridge between statute and codes. In any case, it needs to be restated that codes have to be far more than a restatement of the law. A code that simply commits to obey</w:t>
      </w:r>
      <w:r w:rsidR="00F66385" w:rsidRPr="004737C5">
        <w:rPr>
          <w:rFonts w:cstheme="minorHAnsi"/>
        </w:rPr>
        <w:t>ing</w:t>
      </w:r>
      <w:r w:rsidRPr="004737C5">
        <w:rPr>
          <w:rFonts w:cstheme="minorHAnsi"/>
        </w:rPr>
        <w:t xml:space="preserve"> the law could be worse than useless as it implies, subtly, that companies have an alternative. We should not underestimate the potential for embarrassment arising from a public commitment to a standard in the event of its being violated. In the </w:t>
      </w:r>
      <w:r w:rsidR="00F66385" w:rsidRPr="004737C5">
        <w:rPr>
          <w:rFonts w:cstheme="minorHAnsi"/>
        </w:rPr>
        <w:t>final</w:t>
      </w:r>
      <w:r w:rsidRPr="004737C5">
        <w:rPr>
          <w:rFonts w:cstheme="minorHAnsi"/>
        </w:rPr>
        <w:t xml:space="preserve"> analysis</w:t>
      </w:r>
      <w:r w:rsidR="00F66385" w:rsidRPr="004737C5">
        <w:rPr>
          <w:rFonts w:cstheme="minorHAnsi"/>
        </w:rPr>
        <w:t>,</w:t>
      </w:r>
      <w:r w:rsidRPr="004737C5">
        <w:rPr>
          <w:rFonts w:cstheme="minorHAnsi"/>
        </w:rPr>
        <w:t xml:space="preserve"> </w:t>
      </w:r>
      <w:r w:rsidR="00007A5E" w:rsidRPr="004737C5">
        <w:rPr>
          <w:rFonts w:cstheme="minorHAnsi"/>
        </w:rPr>
        <w:t>self-regulation</w:t>
      </w:r>
      <w:r w:rsidRPr="004737C5">
        <w:rPr>
          <w:rFonts w:cstheme="minorHAnsi"/>
        </w:rPr>
        <w:t xml:space="preserve"> does not prevent</w:t>
      </w:r>
      <w:r w:rsidR="00F66385" w:rsidRPr="004737C5">
        <w:rPr>
          <w:rFonts w:cstheme="minorHAnsi"/>
        </w:rPr>
        <w:t xml:space="preserve"> a</w:t>
      </w:r>
      <w:r w:rsidRPr="004737C5">
        <w:rPr>
          <w:rFonts w:cstheme="minorHAnsi"/>
        </w:rPr>
        <w:t xml:space="preserve"> statute from being put into place; the two routes are not incompatible but mutually reinforcing.</w:t>
      </w:r>
      <w:r w:rsidR="00F66385" w:rsidRPr="004737C5">
        <w:rPr>
          <w:rFonts w:cstheme="minorHAnsi"/>
          <w:i/>
          <w:iCs/>
        </w:rPr>
        <w:t xml:space="preserve"> </w:t>
      </w:r>
      <w:r w:rsidRPr="004737C5">
        <w:rPr>
          <w:rFonts w:cstheme="minorHAnsi"/>
          <w:b/>
          <w:i/>
          <w:color w:val="FF0000"/>
        </w:rPr>
        <w:br w:type="page"/>
      </w:r>
    </w:p>
    <w:p w14:paraId="3D267C76" w14:textId="77777777" w:rsidR="00843222" w:rsidRPr="004737C5" w:rsidRDefault="00F66385" w:rsidP="00C843B2">
      <w:pPr>
        <w:rPr>
          <w:b/>
          <w:sz w:val="28"/>
          <w:szCs w:val="28"/>
        </w:rPr>
      </w:pPr>
      <w:bookmarkStart w:id="65" w:name="_Toc492650018"/>
      <w:r w:rsidRPr="004737C5">
        <w:rPr>
          <w:b/>
          <w:sz w:val="28"/>
          <w:szCs w:val="28"/>
        </w:rPr>
        <w:lastRenderedPageBreak/>
        <w:t>VII. Competition law and the c</w:t>
      </w:r>
      <w:r w:rsidR="00843222" w:rsidRPr="004737C5">
        <w:rPr>
          <w:b/>
          <w:sz w:val="28"/>
          <w:szCs w:val="28"/>
        </w:rPr>
        <w:t>onsumer interest</w:t>
      </w:r>
      <w:bookmarkEnd w:id="65"/>
    </w:p>
    <w:p w14:paraId="08818859" w14:textId="5F07A9C1" w:rsidR="00F66385" w:rsidRPr="004737C5" w:rsidRDefault="00C843B2" w:rsidP="001C7019">
      <w:pPr>
        <w:ind w:left="567" w:right="567"/>
        <w:rPr>
          <w:rFonts w:eastAsia="Times New Roman" w:cstheme="minorHAnsi"/>
          <w:color w:val="333333"/>
          <w:spacing w:val="2"/>
        </w:rPr>
      </w:pPr>
      <w:r w:rsidRPr="004737C5">
        <w:rPr>
          <w:rFonts w:eastAsia="Times New Roman" w:cstheme="minorHAnsi"/>
          <w:color w:val="333333"/>
          <w:spacing w:val="2"/>
        </w:rPr>
        <w:t>Maintaining, encouraging</w:t>
      </w:r>
      <w:r w:rsidR="00843222" w:rsidRPr="004737C5">
        <w:rPr>
          <w:rFonts w:eastAsia="Times New Roman" w:cstheme="minorHAnsi"/>
          <w:color w:val="333333"/>
          <w:spacing w:val="2"/>
        </w:rPr>
        <w:t xml:space="preserve"> and supporting a fair, efficient, and competitive marketplace is a cornerstone of the American economy. Consumers and workers need both competitive markets and inform</w:t>
      </w:r>
      <w:r w:rsidR="00F66385" w:rsidRPr="004737C5">
        <w:rPr>
          <w:rFonts w:eastAsia="Times New Roman" w:cstheme="minorHAnsi"/>
          <w:color w:val="333333"/>
          <w:spacing w:val="2"/>
        </w:rPr>
        <w:t>ation to make informed choices.</w:t>
      </w:r>
      <w:r w:rsidR="00F66385" w:rsidRPr="004737C5">
        <w:rPr>
          <w:rStyle w:val="FootnoteReference"/>
          <w:rFonts w:eastAsia="Times New Roman" w:cstheme="minorHAnsi"/>
          <w:color w:val="333333"/>
          <w:spacing w:val="2"/>
        </w:rPr>
        <w:t xml:space="preserve"> </w:t>
      </w:r>
      <w:r w:rsidR="00F66385" w:rsidRPr="004737C5">
        <w:rPr>
          <w:rStyle w:val="FootnoteReference"/>
          <w:rFonts w:eastAsia="Times New Roman" w:cstheme="minorHAnsi"/>
          <w:color w:val="333333"/>
          <w:spacing w:val="2"/>
        </w:rPr>
        <w:footnoteReference w:id="113"/>
      </w:r>
    </w:p>
    <w:p w14:paraId="6C586AC3" w14:textId="77777777" w:rsidR="00843222" w:rsidRPr="004737C5" w:rsidRDefault="00F66385" w:rsidP="00C843B2">
      <w:pPr>
        <w:ind w:left="567" w:right="567"/>
        <w:jc w:val="right"/>
        <w:rPr>
          <w:rFonts w:eastAsia="Times New Roman" w:cstheme="minorHAnsi"/>
        </w:rPr>
      </w:pPr>
      <w:r w:rsidRPr="004737C5">
        <w:rPr>
          <w:rFonts w:eastAsia="Times New Roman" w:cstheme="minorHAnsi"/>
          <w:color w:val="333333"/>
          <w:spacing w:val="2"/>
        </w:rPr>
        <w:t>President Obama</w:t>
      </w:r>
      <w:r w:rsidRPr="004737C5">
        <w:rPr>
          <w:rFonts w:eastAsia="Times New Roman" w:cstheme="minorHAnsi"/>
          <w:color w:val="333333"/>
          <w:spacing w:val="2"/>
        </w:rPr>
        <w:tab/>
      </w:r>
    </w:p>
    <w:p w14:paraId="1704B008" w14:textId="77777777" w:rsidR="00F66385" w:rsidRPr="004737C5" w:rsidRDefault="00F66385" w:rsidP="00C843B2">
      <w:pPr>
        <w:jc w:val="left"/>
        <w:rPr>
          <w:rFonts w:eastAsiaTheme="majorEastAsia" w:cstheme="minorHAnsi"/>
          <w:b/>
          <w:bCs/>
          <w:sz w:val="24"/>
          <w:szCs w:val="24"/>
        </w:rPr>
      </w:pPr>
      <w:bookmarkStart w:id="66" w:name="_Toc492650019"/>
      <w:r w:rsidRPr="004737C5">
        <w:rPr>
          <w:rStyle w:val="Heading2Char"/>
          <w:rFonts w:cstheme="minorHAnsi"/>
          <w:color w:val="auto"/>
          <w:sz w:val="24"/>
          <w:szCs w:val="24"/>
        </w:rPr>
        <w:t>A.</w:t>
      </w:r>
      <w:r w:rsidR="00843222" w:rsidRPr="004737C5">
        <w:rPr>
          <w:rStyle w:val="Heading2Char"/>
          <w:rFonts w:cstheme="minorHAnsi"/>
          <w:color w:val="auto"/>
          <w:sz w:val="24"/>
          <w:szCs w:val="24"/>
        </w:rPr>
        <w:t xml:space="preserve"> Competition in the United Nations Guidelines for Consumer Protection</w:t>
      </w:r>
      <w:bookmarkEnd w:id="66"/>
      <w:r w:rsidR="00843222" w:rsidRPr="004737C5">
        <w:rPr>
          <w:rFonts w:eastAsiaTheme="majorEastAsia" w:cstheme="minorHAnsi"/>
          <w:b/>
          <w:bCs/>
          <w:sz w:val="24"/>
          <w:szCs w:val="24"/>
        </w:rPr>
        <w:t xml:space="preserve"> </w:t>
      </w:r>
    </w:p>
    <w:p w14:paraId="29E1D9AE" w14:textId="56F623CB" w:rsidR="00843222" w:rsidRPr="004737C5" w:rsidRDefault="00843222" w:rsidP="00F66385">
      <w:pPr>
        <w:rPr>
          <w:rFonts w:eastAsiaTheme="majorEastAsia" w:cstheme="minorHAnsi"/>
          <w:b/>
          <w:bCs/>
          <w:sz w:val="24"/>
          <w:szCs w:val="24"/>
        </w:rPr>
      </w:pPr>
      <w:r w:rsidRPr="004737C5">
        <w:rPr>
          <w:rFonts w:cstheme="minorHAnsi"/>
        </w:rPr>
        <w:t xml:space="preserve">The UNGCP contain relatively few direct references to competition policy, although the </w:t>
      </w:r>
      <w:r w:rsidRPr="004737C5">
        <w:rPr>
          <w:rFonts w:cstheme="minorHAnsi"/>
          <w:bCs/>
        </w:rPr>
        <w:t>United Nations Set of Multilaterally Agreed Equitable Principles and Rules for the Control of Restrictive Business Practices</w:t>
      </w:r>
      <w:r w:rsidRPr="004737C5">
        <w:rPr>
          <w:rFonts w:cstheme="minorHAnsi"/>
        </w:rPr>
        <w:t xml:space="preserve"> (</w:t>
      </w:r>
      <w:r w:rsidR="00F66385" w:rsidRPr="004737C5">
        <w:rPr>
          <w:rFonts w:cstheme="minorHAnsi"/>
        </w:rPr>
        <w:t xml:space="preserve">known informally as </w:t>
      </w:r>
      <w:r w:rsidRPr="004737C5">
        <w:rPr>
          <w:rFonts w:cstheme="minorHAnsi"/>
        </w:rPr>
        <w:t xml:space="preserve">the </w:t>
      </w:r>
      <w:r w:rsidR="00C843B2" w:rsidRPr="004737C5">
        <w:rPr>
          <w:rFonts w:cstheme="minorHAnsi"/>
        </w:rPr>
        <w:t>“</w:t>
      </w:r>
      <w:r w:rsidRPr="004737C5">
        <w:rPr>
          <w:rFonts w:cstheme="minorHAnsi"/>
        </w:rPr>
        <w:t>United Nations Set</w:t>
      </w:r>
      <w:r w:rsidR="00C843B2" w:rsidRPr="004737C5">
        <w:rPr>
          <w:rFonts w:cstheme="minorHAnsi"/>
        </w:rPr>
        <w:t>”</w:t>
      </w:r>
      <w:r w:rsidR="00F66385" w:rsidRPr="004737C5">
        <w:rPr>
          <w:rFonts w:cstheme="minorHAnsi"/>
          <w:bCs/>
        </w:rPr>
        <w:t>) is explicitly referred to</w:t>
      </w:r>
      <w:r w:rsidRPr="004737C5">
        <w:rPr>
          <w:rFonts w:cstheme="minorHAnsi"/>
          <w:bCs/>
        </w:rPr>
        <w:t xml:space="preserve"> in the body of </w:t>
      </w:r>
      <w:r w:rsidR="00E550DD" w:rsidRPr="004737C5">
        <w:rPr>
          <w:rFonts w:cstheme="minorHAnsi"/>
          <w:bCs/>
        </w:rPr>
        <w:t xml:space="preserve">the General Assembly </w:t>
      </w:r>
      <w:r w:rsidR="00C843B2" w:rsidRPr="004737C5">
        <w:rPr>
          <w:rFonts w:cstheme="minorHAnsi"/>
          <w:bCs/>
        </w:rPr>
        <w:t>r</w:t>
      </w:r>
      <w:r w:rsidRPr="004737C5">
        <w:rPr>
          <w:rFonts w:cstheme="minorHAnsi"/>
          <w:bCs/>
        </w:rPr>
        <w:t>esol</w:t>
      </w:r>
      <w:r w:rsidR="009B5EA1" w:rsidRPr="004737C5">
        <w:rPr>
          <w:rFonts w:cstheme="minorHAnsi"/>
          <w:bCs/>
        </w:rPr>
        <w:t>ution and again in g</w:t>
      </w:r>
      <w:r w:rsidRPr="004737C5">
        <w:rPr>
          <w:rFonts w:cstheme="minorHAnsi"/>
          <w:bCs/>
        </w:rPr>
        <w:t>uideline 22. Th</w:t>
      </w:r>
      <w:r w:rsidR="00E550DD" w:rsidRPr="004737C5">
        <w:rPr>
          <w:rFonts w:cstheme="minorHAnsi"/>
          <w:bCs/>
        </w:rPr>
        <w:t>e resolution</w:t>
      </w:r>
      <w:r w:rsidRPr="004737C5">
        <w:rPr>
          <w:rFonts w:cstheme="minorHAnsi"/>
          <w:bCs/>
        </w:rPr>
        <w:t xml:space="preserve"> clearly </w:t>
      </w:r>
      <w:r w:rsidR="00E550DD" w:rsidRPr="004737C5">
        <w:rPr>
          <w:rFonts w:cstheme="minorHAnsi"/>
          <w:bCs/>
        </w:rPr>
        <w:t xml:space="preserve">restates </w:t>
      </w:r>
      <w:r w:rsidR="00C843B2" w:rsidRPr="004737C5">
        <w:rPr>
          <w:rFonts w:cstheme="minorHAnsi"/>
          <w:bCs/>
        </w:rPr>
        <w:t>UNCTAD’s</w:t>
      </w:r>
      <w:r w:rsidR="00E550DD" w:rsidRPr="004737C5">
        <w:rPr>
          <w:rFonts w:cstheme="minorHAnsi"/>
          <w:bCs/>
        </w:rPr>
        <w:t xml:space="preserve"> mandate </w:t>
      </w:r>
      <w:r w:rsidR="00F66385" w:rsidRPr="004737C5">
        <w:rPr>
          <w:rFonts w:cstheme="minorHAnsi"/>
          <w:bCs/>
        </w:rPr>
        <w:t>to “formulate and implement”</w:t>
      </w:r>
      <w:r w:rsidRPr="004737C5">
        <w:rPr>
          <w:rFonts w:cstheme="minorHAnsi"/>
          <w:bCs/>
        </w:rPr>
        <w:t xml:space="preserve"> competition alongside consumer protection</w:t>
      </w:r>
      <w:r w:rsidR="00E550DD" w:rsidRPr="004737C5">
        <w:rPr>
          <w:rFonts w:cstheme="minorHAnsi"/>
          <w:bCs/>
        </w:rPr>
        <w:t xml:space="preserve"> policy</w:t>
      </w:r>
      <w:r w:rsidRPr="004737C5">
        <w:rPr>
          <w:rFonts w:cstheme="minorHAnsi"/>
          <w:bCs/>
        </w:rPr>
        <w:t xml:space="preserve">. </w:t>
      </w:r>
    </w:p>
    <w:p w14:paraId="5868B995" w14:textId="7E6F03F0" w:rsidR="00843222" w:rsidRPr="004737C5" w:rsidRDefault="00843222" w:rsidP="006D3BE8">
      <w:pPr>
        <w:rPr>
          <w:rFonts w:cstheme="minorHAnsi"/>
          <w:bCs/>
        </w:rPr>
      </w:pPr>
      <w:r w:rsidRPr="004737C5">
        <w:rPr>
          <w:rFonts w:cstheme="minorHAnsi"/>
          <w:bCs/>
        </w:rPr>
        <w:t xml:space="preserve">Guideline 22 uses a strong form of words by </w:t>
      </w:r>
      <w:r w:rsidR="00C843B2" w:rsidRPr="004737C5">
        <w:rPr>
          <w:rFonts w:cstheme="minorHAnsi"/>
          <w:bCs/>
        </w:rPr>
        <w:t>UNGCP</w:t>
      </w:r>
      <w:r w:rsidRPr="004737C5">
        <w:rPr>
          <w:rFonts w:cstheme="minorHAnsi"/>
          <w:bCs/>
        </w:rPr>
        <w:t xml:space="preserve"> standard</w:t>
      </w:r>
      <w:r w:rsidR="00C843B2" w:rsidRPr="004737C5">
        <w:rPr>
          <w:rFonts w:cstheme="minorHAnsi"/>
          <w:bCs/>
        </w:rPr>
        <w:t>s</w:t>
      </w:r>
      <w:r w:rsidRPr="004737C5">
        <w:rPr>
          <w:rFonts w:cstheme="minorHAnsi"/>
          <w:bCs/>
        </w:rPr>
        <w:t xml:space="preserve"> </w:t>
      </w:r>
      <w:r w:rsidR="00F66385" w:rsidRPr="004737C5">
        <w:rPr>
          <w:rFonts w:cstheme="minorHAnsi"/>
          <w:bCs/>
        </w:rPr>
        <w:t>in calling on Member States to</w:t>
      </w:r>
      <w:r w:rsidRPr="004737C5">
        <w:rPr>
          <w:rFonts w:cstheme="minorHAnsi"/>
        </w:rPr>
        <w:t xml:space="preserve"> </w:t>
      </w:r>
      <w:r w:rsidR="00F66385" w:rsidRPr="004737C5">
        <w:rPr>
          <w:rFonts w:cstheme="minorHAnsi"/>
          <w:iCs/>
        </w:rPr>
        <w:t>“</w:t>
      </w:r>
      <w:r w:rsidRPr="004737C5">
        <w:rPr>
          <w:rFonts w:cstheme="minorHAnsi"/>
          <w:iCs/>
        </w:rPr>
        <w:t xml:space="preserve">develop, strengthen or maintain, as the case may be, measures relating to the control of restrictive and other abusive business practices </w:t>
      </w:r>
      <w:r w:rsidR="00E550DD" w:rsidRPr="004737C5">
        <w:rPr>
          <w:rFonts w:cstheme="minorHAnsi"/>
          <w:iCs/>
        </w:rPr>
        <w:t>which</w:t>
      </w:r>
      <w:r w:rsidRPr="004737C5">
        <w:rPr>
          <w:rFonts w:cstheme="minorHAnsi"/>
          <w:iCs/>
        </w:rPr>
        <w:t xml:space="preserve"> may be harmful to consumers, including means for t</w:t>
      </w:r>
      <w:r w:rsidR="00F66385" w:rsidRPr="004737C5">
        <w:rPr>
          <w:rFonts w:cstheme="minorHAnsi"/>
          <w:iCs/>
        </w:rPr>
        <w:t>he enforcement of such measures”</w:t>
      </w:r>
      <w:r w:rsidRPr="004737C5">
        <w:rPr>
          <w:rFonts w:cstheme="minorHAnsi"/>
          <w:bCs/>
          <w:iCs/>
        </w:rPr>
        <w:t xml:space="preserve"> guided by their commitment to the</w:t>
      </w:r>
      <w:r w:rsidRPr="004737C5">
        <w:rPr>
          <w:rFonts w:cstheme="minorHAnsi"/>
        </w:rPr>
        <w:t xml:space="preserve"> United Nations Set</w:t>
      </w:r>
      <w:r w:rsidR="00F66385" w:rsidRPr="004737C5">
        <w:rPr>
          <w:rFonts w:cstheme="minorHAnsi"/>
          <w:bCs/>
        </w:rPr>
        <w:t>.</w:t>
      </w:r>
      <w:r w:rsidR="00E550DD" w:rsidRPr="004737C5">
        <w:rPr>
          <w:rStyle w:val="FootnoteReference"/>
          <w:rFonts w:cstheme="minorHAnsi"/>
          <w:bCs/>
        </w:rPr>
        <w:footnoteReference w:id="114"/>
      </w:r>
    </w:p>
    <w:p w14:paraId="44A46D02" w14:textId="77777777" w:rsidR="00843222" w:rsidRPr="004737C5" w:rsidRDefault="00DA3B83" w:rsidP="00C843B2">
      <w:pPr>
        <w:pStyle w:val="Heading2"/>
        <w:spacing w:after="160"/>
        <w:rPr>
          <w:rFonts w:cstheme="minorHAnsi"/>
          <w:color w:val="auto"/>
          <w:sz w:val="24"/>
          <w:szCs w:val="24"/>
        </w:rPr>
      </w:pPr>
      <w:bookmarkStart w:id="67" w:name="_Toc492650020"/>
      <w:r w:rsidRPr="004737C5">
        <w:rPr>
          <w:rFonts w:cstheme="minorHAnsi"/>
          <w:color w:val="auto"/>
          <w:sz w:val="24"/>
          <w:szCs w:val="24"/>
        </w:rPr>
        <w:t>B.</w:t>
      </w:r>
      <w:r w:rsidR="00843222" w:rsidRPr="004737C5">
        <w:rPr>
          <w:rFonts w:cstheme="minorHAnsi"/>
          <w:color w:val="auto"/>
          <w:sz w:val="24"/>
          <w:szCs w:val="24"/>
        </w:rPr>
        <w:t xml:space="preserve"> Nature and characteristics of competition law and policy</w:t>
      </w:r>
      <w:bookmarkEnd w:id="67"/>
      <w:r w:rsidR="00843222" w:rsidRPr="004737C5">
        <w:rPr>
          <w:rFonts w:cstheme="minorHAnsi"/>
          <w:color w:val="auto"/>
          <w:sz w:val="24"/>
          <w:szCs w:val="24"/>
        </w:rPr>
        <w:t xml:space="preserve"> </w:t>
      </w:r>
    </w:p>
    <w:p w14:paraId="72F6C46F" w14:textId="77777777" w:rsidR="00843222" w:rsidRPr="004737C5" w:rsidRDefault="00843222" w:rsidP="006D3BE8">
      <w:pPr>
        <w:pStyle w:val="BodyText"/>
        <w:spacing w:after="160"/>
        <w:rPr>
          <w:rFonts w:asciiTheme="minorHAnsi" w:hAnsiTheme="minorHAnsi" w:cstheme="minorHAnsi"/>
          <w:color w:val="000000"/>
          <w:sz w:val="22"/>
        </w:rPr>
      </w:pPr>
      <w:r w:rsidRPr="004737C5">
        <w:rPr>
          <w:rFonts w:asciiTheme="minorHAnsi" w:hAnsiTheme="minorHAnsi" w:cstheme="minorHAnsi"/>
          <w:color w:val="000000"/>
          <w:sz w:val="22"/>
        </w:rPr>
        <w:t>Competition can bring benefits to market efficiency, such as encouraging firms to improve p</w:t>
      </w:r>
      <w:r w:rsidR="00DA3B83" w:rsidRPr="004737C5">
        <w:rPr>
          <w:rFonts w:asciiTheme="minorHAnsi" w:hAnsiTheme="minorHAnsi" w:cstheme="minorHAnsi"/>
          <w:color w:val="000000"/>
          <w:sz w:val="22"/>
        </w:rPr>
        <w:t xml:space="preserve">roductivity, reduce prices and </w:t>
      </w:r>
      <w:r w:rsidRPr="004737C5">
        <w:rPr>
          <w:rFonts w:asciiTheme="minorHAnsi" w:hAnsiTheme="minorHAnsi" w:cstheme="minorHAnsi"/>
          <w:color w:val="000000"/>
          <w:sz w:val="22"/>
        </w:rPr>
        <w:t>innovate, while r</w:t>
      </w:r>
      <w:r w:rsidR="00DA3B83" w:rsidRPr="004737C5">
        <w:rPr>
          <w:rFonts w:asciiTheme="minorHAnsi" w:hAnsiTheme="minorHAnsi" w:cstheme="minorHAnsi"/>
          <w:color w:val="000000"/>
          <w:sz w:val="22"/>
        </w:rPr>
        <w:t>ewarding producers with profits and</w:t>
      </w:r>
      <w:r w:rsidRPr="004737C5">
        <w:rPr>
          <w:rFonts w:asciiTheme="minorHAnsi" w:hAnsiTheme="minorHAnsi" w:cstheme="minorHAnsi"/>
          <w:color w:val="000000"/>
          <w:sz w:val="22"/>
        </w:rPr>
        <w:t xml:space="preserve"> consumers with lower prices, higher quality and wider choice than would be the case in a less competitive market. When markets fail</w:t>
      </w:r>
      <w:r w:rsidR="00DA3B83" w:rsidRPr="004737C5">
        <w:rPr>
          <w:rFonts w:asciiTheme="minorHAnsi" w:hAnsiTheme="minorHAnsi" w:cstheme="minorHAnsi"/>
          <w:color w:val="000000"/>
          <w:sz w:val="22"/>
        </w:rPr>
        <w:t>,</w:t>
      </w:r>
      <w:r w:rsidRPr="004737C5">
        <w:rPr>
          <w:rFonts w:asciiTheme="minorHAnsi" w:hAnsiTheme="minorHAnsi" w:cstheme="minorHAnsi"/>
          <w:color w:val="000000"/>
          <w:sz w:val="22"/>
        </w:rPr>
        <w:t xml:space="preserve"> competition laws and policies are among the tools that can be used to bring about efficient workings of markets and to alleviate market failures. </w:t>
      </w:r>
    </w:p>
    <w:p w14:paraId="7FDAC6F0" w14:textId="77777777" w:rsidR="00843222" w:rsidRPr="004737C5" w:rsidRDefault="00843222" w:rsidP="006D3BE8">
      <w:pPr>
        <w:rPr>
          <w:rFonts w:cstheme="minorHAnsi"/>
        </w:rPr>
      </w:pPr>
      <w:r w:rsidRPr="004737C5">
        <w:rPr>
          <w:rFonts w:cstheme="minorHAnsi"/>
        </w:rPr>
        <w:t>Comp</w:t>
      </w:r>
      <w:r w:rsidR="00DA3B83" w:rsidRPr="004737C5">
        <w:rPr>
          <w:rFonts w:cstheme="minorHAnsi"/>
        </w:rPr>
        <w:t>etition policy encompasses all g</w:t>
      </w:r>
      <w:r w:rsidRPr="004737C5">
        <w:rPr>
          <w:rFonts w:cstheme="minorHAnsi"/>
        </w:rPr>
        <w:t>overnment policies intended to influence competition in markets and provides the legal framework to give effect to those policies</w:t>
      </w:r>
      <w:r w:rsidR="004504EF" w:rsidRPr="004737C5">
        <w:rPr>
          <w:rFonts w:cstheme="minorHAnsi"/>
        </w:rPr>
        <w:t>.</w:t>
      </w:r>
      <w:r w:rsidRPr="004737C5">
        <w:rPr>
          <w:rFonts w:cstheme="minorHAnsi"/>
        </w:rPr>
        <w:t xml:space="preserve"> It is estimated that 122 countries, including developing economies, have implemented or put in place competition policy and law.</w:t>
      </w:r>
      <w:r w:rsidRPr="004737C5">
        <w:rPr>
          <w:rStyle w:val="FootnoteReference"/>
          <w:rFonts w:cstheme="minorHAnsi"/>
        </w:rPr>
        <w:footnoteReference w:id="115"/>
      </w:r>
      <w:r w:rsidRPr="004737C5">
        <w:rPr>
          <w:rFonts w:cstheme="minorHAnsi"/>
        </w:rPr>
        <w:t xml:space="preserve"> These laws have a number of characteristics:  </w:t>
      </w:r>
    </w:p>
    <w:p w14:paraId="070EE5B1" w14:textId="5FA20B06" w:rsidR="00843222" w:rsidRPr="004737C5" w:rsidRDefault="00843222" w:rsidP="002473E9">
      <w:pPr>
        <w:pStyle w:val="BodyTextIndent"/>
        <w:numPr>
          <w:ilvl w:val="0"/>
          <w:numId w:val="12"/>
        </w:numPr>
        <w:tabs>
          <w:tab w:val="clear" w:pos="1800"/>
          <w:tab w:val="num" w:pos="709"/>
        </w:tabs>
        <w:ind w:left="709" w:hanging="425"/>
        <w:rPr>
          <w:rFonts w:asciiTheme="minorHAnsi" w:hAnsiTheme="minorHAnsi" w:cstheme="minorHAnsi"/>
          <w:sz w:val="22"/>
        </w:rPr>
      </w:pPr>
      <w:r w:rsidRPr="004737C5">
        <w:rPr>
          <w:rFonts w:asciiTheme="minorHAnsi" w:hAnsiTheme="minorHAnsi" w:cstheme="minorHAnsi"/>
          <w:sz w:val="22"/>
        </w:rPr>
        <w:t>Competition law has tended to exist only at the nat</w:t>
      </w:r>
      <w:r w:rsidR="00DA3B83" w:rsidRPr="004737C5">
        <w:rPr>
          <w:rFonts w:asciiTheme="minorHAnsi" w:hAnsiTheme="minorHAnsi" w:cstheme="minorHAnsi"/>
          <w:sz w:val="22"/>
        </w:rPr>
        <w:t>ional level, except in the case</w:t>
      </w:r>
      <w:r w:rsidRPr="004737C5">
        <w:rPr>
          <w:rFonts w:asciiTheme="minorHAnsi" w:hAnsiTheme="minorHAnsi" w:cstheme="minorHAnsi"/>
          <w:sz w:val="22"/>
        </w:rPr>
        <w:t xml:space="preserve"> of regional single markets such as the Andean Community, CARICOM, the European Union, MERCOSUR, SIECA and </w:t>
      </w:r>
      <w:r w:rsidR="00DA3B83" w:rsidRPr="004737C5">
        <w:rPr>
          <w:rFonts w:asciiTheme="minorHAnsi" w:hAnsiTheme="minorHAnsi" w:cstheme="minorHAnsi"/>
          <w:sz w:val="22"/>
        </w:rPr>
        <w:t>the West African Monetary Union.</w:t>
      </w:r>
      <w:r w:rsidRPr="004737C5">
        <w:rPr>
          <w:rFonts w:asciiTheme="minorHAnsi" w:hAnsiTheme="minorHAnsi" w:cstheme="minorHAnsi"/>
          <w:sz w:val="22"/>
        </w:rPr>
        <w:t xml:space="preserve"> </w:t>
      </w:r>
    </w:p>
    <w:p w14:paraId="618E7E8E" w14:textId="77777777" w:rsidR="00843222" w:rsidRPr="004737C5" w:rsidRDefault="00843222" w:rsidP="002473E9">
      <w:pPr>
        <w:pStyle w:val="BodyTextIndent"/>
        <w:numPr>
          <w:ilvl w:val="0"/>
          <w:numId w:val="12"/>
        </w:numPr>
        <w:tabs>
          <w:tab w:val="clear" w:pos="1800"/>
          <w:tab w:val="num" w:pos="709"/>
        </w:tabs>
        <w:ind w:left="709" w:hanging="425"/>
        <w:rPr>
          <w:rFonts w:asciiTheme="minorHAnsi" w:hAnsiTheme="minorHAnsi" w:cstheme="minorHAnsi"/>
          <w:sz w:val="22"/>
        </w:rPr>
      </w:pPr>
      <w:r w:rsidRPr="004737C5">
        <w:rPr>
          <w:rFonts w:asciiTheme="minorHAnsi" w:hAnsiTheme="minorHAnsi" w:cstheme="minorHAnsi"/>
          <w:sz w:val="22"/>
        </w:rPr>
        <w:t xml:space="preserve">The criteria for determining anti-competitive behaviour is applied in the national market only and welfare considerations are assessed only as </w:t>
      </w:r>
      <w:r w:rsidR="00DA3B83" w:rsidRPr="004737C5">
        <w:rPr>
          <w:rFonts w:asciiTheme="minorHAnsi" w:hAnsiTheme="minorHAnsi" w:cstheme="minorHAnsi"/>
          <w:sz w:val="22"/>
        </w:rPr>
        <w:t>they affect local jurisdictions.</w:t>
      </w:r>
      <w:r w:rsidRPr="004737C5">
        <w:rPr>
          <w:rFonts w:asciiTheme="minorHAnsi" w:hAnsiTheme="minorHAnsi" w:cstheme="minorHAnsi"/>
          <w:sz w:val="22"/>
        </w:rPr>
        <w:t xml:space="preserve"> </w:t>
      </w:r>
    </w:p>
    <w:p w14:paraId="329A03D3" w14:textId="77777777" w:rsidR="00843222" w:rsidRPr="004737C5" w:rsidRDefault="00843222" w:rsidP="002473E9">
      <w:pPr>
        <w:pStyle w:val="BodyTextIndent"/>
        <w:numPr>
          <w:ilvl w:val="0"/>
          <w:numId w:val="12"/>
        </w:numPr>
        <w:tabs>
          <w:tab w:val="clear" w:pos="1800"/>
          <w:tab w:val="num" w:pos="709"/>
        </w:tabs>
        <w:ind w:left="709" w:hanging="425"/>
        <w:rPr>
          <w:rFonts w:asciiTheme="minorHAnsi" w:hAnsiTheme="minorHAnsi" w:cstheme="minorHAnsi"/>
          <w:sz w:val="22"/>
        </w:rPr>
      </w:pPr>
      <w:r w:rsidRPr="004737C5">
        <w:rPr>
          <w:rFonts w:asciiTheme="minorHAnsi" w:hAnsiTheme="minorHAnsi" w:cstheme="minorHAnsi"/>
          <w:sz w:val="22"/>
        </w:rPr>
        <w:t xml:space="preserve">Anti-competitive behaviour that affects </w:t>
      </w:r>
      <w:r w:rsidR="003B4BBB" w:rsidRPr="004737C5">
        <w:rPr>
          <w:rFonts w:asciiTheme="minorHAnsi" w:hAnsiTheme="minorHAnsi" w:cstheme="minorHAnsi"/>
          <w:sz w:val="22"/>
        </w:rPr>
        <w:t>consumers in other countries is</w:t>
      </w:r>
      <w:r w:rsidRPr="004737C5">
        <w:rPr>
          <w:rFonts w:asciiTheme="minorHAnsi" w:hAnsiTheme="minorHAnsi" w:cstheme="minorHAnsi"/>
          <w:sz w:val="22"/>
        </w:rPr>
        <w:t xml:space="preserve"> not within the doma</w:t>
      </w:r>
      <w:r w:rsidR="00DA3B83" w:rsidRPr="004737C5">
        <w:rPr>
          <w:rFonts w:asciiTheme="minorHAnsi" w:hAnsiTheme="minorHAnsi" w:cstheme="minorHAnsi"/>
          <w:sz w:val="22"/>
        </w:rPr>
        <w:t>in of national competition laws.</w:t>
      </w:r>
    </w:p>
    <w:p w14:paraId="59918141" w14:textId="77777777" w:rsidR="00843222" w:rsidRPr="004737C5" w:rsidRDefault="00843222" w:rsidP="002473E9">
      <w:pPr>
        <w:pStyle w:val="BodyTextIndent"/>
        <w:numPr>
          <w:ilvl w:val="0"/>
          <w:numId w:val="12"/>
        </w:numPr>
        <w:tabs>
          <w:tab w:val="clear" w:pos="1800"/>
          <w:tab w:val="num" w:pos="709"/>
        </w:tabs>
        <w:ind w:left="709" w:hanging="425"/>
        <w:rPr>
          <w:rFonts w:asciiTheme="minorHAnsi" w:hAnsiTheme="minorHAnsi" w:cstheme="minorHAnsi"/>
          <w:sz w:val="22"/>
        </w:rPr>
      </w:pPr>
      <w:r w:rsidRPr="004737C5">
        <w:rPr>
          <w:rFonts w:asciiTheme="minorHAnsi" w:hAnsiTheme="minorHAnsi" w:cstheme="minorHAnsi"/>
          <w:sz w:val="22"/>
        </w:rPr>
        <w:t>As national competition laws seek to protect competition in the national market, its benefits accrue directly to consumers at the natio</w:t>
      </w:r>
      <w:r w:rsidR="003B4BBB" w:rsidRPr="004737C5">
        <w:rPr>
          <w:rFonts w:asciiTheme="minorHAnsi" w:hAnsiTheme="minorHAnsi" w:cstheme="minorHAnsi"/>
          <w:sz w:val="22"/>
        </w:rPr>
        <w:t>nal level and indirectly abroad.</w:t>
      </w:r>
    </w:p>
    <w:p w14:paraId="4CCDA594" w14:textId="2E183468" w:rsidR="00843222" w:rsidRPr="004737C5" w:rsidRDefault="00843222" w:rsidP="00C843B2">
      <w:pPr>
        <w:pStyle w:val="BodyTextIndent"/>
        <w:numPr>
          <w:ilvl w:val="0"/>
          <w:numId w:val="12"/>
        </w:numPr>
        <w:tabs>
          <w:tab w:val="clear" w:pos="1800"/>
          <w:tab w:val="num" w:pos="709"/>
        </w:tabs>
        <w:spacing w:after="160"/>
        <w:ind w:left="709" w:hanging="425"/>
        <w:rPr>
          <w:rFonts w:asciiTheme="minorHAnsi" w:hAnsiTheme="minorHAnsi" w:cstheme="minorHAnsi"/>
          <w:sz w:val="22"/>
        </w:rPr>
      </w:pPr>
      <w:r w:rsidRPr="004737C5">
        <w:rPr>
          <w:rFonts w:asciiTheme="minorHAnsi" w:hAnsiTheme="minorHAnsi" w:cstheme="minorHAnsi"/>
          <w:sz w:val="22"/>
        </w:rPr>
        <w:t>There is currently no mandatory multilateral regulatory framework for competition policy.</w:t>
      </w:r>
    </w:p>
    <w:p w14:paraId="0855F28A" w14:textId="77777777" w:rsidR="00F70C4D" w:rsidRPr="004737C5" w:rsidRDefault="00F70C4D" w:rsidP="009771AD">
      <w:pPr>
        <w:autoSpaceDE w:val="0"/>
        <w:autoSpaceDN w:val="0"/>
        <w:adjustRightInd w:val="0"/>
        <w:spacing w:before="200"/>
        <w:rPr>
          <w:rFonts w:cstheme="minorHAnsi"/>
        </w:rPr>
      </w:pPr>
      <w:r w:rsidRPr="004737C5">
        <w:rPr>
          <w:rFonts w:cstheme="minorHAnsi"/>
          <w:b/>
        </w:rPr>
        <w:t xml:space="preserve">1. </w:t>
      </w:r>
      <w:r w:rsidR="00843222" w:rsidRPr="004737C5">
        <w:rPr>
          <w:rFonts w:cstheme="minorHAnsi"/>
          <w:b/>
        </w:rPr>
        <w:t>The United Nations Set on competition</w:t>
      </w:r>
      <w:r w:rsidR="00843222" w:rsidRPr="004737C5">
        <w:rPr>
          <w:rFonts w:cstheme="minorHAnsi"/>
          <w:b/>
        </w:rPr>
        <w:tab/>
      </w:r>
    </w:p>
    <w:p w14:paraId="64464E74" w14:textId="77777777" w:rsidR="00843222" w:rsidRPr="004737C5" w:rsidRDefault="003B4BBB" w:rsidP="003B4BBB">
      <w:pPr>
        <w:autoSpaceDE w:val="0"/>
        <w:autoSpaceDN w:val="0"/>
        <w:adjustRightInd w:val="0"/>
        <w:rPr>
          <w:rFonts w:cstheme="minorHAnsi"/>
          <w:b/>
          <w:color w:val="4472C4" w:themeColor="accent5"/>
        </w:rPr>
      </w:pPr>
      <w:r w:rsidRPr="004737C5">
        <w:rPr>
          <w:rFonts w:cstheme="minorHAnsi"/>
        </w:rPr>
        <w:lastRenderedPageBreak/>
        <w:t>T</w:t>
      </w:r>
      <w:r w:rsidR="00843222" w:rsidRPr="004737C5">
        <w:rPr>
          <w:rFonts w:cstheme="minorHAnsi"/>
        </w:rPr>
        <w:t xml:space="preserve">he United Nations Set on competition has considerable authority in practice, especially in the context of countries that are setting up their competition structures. </w:t>
      </w:r>
      <w:r w:rsidR="004504EF" w:rsidRPr="004737C5">
        <w:rPr>
          <w:rFonts w:cstheme="minorHAnsi"/>
        </w:rPr>
        <w:t>T</w:t>
      </w:r>
      <w:r w:rsidRPr="004737C5">
        <w:rPr>
          <w:rFonts w:cstheme="minorHAnsi"/>
        </w:rPr>
        <w:t>he United Nations Set</w:t>
      </w:r>
      <w:r w:rsidR="00843222" w:rsidRPr="004737C5">
        <w:rPr>
          <w:rFonts w:cstheme="minorHAnsi"/>
        </w:rPr>
        <w:t xml:space="preserve"> </w:t>
      </w:r>
      <w:r w:rsidR="004504EF" w:rsidRPr="004737C5">
        <w:rPr>
          <w:rFonts w:cstheme="minorHAnsi"/>
        </w:rPr>
        <w:t xml:space="preserve">pays </w:t>
      </w:r>
      <w:r w:rsidR="00843222" w:rsidRPr="004737C5">
        <w:rPr>
          <w:rFonts w:cstheme="minorHAnsi"/>
        </w:rPr>
        <w:t>particular attention to developing countries and international trade (or rather its distortion by anti-competitive practices). In particular, the danger that transna</w:t>
      </w:r>
      <w:r w:rsidRPr="004737C5">
        <w:rPr>
          <w:rFonts w:cstheme="minorHAnsi"/>
        </w:rPr>
        <w:t>tional corporations may pursue “restrictive business practices”</w:t>
      </w:r>
      <w:r w:rsidR="00843222" w:rsidRPr="004737C5">
        <w:rPr>
          <w:rFonts w:cstheme="minorHAnsi"/>
        </w:rPr>
        <w:t xml:space="preserve"> to the disadvantage of developing countries is repeatedly mentioned. In effect, this now forms an accompaniment to the new section IV</w:t>
      </w:r>
      <w:r w:rsidR="00291489" w:rsidRPr="004737C5">
        <w:rPr>
          <w:rFonts w:cstheme="minorHAnsi"/>
        </w:rPr>
        <w:t>,</w:t>
      </w:r>
      <w:r w:rsidR="00843222" w:rsidRPr="004737C5">
        <w:rPr>
          <w:rFonts w:cstheme="minorHAnsi"/>
        </w:rPr>
        <w:t xml:space="preserve"> </w:t>
      </w:r>
      <w:r w:rsidR="00291489" w:rsidRPr="004737C5">
        <w:rPr>
          <w:rFonts w:cstheme="minorHAnsi"/>
        </w:rPr>
        <w:t>“principles of good business p</w:t>
      </w:r>
      <w:r w:rsidR="004240DC" w:rsidRPr="004737C5">
        <w:rPr>
          <w:rFonts w:cstheme="minorHAnsi"/>
        </w:rPr>
        <w:t>ractices</w:t>
      </w:r>
      <w:r w:rsidR="00291489" w:rsidRPr="004737C5">
        <w:rPr>
          <w:rFonts w:cstheme="minorHAnsi"/>
        </w:rPr>
        <w:t>”</w:t>
      </w:r>
      <w:r w:rsidR="004240DC" w:rsidRPr="004737C5">
        <w:rPr>
          <w:rFonts w:cstheme="minorHAnsi"/>
        </w:rPr>
        <w:t xml:space="preserve"> (see chapter VI</w:t>
      </w:r>
      <w:r w:rsidR="00843222" w:rsidRPr="004737C5">
        <w:rPr>
          <w:rFonts w:cstheme="minorHAnsi"/>
        </w:rPr>
        <w:t>) as the text of the United Nations Set is equally address</w:t>
      </w:r>
      <w:r w:rsidRPr="004737C5">
        <w:rPr>
          <w:rFonts w:cstheme="minorHAnsi"/>
        </w:rPr>
        <w:t>ed to businesses as well as to g</w:t>
      </w:r>
      <w:r w:rsidR="00843222" w:rsidRPr="004737C5">
        <w:rPr>
          <w:rFonts w:cstheme="minorHAnsi"/>
        </w:rPr>
        <w:t>overnments. In this spirit, renewed importance can be attached to paragraphs D3 and D4 of the United Nations Set.</w:t>
      </w:r>
      <w:r w:rsidRPr="004737C5">
        <w:rPr>
          <w:rFonts w:cstheme="minorHAnsi"/>
        </w:rPr>
        <w:t xml:space="preserve"> D3 sets out that “e</w:t>
      </w:r>
      <w:r w:rsidR="00843222" w:rsidRPr="004737C5">
        <w:rPr>
          <w:rFonts w:cstheme="minorHAnsi"/>
        </w:rPr>
        <w:t xml:space="preserve">nterprises </w:t>
      </w:r>
      <w:r w:rsidRPr="004737C5">
        <w:rPr>
          <w:rFonts w:cstheme="minorHAnsi"/>
        </w:rPr>
        <w:t xml:space="preserve">… </w:t>
      </w:r>
      <w:r w:rsidR="00843222" w:rsidRPr="004737C5">
        <w:rPr>
          <w:rFonts w:cstheme="minorHAnsi"/>
        </w:rPr>
        <w:t xml:space="preserve">should refrain from practices such as the following: </w:t>
      </w:r>
    </w:p>
    <w:p w14:paraId="783CAC6D" w14:textId="77777777" w:rsidR="00843222" w:rsidRPr="004737C5" w:rsidRDefault="00843222" w:rsidP="00C843B2">
      <w:pPr>
        <w:pStyle w:val="ListParagraph"/>
        <w:numPr>
          <w:ilvl w:val="0"/>
          <w:numId w:val="54"/>
        </w:numPr>
        <w:ind w:left="992" w:right="567" w:hanging="425"/>
        <w:rPr>
          <w:rFonts w:cstheme="minorHAnsi"/>
        </w:rPr>
      </w:pPr>
      <w:r w:rsidRPr="004737C5">
        <w:rPr>
          <w:rFonts w:cstheme="minorHAnsi"/>
        </w:rPr>
        <w:t>Agreements fixing prices, incl</w:t>
      </w:r>
      <w:r w:rsidR="003B4BBB" w:rsidRPr="004737C5">
        <w:rPr>
          <w:rFonts w:cstheme="minorHAnsi"/>
        </w:rPr>
        <w:t>uding as to exports and imports</w:t>
      </w:r>
    </w:p>
    <w:p w14:paraId="4AAFCE34" w14:textId="77777777" w:rsidR="00843222" w:rsidRPr="004737C5" w:rsidRDefault="003B4BBB" w:rsidP="00C843B2">
      <w:pPr>
        <w:pStyle w:val="ListParagraph"/>
        <w:numPr>
          <w:ilvl w:val="0"/>
          <w:numId w:val="54"/>
        </w:numPr>
        <w:ind w:left="992" w:right="567" w:hanging="425"/>
        <w:rPr>
          <w:rFonts w:cstheme="minorHAnsi"/>
        </w:rPr>
      </w:pPr>
      <w:r w:rsidRPr="004737C5">
        <w:rPr>
          <w:rFonts w:cstheme="minorHAnsi"/>
        </w:rPr>
        <w:t>Collusive tendering</w:t>
      </w:r>
    </w:p>
    <w:p w14:paraId="55867D6D" w14:textId="77777777" w:rsidR="00843222" w:rsidRPr="004737C5" w:rsidRDefault="00843222" w:rsidP="00C843B2">
      <w:pPr>
        <w:pStyle w:val="ListParagraph"/>
        <w:numPr>
          <w:ilvl w:val="0"/>
          <w:numId w:val="54"/>
        </w:numPr>
        <w:ind w:left="992" w:right="567" w:hanging="425"/>
        <w:rPr>
          <w:rFonts w:cstheme="minorHAnsi"/>
        </w:rPr>
      </w:pPr>
      <w:r w:rsidRPr="004737C5">
        <w:rPr>
          <w:rFonts w:cstheme="minorHAnsi"/>
        </w:rPr>
        <w:t>Market or c</w:t>
      </w:r>
      <w:r w:rsidR="003B4BBB" w:rsidRPr="004737C5">
        <w:rPr>
          <w:rFonts w:cstheme="minorHAnsi"/>
        </w:rPr>
        <w:t>ustomer allocation arrangements</w:t>
      </w:r>
    </w:p>
    <w:p w14:paraId="2386A4F4" w14:textId="77777777" w:rsidR="00843222" w:rsidRPr="004737C5" w:rsidRDefault="00843222" w:rsidP="00C843B2">
      <w:pPr>
        <w:pStyle w:val="ListParagraph"/>
        <w:numPr>
          <w:ilvl w:val="0"/>
          <w:numId w:val="54"/>
        </w:numPr>
        <w:ind w:left="992" w:right="567" w:hanging="425"/>
        <w:rPr>
          <w:rFonts w:cstheme="minorHAnsi"/>
        </w:rPr>
      </w:pPr>
      <w:r w:rsidRPr="004737C5">
        <w:rPr>
          <w:rFonts w:cstheme="minorHAnsi"/>
        </w:rPr>
        <w:t>Allocation by quota as to sales and pro</w:t>
      </w:r>
      <w:r w:rsidR="003B4BBB" w:rsidRPr="004737C5">
        <w:rPr>
          <w:rFonts w:cstheme="minorHAnsi"/>
        </w:rPr>
        <w:t>duction</w:t>
      </w:r>
    </w:p>
    <w:p w14:paraId="7F72DCC2" w14:textId="77777777" w:rsidR="00843222" w:rsidRPr="004737C5" w:rsidRDefault="00843222" w:rsidP="00C843B2">
      <w:pPr>
        <w:pStyle w:val="ListParagraph"/>
        <w:numPr>
          <w:ilvl w:val="0"/>
          <w:numId w:val="54"/>
        </w:numPr>
        <w:ind w:left="992" w:right="567" w:hanging="425"/>
        <w:rPr>
          <w:rFonts w:cstheme="minorHAnsi"/>
        </w:rPr>
      </w:pPr>
      <w:r w:rsidRPr="004737C5">
        <w:rPr>
          <w:rFonts w:cstheme="minorHAnsi"/>
        </w:rPr>
        <w:t>Collective action to enforce arrangements, e.g</w:t>
      </w:r>
      <w:r w:rsidR="003B4BBB" w:rsidRPr="004737C5">
        <w:rPr>
          <w:rFonts w:cstheme="minorHAnsi"/>
        </w:rPr>
        <w:t>. by concerted refusals to deal</w:t>
      </w:r>
    </w:p>
    <w:p w14:paraId="748C008D" w14:textId="77777777" w:rsidR="00843222" w:rsidRPr="004737C5" w:rsidRDefault="00843222" w:rsidP="00C843B2">
      <w:pPr>
        <w:pStyle w:val="ListParagraph"/>
        <w:numPr>
          <w:ilvl w:val="0"/>
          <w:numId w:val="54"/>
        </w:numPr>
        <w:ind w:left="992" w:right="567" w:hanging="425"/>
        <w:rPr>
          <w:rFonts w:cstheme="minorHAnsi"/>
        </w:rPr>
      </w:pPr>
      <w:r w:rsidRPr="004737C5">
        <w:rPr>
          <w:rFonts w:cstheme="minorHAnsi"/>
        </w:rPr>
        <w:t xml:space="preserve">Concerted refusal of </w:t>
      </w:r>
      <w:r w:rsidR="003B4BBB" w:rsidRPr="004737C5">
        <w:rPr>
          <w:rFonts w:cstheme="minorHAnsi"/>
        </w:rPr>
        <w:t>supplies to potential importers</w:t>
      </w:r>
    </w:p>
    <w:p w14:paraId="39FE07A6" w14:textId="77777777" w:rsidR="00843222" w:rsidRPr="004737C5" w:rsidRDefault="00843222" w:rsidP="00C843B2">
      <w:pPr>
        <w:pStyle w:val="ListParagraph"/>
        <w:numPr>
          <w:ilvl w:val="0"/>
          <w:numId w:val="54"/>
        </w:numPr>
        <w:ind w:left="992" w:right="567" w:hanging="425"/>
        <w:rPr>
          <w:rFonts w:cstheme="minorHAnsi"/>
        </w:rPr>
      </w:pPr>
      <w:r w:rsidRPr="004737C5">
        <w:rPr>
          <w:rFonts w:cstheme="minorHAnsi"/>
        </w:rPr>
        <w:t>Collective denial of access to an arrangement, or association, which is crucial to competition</w:t>
      </w:r>
      <w:r w:rsidR="003B4BBB" w:rsidRPr="004737C5">
        <w:rPr>
          <w:rFonts w:cstheme="minorHAnsi"/>
        </w:rPr>
        <w:t>.</w:t>
      </w:r>
      <w:r w:rsidR="004504EF" w:rsidRPr="004737C5">
        <w:rPr>
          <w:rFonts w:cstheme="minorHAnsi"/>
        </w:rPr>
        <w:t>”</w:t>
      </w:r>
    </w:p>
    <w:p w14:paraId="617850D5" w14:textId="77777777" w:rsidR="00843222" w:rsidRPr="004737C5" w:rsidRDefault="00843222" w:rsidP="006D3BE8">
      <w:pPr>
        <w:autoSpaceDE w:val="0"/>
        <w:autoSpaceDN w:val="0"/>
        <w:adjustRightInd w:val="0"/>
        <w:rPr>
          <w:rFonts w:cstheme="minorHAnsi"/>
        </w:rPr>
      </w:pPr>
      <w:r w:rsidRPr="004737C5">
        <w:rPr>
          <w:rFonts w:cstheme="minorHAnsi"/>
        </w:rPr>
        <w:t xml:space="preserve">The above list applies largely to measures of collusion between companies with direct effects against consumers. D4 </w:t>
      </w:r>
      <w:r w:rsidR="003B4BBB" w:rsidRPr="004737C5">
        <w:rPr>
          <w:rFonts w:cstheme="minorHAnsi"/>
        </w:rPr>
        <w:t xml:space="preserve">addresses </w:t>
      </w:r>
      <w:r w:rsidRPr="004737C5">
        <w:rPr>
          <w:rFonts w:cstheme="minorHAnsi"/>
        </w:rPr>
        <w:t xml:space="preserve">measures that take the form </w:t>
      </w:r>
      <w:r w:rsidR="003B4BBB" w:rsidRPr="004737C5">
        <w:rPr>
          <w:rFonts w:cstheme="minorHAnsi"/>
        </w:rPr>
        <w:t>of abuse of dominant position, stating that: “e</w:t>
      </w:r>
      <w:r w:rsidRPr="004737C5">
        <w:rPr>
          <w:rFonts w:cstheme="minorHAnsi"/>
        </w:rPr>
        <w:t>nterprises should refrain from:</w:t>
      </w:r>
    </w:p>
    <w:p w14:paraId="5FC1D9F0" w14:textId="77777777" w:rsidR="00843222" w:rsidRPr="004737C5" w:rsidRDefault="00843222" w:rsidP="00C843B2">
      <w:pPr>
        <w:autoSpaceDE w:val="0"/>
        <w:autoSpaceDN w:val="0"/>
        <w:adjustRightInd w:val="0"/>
        <w:spacing w:after="0"/>
        <w:ind w:left="992" w:right="567" w:hanging="425"/>
        <w:jc w:val="left"/>
        <w:rPr>
          <w:rFonts w:cstheme="minorHAnsi"/>
        </w:rPr>
      </w:pPr>
      <w:r w:rsidRPr="004737C5">
        <w:rPr>
          <w:rFonts w:cstheme="minorHAnsi"/>
        </w:rPr>
        <w:t xml:space="preserve">a) </w:t>
      </w:r>
      <w:r w:rsidR="003B4BBB" w:rsidRPr="004737C5">
        <w:rPr>
          <w:rFonts w:cstheme="minorHAnsi"/>
        </w:rPr>
        <w:tab/>
      </w:r>
      <w:r w:rsidRPr="004737C5">
        <w:rPr>
          <w:rFonts w:cstheme="minorHAnsi"/>
        </w:rPr>
        <w:t>Predatory behaviour towards competitors, such as using below cost p</w:t>
      </w:r>
      <w:r w:rsidR="00B90265" w:rsidRPr="004737C5">
        <w:rPr>
          <w:rFonts w:cstheme="minorHAnsi"/>
        </w:rPr>
        <w:t>ricing to eliminate competitors</w:t>
      </w:r>
    </w:p>
    <w:p w14:paraId="2AD2AEDF" w14:textId="77777777" w:rsidR="00843222" w:rsidRPr="004737C5" w:rsidRDefault="007067D3" w:rsidP="00C843B2">
      <w:pPr>
        <w:autoSpaceDE w:val="0"/>
        <w:autoSpaceDN w:val="0"/>
        <w:adjustRightInd w:val="0"/>
        <w:spacing w:after="0"/>
        <w:ind w:left="992" w:right="567" w:hanging="425"/>
        <w:jc w:val="left"/>
        <w:rPr>
          <w:rFonts w:cstheme="minorHAnsi"/>
        </w:rPr>
      </w:pPr>
      <w:r w:rsidRPr="004737C5">
        <w:rPr>
          <w:rFonts w:cstheme="minorHAnsi"/>
        </w:rPr>
        <w:t>b)</w:t>
      </w:r>
      <w:r w:rsidR="003B4BBB" w:rsidRPr="004737C5">
        <w:rPr>
          <w:rFonts w:cstheme="minorHAnsi"/>
        </w:rPr>
        <w:tab/>
      </w:r>
      <w:r w:rsidRPr="004737C5">
        <w:rPr>
          <w:rFonts w:cstheme="minorHAnsi"/>
        </w:rPr>
        <w:t>D</w:t>
      </w:r>
      <w:r w:rsidR="00843222" w:rsidRPr="004737C5">
        <w:rPr>
          <w:rFonts w:cstheme="minorHAnsi"/>
        </w:rPr>
        <w:t>iscriminatory (i.e. unjustifiably differentiated) pricing or terms or conditions in the supply or purchase of goods and services</w:t>
      </w:r>
      <w:r w:rsidR="00B90265" w:rsidRPr="004737C5">
        <w:rPr>
          <w:rFonts w:cstheme="minorHAnsi"/>
        </w:rPr>
        <w:t xml:space="preserve"> </w:t>
      </w:r>
      <w:r w:rsidR="004504EF" w:rsidRPr="004737C5">
        <w:rPr>
          <w:rFonts w:cstheme="minorHAnsi"/>
        </w:rPr>
        <w:t>…</w:t>
      </w:r>
    </w:p>
    <w:p w14:paraId="6F8B5CF4" w14:textId="77777777" w:rsidR="00843222" w:rsidRPr="004737C5" w:rsidRDefault="00843222" w:rsidP="00C843B2">
      <w:pPr>
        <w:autoSpaceDE w:val="0"/>
        <w:autoSpaceDN w:val="0"/>
        <w:adjustRightInd w:val="0"/>
        <w:spacing w:after="0"/>
        <w:ind w:left="992" w:right="567" w:hanging="425"/>
        <w:jc w:val="left"/>
        <w:rPr>
          <w:rFonts w:cstheme="minorHAnsi"/>
        </w:rPr>
      </w:pPr>
      <w:r w:rsidRPr="004737C5">
        <w:rPr>
          <w:rFonts w:cstheme="minorHAnsi"/>
        </w:rPr>
        <w:t xml:space="preserve">(c) </w:t>
      </w:r>
      <w:r w:rsidR="00B90265" w:rsidRPr="004737C5">
        <w:rPr>
          <w:rFonts w:cstheme="minorHAnsi"/>
        </w:rPr>
        <w:tab/>
      </w:r>
      <w:r w:rsidRPr="004737C5">
        <w:rPr>
          <w:rFonts w:cstheme="minorHAnsi"/>
        </w:rPr>
        <w:t>Mergers, takeovers, joint ventures or other acquisitions of control, wh</w:t>
      </w:r>
      <w:r w:rsidR="007067D3" w:rsidRPr="004737C5">
        <w:rPr>
          <w:rFonts w:cstheme="minorHAnsi"/>
        </w:rPr>
        <w:t xml:space="preserve">ether of a horizontal, vertical </w:t>
      </w:r>
      <w:r w:rsidR="00B90265" w:rsidRPr="004737C5">
        <w:rPr>
          <w:rFonts w:cstheme="minorHAnsi"/>
        </w:rPr>
        <w:t xml:space="preserve">or a conglomerate nature </w:t>
      </w:r>
      <w:r w:rsidRPr="004737C5">
        <w:rPr>
          <w:rFonts w:cstheme="minorHAnsi"/>
        </w:rPr>
        <w:t>(NB: merg</w:t>
      </w:r>
      <w:r w:rsidR="00B90265" w:rsidRPr="004737C5">
        <w:rPr>
          <w:rFonts w:cstheme="minorHAnsi"/>
        </w:rPr>
        <w:t>ers are not ruled out a priori)</w:t>
      </w:r>
    </w:p>
    <w:p w14:paraId="5079E278" w14:textId="77777777" w:rsidR="003B4BBB" w:rsidRPr="004737C5" w:rsidRDefault="00843222" w:rsidP="00C843B2">
      <w:pPr>
        <w:autoSpaceDE w:val="0"/>
        <w:autoSpaceDN w:val="0"/>
        <w:adjustRightInd w:val="0"/>
        <w:ind w:left="992" w:right="567" w:hanging="425"/>
        <w:rPr>
          <w:rFonts w:cstheme="minorHAnsi"/>
        </w:rPr>
      </w:pPr>
      <w:r w:rsidRPr="004737C5">
        <w:rPr>
          <w:rFonts w:cstheme="minorHAnsi"/>
        </w:rPr>
        <w:t xml:space="preserve">(d) </w:t>
      </w:r>
      <w:r w:rsidR="00B90265" w:rsidRPr="004737C5">
        <w:rPr>
          <w:rFonts w:cstheme="minorHAnsi"/>
        </w:rPr>
        <w:tab/>
      </w:r>
      <w:r w:rsidRPr="004737C5">
        <w:rPr>
          <w:rFonts w:cstheme="minorHAnsi"/>
        </w:rPr>
        <w:t>Fixing the prices at which goods exported can be resold in importing countries</w:t>
      </w:r>
      <w:r w:rsidR="00B90265" w:rsidRPr="004737C5">
        <w:rPr>
          <w:rFonts w:cstheme="minorHAnsi"/>
        </w:rPr>
        <w:t>.</w:t>
      </w:r>
      <w:r w:rsidR="004504EF" w:rsidRPr="004737C5">
        <w:rPr>
          <w:rFonts w:cstheme="minorHAnsi"/>
        </w:rPr>
        <w:t>”</w:t>
      </w:r>
      <w:r w:rsidR="00A2240B" w:rsidRPr="004737C5">
        <w:rPr>
          <w:rFonts w:cstheme="minorHAnsi"/>
        </w:rPr>
        <w:t xml:space="preserve"> </w:t>
      </w:r>
    </w:p>
    <w:p w14:paraId="6EF1E9BC" w14:textId="6F33EA49" w:rsidR="00843222" w:rsidRPr="004737C5" w:rsidRDefault="00C843B2" w:rsidP="006D3BE8">
      <w:pPr>
        <w:autoSpaceDE w:val="0"/>
        <w:autoSpaceDN w:val="0"/>
        <w:adjustRightInd w:val="0"/>
        <w:spacing w:after="0"/>
        <w:rPr>
          <w:rFonts w:cstheme="minorHAnsi"/>
        </w:rPr>
      </w:pPr>
      <w:r w:rsidRPr="004737C5">
        <w:rPr>
          <w:rFonts w:cstheme="minorHAnsi"/>
        </w:rPr>
        <w:t>The s</w:t>
      </w:r>
      <w:r w:rsidR="004504EF" w:rsidRPr="004737C5">
        <w:rPr>
          <w:rFonts w:cstheme="minorHAnsi"/>
        </w:rPr>
        <w:t>et goes on to discourage o</w:t>
      </w:r>
      <w:r w:rsidR="00B90265" w:rsidRPr="004737C5">
        <w:rPr>
          <w:rFonts w:cstheme="minorHAnsi"/>
        </w:rPr>
        <w:t>ther measures such as</w:t>
      </w:r>
      <w:r w:rsidR="00843222" w:rsidRPr="004737C5">
        <w:rPr>
          <w:rFonts w:cstheme="minorHAnsi"/>
        </w:rPr>
        <w:t xml:space="preserve"> arbitrary restrictions of </w:t>
      </w:r>
      <w:r w:rsidR="004504EF" w:rsidRPr="004737C5">
        <w:rPr>
          <w:rFonts w:cstheme="minorHAnsi"/>
        </w:rPr>
        <w:t xml:space="preserve">supply, </w:t>
      </w:r>
      <w:r w:rsidR="00B90265" w:rsidRPr="004737C5">
        <w:rPr>
          <w:rFonts w:cstheme="minorHAnsi"/>
        </w:rPr>
        <w:t>unjustified refusal to deal and</w:t>
      </w:r>
      <w:r w:rsidR="00843222" w:rsidRPr="004737C5">
        <w:rPr>
          <w:rFonts w:cstheme="minorHAnsi"/>
        </w:rPr>
        <w:t xml:space="preserve"> conditional supply dependant on purchase of other goods.</w:t>
      </w:r>
    </w:p>
    <w:p w14:paraId="51A0D0D3" w14:textId="77777777" w:rsidR="00843222" w:rsidRPr="004737C5" w:rsidRDefault="00B90265" w:rsidP="00C843B2">
      <w:pPr>
        <w:pStyle w:val="Heading2"/>
        <w:spacing w:after="160"/>
        <w:rPr>
          <w:rFonts w:cstheme="minorHAnsi"/>
          <w:color w:val="auto"/>
          <w:sz w:val="24"/>
          <w:szCs w:val="24"/>
        </w:rPr>
      </w:pPr>
      <w:bookmarkStart w:id="68" w:name="_Toc492650021"/>
      <w:bookmarkStart w:id="69" w:name="_Hlk496483618"/>
      <w:r w:rsidRPr="004737C5">
        <w:rPr>
          <w:rFonts w:cstheme="minorHAnsi"/>
          <w:color w:val="auto"/>
          <w:sz w:val="24"/>
          <w:szCs w:val="24"/>
        </w:rPr>
        <w:t>C.</w:t>
      </w:r>
      <w:r w:rsidR="00843222" w:rsidRPr="004737C5">
        <w:rPr>
          <w:rFonts w:cstheme="minorHAnsi"/>
          <w:color w:val="auto"/>
          <w:sz w:val="24"/>
          <w:szCs w:val="24"/>
        </w:rPr>
        <w:t xml:space="preserve"> Competition law</w:t>
      </w:r>
      <w:bookmarkEnd w:id="68"/>
      <w:r w:rsidRPr="004737C5">
        <w:rPr>
          <w:rFonts w:cstheme="minorHAnsi"/>
          <w:color w:val="auto"/>
          <w:sz w:val="24"/>
          <w:szCs w:val="24"/>
        </w:rPr>
        <w:t xml:space="preserve"> concepts</w:t>
      </w:r>
    </w:p>
    <w:bookmarkEnd w:id="69"/>
    <w:p w14:paraId="21780E7D" w14:textId="42E29B1A" w:rsidR="00843222" w:rsidRPr="004737C5" w:rsidRDefault="00843222" w:rsidP="006D3BE8">
      <w:pPr>
        <w:rPr>
          <w:rFonts w:cstheme="minorHAnsi"/>
        </w:rPr>
      </w:pPr>
      <w:r w:rsidRPr="004737C5">
        <w:rPr>
          <w:rFonts w:cstheme="minorHAnsi"/>
        </w:rPr>
        <w:t>Anti-competitive practices refer to a wide range of bus</w:t>
      </w:r>
      <w:r w:rsidR="00C843B2" w:rsidRPr="004737C5">
        <w:rPr>
          <w:rFonts w:cstheme="minorHAnsi"/>
        </w:rPr>
        <w:t xml:space="preserve">iness practices that firms or </w:t>
      </w:r>
      <w:r w:rsidRPr="004737C5">
        <w:rPr>
          <w:rFonts w:cstheme="minorHAnsi"/>
        </w:rPr>
        <w:t>group</w:t>
      </w:r>
      <w:r w:rsidR="00C843B2" w:rsidRPr="004737C5">
        <w:rPr>
          <w:rFonts w:cstheme="minorHAnsi"/>
        </w:rPr>
        <w:t>s</w:t>
      </w:r>
      <w:r w:rsidRPr="004737C5">
        <w:rPr>
          <w:rFonts w:cstheme="minorHAnsi"/>
        </w:rPr>
        <w:t xml:space="preserve"> of firms may engage in.</w:t>
      </w:r>
      <w:r w:rsidRPr="004737C5">
        <w:rPr>
          <w:rStyle w:val="FootnoteReference"/>
          <w:rFonts w:cstheme="minorHAnsi"/>
        </w:rPr>
        <w:footnoteReference w:id="116"/>
      </w:r>
      <w:r w:rsidRPr="004737C5">
        <w:rPr>
          <w:rFonts w:cstheme="minorHAnsi"/>
        </w:rPr>
        <w:t xml:space="preserve"> The types of practices that are considered anti-competitive and in violation of competition law vary f</w:t>
      </w:r>
      <w:r w:rsidR="00B90265" w:rsidRPr="004737C5">
        <w:rPr>
          <w:rFonts w:cstheme="minorHAnsi"/>
        </w:rPr>
        <w:t>rom one jurisdiction to another and on a case-by-</w:t>
      </w:r>
      <w:r w:rsidRPr="004737C5">
        <w:rPr>
          <w:rFonts w:cstheme="minorHAnsi"/>
        </w:rPr>
        <w:t>case basis. Certain practices may be pr</w:t>
      </w:r>
      <w:r w:rsidR="00C843B2" w:rsidRPr="004737C5">
        <w:rPr>
          <w:rFonts w:cstheme="minorHAnsi"/>
        </w:rPr>
        <w:t xml:space="preserve">ohibited outright (or declared </w:t>
      </w:r>
      <w:r w:rsidRPr="004737C5">
        <w:rPr>
          <w:rFonts w:cstheme="minorHAnsi"/>
        </w:rPr>
        <w:t xml:space="preserve">illegal), while others may be subject to the rule of reason. In practice, illegality may not be a reason for </w:t>
      </w:r>
      <w:r w:rsidR="00C843B2" w:rsidRPr="004737C5">
        <w:rPr>
          <w:rFonts w:cstheme="minorHAnsi"/>
        </w:rPr>
        <w:t>competition authorities</w:t>
      </w:r>
      <w:r w:rsidRPr="004737C5">
        <w:rPr>
          <w:rFonts w:cstheme="minorHAnsi"/>
        </w:rPr>
        <w:t xml:space="preserve"> to intervene, as they increasingly tend to look for a demonstrable market effect before proceeding to formal interventions.</w:t>
      </w:r>
      <w:r w:rsidRPr="004737C5">
        <w:rPr>
          <w:rStyle w:val="FootnoteReference"/>
          <w:rFonts w:cstheme="minorHAnsi"/>
        </w:rPr>
        <w:footnoteReference w:id="117"/>
      </w:r>
    </w:p>
    <w:p w14:paraId="15D0911A" w14:textId="1BFFCDD6" w:rsidR="00843222" w:rsidRPr="004737C5" w:rsidRDefault="00843222" w:rsidP="006D3BE8">
      <w:pPr>
        <w:pStyle w:val="NoSpacing"/>
        <w:spacing w:after="160"/>
        <w:jc w:val="both"/>
        <w:rPr>
          <w:rFonts w:cstheme="minorHAnsi"/>
          <w:lang w:val="en-GB"/>
        </w:rPr>
      </w:pPr>
      <w:r w:rsidRPr="004737C5">
        <w:rPr>
          <w:rFonts w:cstheme="minorHAnsi"/>
          <w:lang w:val="en-GB"/>
        </w:rPr>
        <w:t>Generally, competition-restricting practices such as those referred to in paragraphs D3 and D4</w:t>
      </w:r>
      <w:r w:rsidR="004504EF" w:rsidRPr="004737C5">
        <w:rPr>
          <w:rFonts w:cstheme="minorHAnsi"/>
          <w:lang w:val="en-GB"/>
        </w:rPr>
        <w:t xml:space="preserve"> of the</w:t>
      </w:r>
      <w:r w:rsidR="00C843B2" w:rsidRPr="004737C5">
        <w:rPr>
          <w:rFonts w:cstheme="minorHAnsi"/>
          <w:lang w:val="en-GB"/>
        </w:rPr>
        <w:t xml:space="preserve"> United Nations</w:t>
      </w:r>
      <w:r w:rsidR="004504EF" w:rsidRPr="004737C5">
        <w:rPr>
          <w:rFonts w:cstheme="minorHAnsi"/>
          <w:lang w:val="en-GB"/>
        </w:rPr>
        <w:t xml:space="preserve"> Set</w:t>
      </w:r>
      <w:r w:rsidRPr="004737C5">
        <w:rPr>
          <w:rFonts w:cstheme="minorHAnsi"/>
          <w:lang w:val="en-GB"/>
        </w:rPr>
        <w:t>, listed above, can be s</w:t>
      </w:r>
      <w:r w:rsidR="00C843B2" w:rsidRPr="004737C5">
        <w:rPr>
          <w:rFonts w:cstheme="minorHAnsi"/>
          <w:lang w:val="en-GB"/>
        </w:rPr>
        <w:t>aid to fall into two categories:</w:t>
      </w:r>
      <w:r w:rsidRPr="004737C5">
        <w:rPr>
          <w:rFonts w:cstheme="minorHAnsi"/>
          <w:lang w:val="en-GB"/>
        </w:rPr>
        <w:t xml:space="preserve"> horizontal and vertical restraints on competition. Horizontal restraints entail collusive conduct with other competitors in the market and include </w:t>
      </w:r>
      <w:r w:rsidR="00B90265" w:rsidRPr="004737C5">
        <w:rPr>
          <w:rFonts w:cstheme="minorHAnsi"/>
          <w:lang w:val="en-GB"/>
        </w:rPr>
        <w:t>practices such as cartels and</w:t>
      </w:r>
      <w:r w:rsidR="00C843B2" w:rsidRPr="004737C5">
        <w:rPr>
          <w:rFonts w:cstheme="minorHAnsi"/>
          <w:lang w:val="en-GB"/>
        </w:rPr>
        <w:t xml:space="preserve"> conspiracy</w:t>
      </w:r>
      <w:r w:rsidRPr="004737C5">
        <w:rPr>
          <w:rFonts w:cstheme="minorHAnsi"/>
          <w:lang w:val="en-GB"/>
        </w:rPr>
        <w:t xml:space="preserve"> and pricing behaviour such as </w:t>
      </w:r>
      <w:r w:rsidRPr="004737C5">
        <w:rPr>
          <w:rFonts w:cstheme="minorHAnsi"/>
          <w:lang w:val="en-GB"/>
        </w:rPr>
        <w:lastRenderedPageBreak/>
        <w:t xml:space="preserve">predatory pricing, price discrimination and price fixing. Vertical restraints </w:t>
      </w:r>
      <w:r w:rsidR="00B90265" w:rsidRPr="004737C5">
        <w:rPr>
          <w:rFonts w:cstheme="minorHAnsi"/>
          <w:lang w:val="en-GB"/>
        </w:rPr>
        <w:t>relate to</w:t>
      </w:r>
      <w:r w:rsidRPr="004737C5">
        <w:rPr>
          <w:rFonts w:cstheme="minorHAnsi"/>
          <w:lang w:val="en-GB"/>
        </w:rPr>
        <w:t xml:space="preserve"> supplier-distributor relationships and include practices such as exclusive dealing, geographic market restrictions, refusal to deal</w:t>
      </w:r>
      <w:r w:rsidR="00B90265" w:rsidRPr="004737C5">
        <w:rPr>
          <w:rFonts w:cstheme="minorHAnsi"/>
          <w:lang w:val="en-GB"/>
        </w:rPr>
        <w:t>/sell, resale price maintenance</w:t>
      </w:r>
      <w:r w:rsidRPr="004737C5">
        <w:rPr>
          <w:rFonts w:cstheme="minorHAnsi"/>
          <w:lang w:val="en-GB"/>
        </w:rPr>
        <w:t xml:space="preserve"> and tied selling. </w:t>
      </w:r>
    </w:p>
    <w:p w14:paraId="7D5B550E" w14:textId="77777777" w:rsidR="00843222" w:rsidRPr="004737C5" w:rsidRDefault="00843222" w:rsidP="006D3BE8">
      <w:pPr>
        <w:rPr>
          <w:rFonts w:cstheme="minorHAnsi"/>
          <w:color w:val="000000"/>
        </w:rPr>
      </w:pPr>
      <w:r w:rsidRPr="004737C5">
        <w:rPr>
          <w:rFonts w:cstheme="minorHAnsi"/>
          <w:color w:val="000000"/>
        </w:rPr>
        <w:t>Typologies and descriptions of anti</w:t>
      </w:r>
      <w:r w:rsidR="00B90265" w:rsidRPr="004737C5">
        <w:rPr>
          <w:rFonts w:cstheme="minorHAnsi"/>
          <w:color w:val="000000"/>
        </w:rPr>
        <w:t>-competitive behaviour are well-documented. The next</w:t>
      </w:r>
      <w:r w:rsidRPr="004737C5">
        <w:rPr>
          <w:rFonts w:cstheme="minorHAnsi"/>
          <w:color w:val="000000"/>
        </w:rPr>
        <w:t xml:space="preserve"> </w:t>
      </w:r>
      <w:r w:rsidR="00B90265" w:rsidRPr="004737C5">
        <w:rPr>
          <w:rFonts w:cstheme="minorHAnsi"/>
          <w:color w:val="000000"/>
        </w:rPr>
        <w:t xml:space="preserve">section </w:t>
      </w:r>
      <w:r w:rsidRPr="004737C5">
        <w:rPr>
          <w:rFonts w:cstheme="minorHAnsi"/>
          <w:color w:val="000000"/>
        </w:rPr>
        <w:t>deal</w:t>
      </w:r>
      <w:r w:rsidR="00B90265" w:rsidRPr="004737C5">
        <w:rPr>
          <w:rFonts w:cstheme="minorHAnsi"/>
          <w:color w:val="000000"/>
        </w:rPr>
        <w:t>s</w:t>
      </w:r>
      <w:r w:rsidRPr="004737C5">
        <w:rPr>
          <w:rFonts w:cstheme="minorHAnsi"/>
          <w:color w:val="000000"/>
        </w:rPr>
        <w:t xml:space="preserve"> with particular concepts in c</w:t>
      </w:r>
      <w:r w:rsidR="00B90265" w:rsidRPr="004737C5">
        <w:rPr>
          <w:rFonts w:cstheme="minorHAnsi"/>
          <w:color w:val="000000"/>
        </w:rPr>
        <w:t>ommon use.</w:t>
      </w:r>
      <w:r w:rsidRPr="004737C5">
        <w:rPr>
          <w:rFonts w:cstheme="minorHAnsi"/>
          <w:color w:val="000000"/>
        </w:rPr>
        <w:t xml:space="preserve">  </w:t>
      </w:r>
    </w:p>
    <w:p w14:paraId="33DAE649" w14:textId="77777777" w:rsidR="00B90265" w:rsidRPr="004737C5" w:rsidRDefault="00843222" w:rsidP="009771AD">
      <w:pPr>
        <w:tabs>
          <w:tab w:val="left" w:pos="720"/>
          <w:tab w:val="left" w:pos="1440"/>
        </w:tabs>
        <w:spacing w:before="200"/>
        <w:rPr>
          <w:rFonts w:cstheme="minorHAnsi"/>
          <w:color w:val="000000"/>
        </w:rPr>
      </w:pPr>
      <w:bookmarkStart w:id="70" w:name="_Toc492650022"/>
      <w:r w:rsidRPr="004737C5">
        <w:rPr>
          <w:rStyle w:val="Heading3Char"/>
          <w:rFonts w:cstheme="minorHAnsi"/>
          <w:color w:val="auto"/>
        </w:rPr>
        <w:t>1</w:t>
      </w:r>
      <w:r w:rsidR="00B90265" w:rsidRPr="004737C5">
        <w:rPr>
          <w:rStyle w:val="Heading3Char"/>
          <w:rFonts w:cstheme="minorHAnsi"/>
          <w:color w:val="auto"/>
        </w:rPr>
        <w:t>.</w:t>
      </w:r>
      <w:r w:rsidRPr="004737C5">
        <w:rPr>
          <w:rStyle w:val="Heading3Char"/>
          <w:rFonts w:cstheme="minorHAnsi"/>
          <w:color w:val="auto"/>
        </w:rPr>
        <w:t xml:space="preserve"> Abuse of dominance</w:t>
      </w:r>
      <w:bookmarkEnd w:id="70"/>
      <w:r w:rsidRPr="004737C5">
        <w:rPr>
          <w:rStyle w:val="Heading3Char"/>
          <w:rFonts w:cstheme="minorHAnsi"/>
        </w:rPr>
        <w:tab/>
      </w:r>
      <w:r w:rsidR="00B90265" w:rsidRPr="004737C5">
        <w:rPr>
          <w:rFonts w:cstheme="minorHAnsi"/>
          <w:b/>
          <w:i/>
          <w:color w:val="000000"/>
        </w:rPr>
        <w:t xml:space="preserve"> </w:t>
      </w:r>
    </w:p>
    <w:p w14:paraId="6FC13D15" w14:textId="01B8F12F" w:rsidR="00843222" w:rsidRPr="004737C5" w:rsidRDefault="00843222" w:rsidP="00B90265">
      <w:pPr>
        <w:tabs>
          <w:tab w:val="left" w:pos="720"/>
          <w:tab w:val="left" w:pos="1440"/>
        </w:tabs>
        <w:rPr>
          <w:rFonts w:cstheme="minorHAnsi"/>
          <w:b/>
          <w:i/>
          <w:color w:val="000000"/>
        </w:rPr>
      </w:pPr>
      <w:r w:rsidRPr="004737C5">
        <w:rPr>
          <w:rFonts w:cstheme="minorHAnsi"/>
          <w:color w:val="000000"/>
        </w:rPr>
        <w:t xml:space="preserve">The primary characteristic of a firm in a dominant position in a market is its </w:t>
      </w:r>
      <w:r w:rsidR="00B90265" w:rsidRPr="004737C5">
        <w:rPr>
          <w:rFonts w:cstheme="minorHAnsi"/>
          <w:color w:val="000000"/>
        </w:rPr>
        <w:t xml:space="preserve">significant </w:t>
      </w:r>
      <w:r w:rsidRPr="004737C5">
        <w:rPr>
          <w:rFonts w:cstheme="minorHAnsi"/>
          <w:color w:val="000000"/>
        </w:rPr>
        <w:t xml:space="preserve">ability to </w:t>
      </w:r>
      <w:r w:rsidR="00B90265" w:rsidRPr="004737C5">
        <w:rPr>
          <w:rFonts w:cstheme="minorHAnsi"/>
          <w:color w:val="000000"/>
        </w:rPr>
        <w:t>act</w:t>
      </w:r>
      <w:r w:rsidRPr="004737C5">
        <w:rPr>
          <w:rFonts w:cstheme="minorHAnsi"/>
          <w:color w:val="000000"/>
        </w:rPr>
        <w:t xml:space="preserve"> independently of </w:t>
      </w:r>
      <w:r w:rsidR="0087405E" w:rsidRPr="004737C5">
        <w:rPr>
          <w:rFonts w:cstheme="minorHAnsi"/>
          <w:color w:val="000000"/>
        </w:rPr>
        <w:t xml:space="preserve">its </w:t>
      </w:r>
      <w:r w:rsidRPr="004737C5">
        <w:rPr>
          <w:rFonts w:cstheme="minorHAnsi"/>
          <w:color w:val="000000"/>
        </w:rPr>
        <w:t>competitive rivals and its customers (whether consumers or inte</w:t>
      </w:r>
      <w:r w:rsidR="00B90265" w:rsidRPr="004737C5">
        <w:rPr>
          <w:rFonts w:cstheme="minorHAnsi"/>
          <w:color w:val="000000"/>
        </w:rPr>
        <w:t>rmediate industry participants)</w:t>
      </w:r>
      <w:r w:rsidRPr="004737C5">
        <w:rPr>
          <w:rFonts w:cstheme="minorHAnsi"/>
          <w:color w:val="000000"/>
        </w:rPr>
        <w:t xml:space="preserve"> and thereby exert pressures that distort a competitive market. This independence generally manifests itself as the abil</w:t>
      </w:r>
      <w:r w:rsidR="001814DF" w:rsidRPr="004737C5">
        <w:rPr>
          <w:rFonts w:cstheme="minorHAnsi"/>
          <w:color w:val="000000"/>
        </w:rPr>
        <w:t>ity to fix prices independently</w:t>
      </w:r>
      <w:r w:rsidRPr="004737C5">
        <w:rPr>
          <w:rFonts w:cstheme="minorHAnsi"/>
          <w:color w:val="000000"/>
        </w:rPr>
        <w:t xml:space="preserve"> and extends to the ability to fix levels or quality of output with similar disregard for the responses of rivals and customers in the market.</w:t>
      </w:r>
    </w:p>
    <w:p w14:paraId="6351422B" w14:textId="77777777" w:rsidR="00843222" w:rsidRPr="004737C5" w:rsidRDefault="00843222" w:rsidP="006D3BE8">
      <w:pPr>
        <w:rPr>
          <w:rFonts w:cstheme="minorHAnsi"/>
          <w:color w:val="000000"/>
        </w:rPr>
      </w:pPr>
      <w:r w:rsidRPr="004737C5">
        <w:rPr>
          <w:rFonts w:cstheme="minorHAnsi"/>
          <w:color w:val="000000"/>
        </w:rPr>
        <w:t>Being a dominant firm in any given industry is increasingly perceived as not sufficient to provoke the attention of competition authori</w:t>
      </w:r>
      <w:r w:rsidR="001814DF" w:rsidRPr="004737C5">
        <w:rPr>
          <w:rFonts w:cstheme="minorHAnsi"/>
          <w:color w:val="000000"/>
        </w:rPr>
        <w:t>ties. Specifically, it is not by</w:t>
      </w:r>
      <w:r w:rsidRPr="004737C5">
        <w:rPr>
          <w:rFonts w:cstheme="minorHAnsi"/>
          <w:color w:val="000000"/>
        </w:rPr>
        <w:t xml:space="preserve"> itself a sufficient condition to assume that there is a competition policy violation. Dominance within a market can </w:t>
      </w:r>
      <w:r w:rsidR="001814DF" w:rsidRPr="004737C5">
        <w:rPr>
          <w:rFonts w:cstheme="minorHAnsi"/>
          <w:color w:val="000000"/>
        </w:rPr>
        <w:t xml:space="preserve">represent a </w:t>
      </w:r>
      <w:r w:rsidRPr="004737C5">
        <w:rPr>
          <w:rFonts w:cstheme="minorHAnsi"/>
          <w:color w:val="000000"/>
        </w:rPr>
        <w:t>reward for technical inno</w:t>
      </w:r>
      <w:r w:rsidR="001814DF" w:rsidRPr="004737C5">
        <w:rPr>
          <w:rFonts w:cstheme="minorHAnsi"/>
          <w:color w:val="000000"/>
        </w:rPr>
        <w:t>vation and entrepreneurial risk-</w:t>
      </w:r>
      <w:r w:rsidRPr="004737C5">
        <w:rPr>
          <w:rFonts w:cstheme="minorHAnsi"/>
          <w:color w:val="000000"/>
        </w:rPr>
        <w:t>taking, which are important elements of economic progress</w:t>
      </w:r>
      <w:r w:rsidR="001814DF" w:rsidRPr="004737C5">
        <w:rPr>
          <w:rFonts w:cstheme="minorHAnsi"/>
          <w:color w:val="000000"/>
        </w:rPr>
        <w:t>.</w:t>
      </w:r>
      <w:r w:rsidRPr="004737C5">
        <w:rPr>
          <w:rFonts w:cstheme="minorHAnsi"/>
          <w:color w:val="000000"/>
        </w:rPr>
        <w:t xml:space="preserve"> </w:t>
      </w:r>
      <w:r w:rsidR="001814DF" w:rsidRPr="004737C5">
        <w:rPr>
          <w:rFonts w:cstheme="minorHAnsi"/>
          <w:color w:val="000000"/>
        </w:rPr>
        <w:t>M</w:t>
      </w:r>
      <w:r w:rsidRPr="004737C5">
        <w:rPr>
          <w:rFonts w:cstheme="minorHAnsi"/>
          <w:color w:val="000000"/>
        </w:rPr>
        <w:t xml:space="preserve">ost competition authorities are at pains to avoid providing a disincentive to investment. </w:t>
      </w:r>
    </w:p>
    <w:p w14:paraId="3F64490F" w14:textId="77777777" w:rsidR="00843222" w:rsidRPr="004737C5" w:rsidRDefault="00843222" w:rsidP="006D3BE8">
      <w:pPr>
        <w:rPr>
          <w:rFonts w:cstheme="minorHAnsi"/>
          <w:color w:val="000000"/>
        </w:rPr>
      </w:pPr>
      <w:r w:rsidRPr="004737C5">
        <w:rPr>
          <w:rFonts w:cstheme="minorHAnsi"/>
          <w:color w:val="000000"/>
        </w:rPr>
        <w:t xml:space="preserve">A famous case in this context is that of </w:t>
      </w:r>
      <w:r w:rsidR="0084791E" w:rsidRPr="004737C5">
        <w:rPr>
          <w:rFonts w:cstheme="minorHAnsi"/>
        </w:rPr>
        <w:t>European Union</w:t>
      </w:r>
      <w:r w:rsidRPr="004737C5">
        <w:rPr>
          <w:rFonts w:cstheme="minorHAnsi"/>
          <w:color w:val="000000"/>
        </w:rPr>
        <w:t xml:space="preserve"> vs. Microsoft. The company </w:t>
      </w:r>
      <w:r w:rsidR="007067D3" w:rsidRPr="004737C5">
        <w:rPr>
          <w:rFonts w:cstheme="minorHAnsi"/>
          <w:color w:val="000000"/>
        </w:rPr>
        <w:t>undertook research</w:t>
      </w:r>
      <w:r w:rsidRPr="004737C5">
        <w:rPr>
          <w:rFonts w:cstheme="minorHAnsi"/>
          <w:color w:val="000000"/>
        </w:rPr>
        <w:t xml:space="preserve"> and development spending to develop their range of operating systems, most notably Windows. Its success was rewarded by dominance in the market. After a long-running series of complaints, the </w:t>
      </w:r>
      <w:r w:rsidR="0084791E" w:rsidRPr="004737C5">
        <w:rPr>
          <w:rFonts w:cstheme="minorHAnsi"/>
        </w:rPr>
        <w:t>European Union</w:t>
      </w:r>
      <w:r w:rsidRPr="004737C5">
        <w:rPr>
          <w:rFonts w:cstheme="minorHAnsi"/>
          <w:color w:val="000000"/>
        </w:rPr>
        <w:t xml:space="preserve"> ordered Microsoft to provide information for competing software to be able to interact with Windows desktops and servers. Specifically, Microsoft was obliged to offer Windows without Windows M</w:t>
      </w:r>
      <w:r w:rsidR="001814DF" w:rsidRPr="004737C5">
        <w:rPr>
          <w:rFonts w:cstheme="minorHAnsi"/>
          <w:color w:val="000000"/>
        </w:rPr>
        <w:t>edia Player, which was thus dis</w:t>
      </w:r>
      <w:r w:rsidRPr="004737C5">
        <w:rPr>
          <w:rFonts w:cstheme="minorHAnsi"/>
          <w:color w:val="000000"/>
        </w:rPr>
        <w:t xml:space="preserve">integrated from the Windows offer. Furthermore, the </w:t>
      </w:r>
      <w:r w:rsidR="0084791E" w:rsidRPr="004737C5">
        <w:rPr>
          <w:rFonts w:cstheme="minorHAnsi"/>
        </w:rPr>
        <w:t>European Union</w:t>
      </w:r>
      <w:r w:rsidRPr="004737C5">
        <w:rPr>
          <w:rFonts w:cstheme="minorHAnsi"/>
          <w:color w:val="000000"/>
        </w:rPr>
        <w:t xml:space="preserve"> imposed its largest fine ever in 2004. Microsoft appealed</w:t>
      </w:r>
      <w:r w:rsidR="001814DF" w:rsidRPr="004737C5">
        <w:rPr>
          <w:rFonts w:cstheme="minorHAnsi"/>
          <w:color w:val="000000"/>
        </w:rPr>
        <w:t>,</w:t>
      </w:r>
      <w:r w:rsidRPr="004737C5">
        <w:rPr>
          <w:rFonts w:cstheme="minorHAnsi"/>
          <w:color w:val="000000"/>
        </w:rPr>
        <w:t xml:space="preserve"> only to lose in 2007. In 2009, bundling of services was further investigated, the outcome of which was the acceptance by Microsoft of consumer choice of browsers. Failure to comply with this agreement resulted in a further fine in 2013. </w:t>
      </w:r>
    </w:p>
    <w:p w14:paraId="05538B56" w14:textId="65C2F8FD" w:rsidR="00FC6186" w:rsidRPr="004737C5" w:rsidRDefault="00843222" w:rsidP="006D3BE8">
      <w:pPr>
        <w:rPr>
          <w:rFonts w:cstheme="minorHAnsi"/>
          <w:color w:val="000000"/>
        </w:rPr>
      </w:pPr>
      <w:r w:rsidRPr="004737C5">
        <w:rPr>
          <w:rFonts w:cstheme="minorHAnsi"/>
          <w:color w:val="000000"/>
        </w:rPr>
        <w:t>While market dominance is not a satisfactory condition for assumi</w:t>
      </w:r>
      <w:r w:rsidR="001814DF" w:rsidRPr="004737C5">
        <w:rPr>
          <w:rFonts w:cstheme="minorHAnsi"/>
          <w:color w:val="000000"/>
        </w:rPr>
        <w:t>ng abuse, it is a necessary pre</w:t>
      </w:r>
      <w:r w:rsidRPr="004737C5">
        <w:rPr>
          <w:rFonts w:cstheme="minorHAnsi"/>
          <w:color w:val="000000"/>
        </w:rPr>
        <w:t xml:space="preserve">requisite. Market share is the usual basis for measuring dominance. The percentage share that will </w:t>
      </w:r>
      <w:r w:rsidR="000A15AC" w:rsidRPr="004737C5">
        <w:rPr>
          <w:rFonts w:cstheme="minorHAnsi"/>
          <w:color w:val="000000"/>
        </w:rPr>
        <w:t xml:space="preserve">lead to </w:t>
      </w:r>
      <w:r w:rsidRPr="004737C5">
        <w:rPr>
          <w:rFonts w:cstheme="minorHAnsi"/>
          <w:color w:val="000000"/>
        </w:rPr>
        <w:t>investigation varies from country to country</w:t>
      </w:r>
      <w:r w:rsidR="000A15AC" w:rsidRPr="004737C5">
        <w:rPr>
          <w:rFonts w:cstheme="minorHAnsi"/>
          <w:color w:val="000000"/>
        </w:rPr>
        <w:t>,</w:t>
      </w:r>
      <w:r w:rsidRPr="004737C5">
        <w:rPr>
          <w:rFonts w:cstheme="minorHAnsi"/>
          <w:color w:val="000000"/>
        </w:rPr>
        <w:t xml:space="preserve"> but as a general rule, it is very unlikely that a firm with less than 35</w:t>
      </w:r>
      <w:r w:rsidR="000A15AC" w:rsidRPr="004737C5">
        <w:rPr>
          <w:rFonts w:cstheme="minorHAnsi"/>
          <w:color w:val="000000"/>
        </w:rPr>
        <w:t xml:space="preserve"> percent</w:t>
      </w:r>
      <w:r w:rsidRPr="004737C5">
        <w:rPr>
          <w:rFonts w:cstheme="minorHAnsi"/>
          <w:color w:val="000000"/>
        </w:rPr>
        <w:t xml:space="preserve"> of market share either could or would be found guilty of </w:t>
      </w:r>
      <w:r w:rsidR="0087405E" w:rsidRPr="004737C5">
        <w:rPr>
          <w:rFonts w:cstheme="minorHAnsi"/>
          <w:color w:val="000000"/>
        </w:rPr>
        <w:t xml:space="preserve">abuse of </w:t>
      </w:r>
      <w:r w:rsidRPr="004737C5">
        <w:rPr>
          <w:rFonts w:cstheme="minorHAnsi"/>
          <w:color w:val="000000"/>
        </w:rPr>
        <w:t>domina</w:t>
      </w:r>
      <w:r w:rsidR="0087405E" w:rsidRPr="004737C5">
        <w:rPr>
          <w:rFonts w:cstheme="minorHAnsi"/>
          <w:color w:val="000000"/>
        </w:rPr>
        <w:t>nce</w:t>
      </w:r>
      <w:r w:rsidRPr="004737C5">
        <w:rPr>
          <w:rFonts w:cstheme="minorHAnsi"/>
          <w:color w:val="000000"/>
        </w:rPr>
        <w:t xml:space="preserve">. The only exception to this is in special circumstances where, for whatever reason, all firms in the market are found to have particularly high levels of market power. </w:t>
      </w:r>
    </w:p>
    <w:p w14:paraId="71150F45" w14:textId="77777777" w:rsidR="00843222" w:rsidRPr="004737C5" w:rsidRDefault="00843222" w:rsidP="0087405E">
      <w:pPr>
        <w:rPr>
          <w:rFonts w:cstheme="minorHAnsi"/>
          <w:color w:val="000000"/>
        </w:rPr>
      </w:pPr>
      <w:r w:rsidRPr="004737C5">
        <w:rPr>
          <w:rFonts w:cstheme="minorHAnsi"/>
          <w:color w:val="000000"/>
        </w:rPr>
        <w:t>If market dominance is assumed then it must be shown that the firm in question is abusing that dominance if action is to be taken. Abuse of a dominant position can take the following forms:</w:t>
      </w:r>
    </w:p>
    <w:p w14:paraId="4FF7D0A3" w14:textId="77777777" w:rsidR="00843222" w:rsidRPr="004737C5" w:rsidRDefault="00843222" w:rsidP="0087405E">
      <w:pPr>
        <w:numPr>
          <w:ilvl w:val="1"/>
          <w:numId w:val="13"/>
        </w:numPr>
        <w:tabs>
          <w:tab w:val="clear" w:pos="2160"/>
          <w:tab w:val="num" w:pos="709"/>
        </w:tabs>
        <w:spacing w:after="0"/>
        <w:ind w:left="709" w:hanging="425"/>
        <w:rPr>
          <w:rFonts w:cstheme="minorHAnsi"/>
          <w:color w:val="000000"/>
        </w:rPr>
      </w:pPr>
      <w:r w:rsidRPr="004737C5">
        <w:rPr>
          <w:rFonts w:cstheme="minorHAnsi"/>
          <w:color w:val="000000"/>
        </w:rPr>
        <w:t>Directly or indirectly imposing unfair purchase and sale prices or other unfair trading conditions</w:t>
      </w:r>
    </w:p>
    <w:p w14:paraId="710BDFBE" w14:textId="77777777" w:rsidR="00843222" w:rsidRPr="004737C5" w:rsidRDefault="000A15AC" w:rsidP="0087405E">
      <w:pPr>
        <w:numPr>
          <w:ilvl w:val="1"/>
          <w:numId w:val="13"/>
        </w:numPr>
        <w:tabs>
          <w:tab w:val="clear" w:pos="2160"/>
          <w:tab w:val="num" w:pos="709"/>
        </w:tabs>
        <w:spacing w:after="0"/>
        <w:ind w:left="709" w:hanging="425"/>
        <w:rPr>
          <w:rFonts w:cstheme="minorHAnsi"/>
          <w:color w:val="000000"/>
        </w:rPr>
      </w:pPr>
      <w:r w:rsidRPr="004737C5">
        <w:rPr>
          <w:rFonts w:cstheme="minorHAnsi"/>
          <w:color w:val="000000"/>
        </w:rPr>
        <w:t>Limiting</w:t>
      </w:r>
      <w:r w:rsidR="00843222" w:rsidRPr="004737C5">
        <w:rPr>
          <w:rFonts w:cstheme="minorHAnsi"/>
          <w:color w:val="000000"/>
        </w:rPr>
        <w:t xml:space="preserve"> markets, production or technical development to the prejudice of consumers</w:t>
      </w:r>
    </w:p>
    <w:p w14:paraId="6F9376C1" w14:textId="77777777" w:rsidR="00843222" w:rsidRPr="004737C5" w:rsidRDefault="00843222" w:rsidP="0087405E">
      <w:pPr>
        <w:numPr>
          <w:ilvl w:val="1"/>
          <w:numId w:val="13"/>
        </w:numPr>
        <w:tabs>
          <w:tab w:val="clear" w:pos="2160"/>
          <w:tab w:val="num" w:pos="709"/>
        </w:tabs>
        <w:spacing w:after="0"/>
        <w:ind w:left="709" w:hanging="425"/>
        <w:rPr>
          <w:rFonts w:cstheme="minorHAnsi"/>
          <w:color w:val="000000"/>
        </w:rPr>
      </w:pPr>
      <w:r w:rsidRPr="004737C5">
        <w:rPr>
          <w:rFonts w:cstheme="minorHAnsi"/>
          <w:color w:val="000000"/>
        </w:rPr>
        <w:t xml:space="preserve">Applying dissimilar conditions to equivalent transactions with </w:t>
      </w:r>
      <w:r w:rsidR="00FC6186" w:rsidRPr="004737C5">
        <w:rPr>
          <w:rFonts w:cstheme="minorHAnsi"/>
          <w:color w:val="000000"/>
        </w:rPr>
        <w:t>different</w:t>
      </w:r>
      <w:r w:rsidRPr="004737C5">
        <w:rPr>
          <w:rFonts w:cstheme="minorHAnsi"/>
          <w:color w:val="000000"/>
        </w:rPr>
        <w:t xml:space="preserve"> trading parties, thereby placing </w:t>
      </w:r>
      <w:r w:rsidR="00FC6186" w:rsidRPr="004737C5">
        <w:rPr>
          <w:rFonts w:cstheme="minorHAnsi"/>
          <w:color w:val="000000"/>
        </w:rPr>
        <w:t>some</w:t>
      </w:r>
      <w:r w:rsidRPr="004737C5">
        <w:rPr>
          <w:rFonts w:cstheme="minorHAnsi"/>
          <w:color w:val="000000"/>
        </w:rPr>
        <w:t xml:space="preserve"> at a competitive disadvantage</w:t>
      </w:r>
    </w:p>
    <w:p w14:paraId="073FB856" w14:textId="77777777" w:rsidR="00843222" w:rsidRPr="004737C5" w:rsidRDefault="00843222" w:rsidP="0087405E">
      <w:pPr>
        <w:numPr>
          <w:ilvl w:val="1"/>
          <w:numId w:val="13"/>
        </w:numPr>
        <w:tabs>
          <w:tab w:val="clear" w:pos="2160"/>
          <w:tab w:val="num" w:pos="709"/>
        </w:tabs>
        <w:ind w:left="709" w:hanging="425"/>
        <w:rPr>
          <w:rFonts w:cstheme="minorHAnsi"/>
          <w:color w:val="000000"/>
        </w:rPr>
      </w:pPr>
      <w:r w:rsidRPr="004737C5">
        <w:rPr>
          <w:rFonts w:cstheme="minorHAnsi"/>
          <w:color w:val="000000"/>
        </w:rPr>
        <w:t xml:space="preserve">Making the conclusion of contracts subject to acceptance of supplementary obligations that, by their nature or according to commercial usage, have no connection with the </w:t>
      </w:r>
      <w:r w:rsidR="00FC6186" w:rsidRPr="004737C5">
        <w:rPr>
          <w:rFonts w:cstheme="minorHAnsi"/>
          <w:color w:val="000000"/>
        </w:rPr>
        <w:t xml:space="preserve">main </w:t>
      </w:r>
      <w:r w:rsidR="000A15AC" w:rsidRPr="004737C5">
        <w:rPr>
          <w:rFonts w:cstheme="minorHAnsi"/>
          <w:color w:val="000000"/>
        </w:rPr>
        <w:t>contracts</w:t>
      </w:r>
    </w:p>
    <w:p w14:paraId="328F7636" w14:textId="77777777" w:rsidR="00843222" w:rsidRPr="004737C5" w:rsidRDefault="00843222" w:rsidP="006D3BE8">
      <w:pPr>
        <w:rPr>
          <w:rFonts w:cstheme="minorHAnsi"/>
          <w:color w:val="000000"/>
        </w:rPr>
      </w:pPr>
      <w:r w:rsidRPr="004737C5">
        <w:rPr>
          <w:rFonts w:cstheme="minorHAnsi"/>
          <w:color w:val="000000"/>
        </w:rPr>
        <w:t xml:space="preserve">Examples of abuse of dominance include excessively high pricing of products in relation to the costs incurred in their production, or conversely, excessively low pricing when it is used as a </w:t>
      </w:r>
      <w:r w:rsidR="00FC6186" w:rsidRPr="004737C5">
        <w:rPr>
          <w:rFonts w:cstheme="minorHAnsi"/>
          <w:color w:val="000000"/>
        </w:rPr>
        <w:t xml:space="preserve">way to undermine </w:t>
      </w:r>
      <w:r w:rsidRPr="004737C5">
        <w:rPr>
          <w:rFonts w:cstheme="minorHAnsi"/>
          <w:color w:val="000000"/>
        </w:rPr>
        <w:t xml:space="preserve">rivals. Similarly, firms are not allowed to refuse to deal with other firms if by doing so </w:t>
      </w:r>
      <w:r w:rsidRPr="004737C5">
        <w:rPr>
          <w:rFonts w:cstheme="minorHAnsi"/>
          <w:color w:val="000000"/>
        </w:rPr>
        <w:lastRenderedPageBreak/>
        <w:t>they are able to decrease competition for the product in which they are dominant. Dominance can also be abused by changes to the structure of the dominant firm, such as by takeover or merger.</w:t>
      </w:r>
    </w:p>
    <w:p w14:paraId="44B6CD95" w14:textId="77777777" w:rsidR="00843222" w:rsidRPr="004737C5" w:rsidRDefault="00843222" w:rsidP="006D3BE8">
      <w:pPr>
        <w:rPr>
          <w:rFonts w:cstheme="minorHAnsi"/>
          <w:color w:val="000000"/>
        </w:rPr>
      </w:pPr>
      <w:r w:rsidRPr="004737C5">
        <w:rPr>
          <w:rFonts w:cstheme="minorHAnsi"/>
          <w:color w:val="000000"/>
        </w:rPr>
        <w:t>As already mentioned, action has to be triggered by some evidence of consumer detriment attributable to the anti-competitive practice. The OECD Consumer Policy Toolkit</w:t>
      </w:r>
      <w:r w:rsidRPr="004737C5">
        <w:rPr>
          <w:rStyle w:val="FootnoteReference"/>
          <w:rFonts w:cstheme="minorHAnsi"/>
          <w:color w:val="000000"/>
        </w:rPr>
        <w:footnoteReference w:id="118"/>
      </w:r>
      <w:r w:rsidRPr="004737C5">
        <w:rPr>
          <w:rFonts w:cstheme="minorHAnsi"/>
          <w:color w:val="000000"/>
        </w:rPr>
        <w:t xml:space="preserve"> sets out its interpretation of consumer detriment with rega</w:t>
      </w:r>
      <w:r w:rsidR="000A15AC" w:rsidRPr="004737C5">
        <w:rPr>
          <w:rFonts w:cstheme="minorHAnsi"/>
          <w:color w:val="000000"/>
        </w:rPr>
        <w:t>rd to the decision to intervene.</w:t>
      </w:r>
    </w:p>
    <w:p w14:paraId="33F9B069" w14:textId="77777777" w:rsidR="00843222" w:rsidRPr="004737C5" w:rsidRDefault="00FC6186" w:rsidP="000A15AC">
      <w:pPr>
        <w:autoSpaceDE w:val="0"/>
        <w:autoSpaceDN w:val="0"/>
        <w:adjustRightInd w:val="0"/>
        <w:ind w:left="567" w:right="567"/>
        <w:rPr>
          <w:rFonts w:cstheme="minorHAnsi"/>
          <w:color w:val="000000"/>
        </w:rPr>
      </w:pPr>
      <w:r w:rsidRPr="004737C5">
        <w:rPr>
          <w:rFonts w:cstheme="minorHAnsi"/>
          <w:color w:val="000000"/>
        </w:rPr>
        <w:t>“</w:t>
      </w:r>
      <w:r w:rsidR="00843222" w:rsidRPr="004737C5">
        <w:rPr>
          <w:rFonts w:cstheme="minorHAnsi"/>
          <w:color w:val="000000"/>
        </w:rPr>
        <w:t>The decision whether to intervene should consider:</w:t>
      </w:r>
    </w:p>
    <w:p w14:paraId="0CF17979" w14:textId="77777777" w:rsidR="00843222" w:rsidRPr="004737C5" w:rsidRDefault="00843222" w:rsidP="002473E9">
      <w:pPr>
        <w:pStyle w:val="ListParagraph"/>
        <w:numPr>
          <w:ilvl w:val="0"/>
          <w:numId w:val="15"/>
        </w:numPr>
        <w:autoSpaceDE w:val="0"/>
        <w:autoSpaceDN w:val="0"/>
        <w:adjustRightInd w:val="0"/>
        <w:spacing w:after="0"/>
        <w:ind w:left="992" w:right="567" w:hanging="425"/>
        <w:rPr>
          <w:rFonts w:cstheme="minorHAnsi"/>
          <w:color w:val="000000"/>
        </w:rPr>
      </w:pPr>
      <w:r w:rsidRPr="004737C5">
        <w:rPr>
          <w:rFonts w:cstheme="minorHAnsi"/>
          <w:color w:val="000000"/>
        </w:rPr>
        <w:t>What is the scale of consumer detriment? An intervention may be warranted if the detriment is small, but felt by a large number of consumers, or alternatively, if the detriment experienced even by a small group of consumers is very large</w:t>
      </w:r>
      <w:r w:rsidR="000A15AC" w:rsidRPr="004737C5">
        <w:rPr>
          <w:rFonts w:cstheme="minorHAnsi"/>
          <w:color w:val="000000"/>
        </w:rPr>
        <w:t xml:space="preserve"> </w:t>
      </w:r>
      <w:r w:rsidR="00FC6186" w:rsidRPr="004737C5">
        <w:rPr>
          <w:rFonts w:cstheme="minorHAnsi"/>
          <w:color w:val="000000"/>
        </w:rPr>
        <w:t>…</w:t>
      </w:r>
    </w:p>
    <w:p w14:paraId="26CDDBD1" w14:textId="77777777" w:rsidR="00843222" w:rsidRPr="004737C5" w:rsidRDefault="00843222" w:rsidP="002473E9">
      <w:pPr>
        <w:pStyle w:val="ListParagraph"/>
        <w:numPr>
          <w:ilvl w:val="0"/>
          <w:numId w:val="15"/>
        </w:numPr>
        <w:autoSpaceDE w:val="0"/>
        <w:autoSpaceDN w:val="0"/>
        <w:adjustRightInd w:val="0"/>
        <w:spacing w:after="0"/>
        <w:ind w:left="992" w:right="567" w:hanging="425"/>
        <w:rPr>
          <w:rFonts w:cstheme="minorHAnsi"/>
          <w:color w:val="000000"/>
        </w:rPr>
      </w:pPr>
      <w:r w:rsidRPr="004737C5">
        <w:rPr>
          <w:rFonts w:cstheme="minorHAnsi"/>
          <w:color w:val="000000"/>
        </w:rPr>
        <w:t xml:space="preserve">Who is experiencing the consumer detriment? </w:t>
      </w:r>
      <w:r w:rsidR="00FC6186" w:rsidRPr="004737C5">
        <w:rPr>
          <w:rFonts w:cstheme="minorHAnsi"/>
          <w:color w:val="000000"/>
        </w:rPr>
        <w:t>Are there</w:t>
      </w:r>
      <w:r w:rsidRPr="004737C5">
        <w:rPr>
          <w:rFonts w:cstheme="minorHAnsi"/>
          <w:color w:val="000000"/>
        </w:rPr>
        <w:t xml:space="preserve"> disproporti</w:t>
      </w:r>
      <w:r w:rsidR="000A15AC" w:rsidRPr="004737C5">
        <w:rPr>
          <w:rFonts w:cstheme="minorHAnsi"/>
          <w:color w:val="000000"/>
        </w:rPr>
        <w:t>onate impacts on certain groups …</w:t>
      </w:r>
      <w:r w:rsidRPr="004737C5">
        <w:rPr>
          <w:rFonts w:cstheme="minorHAnsi"/>
          <w:color w:val="000000"/>
        </w:rPr>
        <w:t xml:space="preserve"> such as children, the elderly or </w:t>
      </w:r>
      <w:r w:rsidR="00FC6186" w:rsidRPr="004737C5">
        <w:rPr>
          <w:rFonts w:cstheme="minorHAnsi"/>
          <w:color w:val="000000"/>
        </w:rPr>
        <w:t>o</w:t>
      </w:r>
      <w:r w:rsidRPr="004737C5">
        <w:rPr>
          <w:rFonts w:cstheme="minorHAnsi"/>
          <w:color w:val="000000"/>
        </w:rPr>
        <w:t>the</w:t>
      </w:r>
      <w:r w:rsidR="00FC6186" w:rsidRPr="004737C5">
        <w:rPr>
          <w:rFonts w:cstheme="minorHAnsi"/>
          <w:color w:val="000000"/>
        </w:rPr>
        <w:t>r</w:t>
      </w:r>
      <w:r w:rsidRPr="004737C5">
        <w:rPr>
          <w:rFonts w:cstheme="minorHAnsi"/>
          <w:color w:val="000000"/>
        </w:rPr>
        <w:t xml:space="preserve"> socially disadvantaged</w:t>
      </w:r>
      <w:r w:rsidR="00FC6186" w:rsidRPr="004737C5">
        <w:rPr>
          <w:rFonts w:cstheme="minorHAnsi"/>
          <w:color w:val="000000"/>
        </w:rPr>
        <w:t xml:space="preserve"> groups</w:t>
      </w:r>
      <w:r w:rsidR="000A15AC" w:rsidRPr="004737C5">
        <w:rPr>
          <w:rFonts w:cstheme="minorHAnsi"/>
        </w:rPr>
        <w:t>?</w:t>
      </w:r>
    </w:p>
    <w:p w14:paraId="4276B7FE" w14:textId="77777777" w:rsidR="00843222" w:rsidRPr="004737C5" w:rsidRDefault="00843222" w:rsidP="0087405E">
      <w:pPr>
        <w:pStyle w:val="ListParagraph"/>
        <w:numPr>
          <w:ilvl w:val="0"/>
          <w:numId w:val="15"/>
        </w:numPr>
        <w:autoSpaceDE w:val="0"/>
        <w:autoSpaceDN w:val="0"/>
        <w:adjustRightInd w:val="0"/>
        <w:spacing w:after="0"/>
        <w:ind w:left="992" w:right="567" w:hanging="425"/>
        <w:rPr>
          <w:rFonts w:cstheme="minorHAnsi"/>
          <w:color w:val="000000"/>
        </w:rPr>
      </w:pPr>
      <w:r w:rsidRPr="004737C5">
        <w:rPr>
          <w:rFonts w:cstheme="minorHAnsi"/>
          <w:color w:val="000000"/>
        </w:rPr>
        <w:t xml:space="preserve">What is the anticipated duration of the consumer detriment? </w:t>
      </w:r>
      <w:r w:rsidR="00FC6186" w:rsidRPr="004737C5">
        <w:rPr>
          <w:rFonts w:cstheme="minorHAnsi"/>
          <w:color w:val="000000"/>
        </w:rPr>
        <w:t>Is</w:t>
      </w:r>
      <w:r w:rsidRPr="004737C5">
        <w:rPr>
          <w:rFonts w:cstheme="minorHAnsi"/>
          <w:color w:val="000000"/>
        </w:rPr>
        <w:t xml:space="preserve"> detriment is likely to </w:t>
      </w:r>
      <w:r w:rsidR="00FC6186" w:rsidRPr="004737C5">
        <w:rPr>
          <w:rFonts w:cstheme="minorHAnsi"/>
          <w:color w:val="000000"/>
        </w:rPr>
        <w:t>increase?</w:t>
      </w:r>
    </w:p>
    <w:p w14:paraId="5F7D67A9" w14:textId="77777777" w:rsidR="00843222" w:rsidRPr="004737C5" w:rsidRDefault="00843222" w:rsidP="002473E9">
      <w:pPr>
        <w:pStyle w:val="ListParagraph"/>
        <w:numPr>
          <w:ilvl w:val="0"/>
          <w:numId w:val="15"/>
        </w:numPr>
        <w:autoSpaceDE w:val="0"/>
        <w:autoSpaceDN w:val="0"/>
        <w:adjustRightInd w:val="0"/>
        <w:spacing w:after="0"/>
        <w:ind w:left="992" w:right="567" w:hanging="425"/>
        <w:rPr>
          <w:rFonts w:cstheme="minorHAnsi"/>
          <w:color w:val="000000"/>
        </w:rPr>
      </w:pPr>
      <w:r w:rsidRPr="004737C5">
        <w:rPr>
          <w:rFonts w:cstheme="minorHAnsi"/>
          <w:color w:val="000000"/>
        </w:rPr>
        <w:t>What are the likely consequences of taking no policy action? The political, social and economic consequences of taking no policy action should be considered</w:t>
      </w:r>
      <w:r w:rsidR="000A15AC" w:rsidRPr="004737C5">
        <w:rPr>
          <w:rFonts w:cstheme="minorHAnsi"/>
        </w:rPr>
        <w:t>.</w:t>
      </w:r>
      <w:r w:rsidR="00A2240B" w:rsidRPr="004737C5">
        <w:rPr>
          <w:rFonts w:cstheme="minorHAnsi"/>
        </w:rPr>
        <w:t xml:space="preserve"> </w:t>
      </w:r>
    </w:p>
    <w:p w14:paraId="68FE96CF" w14:textId="77777777" w:rsidR="007E23F3" w:rsidRPr="004737C5" w:rsidRDefault="00843222" w:rsidP="002473E9">
      <w:pPr>
        <w:pStyle w:val="ListParagraph"/>
        <w:numPr>
          <w:ilvl w:val="0"/>
          <w:numId w:val="15"/>
        </w:numPr>
        <w:autoSpaceDE w:val="0"/>
        <w:autoSpaceDN w:val="0"/>
        <w:adjustRightInd w:val="0"/>
        <w:ind w:left="992" w:right="567" w:hanging="425"/>
        <w:rPr>
          <w:rFonts w:cstheme="minorHAnsi"/>
          <w:color w:val="000000"/>
        </w:rPr>
      </w:pPr>
      <w:r w:rsidRPr="004737C5">
        <w:rPr>
          <w:rFonts w:cstheme="minorHAnsi"/>
          <w:color w:val="000000"/>
        </w:rPr>
        <w:t>Are there other substantial costs to the economy? Is the consumer problem creating detriment for other stakeholders? Is it, for example, distorting competition among firms?</w:t>
      </w:r>
      <w:r w:rsidR="00FC6186" w:rsidRPr="004737C5">
        <w:rPr>
          <w:rFonts w:cstheme="minorHAnsi"/>
          <w:color w:val="000000"/>
        </w:rPr>
        <w:t>”</w:t>
      </w:r>
    </w:p>
    <w:p w14:paraId="09EC69EE" w14:textId="6DBB2B5E" w:rsidR="00843222" w:rsidRPr="004737C5" w:rsidRDefault="00843222" w:rsidP="006D3BE8">
      <w:pPr>
        <w:rPr>
          <w:rFonts w:cstheme="minorHAnsi"/>
          <w:color w:val="000000"/>
        </w:rPr>
      </w:pPr>
      <w:r w:rsidRPr="004737C5">
        <w:rPr>
          <w:rFonts w:cstheme="minorHAnsi"/>
          <w:color w:val="000000"/>
        </w:rPr>
        <w:t xml:space="preserve">Clearly, a judgment has to balance the large </w:t>
      </w:r>
      <w:r w:rsidR="0087405E" w:rsidRPr="004737C5">
        <w:rPr>
          <w:rFonts w:cstheme="minorHAnsi"/>
          <w:color w:val="000000"/>
        </w:rPr>
        <w:t>number of factors set out above</w:t>
      </w:r>
      <w:r w:rsidRPr="004737C5">
        <w:rPr>
          <w:rFonts w:cstheme="minorHAnsi"/>
          <w:color w:val="000000"/>
        </w:rPr>
        <w:t xml:space="preserve"> and inevitably such judgments will be fallible. It is understandable then that competition authorities can be cautious before launching an</w:t>
      </w:r>
      <w:r w:rsidR="000A15AC" w:rsidRPr="004737C5">
        <w:rPr>
          <w:rFonts w:cstheme="minorHAnsi"/>
          <w:color w:val="000000"/>
        </w:rPr>
        <w:t>y</w:t>
      </w:r>
      <w:r w:rsidRPr="004737C5">
        <w:rPr>
          <w:rFonts w:cstheme="minorHAnsi"/>
          <w:color w:val="000000"/>
        </w:rPr>
        <w:t xml:space="preserve"> action</w:t>
      </w:r>
      <w:r w:rsidR="00FC6186" w:rsidRPr="004737C5">
        <w:rPr>
          <w:rFonts w:cstheme="minorHAnsi"/>
          <w:color w:val="000000"/>
        </w:rPr>
        <w:t>.</w:t>
      </w:r>
      <w:r w:rsidRPr="004737C5">
        <w:rPr>
          <w:rFonts w:cstheme="minorHAnsi"/>
          <w:color w:val="000000"/>
        </w:rPr>
        <w:t xml:space="preserve"> </w:t>
      </w:r>
      <w:r w:rsidR="00FC6186" w:rsidRPr="004737C5">
        <w:rPr>
          <w:rFonts w:cstheme="minorHAnsi"/>
          <w:color w:val="000000"/>
        </w:rPr>
        <w:t>T</w:t>
      </w:r>
      <w:r w:rsidRPr="004737C5">
        <w:rPr>
          <w:rFonts w:cstheme="minorHAnsi"/>
          <w:color w:val="000000"/>
        </w:rPr>
        <w:t>he calculation of the detriment and its attribution to corporate practice is</w:t>
      </w:r>
      <w:r w:rsidR="000A15AC" w:rsidRPr="004737C5">
        <w:rPr>
          <w:rFonts w:cstheme="minorHAnsi"/>
          <w:color w:val="000000"/>
        </w:rPr>
        <w:t xml:space="preserve"> an argument for coordination between</w:t>
      </w:r>
      <w:r w:rsidRPr="004737C5">
        <w:rPr>
          <w:rFonts w:cstheme="minorHAnsi"/>
          <w:color w:val="000000"/>
        </w:rPr>
        <w:t xml:space="preserve"> competition and </w:t>
      </w:r>
      <w:r w:rsidRPr="004737C5">
        <w:rPr>
          <w:rFonts w:cstheme="minorHAnsi"/>
        </w:rPr>
        <w:t xml:space="preserve">consumer protection </w:t>
      </w:r>
      <w:r w:rsidRPr="004737C5">
        <w:rPr>
          <w:rFonts w:cstheme="minorHAnsi"/>
          <w:color w:val="000000"/>
        </w:rPr>
        <w:t xml:space="preserve">agencies, and possibly for their being housed in the same establishment. </w:t>
      </w:r>
    </w:p>
    <w:p w14:paraId="4DA8840F" w14:textId="4E246B09" w:rsidR="00843222" w:rsidRPr="004737C5" w:rsidRDefault="00843222" w:rsidP="006D3BE8">
      <w:pPr>
        <w:pStyle w:val="BodyText2"/>
        <w:tabs>
          <w:tab w:val="clear" w:pos="4111"/>
        </w:tabs>
        <w:spacing w:after="160"/>
        <w:rPr>
          <w:rFonts w:asciiTheme="minorHAnsi" w:hAnsiTheme="minorHAnsi" w:cstheme="minorHAnsi"/>
          <w:color w:val="000000"/>
        </w:rPr>
      </w:pPr>
      <w:r w:rsidRPr="004737C5">
        <w:rPr>
          <w:rFonts w:asciiTheme="minorHAnsi" w:hAnsiTheme="minorHAnsi" w:cstheme="minorHAnsi"/>
          <w:color w:val="000000"/>
        </w:rPr>
        <w:t>The ambiguities surrounding the definition of a</w:t>
      </w:r>
      <w:r w:rsidR="000A15AC" w:rsidRPr="004737C5">
        <w:rPr>
          <w:rFonts w:asciiTheme="minorHAnsi" w:hAnsiTheme="minorHAnsi" w:cstheme="minorHAnsi"/>
          <w:color w:val="000000"/>
        </w:rPr>
        <w:t>n abuse of dominance illustrate</w:t>
      </w:r>
      <w:r w:rsidRPr="004737C5">
        <w:rPr>
          <w:rFonts w:asciiTheme="minorHAnsi" w:hAnsiTheme="minorHAnsi" w:cstheme="minorHAnsi"/>
          <w:color w:val="000000"/>
        </w:rPr>
        <w:t xml:space="preserve"> the importance of including macro</w:t>
      </w:r>
      <w:r w:rsidR="000A15AC" w:rsidRPr="004737C5">
        <w:rPr>
          <w:rFonts w:asciiTheme="minorHAnsi" w:hAnsiTheme="minorHAnsi" w:cstheme="minorHAnsi"/>
          <w:color w:val="000000"/>
        </w:rPr>
        <w:t>-level</w:t>
      </w:r>
      <w:r w:rsidR="0087405E" w:rsidRPr="004737C5">
        <w:rPr>
          <w:rFonts w:asciiTheme="minorHAnsi" w:hAnsiTheme="minorHAnsi" w:cstheme="minorHAnsi"/>
          <w:color w:val="000000"/>
        </w:rPr>
        <w:t xml:space="preserve"> socio</w:t>
      </w:r>
      <w:r w:rsidRPr="004737C5">
        <w:rPr>
          <w:rFonts w:asciiTheme="minorHAnsi" w:hAnsiTheme="minorHAnsi" w:cstheme="minorHAnsi"/>
          <w:color w:val="000000"/>
        </w:rPr>
        <w:t>economic criteria in the process of defining competitive infringements. In relation to developing countries, the dominance of a domestic firm must be considered along with its other roles within the domestic co</w:t>
      </w:r>
      <w:r w:rsidR="000A15AC" w:rsidRPr="004737C5">
        <w:rPr>
          <w:rFonts w:asciiTheme="minorHAnsi" w:hAnsiTheme="minorHAnsi" w:cstheme="minorHAnsi"/>
          <w:color w:val="000000"/>
        </w:rPr>
        <w:t>ntext. Relevant in the decision-</w:t>
      </w:r>
      <w:r w:rsidRPr="004737C5">
        <w:rPr>
          <w:rFonts w:asciiTheme="minorHAnsi" w:hAnsiTheme="minorHAnsi" w:cstheme="minorHAnsi"/>
          <w:color w:val="000000"/>
        </w:rPr>
        <w:t>making pr</w:t>
      </w:r>
      <w:r w:rsidR="000A15AC" w:rsidRPr="004737C5">
        <w:rPr>
          <w:rFonts w:asciiTheme="minorHAnsi" w:hAnsiTheme="minorHAnsi" w:cstheme="minorHAnsi"/>
          <w:color w:val="000000"/>
        </w:rPr>
        <w:t>ocess is the social role that the firm</w:t>
      </w:r>
      <w:r w:rsidRPr="004737C5">
        <w:rPr>
          <w:rFonts w:asciiTheme="minorHAnsi" w:hAnsiTheme="minorHAnsi" w:cstheme="minorHAnsi"/>
          <w:color w:val="000000"/>
        </w:rPr>
        <w:t xml:space="preserve"> fulfils, especially in the case of public utilities, and the cost to the national interest that is inherent when the only alternative to domestic dominance is foreign com</w:t>
      </w:r>
      <w:r w:rsidR="000A15AC" w:rsidRPr="004737C5">
        <w:rPr>
          <w:rFonts w:asciiTheme="minorHAnsi" w:hAnsiTheme="minorHAnsi" w:cstheme="minorHAnsi"/>
          <w:color w:val="000000"/>
        </w:rPr>
        <w:t>petition. Many (though not only)</w:t>
      </w:r>
      <w:r w:rsidRPr="004737C5">
        <w:rPr>
          <w:rFonts w:asciiTheme="minorHAnsi" w:hAnsiTheme="minorHAnsi" w:cstheme="minorHAnsi"/>
          <w:color w:val="000000"/>
        </w:rPr>
        <w:t xml:space="preserve"> from the developing world would argue that these considerations should be of </w:t>
      </w:r>
      <w:r w:rsidR="000A15AC" w:rsidRPr="004737C5">
        <w:rPr>
          <w:rFonts w:asciiTheme="minorHAnsi" w:hAnsiTheme="minorHAnsi" w:cstheme="minorHAnsi"/>
          <w:color w:val="000000"/>
        </w:rPr>
        <w:t xml:space="preserve">as </w:t>
      </w:r>
      <w:r w:rsidRPr="004737C5">
        <w:rPr>
          <w:rFonts w:asciiTheme="minorHAnsi" w:hAnsiTheme="minorHAnsi" w:cstheme="minorHAnsi"/>
          <w:color w:val="000000"/>
        </w:rPr>
        <w:t>equal importance to regulators as considerations of geographic and product market</w:t>
      </w:r>
      <w:r w:rsidR="00FC6186" w:rsidRPr="004737C5">
        <w:rPr>
          <w:rFonts w:asciiTheme="minorHAnsi" w:hAnsiTheme="minorHAnsi" w:cstheme="minorHAnsi"/>
          <w:color w:val="000000"/>
        </w:rPr>
        <w:t>s</w:t>
      </w:r>
      <w:r w:rsidRPr="004737C5">
        <w:rPr>
          <w:rFonts w:asciiTheme="minorHAnsi" w:hAnsiTheme="minorHAnsi" w:cstheme="minorHAnsi"/>
          <w:color w:val="000000"/>
        </w:rPr>
        <w:t xml:space="preserve">. A similar broadening of the remit is discernible in the evolution of </w:t>
      </w:r>
      <w:r w:rsidRPr="004737C5">
        <w:rPr>
          <w:rFonts w:asciiTheme="minorHAnsi" w:hAnsiTheme="minorHAnsi" w:cstheme="minorHAnsi"/>
          <w:color w:val="auto"/>
        </w:rPr>
        <w:t xml:space="preserve">the </w:t>
      </w:r>
      <w:r w:rsidR="0084791E" w:rsidRPr="004737C5">
        <w:rPr>
          <w:rFonts w:asciiTheme="minorHAnsi" w:hAnsiTheme="minorHAnsi" w:cstheme="minorHAnsi"/>
          <w:color w:val="auto"/>
        </w:rPr>
        <w:t>European Union</w:t>
      </w:r>
      <w:r w:rsidRPr="004737C5">
        <w:rPr>
          <w:rFonts w:asciiTheme="minorHAnsi" w:hAnsiTheme="minorHAnsi" w:cstheme="minorHAnsi"/>
          <w:color w:val="auto"/>
        </w:rPr>
        <w:t>’s competition policy</w:t>
      </w:r>
      <w:r w:rsidR="000A15AC" w:rsidRPr="004737C5">
        <w:rPr>
          <w:rFonts w:asciiTheme="minorHAnsi" w:hAnsiTheme="minorHAnsi" w:cstheme="minorHAnsi"/>
          <w:color w:val="auto"/>
        </w:rPr>
        <w:t>,</w:t>
      </w:r>
      <w:r w:rsidRPr="004737C5">
        <w:rPr>
          <w:rFonts w:asciiTheme="minorHAnsi" w:hAnsiTheme="minorHAnsi" w:cstheme="minorHAnsi"/>
          <w:color w:val="auto"/>
        </w:rPr>
        <w:t xml:space="preserve"> in which anti-competitive behaviour is prohibited but policy objectives are not set out in the legislation. It is clear that despite the intention of defence of the</w:t>
      </w:r>
      <w:r w:rsidR="000A15AC" w:rsidRPr="004737C5">
        <w:rPr>
          <w:rFonts w:asciiTheme="minorHAnsi" w:hAnsiTheme="minorHAnsi" w:cstheme="minorHAnsi"/>
          <w:color w:val="auto"/>
        </w:rPr>
        <w:t xml:space="preserve"> consumer, the notion of “public interest”</w:t>
      </w:r>
      <w:r w:rsidRPr="004737C5">
        <w:rPr>
          <w:rFonts w:asciiTheme="minorHAnsi" w:hAnsiTheme="minorHAnsi" w:cstheme="minorHAnsi"/>
          <w:color w:val="auto"/>
        </w:rPr>
        <w:t xml:space="preserve"> still remains. For example, in the Telia Sonera case (C-52/09), the function of competition rules was found by the Europe</w:t>
      </w:r>
      <w:r w:rsidR="000A15AC" w:rsidRPr="004737C5">
        <w:rPr>
          <w:rFonts w:asciiTheme="minorHAnsi" w:hAnsiTheme="minorHAnsi" w:cstheme="minorHAnsi"/>
          <w:color w:val="auto"/>
        </w:rPr>
        <w:t>an Court of Justice (ECJ) to be</w:t>
      </w:r>
      <w:r w:rsidRPr="004737C5">
        <w:rPr>
          <w:rFonts w:asciiTheme="minorHAnsi" w:hAnsiTheme="minorHAnsi" w:cstheme="minorHAnsi"/>
          <w:color w:val="auto"/>
        </w:rPr>
        <w:t xml:space="preserve"> </w:t>
      </w:r>
      <w:r w:rsidR="000A15AC" w:rsidRPr="004737C5">
        <w:rPr>
          <w:rFonts w:asciiTheme="minorHAnsi" w:hAnsiTheme="minorHAnsi" w:cstheme="minorHAnsi"/>
          <w:iCs/>
          <w:color w:val="auto"/>
        </w:rPr>
        <w:t>“</w:t>
      </w:r>
      <w:r w:rsidRPr="004737C5">
        <w:rPr>
          <w:rFonts w:asciiTheme="minorHAnsi" w:hAnsiTheme="minorHAnsi" w:cstheme="minorHAnsi"/>
          <w:iCs/>
          <w:color w:val="auto"/>
        </w:rPr>
        <w:t xml:space="preserve">to prevent competition from being distorted to the detriment of the public interest, individual undertakings and consumers, thereby ensuring the well-being of the </w:t>
      </w:r>
      <w:r w:rsidR="0084791E" w:rsidRPr="004737C5">
        <w:rPr>
          <w:rFonts w:asciiTheme="minorHAnsi" w:hAnsiTheme="minorHAnsi" w:cstheme="minorHAnsi"/>
          <w:color w:val="auto"/>
        </w:rPr>
        <w:t>European Union</w:t>
      </w:r>
      <w:r w:rsidR="000A15AC" w:rsidRPr="004737C5">
        <w:rPr>
          <w:rFonts w:asciiTheme="minorHAnsi" w:hAnsiTheme="minorHAnsi" w:cstheme="minorHAnsi"/>
          <w:color w:val="auto"/>
        </w:rPr>
        <w:t>”</w:t>
      </w:r>
      <w:r w:rsidR="000A15AC" w:rsidRPr="004737C5">
        <w:rPr>
          <w:rFonts w:asciiTheme="minorHAnsi" w:hAnsiTheme="minorHAnsi" w:cstheme="minorHAnsi"/>
          <w:iCs/>
          <w:color w:val="auto"/>
        </w:rPr>
        <w:t>.</w:t>
      </w:r>
      <w:r w:rsidRPr="004737C5">
        <w:rPr>
          <w:rFonts w:asciiTheme="minorHAnsi" w:hAnsiTheme="minorHAnsi" w:cstheme="minorHAnsi"/>
          <w:color w:val="auto"/>
        </w:rPr>
        <w:t xml:space="preserve"> This very general definition accords with the </w:t>
      </w:r>
      <w:r w:rsidR="00FC6186" w:rsidRPr="004737C5">
        <w:rPr>
          <w:rFonts w:asciiTheme="minorHAnsi" w:hAnsiTheme="minorHAnsi" w:cstheme="minorHAnsi"/>
          <w:color w:val="auto"/>
        </w:rPr>
        <w:t>widely</w:t>
      </w:r>
      <w:r w:rsidRPr="004737C5">
        <w:rPr>
          <w:rFonts w:asciiTheme="minorHAnsi" w:hAnsiTheme="minorHAnsi" w:cstheme="minorHAnsi"/>
          <w:color w:val="auto"/>
        </w:rPr>
        <w:t xml:space="preserve"> discussed tendency in consumer law for the </w:t>
      </w:r>
      <w:r w:rsidR="000A15AC" w:rsidRPr="004737C5">
        <w:rPr>
          <w:rFonts w:asciiTheme="minorHAnsi" w:hAnsiTheme="minorHAnsi" w:cstheme="minorHAnsi"/>
          <w:color w:val="000000"/>
        </w:rPr>
        <w:t>development of an</w:t>
      </w:r>
      <w:r w:rsidRPr="004737C5">
        <w:rPr>
          <w:rFonts w:asciiTheme="minorHAnsi" w:hAnsiTheme="minorHAnsi" w:cstheme="minorHAnsi"/>
          <w:color w:val="000000"/>
        </w:rPr>
        <w:t xml:space="preserve"> internal market to be seen as a legitimate objective</w:t>
      </w:r>
      <w:r w:rsidR="00FC6186" w:rsidRPr="004737C5">
        <w:rPr>
          <w:rFonts w:asciiTheme="minorHAnsi" w:hAnsiTheme="minorHAnsi" w:cstheme="minorHAnsi"/>
          <w:color w:val="000000"/>
        </w:rPr>
        <w:t xml:space="preserve"> in itself</w:t>
      </w:r>
      <w:r w:rsidRPr="004737C5">
        <w:rPr>
          <w:rFonts w:asciiTheme="minorHAnsi" w:hAnsiTheme="minorHAnsi" w:cstheme="minorHAnsi"/>
          <w:color w:val="000000"/>
        </w:rPr>
        <w:t xml:space="preserve">, one which could </w:t>
      </w:r>
      <w:r w:rsidR="00FC6186" w:rsidRPr="004737C5">
        <w:rPr>
          <w:rFonts w:asciiTheme="minorHAnsi" w:hAnsiTheme="minorHAnsi" w:cstheme="minorHAnsi"/>
          <w:color w:val="000000"/>
        </w:rPr>
        <w:t xml:space="preserve">potentially </w:t>
      </w:r>
      <w:r w:rsidRPr="004737C5">
        <w:rPr>
          <w:rFonts w:asciiTheme="minorHAnsi" w:hAnsiTheme="minorHAnsi" w:cstheme="minorHAnsi"/>
          <w:color w:val="000000"/>
        </w:rPr>
        <w:t xml:space="preserve">compete with the interests of individual consumers. </w:t>
      </w:r>
    </w:p>
    <w:p w14:paraId="54DF20EB" w14:textId="77777777" w:rsidR="000A15AC" w:rsidRPr="004737C5" w:rsidRDefault="00843222" w:rsidP="009771AD">
      <w:pPr>
        <w:tabs>
          <w:tab w:val="left" w:pos="4111"/>
        </w:tabs>
        <w:spacing w:before="200"/>
        <w:rPr>
          <w:rFonts w:cstheme="minorHAnsi"/>
          <w:color w:val="000000"/>
        </w:rPr>
      </w:pPr>
      <w:bookmarkStart w:id="71" w:name="_Toc492650023"/>
      <w:r w:rsidRPr="004737C5">
        <w:rPr>
          <w:rStyle w:val="Heading3Char"/>
          <w:rFonts w:cstheme="minorHAnsi"/>
          <w:color w:val="auto"/>
        </w:rPr>
        <w:t>2</w:t>
      </w:r>
      <w:r w:rsidR="000A15AC" w:rsidRPr="004737C5">
        <w:rPr>
          <w:rStyle w:val="Heading3Char"/>
          <w:rFonts w:cstheme="minorHAnsi"/>
          <w:color w:val="auto"/>
        </w:rPr>
        <w:t>.</w:t>
      </w:r>
      <w:r w:rsidRPr="004737C5">
        <w:rPr>
          <w:rStyle w:val="Heading3Char"/>
          <w:rFonts w:cstheme="minorHAnsi"/>
          <w:color w:val="auto"/>
        </w:rPr>
        <w:t xml:space="preserve"> Cartels and collusive behaviour</w:t>
      </w:r>
      <w:bookmarkEnd w:id="71"/>
      <w:r w:rsidRPr="004737C5">
        <w:rPr>
          <w:rStyle w:val="Heading3Char"/>
          <w:rFonts w:cstheme="minorHAnsi"/>
        </w:rPr>
        <w:tab/>
      </w:r>
    </w:p>
    <w:p w14:paraId="0EFEBFAD" w14:textId="2E98C210" w:rsidR="00843222" w:rsidRPr="004737C5" w:rsidRDefault="00843222" w:rsidP="0087405E">
      <w:pPr>
        <w:tabs>
          <w:tab w:val="left" w:pos="4111"/>
        </w:tabs>
        <w:spacing w:before="160"/>
        <w:rPr>
          <w:rFonts w:cstheme="minorHAnsi"/>
          <w:b/>
          <w:i/>
          <w:color w:val="000000"/>
        </w:rPr>
      </w:pPr>
      <w:r w:rsidRPr="004737C5">
        <w:rPr>
          <w:rFonts w:cstheme="minorHAnsi"/>
          <w:color w:val="000000"/>
        </w:rPr>
        <w:t xml:space="preserve">A cartel is a formal agreement among firms in an oligopolistic industry. Cartel members may agree on such matters as prices, total industry output, market shares, allocation of customers, allocation of </w:t>
      </w:r>
      <w:r w:rsidRPr="004737C5">
        <w:rPr>
          <w:rFonts w:cstheme="minorHAnsi"/>
          <w:color w:val="000000"/>
        </w:rPr>
        <w:lastRenderedPageBreak/>
        <w:t>territories, bid-rigging, establi</w:t>
      </w:r>
      <w:r w:rsidR="000A15AC" w:rsidRPr="004737C5">
        <w:rPr>
          <w:rFonts w:cstheme="minorHAnsi"/>
          <w:color w:val="000000"/>
        </w:rPr>
        <w:t>shment of common sales agencies</w:t>
      </w:r>
      <w:r w:rsidRPr="004737C5">
        <w:rPr>
          <w:rFonts w:cstheme="minorHAnsi"/>
          <w:color w:val="000000"/>
        </w:rPr>
        <w:t xml:space="preserve"> and the division of profits, or a combination of these. Cartels are formed for the mutual benefit of </w:t>
      </w:r>
      <w:r w:rsidR="0087405E" w:rsidRPr="004737C5">
        <w:rPr>
          <w:rFonts w:cstheme="minorHAnsi"/>
          <w:color w:val="000000"/>
        </w:rPr>
        <w:t>member firms. The theory of “co</w:t>
      </w:r>
      <w:r w:rsidRPr="004737C5">
        <w:rPr>
          <w:rFonts w:cstheme="minorHAnsi"/>
          <w:color w:val="000000"/>
        </w:rPr>
        <w:t xml:space="preserve">operative” oligopoly provides the basis for analysing the formation and economic effects of cartels. Generally, a cartel attempts to emulate a monopoly by restricting industry output, or raising or fixing prices in order to earn higher profits. The term collusion is used to refer to informal combinations, conspiracies or agreements </w:t>
      </w:r>
      <w:r w:rsidR="000A15AC" w:rsidRPr="004737C5">
        <w:rPr>
          <w:rFonts w:cstheme="minorHAnsi"/>
          <w:color w:val="000000"/>
        </w:rPr>
        <w:t>that seek to establish a cartel</w:t>
      </w:r>
      <w:r w:rsidRPr="004737C5">
        <w:rPr>
          <w:rFonts w:cstheme="minorHAnsi"/>
          <w:color w:val="000000"/>
        </w:rPr>
        <w:t xml:space="preserve"> or related outcomes. As the economic effects of cartels and collusive behaviour are the same, these terms tend to be used interchangeably.</w:t>
      </w:r>
    </w:p>
    <w:p w14:paraId="5E0BFD54" w14:textId="52928D4C" w:rsidR="00843222" w:rsidRPr="004737C5" w:rsidRDefault="00843222" w:rsidP="006D3BE8">
      <w:pPr>
        <w:tabs>
          <w:tab w:val="left" w:pos="2160"/>
        </w:tabs>
        <w:rPr>
          <w:rFonts w:cstheme="minorHAnsi"/>
          <w:color w:val="000000"/>
        </w:rPr>
      </w:pPr>
      <w:r w:rsidRPr="004737C5">
        <w:rPr>
          <w:rFonts w:cstheme="minorHAnsi"/>
          <w:color w:val="000000"/>
        </w:rPr>
        <w:t>A distinction needs to be drawn bet</w:t>
      </w:r>
      <w:r w:rsidR="000A15AC" w:rsidRPr="004737C5">
        <w:rPr>
          <w:rFonts w:cstheme="minorHAnsi"/>
          <w:color w:val="000000"/>
        </w:rPr>
        <w:t>ween public and private cartels. I</w:t>
      </w:r>
      <w:r w:rsidRPr="004737C5">
        <w:rPr>
          <w:rFonts w:cstheme="minorHAnsi"/>
          <w:color w:val="000000"/>
        </w:rPr>
        <w:t>n t</w:t>
      </w:r>
      <w:r w:rsidR="005A2086" w:rsidRPr="004737C5">
        <w:rPr>
          <w:rFonts w:cstheme="minorHAnsi"/>
          <w:color w:val="000000"/>
        </w:rPr>
        <w:t xml:space="preserve">he case of public cartels, </w:t>
      </w:r>
      <w:r w:rsidR="000A15AC" w:rsidRPr="004737C5">
        <w:rPr>
          <w:rFonts w:cstheme="minorHAnsi"/>
          <w:color w:val="000000"/>
        </w:rPr>
        <w:t>g</w:t>
      </w:r>
      <w:r w:rsidRPr="004737C5">
        <w:rPr>
          <w:rFonts w:cstheme="minorHAnsi"/>
          <w:color w:val="000000"/>
        </w:rPr>
        <w:t>overnment</w:t>
      </w:r>
      <w:r w:rsidR="000A15AC" w:rsidRPr="004737C5">
        <w:rPr>
          <w:rFonts w:cstheme="minorHAnsi"/>
          <w:color w:val="000000"/>
        </w:rPr>
        <w:t>s</w:t>
      </w:r>
      <w:r w:rsidRPr="004737C5">
        <w:rPr>
          <w:rFonts w:cstheme="minorHAnsi"/>
          <w:color w:val="000000"/>
        </w:rPr>
        <w:t xml:space="preserve"> may establish and enforce</w:t>
      </w:r>
      <w:r w:rsidR="000A15AC" w:rsidRPr="004737C5">
        <w:rPr>
          <w:rFonts w:cstheme="minorHAnsi"/>
          <w:color w:val="000000"/>
        </w:rPr>
        <w:t xml:space="preserve"> the rules, sometimes known as “orderly marketing arrangements”</w:t>
      </w:r>
      <w:r w:rsidRPr="004737C5">
        <w:rPr>
          <w:rFonts w:cstheme="minorHAnsi"/>
          <w:color w:val="000000"/>
        </w:rPr>
        <w:t>, relating to such matters as prices and output. Export cartels and shipping conferences are examples of publ</w:t>
      </w:r>
      <w:r w:rsidR="000F174A" w:rsidRPr="004737C5">
        <w:rPr>
          <w:rFonts w:cstheme="minorHAnsi"/>
          <w:color w:val="000000"/>
        </w:rPr>
        <w:t>ic cartels. In many countries, “depression cartels”</w:t>
      </w:r>
      <w:r w:rsidRPr="004737C5">
        <w:rPr>
          <w:rFonts w:cstheme="minorHAnsi"/>
          <w:color w:val="000000"/>
        </w:rPr>
        <w:t xml:space="preserve"> have been permitted in industries deemed to be requiring price and production stabi</w:t>
      </w:r>
      <w:r w:rsidR="0087405E" w:rsidRPr="004737C5">
        <w:rPr>
          <w:rFonts w:cstheme="minorHAnsi"/>
          <w:color w:val="000000"/>
        </w:rPr>
        <w:t>lity and/or to permit rationaliz</w:t>
      </w:r>
      <w:r w:rsidRPr="004737C5">
        <w:rPr>
          <w:rFonts w:cstheme="minorHAnsi"/>
          <w:color w:val="000000"/>
        </w:rPr>
        <w:t>ation of the industry structure and excess capacity. In Japan for instance, such arrangements have been pe</w:t>
      </w:r>
      <w:r w:rsidR="000F174A" w:rsidRPr="004737C5">
        <w:rPr>
          <w:rFonts w:cstheme="minorHAnsi"/>
          <w:color w:val="000000"/>
        </w:rPr>
        <w:t>rmitted in the steel, aluminium-</w:t>
      </w:r>
      <w:r w:rsidRPr="004737C5">
        <w:rPr>
          <w:rFonts w:cstheme="minorHAnsi"/>
          <w:color w:val="000000"/>
        </w:rPr>
        <w:t>smelting, shipbuilding and various chemical industries. International commodity agreements covering products such as coffee, sugar, bauxite, tin, rubber, palm and petroleum are examples of international cartels that have entailed agreeme</w:t>
      </w:r>
      <w:r w:rsidR="000F174A" w:rsidRPr="004737C5">
        <w:rPr>
          <w:rFonts w:cstheme="minorHAnsi"/>
          <w:color w:val="000000"/>
        </w:rPr>
        <w:t>nts between different national g</w:t>
      </w:r>
      <w:r w:rsidRPr="004737C5">
        <w:rPr>
          <w:rFonts w:cstheme="minorHAnsi"/>
          <w:color w:val="000000"/>
        </w:rPr>
        <w:t>overnments. Crisis carte</w:t>
      </w:r>
      <w:r w:rsidR="000F174A" w:rsidRPr="004737C5">
        <w:rPr>
          <w:rFonts w:cstheme="minorHAnsi"/>
          <w:color w:val="000000"/>
        </w:rPr>
        <w:t>ls have also been organized by g</w:t>
      </w:r>
      <w:r w:rsidRPr="004737C5">
        <w:rPr>
          <w:rFonts w:cstheme="minorHAnsi"/>
          <w:color w:val="000000"/>
        </w:rPr>
        <w:t>overnments in different countries for various industries or products in order to fix prices and</w:t>
      </w:r>
      <w:r w:rsidR="000F174A" w:rsidRPr="004737C5">
        <w:rPr>
          <w:rFonts w:cstheme="minorHAnsi"/>
          <w:color w:val="000000"/>
        </w:rPr>
        <w:t xml:space="preserve"> to</w:t>
      </w:r>
      <w:r w:rsidRPr="004737C5">
        <w:rPr>
          <w:rFonts w:cstheme="minorHAnsi"/>
          <w:color w:val="000000"/>
        </w:rPr>
        <w:t xml:space="preserve"> ration production and distribution in periods o</w:t>
      </w:r>
      <w:r w:rsidR="000F174A" w:rsidRPr="004737C5">
        <w:rPr>
          <w:rFonts w:cstheme="minorHAnsi"/>
          <w:color w:val="000000"/>
        </w:rPr>
        <w:t>f acute shortage. In this way, g</w:t>
      </w:r>
      <w:r w:rsidR="0087405E" w:rsidRPr="004737C5">
        <w:rPr>
          <w:rFonts w:cstheme="minorHAnsi"/>
          <w:color w:val="000000"/>
        </w:rPr>
        <w:t>overnments may exercis</w:t>
      </w:r>
      <w:r w:rsidRPr="004737C5">
        <w:rPr>
          <w:rFonts w:cstheme="minorHAnsi"/>
          <w:color w:val="000000"/>
        </w:rPr>
        <w:t>e a sponsoring role towards international cartels that they would not allow for cartels organized between private proponents. This is simila</w:t>
      </w:r>
      <w:r w:rsidR="000F174A" w:rsidRPr="004737C5">
        <w:rPr>
          <w:rFonts w:cstheme="minorHAnsi"/>
          <w:color w:val="000000"/>
        </w:rPr>
        <w:t xml:space="preserve">r to what has in effect </w:t>
      </w:r>
      <w:r w:rsidR="0087405E" w:rsidRPr="004737C5">
        <w:rPr>
          <w:rFonts w:cstheme="minorHAnsi"/>
          <w:color w:val="000000"/>
        </w:rPr>
        <w:t xml:space="preserve">been </w:t>
      </w:r>
      <w:r w:rsidR="000F174A" w:rsidRPr="004737C5">
        <w:rPr>
          <w:rFonts w:cstheme="minorHAnsi"/>
          <w:color w:val="000000"/>
        </w:rPr>
        <w:t>a “carve out”</w:t>
      </w:r>
      <w:r w:rsidRPr="004737C5">
        <w:rPr>
          <w:rFonts w:cstheme="minorHAnsi"/>
          <w:color w:val="000000"/>
        </w:rPr>
        <w:t xml:space="preserve"> for the agricultural sector from the provisions of the normal WTO anti-dumping provisions (which are intended to prevent predatory pricing).  </w:t>
      </w:r>
    </w:p>
    <w:p w14:paraId="0D02632C" w14:textId="77777777" w:rsidR="00843222" w:rsidRPr="004737C5" w:rsidRDefault="00843222" w:rsidP="006D3BE8">
      <w:pPr>
        <w:tabs>
          <w:tab w:val="left" w:pos="720"/>
        </w:tabs>
        <w:rPr>
          <w:rFonts w:cstheme="minorHAnsi"/>
          <w:color w:val="000000"/>
        </w:rPr>
      </w:pPr>
      <w:r w:rsidRPr="004737C5">
        <w:rPr>
          <w:rFonts w:cstheme="minorHAnsi"/>
          <w:color w:val="000000"/>
        </w:rPr>
        <w:t xml:space="preserve">In contrast, private cartels involve an agreement on terms and conditions from which members derive mutual advantage but which are not known by outside parties. </w:t>
      </w:r>
    </w:p>
    <w:p w14:paraId="2FA358CA" w14:textId="77777777" w:rsidR="00843222" w:rsidRPr="004737C5" w:rsidRDefault="00843222" w:rsidP="006D3BE8">
      <w:pPr>
        <w:tabs>
          <w:tab w:val="left" w:pos="720"/>
        </w:tabs>
        <w:rPr>
          <w:rFonts w:cstheme="minorHAnsi"/>
          <w:color w:val="000000"/>
        </w:rPr>
      </w:pPr>
      <w:r w:rsidRPr="004737C5">
        <w:rPr>
          <w:rFonts w:cstheme="minorHAnsi"/>
          <w:color w:val="000000"/>
        </w:rPr>
        <w:t>For cartels to be successful there must be “coordination” and “compliance” among members. This means that cartel members need to be able to detect when violations of an agreement take place and to enforce sanctions against violators. These conditions</w:t>
      </w:r>
      <w:r w:rsidR="007E23F3" w:rsidRPr="004737C5">
        <w:rPr>
          <w:rFonts w:cstheme="minorHAnsi"/>
          <w:color w:val="000000"/>
        </w:rPr>
        <w:t xml:space="preserve"> </w:t>
      </w:r>
      <w:r w:rsidRPr="004737C5">
        <w:rPr>
          <w:rFonts w:cstheme="minorHAnsi"/>
          <w:color w:val="000000"/>
        </w:rPr>
        <w:t xml:space="preserve">are not </w:t>
      </w:r>
      <w:r w:rsidR="00FC6186" w:rsidRPr="004737C5">
        <w:rPr>
          <w:rFonts w:cstheme="minorHAnsi"/>
          <w:color w:val="000000"/>
        </w:rPr>
        <w:t xml:space="preserve">always </w:t>
      </w:r>
      <w:r w:rsidRPr="004737C5">
        <w:rPr>
          <w:rFonts w:cstheme="minorHAnsi"/>
          <w:color w:val="000000"/>
        </w:rPr>
        <w:t>easily met</w:t>
      </w:r>
      <w:r w:rsidR="000F174A" w:rsidRPr="004737C5">
        <w:rPr>
          <w:rFonts w:cstheme="minorHAnsi"/>
          <w:color w:val="000000"/>
        </w:rPr>
        <w:t>,</w:t>
      </w:r>
      <w:r w:rsidRPr="004737C5">
        <w:rPr>
          <w:rFonts w:cstheme="minorHAnsi"/>
          <w:color w:val="000000"/>
        </w:rPr>
        <w:t xml:space="preserve"> therefore cartels </w:t>
      </w:r>
      <w:r w:rsidR="00FC6186" w:rsidRPr="004737C5">
        <w:rPr>
          <w:rFonts w:cstheme="minorHAnsi"/>
          <w:color w:val="000000"/>
        </w:rPr>
        <w:t>can</w:t>
      </w:r>
      <w:r w:rsidRPr="004737C5">
        <w:rPr>
          <w:rFonts w:cstheme="minorHAnsi"/>
          <w:color w:val="000000"/>
        </w:rPr>
        <w:t xml:space="preserve"> break down over t</w:t>
      </w:r>
      <w:r w:rsidR="000F174A" w:rsidRPr="004737C5">
        <w:rPr>
          <w:rFonts w:cstheme="minorHAnsi"/>
          <w:color w:val="000000"/>
        </w:rPr>
        <w:t>ime.</w:t>
      </w:r>
      <w:r w:rsidR="00FC6186" w:rsidRPr="004737C5">
        <w:rPr>
          <w:rFonts w:cstheme="minorHAnsi"/>
          <w:color w:val="000000"/>
        </w:rPr>
        <w:t xml:space="preserve"> H</w:t>
      </w:r>
      <w:r w:rsidRPr="004737C5">
        <w:rPr>
          <w:rFonts w:cstheme="minorHAnsi"/>
          <w:color w:val="000000"/>
        </w:rPr>
        <w:t>owever</w:t>
      </w:r>
      <w:r w:rsidR="000F174A" w:rsidRPr="004737C5">
        <w:rPr>
          <w:rFonts w:cstheme="minorHAnsi"/>
          <w:color w:val="000000"/>
        </w:rPr>
        <w:t>,</w:t>
      </w:r>
      <w:r w:rsidRPr="004737C5">
        <w:rPr>
          <w:rFonts w:cstheme="minorHAnsi"/>
          <w:color w:val="000000"/>
        </w:rPr>
        <w:t xml:space="preserve"> </w:t>
      </w:r>
      <w:r w:rsidR="00FC6186" w:rsidRPr="004737C5">
        <w:rPr>
          <w:rFonts w:cstheme="minorHAnsi"/>
          <w:color w:val="000000"/>
        </w:rPr>
        <w:t xml:space="preserve">they </w:t>
      </w:r>
      <w:r w:rsidRPr="004737C5">
        <w:rPr>
          <w:rFonts w:cstheme="minorHAnsi"/>
          <w:color w:val="000000"/>
        </w:rPr>
        <w:t>can be stable and endure for very long periods.</w:t>
      </w:r>
    </w:p>
    <w:p w14:paraId="28921400" w14:textId="77777777" w:rsidR="00843222" w:rsidRPr="004737C5" w:rsidRDefault="00FC6186" w:rsidP="006D3BE8">
      <w:pPr>
        <w:tabs>
          <w:tab w:val="left" w:pos="1440"/>
        </w:tabs>
        <w:rPr>
          <w:rFonts w:cstheme="minorHAnsi"/>
          <w:color w:val="000000"/>
        </w:rPr>
      </w:pPr>
      <w:r w:rsidRPr="004737C5">
        <w:rPr>
          <w:rFonts w:cstheme="minorHAnsi"/>
          <w:color w:val="000000"/>
        </w:rPr>
        <w:t>C</w:t>
      </w:r>
      <w:r w:rsidR="00843222" w:rsidRPr="004737C5">
        <w:rPr>
          <w:rFonts w:cstheme="minorHAnsi"/>
          <w:color w:val="000000"/>
        </w:rPr>
        <w:t>ollusive conduct does not necessarily have to involve an explicit agreement or communication between firms. In oligopolistic industries, firms tend to be interdependent in their pricing and output decisions so that the actions of each firm im</w:t>
      </w:r>
      <w:r w:rsidR="000F174A" w:rsidRPr="004737C5">
        <w:rPr>
          <w:rFonts w:cstheme="minorHAnsi"/>
          <w:color w:val="000000"/>
        </w:rPr>
        <w:t>pact on and result in a counter-</w:t>
      </w:r>
      <w:r w:rsidR="00843222" w:rsidRPr="004737C5">
        <w:rPr>
          <w:rFonts w:cstheme="minorHAnsi"/>
          <w:color w:val="000000"/>
        </w:rPr>
        <w:t xml:space="preserve">response by the other firm(s). In such situations, oligopolistic firms may take their rivals’ actions into account and coordinate their actions as if they were a cartel without an explicit or overt agreement. However, it needs to be stressed that there are oligopolistic markets without collusion and non-oligopolistic markets with collusion. </w:t>
      </w:r>
    </w:p>
    <w:p w14:paraId="07161CF2" w14:textId="77777777" w:rsidR="00843222" w:rsidRPr="004737C5" w:rsidRDefault="00843222" w:rsidP="006D3BE8">
      <w:pPr>
        <w:tabs>
          <w:tab w:val="left" w:pos="1440"/>
        </w:tabs>
        <w:rPr>
          <w:rFonts w:cstheme="minorHAnsi"/>
          <w:color w:val="000000"/>
        </w:rPr>
      </w:pPr>
      <w:r w:rsidRPr="004737C5">
        <w:rPr>
          <w:rFonts w:cstheme="minorHAnsi"/>
          <w:color w:val="000000"/>
        </w:rPr>
        <w:t>Factors that facilitate the formation of price-fixing agreements include:</w:t>
      </w:r>
    </w:p>
    <w:p w14:paraId="76611454" w14:textId="35B15D04" w:rsidR="00843222" w:rsidRPr="004737C5" w:rsidRDefault="00843222" w:rsidP="0087405E">
      <w:pPr>
        <w:numPr>
          <w:ilvl w:val="0"/>
          <w:numId w:val="14"/>
        </w:numPr>
        <w:tabs>
          <w:tab w:val="clear" w:pos="2880"/>
          <w:tab w:val="num" w:pos="709"/>
        </w:tabs>
        <w:ind w:left="709" w:hanging="425"/>
        <w:contextualSpacing/>
        <w:rPr>
          <w:rFonts w:cstheme="minorHAnsi"/>
          <w:color w:val="000000"/>
        </w:rPr>
      </w:pPr>
      <w:r w:rsidRPr="004737C5">
        <w:rPr>
          <w:rFonts w:cstheme="minorHAnsi"/>
          <w:color w:val="000000"/>
        </w:rPr>
        <w:t>The ability to raise and maintain industry price</w:t>
      </w:r>
      <w:r w:rsidR="0087405E" w:rsidRPr="004737C5">
        <w:rPr>
          <w:rFonts w:cstheme="minorHAnsi"/>
          <w:color w:val="000000"/>
        </w:rPr>
        <w:t>s</w:t>
      </w:r>
      <w:r w:rsidRPr="004737C5">
        <w:rPr>
          <w:rFonts w:cstheme="minorHAnsi"/>
          <w:color w:val="000000"/>
        </w:rPr>
        <w:t>. However, if entry barriers are low or substitute products exist, collusion may not be successful and firms will not have any incentive to join the agreem</w:t>
      </w:r>
      <w:r w:rsidR="000F174A" w:rsidRPr="004737C5">
        <w:rPr>
          <w:rFonts w:cstheme="minorHAnsi"/>
          <w:color w:val="000000"/>
        </w:rPr>
        <w:t>ent. This means of course that s</w:t>
      </w:r>
      <w:r w:rsidRPr="004737C5">
        <w:rPr>
          <w:rFonts w:cstheme="minorHAnsi"/>
          <w:color w:val="000000"/>
        </w:rPr>
        <w:t xml:space="preserve">tates, by increasing barriers to </w:t>
      </w:r>
      <w:r w:rsidR="0087405E" w:rsidRPr="004737C5">
        <w:rPr>
          <w:rFonts w:cstheme="minorHAnsi"/>
          <w:color w:val="000000"/>
        </w:rPr>
        <w:t>entry such as quotas and duties,</w:t>
      </w:r>
      <w:r w:rsidRPr="004737C5">
        <w:rPr>
          <w:rFonts w:cstheme="minorHAnsi"/>
          <w:color w:val="000000"/>
        </w:rPr>
        <w:t xml:space="preserve"> may increase the tendency towards oligopoly</w:t>
      </w:r>
      <w:r w:rsidR="000F174A" w:rsidRPr="004737C5">
        <w:rPr>
          <w:rFonts w:cstheme="minorHAnsi"/>
        </w:rPr>
        <w:t>.</w:t>
      </w:r>
    </w:p>
    <w:p w14:paraId="0555BF00" w14:textId="77777777" w:rsidR="00843222" w:rsidRPr="004737C5" w:rsidRDefault="00843222" w:rsidP="0087405E">
      <w:pPr>
        <w:numPr>
          <w:ilvl w:val="0"/>
          <w:numId w:val="14"/>
        </w:numPr>
        <w:tabs>
          <w:tab w:val="clear" w:pos="2880"/>
          <w:tab w:val="num" w:pos="709"/>
        </w:tabs>
        <w:ind w:left="709" w:hanging="425"/>
        <w:contextualSpacing/>
        <w:rPr>
          <w:rFonts w:cstheme="minorHAnsi"/>
          <w:color w:val="000000"/>
        </w:rPr>
      </w:pPr>
      <w:r w:rsidRPr="004737C5">
        <w:rPr>
          <w:rFonts w:cstheme="minorHAnsi"/>
          <w:color w:val="000000"/>
        </w:rPr>
        <w:t>Firms do not expect collusion to be easily detected or severely punished. If the sanction is lower than the profits gained from entering into collusive arrangements, the latter may still prevail</w:t>
      </w:r>
      <w:r w:rsidR="000F174A" w:rsidRPr="004737C5">
        <w:rPr>
          <w:rFonts w:cstheme="minorHAnsi"/>
        </w:rPr>
        <w:t>.</w:t>
      </w:r>
    </w:p>
    <w:p w14:paraId="458D0671" w14:textId="77777777" w:rsidR="00843222" w:rsidRPr="004737C5" w:rsidRDefault="00843222" w:rsidP="0087405E">
      <w:pPr>
        <w:numPr>
          <w:ilvl w:val="0"/>
          <w:numId w:val="14"/>
        </w:numPr>
        <w:tabs>
          <w:tab w:val="clear" w:pos="2880"/>
          <w:tab w:val="num" w:pos="709"/>
        </w:tabs>
        <w:ind w:left="709" w:hanging="425"/>
        <w:contextualSpacing/>
        <w:rPr>
          <w:rFonts w:cstheme="minorHAnsi"/>
          <w:color w:val="000000"/>
        </w:rPr>
      </w:pPr>
      <w:r w:rsidRPr="004737C5">
        <w:rPr>
          <w:rFonts w:cstheme="minorHAnsi"/>
          <w:color w:val="000000"/>
        </w:rPr>
        <w:t>Organizational costs are low. If negotiations between firms are protracted and enforcement/monitoring costs are hi</w:t>
      </w:r>
      <w:r w:rsidR="000F174A" w:rsidRPr="004737C5">
        <w:rPr>
          <w:rFonts w:cstheme="minorHAnsi"/>
          <w:color w:val="000000"/>
        </w:rPr>
        <w:t>gh, it may be difficult to form</w:t>
      </w:r>
      <w:r w:rsidRPr="004737C5">
        <w:rPr>
          <w:rFonts w:cstheme="minorHAnsi"/>
          <w:color w:val="000000"/>
        </w:rPr>
        <w:t xml:space="preserve"> agreements</w:t>
      </w:r>
      <w:r w:rsidR="000F174A" w:rsidRPr="004737C5">
        <w:rPr>
          <w:rFonts w:cstheme="minorHAnsi"/>
        </w:rPr>
        <w:t>.</w:t>
      </w:r>
    </w:p>
    <w:p w14:paraId="4E3CF3AB" w14:textId="77777777" w:rsidR="00843222" w:rsidRPr="004737C5" w:rsidRDefault="00843222" w:rsidP="0087405E">
      <w:pPr>
        <w:numPr>
          <w:ilvl w:val="0"/>
          <w:numId w:val="14"/>
        </w:numPr>
        <w:tabs>
          <w:tab w:val="clear" w:pos="2880"/>
          <w:tab w:val="num" w:pos="709"/>
        </w:tabs>
        <w:ind w:left="709" w:hanging="425"/>
        <w:contextualSpacing/>
        <w:rPr>
          <w:rFonts w:cstheme="minorHAnsi"/>
          <w:color w:val="000000"/>
        </w:rPr>
      </w:pPr>
      <w:r w:rsidRPr="004737C5">
        <w:rPr>
          <w:rFonts w:cstheme="minorHAnsi"/>
          <w:color w:val="000000"/>
        </w:rPr>
        <w:lastRenderedPageBreak/>
        <w:t xml:space="preserve">The products produced are homogenous or very similar. Uniform price agreements are not easily reached if the products differ in attributes such as quality and durability. It becomes difficult for firms in such circumstances to detect whether variations in sale </w:t>
      </w:r>
      <w:r w:rsidR="00025031" w:rsidRPr="004737C5">
        <w:rPr>
          <w:rFonts w:cstheme="minorHAnsi"/>
          <w:color w:val="000000"/>
        </w:rPr>
        <w:t xml:space="preserve">prices </w:t>
      </w:r>
      <w:r w:rsidRPr="004737C5">
        <w:rPr>
          <w:rFonts w:cstheme="minorHAnsi"/>
          <w:color w:val="000000"/>
        </w:rPr>
        <w:t>are due to</w:t>
      </w:r>
      <w:r w:rsidR="00025031" w:rsidRPr="004737C5">
        <w:rPr>
          <w:rFonts w:cstheme="minorHAnsi"/>
          <w:color w:val="000000"/>
        </w:rPr>
        <w:t>, say,</w:t>
      </w:r>
      <w:r w:rsidRPr="004737C5">
        <w:rPr>
          <w:rFonts w:cstheme="minorHAnsi"/>
          <w:color w:val="000000"/>
        </w:rPr>
        <w:t xml:space="preserve"> changes in buyer preferences or cheating by firms in the form of secret price cuts</w:t>
      </w:r>
      <w:r w:rsidR="000F174A" w:rsidRPr="004737C5">
        <w:rPr>
          <w:rFonts w:cstheme="minorHAnsi"/>
        </w:rPr>
        <w:t>.</w:t>
      </w:r>
      <w:r w:rsidR="00A2240B" w:rsidRPr="004737C5">
        <w:rPr>
          <w:rFonts w:cstheme="minorHAnsi"/>
        </w:rPr>
        <w:t xml:space="preserve"> </w:t>
      </w:r>
    </w:p>
    <w:p w14:paraId="135CC010" w14:textId="77777777" w:rsidR="00843222" w:rsidRPr="004737C5" w:rsidRDefault="00843222" w:rsidP="00E907EE">
      <w:pPr>
        <w:numPr>
          <w:ilvl w:val="0"/>
          <w:numId w:val="14"/>
        </w:numPr>
        <w:tabs>
          <w:tab w:val="clear" w:pos="2880"/>
          <w:tab w:val="num" w:pos="709"/>
        </w:tabs>
        <w:ind w:left="709" w:hanging="425"/>
        <w:contextualSpacing/>
        <w:rPr>
          <w:rFonts w:cstheme="minorHAnsi"/>
          <w:color w:val="000000"/>
        </w:rPr>
      </w:pPr>
      <w:r w:rsidRPr="004737C5">
        <w:rPr>
          <w:rFonts w:cstheme="minorHAnsi"/>
          <w:color w:val="000000"/>
        </w:rPr>
        <w:t>The industry is highly concentrated or a few large firms provide the bulk of the product. When the number of firms is low, the costs of organizing collusion will also tend to be low. Also, the probability of detecting firms that do not respect the fixed prices will be correspondingly higher. However, while it is generally easier to collude w</w:t>
      </w:r>
      <w:r w:rsidR="000F174A" w:rsidRPr="004737C5">
        <w:rPr>
          <w:rFonts w:cstheme="minorHAnsi"/>
          <w:color w:val="000000"/>
        </w:rPr>
        <w:t>hen the number of sellers is low</w:t>
      </w:r>
      <w:r w:rsidRPr="004737C5">
        <w:rPr>
          <w:rFonts w:cstheme="minorHAnsi"/>
          <w:color w:val="000000"/>
        </w:rPr>
        <w:t xml:space="preserve"> and t</w:t>
      </w:r>
      <w:r w:rsidR="000F174A" w:rsidRPr="004737C5">
        <w:rPr>
          <w:rFonts w:cstheme="minorHAnsi"/>
          <w:color w:val="000000"/>
        </w:rPr>
        <w:t>he product is homogenous, price-</w:t>
      </w:r>
      <w:r w:rsidRPr="004737C5">
        <w:rPr>
          <w:rFonts w:cstheme="minorHAnsi"/>
          <w:color w:val="000000"/>
        </w:rPr>
        <w:t>fixing agreements can also happen in the sale of complex products</w:t>
      </w:r>
      <w:r w:rsidR="000F174A" w:rsidRPr="004737C5">
        <w:rPr>
          <w:rFonts w:cstheme="minorHAnsi"/>
        </w:rPr>
        <w:t>.</w:t>
      </w:r>
    </w:p>
    <w:p w14:paraId="6840F097" w14:textId="77777777" w:rsidR="00843222" w:rsidRPr="004737C5" w:rsidRDefault="00843222" w:rsidP="00E907EE">
      <w:pPr>
        <w:numPr>
          <w:ilvl w:val="0"/>
          <w:numId w:val="14"/>
        </w:numPr>
        <w:tabs>
          <w:tab w:val="clear" w:pos="2880"/>
          <w:tab w:val="num" w:pos="709"/>
        </w:tabs>
        <w:ind w:left="709" w:hanging="425"/>
        <w:rPr>
          <w:rFonts w:cstheme="minorHAnsi"/>
          <w:color w:val="000000"/>
        </w:rPr>
      </w:pPr>
      <w:r w:rsidRPr="004737C5">
        <w:rPr>
          <w:rFonts w:cstheme="minorHAnsi"/>
          <w:color w:val="000000"/>
        </w:rPr>
        <w:t>The existence of an industry or trade association. Associations</w:t>
      </w:r>
      <w:r w:rsidR="000F174A" w:rsidRPr="004737C5">
        <w:rPr>
          <w:rFonts w:cstheme="minorHAnsi"/>
          <w:color w:val="000000"/>
        </w:rPr>
        <w:t xml:space="preserve"> tend to provide a basis for co</w:t>
      </w:r>
      <w:r w:rsidRPr="004737C5">
        <w:rPr>
          <w:rFonts w:cstheme="minorHAnsi"/>
          <w:color w:val="000000"/>
        </w:rPr>
        <w:t xml:space="preserve">ordinating economic activities and exchange of information, which may facilitate collusion. A vigilant consumer association could theoretically intervene, usually by urging action </w:t>
      </w:r>
      <w:r w:rsidR="000F174A" w:rsidRPr="004737C5">
        <w:rPr>
          <w:rFonts w:cstheme="minorHAnsi"/>
          <w:color w:val="000000"/>
        </w:rPr>
        <w:t>from the competition a</w:t>
      </w:r>
      <w:r w:rsidRPr="004737C5">
        <w:rPr>
          <w:rFonts w:cstheme="minorHAnsi"/>
          <w:color w:val="000000"/>
        </w:rPr>
        <w:t xml:space="preserve">uthority, but such intervention requires a degree of technical and legal resources that may be hard for associations to muster. </w:t>
      </w:r>
    </w:p>
    <w:p w14:paraId="1E5AB556" w14:textId="77777777" w:rsidR="00843222" w:rsidRPr="004737C5" w:rsidRDefault="00843222" w:rsidP="00E907EE">
      <w:pPr>
        <w:rPr>
          <w:rFonts w:cstheme="minorHAnsi"/>
          <w:color w:val="000000"/>
        </w:rPr>
      </w:pPr>
      <w:r w:rsidRPr="004737C5">
        <w:rPr>
          <w:rFonts w:cstheme="minorHAnsi"/>
          <w:color w:val="000000"/>
        </w:rPr>
        <w:t xml:space="preserve">Similarly, there are factors in a given market that may limit collusion. These include product heterogeneity, inter-firm cost differences, cyclical business conditions, the degree of sophistication among customers, technological change, infrequent product purchases, </w:t>
      </w:r>
      <w:r w:rsidR="000F174A" w:rsidRPr="004737C5">
        <w:rPr>
          <w:rFonts w:cstheme="minorHAnsi"/>
          <w:color w:val="000000"/>
        </w:rPr>
        <w:t>differing expectations of firms</w:t>
      </w:r>
      <w:r w:rsidRPr="004737C5">
        <w:rPr>
          <w:rFonts w:cstheme="minorHAnsi"/>
          <w:color w:val="000000"/>
        </w:rPr>
        <w:t xml:space="preserve"> and incentives to apply secret price cuts </w:t>
      </w:r>
      <w:r w:rsidR="000F174A" w:rsidRPr="004737C5">
        <w:rPr>
          <w:rFonts w:cstheme="minorHAnsi"/>
          <w:color w:val="000000"/>
        </w:rPr>
        <w:t>to</w:t>
      </w:r>
      <w:r w:rsidRPr="004737C5">
        <w:rPr>
          <w:rFonts w:cstheme="minorHAnsi"/>
          <w:color w:val="000000"/>
        </w:rPr>
        <w:t xml:space="preserve"> increase market share.</w:t>
      </w:r>
    </w:p>
    <w:p w14:paraId="18EB6DF9" w14:textId="1953CCE5" w:rsidR="00843222" w:rsidRPr="004737C5" w:rsidRDefault="00843222" w:rsidP="006D3BE8">
      <w:pPr>
        <w:rPr>
          <w:rFonts w:cstheme="minorHAnsi"/>
        </w:rPr>
      </w:pPr>
      <w:r w:rsidRPr="004737C5">
        <w:rPr>
          <w:rFonts w:cstheme="minorHAnsi"/>
        </w:rPr>
        <w:t xml:space="preserve">By virtue of its conspiratorial nature, collusion between firms to raise or fix prices and reduce output is typically viewed by most authorities as the most serious violation of competition laws. </w:t>
      </w:r>
      <w:r w:rsidR="000F174A" w:rsidRPr="004737C5">
        <w:rPr>
          <w:rFonts w:cstheme="minorHAnsi"/>
        </w:rPr>
        <w:t>Yet</w:t>
      </w:r>
      <w:r w:rsidRPr="004737C5">
        <w:rPr>
          <w:rFonts w:cstheme="minorHAnsi"/>
        </w:rPr>
        <w:t xml:space="preserve"> even here exemptions and exceptions apply. In almost all countries, associations of the learned professions (medicine, law, etc.) have affected “social contracts” that require them to supervise compliance by their members via professional codes. In exchange, the associations are permitted to determin</w:t>
      </w:r>
      <w:r w:rsidR="000F174A" w:rsidRPr="004737C5">
        <w:rPr>
          <w:rFonts w:cstheme="minorHAnsi"/>
        </w:rPr>
        <w:t>e entry and exit terms and even</w:t>
      </w:r>
      <w:r w:rsidRPr="004737C5">
        <w:rPr>
          <w:rFonts w:cstheme="minorHAnsi"/>
        </w:rPr>
        <w:t xml:space="preserve"> limited rights to fix prices. There are also, in some countries, exemptions for agricultural ca</w:t>
      </w:r>
      <w:r w:rsidR="00E907EE" w:rsidRPr="004737C5">
        <w:rPr>
          <w:rFonts w:cstheme="minorHAnsi"/>
        </w:rPr>
        <w:t>rtels and those that involve co</w:t>
      </w:r>
      <w:r w:rsidRPr="004737C5">
        <w:rPr>
          <w:rFonts w:cstheme="minorHAnsi"/>
        </w:rPr>
        <w:t>operatives or small</w:t>
      </w:r>
      <w:r w:rsidR="000F174A" w:rsidRPr="004737C5">
        <w:rPr>
          <w:rFonts w:cstheme="minorHAnsi"/>
        </w:rPr>
        <w:t>- and medium-</w:t>
      </w:r>
      <w:r w:rsidRPr="004737C5">
        <w:rPr>
          <w:rFonts w:cstheme="minorHAnsi"/>
        </w:rPr>
        <w:t>sized enterprises. In many countries export cartels are not only tolerated but also encouraged. Indeed</w:t>
      </w:r>
      <w:r w:rsidR="00616B64" w:rsidRPr="004737C5">
        <w:rPr>
          <w:rFonts w:cstheme="minorHAnsi"/>
        </w:rPr>
        <w:t>,</w:t>
      </w:r>
      <w:r w:rsidRPr="004737C5">
        <w:rPr>
          <w:rFonts w:cstheme="minorHAnsi"/>
        </w:rPr>
        <w:t xml:space="preserve"> the EC and the United States</w:t>
      </w:r>
      <w:r w:rsidR="00616B64" w:rsidRPr="004737C5">
        <w:rPr>
          <w:rFonts w:cstheme="minorHAnsi"/>
        </w:rPr>
        <w:t xml:space="preserve"> of America</w:t>
      </w:r>
      <w:r w:rsidRPr="004737C5">
        <w:rPr>
          <w:rFonts w:cstheme="minorHAnsi"/>
        </w:rPr>
        <w:t xml:space="preserve"> have operated export subsidy mechanisms</w:t>
      </w:r>
      <w:r w:rsidR="00616B64" w:rsidRPr="004737C5">
        <w:rPr>
          <w:rFonts w:cstheme="minorHAnsi"/>
        </w:rPr>
        <w:t xml:space="preserve"> that</w:t>
      </w:r>
      <w:r w:rsidR="001A0359" w:rsidRPr="004737C5">
        <w:rPr>
          <w:rFonts w:cstheme="minorHAnsi"/>
        </w:rPr>
        <w:t xml:space="preserve"> have been fiercely criticiz</w:t>
      </w:r>
      <w:r w:rsidRPr="004737C5">
        <w:rPr>
          <w:rFonts w:cstheme="minorHAnsi"/>
        </w:rPr>
        <w:t xml:space="preserve">ed by other countries because of their disruptive effects. This had been a major sticking point in the WTO negotiations until agreement in late 2015. In several countries, import cartels operate with impunity. Crucially, when comparing competition authority actions with regard to cartels and to abuse of dominance, </w:t>
      </w:r>
      <w:r w:rsidR="00616B64" w:rsidRPr="004737C5">
        <w:rPr>
          <w:rFonts w:cstheme="minorHAnsi"/>
        </w:rPr>
        <w:t xml:space="preserve">it should be it should be noted </w:t>
      </w:r>
      <w:r w:rsidRPr="004737C5">
        <w:rPr>
          <w:rFonts w:cstheme="minorHAnsi"/>
        </w:rPr>
        <w:t>that there is frequently a presumption of illegality in the case of cartels that does not exist in the case of a dominant position.</w:t>
      </w:r>
      <w:r w:rsidRPr="004737C5">
        <w:rPr>
          <w:rStyle w:val="FootnoteReference"/>
          <w:rFonts w:cstheme="minorHAnsi"/>
        </w:rPr>
        <w:footnoteReference w:id="119"/>
      </w:r>
      <w:r w:rsidRPr="004737C5">
        <w:rPr>
          <w:rFonts w:cstheme="minorHAnsi"/>
        </w:rPr>
        <w:t xml:space="preserve"> </w:t>
      </w:r>
    </w:p>
    <w:p w14:paraId="1AE6B91C" w14:textId="77777777" w:rsidR="00616B64" w:rsidRPr="004737C5" w:rsidRDefault="0026780F" w:rsidP="009771AD">
      <w:pPr>
        <w:tabs>
          <w:tab w:val="left" w:pos="4111"/>
        </w:tabs>
        <w:spacing w:before="200"/>
        <w:rPr>
          <w:rFonts w:cstheme="minorHAnsi"/>
        </w:rPr>
      </w:pPr>
      <w:bookmarkStart w:id="72" w:name="_Toc492650024"/>
      <w:r w:rsidRPr="004737C5">
        <w:rPr>
          <w:rStyle w:val="Heading3Char"/>
          <w:rFonts w:cstheme="minorHAnsi"/>
          <w:color w:val="auto"/>
        </w:rPr>
        <w:t>3</w:t>
      </w:r>
      <w:r w:rsidR="00616B64" w:rsidRPr="004737C5">
        <w:rPr>
          <w:rStyle w:val="Heading3Char"/>
          <w:rFonts w:cstheme="minorHAnsi"/>
          <w:color w:val="auto"/>
        </w:rPr>
        <w:t>.</w:t>
      </w:r>
      <w:r w:rsidR="00843222" w:rsidRPr="004737C5">
        <w:rPr>
          <w:rStyle w:val="Heading3Char"/>
          <w:rFonts w:cstheme="minorHAnsi"/>
          <w:color w:val="auto"/>
        </w:rPr>
        <w:t xml:space="preserve"> Mergers and acquisitions</w:t>
      </w:r>
      <w:bookmarkEnd w:id="72"/>
      <w:r w:rsidR="00843222" w:rsidRPr="004737C5">
        <w:rPr>
          <w:rFonts w:cstheme="minorHAnsi"/>
          <w:b/>
          <w:iCs/>
          <w:color w:val="000000"/>
        </w:rPr>
        <w:tab/>
      </w:r>
    </w:p>
    <w:p w14:paraId="20581DDF" w14:textId="0D17A986" w:rsidR="00843222" w:rsidRPr="004737C5" w:rsidRDefault="00843222" w:rsidP="00616B64">
      <w:pPr>
        <w:tabs>
          <w:tab w:val="left" w:pos="4111"/>
        </w:tabs>
        <w:rPr>
          <w:rFonts w:cstheme="minorHAnsi"/>
          <w:b/>
          <w:i/>
          <w:color w:val="000000"/>
        </w:rPr>
      </w:pPr>
      <w:r w:rsidRPr="004737C5">
        <w:rPr>
          <w:rFonts w:cstheme="minorHAnsi"/>
        </w:rPr>
        <w:t>A merger is an amalgamation or joining of two or more firms into an existing firm or to form a new firm. It is a method by which firms can increase their size and expand into existing or new economic activities and markets. A</w:t>
      </w:r>
      <w:r w:rsidR="00616B64" w:rsidRPr="004737C5">
        <w:rPr>
          <w:rFonts w:cstheme="minorHAnsi"/>
        </w:rPr>
        <w:t>n acquisition differs slightly from this. G</w:t>
      </w:r>
      <w:r w:rsidRPr="004737C5">
        <w:rPr>
          <w:rFonts w:cstheme="minorHAnsi"/>
        </w:rPr>
        <w:t xml:space="preserve">enerally it is the purchase of one company by another business entity. Here, the acquired company </w:t>
      </w:r>
      <w:r w:rsidR="00616B64" w:rsidRPr="004737C5">
        <w:rPr>
          <w:rFonts w:cstheme="minorHAnsi"/>
        </w:rPr>
        <w:t>does not retain</w:t>
      </w:r>
      <w:r w:rsidRPr="004737C5">
        <w:rPr>
          <w:rFonts w:cstheme="minorHAnsi"/>
        </w:rPr>
        <w:t xml:space="preserve"> its own iden</w:t>
      </w:r>
      <w:r w:rsidR="00E907EE" w:rsidRPr="004737C5">
        <w:rPr>
          <w:rFonts w:cstheme="minorHAnsi"/>
        </w:rPr>
        <w:t>tity. The motive for merging or</w:t>
      </w:r>
      <w:r w:rsidRPr="004737C5">
        <w:rPr>
          <w:rFonts w:cstheme="minorHAnsi"/>
        </w:rPr>
        <w:t xml:space="preserve"> acquiring</w:t>
      </w:r>
      <w:r w:rsidR="00E907EE" w:rsidRPr="004737C5">
        <w:rPr>
          <w:rFonts w:cstheme="minorHAnsi"/>
        </w:rPr>
        <w:t xml:space="preserve"> another company</w:t>
      </w:r>
      <w:r w:rsidRPr="004737C5">
        <w:rPr>
          <w:rFonts w:cstheme="minorHAnsi"/>
        </w:rPr>
        <w:t xml:space="preserve"> may be to increase economic efficiency, to acquire market power, to diversify, to expand into different geographic markets</w:t>
      </w:r>
      <w:r w:rsidR="00616B64" w:rsidRPr="004737C5">
        <w:rPr>
          <w:rFonts w:cstheme="minorHAnsi"/>
        </w:rPr>
        <w:t xml:space="preserve"> or</w:t>
      </w:r>
      <w:r w:rsidRPr="004737C5">
        <w:rPr>
          <w:rFonts w:cstheme="minorHAnsi"/>
        </w:rPr>
        <w:t xml:space="preserve"> to pursue financial and other synergies. </w:t>
      </w:r>
    </w:p>
    <w:p w14:paraId="6F7EBE6A" w14:textId="49A41672" w:rsidR="00843222" w:rsidRPr="004737C5" w:rsidRDefault="00843222" w:rsidP="006D3BE8">
      <w:pPr>
        <w:rPr>
          <w:rFonts w:cstheme="minorHAnsi"/>
        </w:rPr>
      </w:pPr>
      <w:r w:rsidRPr="004737C5">
        <w:rPr>
          <w:rFonts w:cstheme="minorHAnsi"/>
        </w:rPr>
        <w:t>Mergers and acquisitions are obviously not objectionable per se.</w:t>
      </w:r>
      <w:r w:rsidR="00616B64" w:rsidRPr="004737C5">
        <w:rPr>
          <w:rFonts w:cstheme="minorHAnsi"/>
        </w:rPr>
        <w:t xml:space="preserve"> In many developing countries, g</w:t>
      </w:r>
      <w:r w:rsidRPr="004737C5">
        <w:rPr>
          <w:rFonts w:cstheme="minorHAnsi"/>
        </w:rPr>
        <w:t xml:space="preserve">overnments encourage or even force mergers because it is considered that firms in a particular </w:t>
      </w:r>
      <w:r w:rsidRPr="004737C5">
        <w:rPr>
          <w:rFonts w:cstheme="minorHAnsi"/>
        </w:rPr>
        <w:lastRenderedPageBreak/>
        <w:t xml:space="preserve">area are too </w:t>
      </w:r>
      <w:r w:rsidR="00616B64" w:rsidRPr="004737C5">
        <w:rPr>
          <w:rFonts w:cstheme="minorHAnsi"/>
        </w:rPr>
        <w:t>numerous</w:t>
      </w:r>
      <w:r w:rsidRPr="004737C5">
        <w:rPr>
          <w:rFonts w:cstheme="minorHAnsi"/>
        </w:rPr>
        <w:t xml:space="preserve"> and </w:t>
      </w:r>
      <w:r w:rsidR="00616B64" w:rsidRPr="004737C5">
        <w:rPr>
          <w:rFonts w:cstheme="minorHAnsi"/>
        </w:rPr>
        <w:t>inefficient (the “</w:t>
      </w:r>
      <w:r w:rsidRPr="004737C5">
        <w:rPr>
          <w:rFonts w:cstheme="minorHAnsi"/>
        </w:rPr>
        <w:t>efficiency defence</w:t>
      </w:r>
      <w:r w:rsidR="00616B64" w:rsidRPr="004737C5">
        <w:rPr>
          <w:rFonts w:cstheme="minorHAnsi"/>
        </w:rPr>
        <w:t>”</w:t>
      </w:r>
      <w:r w:rsidRPr="004737C5">
        <w:rPr>
          <w:rFonts w:cstheme="minorHAnsi"/>
        </w:rPr>
        <w:t>). This is considered particu</w:t>
      </w:r>
      <w:r w:rsidR="00E907EE" w:rsidRPr="004737C5">
        <w:rPr>
          <w:rFonts w:cstheme="minorHAnsi"/>
        </w:rPr>
        <w:t>larly urgent given the liberaliz</w:t>
      </w:r>
      <w:r w:rsidRPr="004737C5">
        <w:rPr>
          <w:rFonts w:cstheme="minorHAnsi"/>
        </w:rPr>
        <w:t>ation of markets and the impending entry of foreign players, something which can have different effects in different markets. The financ</w:t>
      </w:r>
      <w:r w:rsidR="00616B64" w:rsidRPr="004737C5">
        <w:rPr>
          <w:rFonts w:cstheme="minorHAnsi"/>
        </w:rPr>
        <w:t>ial sector (banking, insurance,</w:t>
      </w:r>
      <w:r w:rsidRPr="004737C5">
        <w:rPr>
          <w:rFonts w:cstheme="minorHAnsi"/>
        </w:rPr>
        <w:t xml:space="preserve"> etc.), the non-fixed line</w:t>
      </w:r>
      <w:r w:rsidR="00616B64" w:rsidRPr="004737C5">
        <w:rPr>
          <w:rFonts w:cstheme="minorHAnsi"/>
        </w:rPr>
        <w:t xml:space="preserve"> telecommunications sector</w:t>
      </w:r>
      <w:r w:rsidRPr="004737C5">
        <w:rPr>
          <w:rFonts w:cstheme="minorHAnsi"/>
        </w:rPr>
        <w:t xml:space="preserve"> and shipping h</w:t>
      </w:r>
      <w:r w:rsidR="00616B64" w:rsidRPr="004737C5">
        <w:rPr>
          <w:rFonts w:cstheme="minorHAnsi"/>
        </w:rPr>
        <w:t>ave been of special focus</w:t>
      </w:r>
      <w:r w:rsidR="00E907EE" w:rsidRPr="004737C5">
        <w:rPr>
          <w:rFonts w:cstheme="minorHAnsi"/>
        </w:rPr>
        <w:t>,</w:t>
      </w:r>
      <w:r w:rsidR="00616B64" w:rsidRPr="004737C5">
        <w:rPr>
          <w:rFonts w:cstheme="minorHAnsi"/>
        </w:rPr>
        <w:t xml:space="preserve"> with g</w:t>
      </w:r>
      <w:r w:rsidRPr="004737C5">
        <w:rPr>
          <w:rFonts w:cstheme="minorHAnsi"/>
        </w:rPr>
        <w:t>overnments even specifying the number of firms that would be permitted to operate after specified time periods.</w:t>
      </w:r>
    </w:p>
    <w:p w14:paraId="6C5BD082" w14:textId="77777777" w:rsidR="00843222" w:rsidRPr="004737C5" w:rsidRDefault="00843222" w:rsidP="006D3BE8">
      <w:pPr>
        <w:rPr>
          <w:rFonts w:cstheme="minorHAnsi"/>
        </w:rPr>
      </w:pPr>
      <w:r w:rsidRPr="004737C5">
        <w:rPr>
          <w:rFonts w:cstheme="minorHAnsi"/>
        </w:rPr>
        <w:t>Competition regulators have to contend with an array of considerations in arriving at decisions. In many instances, the final decisions may not, in practice, be theirs to make. Governments see competition regulation as part of the policy mix for economic managemen</w:t>
      </w:r>
      <w:r w:rsidR="00616B64" w:rsidRPr="004737C5">
        <w:rPr>
          <w:rFonts w:cstheme="minorHAnsi"/>
        </w:rPr>
        <w:t>t. Changes in g</w:t>
      </w:r>
      <w:r w:rsidRPr="004737C5">
        <w:rPr>
          <w:rFonts w:cstheme="minorHAnsi"/>
        </w:rPr>
        <w:t>overnm</w:t>
      </w:r>
      <w:r w:rsidR="00616B64" w:rsidRPr="004737C5">
        <w:rPr>
          <w:rFonts w:cstheme="minorHAnsi"/>
        </w:rPr>
        <w:t xml:space="preserve">ent therefore often result in </w:t>
      </w:r>
      <w:r w:rsidRPr="004737C5">
        <w:rPr>
          <w:rFonts w:cstheme="minorHAnsi"/>
        </w:rPr>
        <w:t>change</w:t>
      </w:r>
      <w:r w:rsidR="00616B64" w:rsidRPr="004737C5">
        <w:rPr>
          <w:rFonts w:cstheme="minorHAnsi"/>
        </w:rPr>
        <w:t>s</w:t>
      </w:r>
      <w:r w:rsidRPr="004737C5">
        <w:rPr>
          <w:rFonts w:cstheme="minorHAnsi"/>
        </w:rPr>
        <w:t xml:space="preserve"> in policies and can lead to competition policy being followed with less vigour. </w:t>
      </w:r>
    </w:p>
    <w:p w14:paraId="195AE990" w14:textId="77777777" w:rsidR="00843222" w:rsidRPr="004737C5" w:rsidRDefault="00616B64" w:rsidP="00E907EE">
      <w:pPr>
        <w:pStyle w:val="Heading2"/>
        <w:spacing w:after="160"/>
        <w:rPr>
          <w:rFonts w:cstheme="minorHAnsi"/>
          <w:color w:val="auto"/>
          <w:sz w:val="24"/>
          <w:szCs w:val="24"/>
        </w:rPr>
      </w:pPr>
      <w:bookmarkStart w:id="73" w:name="_Toc492650025"/>
      <w:r w:rsidRPr="004737C5">
        <w:rPr>
          <w:rFonts w:cstheme="minorHAnsi"/>
          <w:color w:val="auto"/>
          <w:sz w:val="24"/>
          <w:szCs w:val="24"/>
        </w:rPr>
        <w:t>D.</w:t>
      </w:r>
      <w:r w:rsidR="00843222" w:rsidRPr="004737C5">
        <w:rPr>
          <w:rFonts w:cstheme="minorHAnsi"/>
          <w:color w:val="auto"/>
          <w:sz w:val="24"/>
          <w:szCs w:val="24"/>
        </w:rPr>
        <w:t xml:space="preserve"> Institutional architecture for competition</w:t>
      </w:r>
      <w:bookmarkEnd w:id="73"/>
    </w:p>
    <w:p w14:paraId="4FBF072A" w14:textId="692FE494" w:rsidR="00843222" w:rsidRPr="004737C5" w:rsidRDefault="00843222" w:rsidP="006D3BE8">
      <w:pPr>
        <w:rPr>
          <w:rFonts w:cstheme="minorHAnsi"/>
        </w:rPr>
      </w:pPr>
      <w:r w:rsidRPr="004737C5">
        <w:rPr>
          <w:rFonts w:cstheme="minorHAnsi"/>
        </w:rPr>
        <w:t>The competition-consumer protection int</w:t>
      </w:r>
      <w:r w:rsidR="001A0359" w:rsidRPr="004737C5">
        <w:rPr>
          <w:rFonts w:cstheme="minorHAnsi"/>
        </w:rPr>
        <w:t>erface is now very much emphasiz</w:t>
      </w:r>
      <w:r w:rsidR="00616B64" w:rsidRPr="004737C5">
        <w:rPr>
          <w:rFonts w:cstheme="minorHAnsi"/>
        </w:rPr>
        <w:t>ed.</w:t>
      </w:r>
      <w:r w:rsidRPr="004737C5">
        <w:rPr>
          <w:rFonts w:cstheme="minorHAnsi"/>
        </w:rPr>
        <w:t xml:space="preserve"> </w:t>
      </w:r>
      <w:r w:rsidR="00616B64" w:rsidRPr="004737C5">
        <w:rPr>
          <w:rFonts w:cstheme="minorHAnsi"/>
        </w:rPr>
        <w:t>A</w:t>
      </w:r>
      <w:r w:rsidRPr="004737C5">
        <w:rPr>
          <w:rFonts w:cstheme="minorHAnsi"/>
        </w:rPr>
        <w:t xml:space="preserve"> number of developments have provided for this impetus. One relates to the entrenchment of the</w:t>
      </w:r>
      <w:r w:rsidR="00E907EE" w:rsidRPr="004737C5">
        <w:rPr>
          <w:rFonts w:cstheme="minorHAnsi"/>
        </w:rPr>
        <w:t xml:space="preserve"> concept of the</w:t>
      </w:r>
      <w:r w:rsidRPr="004737C5">
        <w:rPr>
          <w:rFonts w:cstheme="minorHAnsi"/>
        </w:rPr>
        <w:t xml:space="preserve"> </w:t>
      </w:r>
      <w:r w:rsidR="00616B64" w:rsidRPr="004737C5">
        <w:rPr>
          <w:rFonts w:cstheme="minorHAnsi"/>
        </w:rPr>
        <w:t>“</w:t>
      </w:r>
      <w:r w:rsidRPr="004737C5">
        <w:rPr>
          <w:rFonts w:cstheme="minorHAnsi"/>
        </w:rPr>
        <w:t>free market</w:t>
      </w:r>
      <w:r w:rsidR="00616B64" w:rsidRPr="004737C5">
        <w:rPr>
          <w:rFonts w:cstheme="minorHAnsi"/>
        </w:rPr>
        <w:t>”</w:t>
      </w:r>
      <w:r w:rsidRPr="004737C5">
        <w:rPr>
          <w:rFonts w:cstheme="minorHAnsi"/>
        </w:rPr>
        <w:t>. In the 1980s and particularly the 1990s, many developing countrie</w:t>
      </w:r>
      <w:r w:rsidR="00616B64" w:rsidRPr="004737C5">
        <w:rPr>
          <w:rFonts w:cstheme="minorHAnsi"/>
        </w:rPr>
        <w:t>s underwent far-reaching market-</w:t>
      </w:r>
      <w:r w:rsidRPr="004737C5">
        <w:rPr>
          <w:rFonts w:cstheme="minorHAnsi"/>
        </w:rPr>
        <w:t>oriented reforms, leading to a considerable whi</w:t>
      </w:r>
      <w:r w:rsidR="00616B64" w:rsidRPr="004737C5">
        <w:rPr>
          <w:rFonts w:cstheme="minorHAnsi"/>
        </w:rPr>
        <w:t>ttling down of the role of the s</w:t>
      </w:r>
      <w:r w:rsidRPr="004737C5">
        <w:rPr>
          <w:rFonts w:cstheme="minorHAnsi"/>
        </w:rPr>
        <w:t>tate in economic activity through widespr</w:t>
      </w:r>
      <w:r w:rsidR="00E907EE" w:rsidRPr="004737C5">
        <w:rPr>
          <w:rFonts w:cstheme="minorHAnsi"/>
        </w:rPr>
        <w:t>ead privatiz</w:t>
      </w:r>
      <w:r w:rsidR="00616B64" w:rsidRPr="004737C5">
        <w:rPr>
          <w:rFonts w:cstheme="minorHAnsi"/>
        </w:rPr>
        <w:t>ation, deregulation and</w:t>
      </w:r>
      <w:r w:rsidRPr="004737C5">
        <w:rPr>
          <w:rFonts w:cstheme="minorHAnsi"/>
        </w:rPr>
        <w:t xml:space="preserve"> internal </w:t>
      </w:r>
      <w:r w:rsidR="00E907EE" w:rsidRPr="004737C5">
        <w:rPr>
          <w:rFonts w:cstheme="minorHAnsi"/>
        </w:rPr>
        <w:t>and external financial liberalization. However, privatiz</w:t>
      </w:r>
      <w:r w:rsidRPr="004737C5">
        <w:rPr>
          <w:rFonts w:cstheme="minorHAnsi"/>
        </w:rPr>
        <w:t>ation in practice often mean</w:t>
      </w:r>
      <w:r w:rsidR="00616B64" w:rsidRPr="004737C5">
        <w:rPr>
          <w:rFonts w:cstheme="minorHAnsi"/>
        </w:rPr>
        <w:t>t</w:t>
      </w:r>
      <w:r w:rsidRPr="004737C5">
        <w:rPr>
          <w:rFonts w:cstheme="minorHAnsi"/>
        </w:rPr>
        <w:t xml:space="preserve"> replacing a public monopoly with a private one. Competition policy and law </w:t>
      </w:r>
      <w:r w:rsidR="00025031" w:rsidRPr="004737C5">
        <w:rPr>
          <w:rFonts w:cstheme="minorHAnsi"/>
        </w:rPr>
        <w:t xml:space="preserve">have </w:t>
      </w:r>
      <w:r w:rsidRPr="004737C5">
        <w:rPr>
          <w:rFonts w:cstheme="minorHAnsi"/>
        </w:rPr>
        <w:t>thus c</w:t>
      </w:r>
      <w:r w:rsidR="00025031" w:rsidRPr="004737C5">
        <w:rPr>
          <w:rFonts w:cstheme="minorHAnsi"/>
        </w:rPr>
        <w:t>o</w:t>
      </w:r>
      <w:r w:rsidRPr="004737C5">
        <w:rPr>
          <w:rFonts w:cstheme="minorHAnsi"/>
        </w:rPr>
        <w:t xml:space="preserve">me to be </w:t>
      </w:r>
      <w:r w:rsidR="00616B64" w:rsidRPr="004737C5">
        <w:rPr>
          <w:rFonts w:cstheme="minorHAnsi"/>
        </w:rPr>
        <w:t>seen as an additional tool for</w:t>
      </w:r>
      <w:r w:rsidRPr="004737C5">
        <w:rPr>
          <w:rFonts w:cstheme="minorHAnsi"/>
        </w:rPr>
        <w:t xml:space="preserve"> consumer protection, notably in the emerging m</w:t>
      </w:r>
      <w:r w:rsidR="00616B64" w:rsidRPr="004737C5">
        <w:rPr>
          <w:rFonts w:cstheme="minorHAnsi"/>
        </w:rPr>
        <w:t>arket economies of C</w:t>
      </w:r>
      <w:r w:rsidRPr="004737C5">
        <w:rPr>
          <w:rFonts w:cstheme="minorHAnsi"/>
        </w:rPr>
        <w:t>entral</w:t>
      </w:r>
      <w:r w:rsidR="00925643" w:rsidRPr="004737C5">
        <w:rPr>
          <w:rFonts w:cstheme="minorHAnsi"/>
        </w:rPr>
        <w:t xml:space="preserve"> and Eastern</w:t>
      </w:r>
      <w:r w:rsidRPr="004737C5">
        <w:rPr>
          <w:rFonts w:cstheme="minorHAnsi"/>
        </w:rPr>
        <w:t xml:space="preserve"> Europe, for example</w:t>
      </w:r>
      <w:r w:rsidR="00925643" w:rsidRPr="004737C5">
        <w:rPr>
          <w:rFonts w:cstheme="minorHAnsi"/>
        </w:rPr>
        <w:t>,</w:t>
      </w:r>
      <w:r w:rsidRPr="004737C5">
        <w:rPr>
          <w:rFonts w:cstheme="minorHAnsi"/>
        </w:rPr>
        <w:t xml:space="preserve"> where consumer pro</w:t>
      </w:r>
      <w:r w:rsidR="00925643" w:rsidRPr="004737C5">
        <w:rPr>
          <w:rFonts w:cstheme="minorHAnsi"/>
        </w:rPr>
        <w:t>t</w:t>
      </w:r>
      <w:r w:rsidR="00E907EE" w:rsidRPr="004737C5">
        <w:rPr>
          <w:rFonts w:cstheme="minorHAnsi"/>
        </w:rPr>
        <w:t>ection was often entrusted to “anti-m</w:t>
      </w:r>
      <w:r w:rsidR="00925643" w:rsidRPr="004737C5">
        <w:rPr>
          <w:rFonts w:cstheme="minorHAnsi"/>
        </w:rPr>
        <w:t>onopoly”</w:t>
      </w:r>
      <w:r w:rsidRPr="004737C5">
        <w:rPr>
          <w:rFonts w:cstheme="minorHAnsi"/>
        </w:rPr>
        <w:t xml:space="preserve"> o</w:t>
      </w:r>
      <w:r w:rsidR="004240DC" w:rsidRPr="004737C5">
        <w:rPr>
          <w:rFonts w:cstheme="minorHAnsi"/>
        </w:rPr>
        <w:t>ffices, as outlined in chapter IV</w:t>
      </w:r>
      <w:r w:rsidRPr="004737C5">
        <w:rPr>
          <w:rFonts w:cstheme="minorHAnsi"/>
        </w:rPr>
        <w:t>.</w:t>
      </w:r>
    </w:p>
    <w:p w14:paraId="6E82A588" w14:textId="2CC02669" w:rsidR="00843222" w:rsidRPr="004737C5" w:rsidRDefault="00E907EE" w:rsidP="006D3BE8">
      <w:pPr>
        <w:rPr>
          <w:rFonts w:cstheme="minorHAnsi"/>
        </w:rPr>
      </w:pPr>
      <w:r w:rsidRPr="004737C5">
        <w:rPr>
          <w:rFonts w:cstheme="minorHAnsi"/>
        </w:rPr>
        <w:t>The OECD Best P</w:t>
      </w:r>
      <w:r w:rsidR="00843222" w:rsidRPr="004737C5">
        <w:rPr>
          <w:rFonts w:cstheme="minorHAnsi"/>
        </w:rPr>
        <w:t>ractic</w:t>
      </w:r>
      <w:r w:rsidRPr="004737C5">
        <w:rPr>
          <w:rFonts w:cstheme="minorHAnsi"/>
        </w:rPr>
        <w:t>e Round</w:t>
      </w:r>
      <w:r w:rsidR="00843222" w:rsidRPr="004737C5">
        <w:rPr>
          <w:rFonts w:cstheme="minorHAnsi"/>
        </w:rPr>
        <w:t xml:space="preserve">table in 2015 noted </w:t>
      </w:r>
      <w:r w:rsidR="00925643" w:rsidRPr="004737C5">
        <w:rPr>
          <w:rFonts w:cstheme="minorHAnsi"/>
        </w:rPr>
        <w:t>a</w:t>
      </w:r>
      <w:r w:rsidR="00843222" w:rsidRPr="004737C5">
        <w:rPr>
          <w:rFonts w:cstheme="minorHAnsi"/>
        </w:rPr>
        <w:t xml:space="preserve"> gradual change in institutional architecture for competition authorities and </w:t>
      </w:r>
      <w:r w:rsidR="00925643" w:rsidRPr="004737C5">
        <w:rPr>
          <w:rFonts w:cstheme="minorHAnsi"/>
        </w:rPr>
        <w:t>a</w:t>
      </w:r>
      <w:r w:rsidR="00843222" w:rsidRPr="004737C5">
        <w:rPr>
          <w:rFonts w:cstheme="minorHAnsi"/>
        </w:rPr>
        <w:t xml:space="preserve"> tendency for competition, sectoral regulation and public procurement to move together.</w:t>
      </w:r>
      <w:r w:rsidR="00843222" w:rsidRPr="004737C5">
        <w:rPr>
          <w:rStyle w:val="FootnoteReference"/>
          <w:rFonts w:cstheme="minorHAnsi"/>
        </w:rPr>
        <w:footnoteReference w:id="120"/>
      </w:r>
      <w:r w:rsidR="00843222" w:rsidRPr="004737C5">
        <w:rPr>
          <w:rFonts w:cstheme="minorHAnsi"/>
        </w:rPr>
        <w:t xml:space="preserve"> For example, the </w:t>
      </w:r>
      <w:r w:rsidR="00712A2A" w:rsidRPr="004737C5">
        <w:rPr>
          <w:rFonts w:cstheme="minorHAnsi"/>
        </w:rPr>
        <w:t xml:space="preserve">Republic of </w:t>
      </w:r>
      <w:r w:rsidR="00843222" w:rsidRPr="004737C5">
        <w:rPr>
          <w:rFonts w:cstheme="minorHAnsi"/>
        </w:rPr>
        <w:t>Korea</w:t>
      </w:r>
      <w:r w:rsidR="00925643" w:rsidRPr="004737C5">
        <w:rPr>
          <w:rFonts w:cstheme="minorHAnsi"/>
        </w:rPr>
        <w:t>’s Fair Trade</w:t>
      </w:r>
      <w:r w:rsidR="00843222" w:rsidRPr="004737C5">
        <w:rPr>
          <w:rFonts w:cstheme="minorHAnsi"/>
        </w:rPr>
        <w:t xml:space="preserve"> Commission took over consumer protection from </w:t>
      </w:r>
      <w:r w:rsidR="00925643" w:rsidRPr="004737C5">
        <w:rPr>
          <w:rFonts w:cstheme="minorHAnsi"/>
        </w:rPr>
        <w:t>its</w:t>
      </w:r>
      <w:r w:rsidR="00843222" w:rsidRPr="004737C5">
        <w:rPr>
          <w:rFonts w:cstheme="minorHAnsi"/>
        </w:rPr>
        <w:t xml:space="preserve"> Ministry of Finance in 2008. The tendency has been particularly pronounced in Northern Europe in recent years</w:t>
      </w:r>
      <w:r w:rsidR="00025031" w:rsidRPr="004737C5">
        <w:rPr>
          <w:rFonts w:cstheme="minorHAnsi"/>
        </w:rPr>
        <w:t>.</w:t>
      </w:r>
      <w:r w:rsidR="00925643" w:rsidRPr="004737C5">
        <w:rPr>
          <w:rFonts w:cstheme="minorHAnsi"/>
        </w:rPr>
        <w:t xml:space="preserve"> Finland</w:t>
      </w:r>
      <w:r w:rsidR="00843222" w:rsidRPr="004737C5">
        <w:rPr>
          <w:rFonts w:cstheme="minorHAnsi"/>
        </w:rPr>
        <w:t xml:space="preserve"> (where the Director General for consumer protection is also the consumer ombudsman), Ireland,</w:t>
      </w:r>
      <w:r w:rsidR="00925643" w:rsidRPr="004737C5">
        <w:rPr>
          <w:rFonts w:cstheme="minorHAnsi"/>
        </w:rPr>
        <w:t xml:space="preserve"> Denmark</w:t>
      </w:r>
      <w:r w:rsidR="00843222" w:rsidRPr="004737C5">
        <w:rPr>
          <w:rFonts w:cstheme="minorHAnsi"/>
        </w:rPr>
        <w:t xml:space="preserve"> and the Netherlands</w:t>
      </w:r>
      <w:r w:rsidR="00025031" w:rsidRPr="004737C5">
        <w:rPr>
          <w:rFonts w:cstheme="minorHAnsi"/>
        </w:rPr>
        <w:t xml:space="preserve"> have</w:t>
      </w:r>
      <w:r w:rsidR="00843222" w:rsidRPr="004737C5">
        <w:rPr>
          <w:rFonts w:cstheme="minorHAnsi"/>
        </w:rPr>
        <w:t xml:space="preserve"> all moved in this direction. The </w:t>
      </w:r>
      <w:r w:rsidR="00925643" w:rsidRPr="004737C5">
        <w:rPr>
          <w:rFonts w:cstheme="minorHAnsi"/>
        </w:rPr>
        <w:t xml:space="preserve">Federal Trade Commission (FTC) of the United States of America </w:t>
      </w:r>
      <w:r w:rsidR="00843222" w:rsidRPr="004737C5">
        <w:rPr>
          <w:rFonts w:cstheme="minorHAnsi"/>
        </w:rPr>
        <w:t>has long housed consumer protection and competition directorates under the same roof</w:t>
      </w:r>
      <w:r w:rsidR="00925643" w:rsidRPr="004737C5">
        <w:rPr>
          <w:rFonts w:cstheme="minorHAnsi"/>
        </w:rPr>
        <w:t>,</w:t>
      </w:r>
      <w:r w:rsidR="00843222" w:rsidRPr="004737C5">
        <w:rPr>
          <w:rFonts w:cstheme="minorHAnsi"/>
        </w:rPr>
        <w:t xml:space="preserve"> but with different departments taking responsibility</w:t>
      </w:r>
      <w:r w:rsidR="00925643" w:rsidRPr="004737C5">
        <w:rPr>
          <w:rFonts w:cstheme="minorHAnsi"/>
        </w:rPr>
        <w:t xml:space="preserve"> for each</w:t>
      </w:r>
      <w:r w:rsidR="00843222" w:rsidRPr="004737C5">
        <w:rPr>
          <w:rFonts w:cstheme="minorHAnsi"/>
        </w:rPr>
        <w:t>. For example</w:t>
      </w:r>
      <w:r w:rsidR="00925643" w:rsidRPr="004737C5">
        <w:rPr>
          <w:rFonts w:cstheme="minorHAnsi"/>
        </w:rPr>
        <w:t>,</w:t>
      </w:r>
      <w:r w:rsidR="00843222" w:rsidRPr="004737C5">
        <w:rPr>
          <w:rFonts w:cstheme="minorHAnsi"/>
        </w:rPr>
        <w:t xml:space="preserve"> in the recent instance of Facebook purchasing WhatsApp, the two parts of the </w:t>
      </w:r>
      <w:r w:rsidR="00925643" w:rsidRPr="004737C5">
        <w:rPr>
          <w:rFonts w:cstheme="minorHAnsi"/>
        </w:rPr>
        <w:t>commission</w:t>
      </w:r>
      <w:r w:rsidR="00843222" w:rsidRPr="004737C5">
        <w:rPr>
          <w:rFonts w:cstheme="minorHAnsi"/>
        </w:rPr>
        <w:t xml:space="preserve"> co</w:t>
      </w:r>
      <w:r w:rsidR="00925643" w:rsidRPr="004737C5">
        <w:rPr>
          <w:rFonts w:cstheme="minorHAnsi"/>
        </w:rPr>
        <w:t>nducted separate investigations,</w:t>
      </w:r>
      <w:r w:rsidR="00843222" w:rsidRPr="004737C5">
        <w:rPr>
          <w:rFonts w:cstheme="minorHAnsi"/>
        </w:rPr>
        <w:t xml:space="preserve"> the Consumer Protection Bureau looking primarily at safeguards for consumer privacy rather than competition issues, which were obviously the domain of the Competition Bureau. In the United Kingdom</w:t>
      </w:r>
      <w:r w:rsidR="00925643" w:rsidRPr="004737C5">
        <w:rPr>
          <w:rFonts w:cstheme="minorHAnsi"/>
        </w:rPr>
        <w:t xml:space="preserve"> of Great Britain and Northern Ireland</w:t>
      </w:r>
      <w:r w:rsidR="00843222" w:rsidRPr="004737C5">
        <w:rPr>
          <w:rFonts w:cstheme="minorHAnsi"/>
        </w:rPr>
        <w:t>, the Office of Fair Trading and the Competition Authority have merged to become the Competition and Markets Authority, its powers concurrent with sectoral regulators. Policing the market is the job of the Trading Standards service, which operates locally as departments of local authorities. There are</w:t>
      </w:r>
      <w:r w:rsidR="00925643" w:rsidRPr="004737C5">
        <w:rPr>
          <w:rFonts w:cstheme="minorHAnsi"/>
        </w:rPr>
        <w:t>,</w:t>
      </w:r>
      <w:r w:rsidR="00843222" w:rsidRPr="004737C5">
        <w:rPr>
          <w:rFonts w:cstheme="minorHAnsi"/>
        </w:rPr>
        <w:t xml:space="preserve"> however, exceptions. Iceland and Japan have moved the other way and in </w:t>
      </w:r>
      <w:r w:rsidR="00C36EAA" w:rsidRPr="004737C5">
        <w:rPr>
          <w:rFonts w:cstheme="minorHAnsi"/>
        </w:rPr>
        <w:t xml:space="preserve">the </w:t>
      </w:r>
      <w:r w:rsidR="00843222" w:rsidRPr="004737C5">
        <w:rPr>
          <w:rFonts w:cstheme="minorHAnsi"/>
        </w:rPr>
        <w:t>Russia</w:t>
      </w:r>
      <w:r w:rsidR="00C36EAA" w:rsidRPr="004737C5">
        <w:rPr>
          <w:rFonts w:cstheme="minorHAnsi"/>
        </w:rPr>
        <w:t>n Federation</w:t>
      </w:r>
      <w:r w:rsidR="00843222" w:rsidRPr="004737C5">
        <w:rPr>
          <w:rFonts w:cstheme="minorHAnsi"/>
        </w:rPr>
        <w:t xml:space="preserve">, the Anti-Monopoly service remains separate from the consumer protection agency, Rospotrebnadzor. The </w:t>
      </w:r>
      <w:r w:rsidR="00843222" w:rsidRPr="004737C5">
        <w:rPr>
          <w:rFonts w:cstheme="minorHAnsi"/>
          <w:bCs/>
          <w:iCs/>
        </w:rPr>
        <w:t>South African</w:t>
      </w:r>
      <w:r w:rsidR="00843222" w:rsidRPr="004737C5">
        <w:rPr>
          <w:rFonts w:cstheme="minorHAnsi"/>
          <w:b/>
          <w:bCs/>
          <w:i/>
          <w:iCs/>
        </w:rPr>
        <w:t xml:space="preserve"> </w:t>
      </w:r>
      <w:r w:rsidR="00843222" w:rsidRPr="004737C5">
        <w:rPr>
          <w:rFonts w:cstheme="minorHAnsi"/>
        </w:rPr>
        <w:t xml:space="preserve">Department of Trade and Industry is responsible for consumer protection, while the Competition Commission, a statutory body, handles competition regulation and enforcement. </w:t>
      </w:r>
    </w:p>
    <w:p w14:paraId="251532FE" w14:textId="77777777" w:rsidR="00843222" w:rsidRPr="004737C5" w:rsidRDefault="00843222" w:rsidP="006D3BE8">
      <w:pPr>
        <w:rPr>
          <w:rFonts w:cstheme="minorHAnsi"/>
        </w:rPr>
      </w:pPr>
      <w:r w:rsidRPr="004737C5">
        <w:rPr>
          <w:rFonts w:cstheme="minorHAnsi"/>
        </w:rPr>
        <w:t>Another factor affecting the institutional architecture is that an ever increasing number of international, as well as regional, agencies have made an explicit commitment to competition policy and law and</w:t>
      </w:r>
      <w:r w:rsidR="00025031" w:rsidRPr="004737C5">
        <w:rPr>
          <w:rFonts w:cstheme="minorHAnsi"/>
        </w:rPr>
        <w:t>, to this end,</w:t>
      </w:r>
      <w:r w:rsidRPr="004737C5">
        <w:rPr>
          <w:rFonts w:cstheme="minorHAnsi"/>
        </w:rPr>
        <w:t xml:space="preserve"> </w:t>
      </w:r>
      <w:r w:rsidR="001A0359" w:rsidRPr="004737C5">
        <w:rPr>
          <w:rFonts w:cstheme="minorHAnsi"/>
        </w:rPr>
        <w:t>have emphasiz</w:t>
      </w:r>
      <w:r w:rsidRPr="004737C5">
        <w:rPr>
          <w:rFonts w:cstheme="minorHAnsi"/>
        </w:rPr>
        <w:t xml:space="preserve">ed the role these can play in consumer protection. </w:t>
      </w:r>
      <w:r w:rsidRPr="004737C5">
        <w:rPr>
          <w:rFonts w:cstheme="minorHAnsi"/>
        </w:rPr>
        <w:lastRenderedPageBreak/>
        <w:t>Consumer issues have thereby come to the forefront. Examples of these org</w:t>
      </w:r>
      <w:r w:rsidR="00925643" w:rsidRPr="004737C5">
        <w:rPr>
          <w:rFonts w:cstheme="minorHAnsi"/>
        </w:rPr>
        <w:t>anizations are UNCTAD, the OECD</w:t>
      </w:r>
      <w:r w:rsidRPr="004737C5">
        <w:rPr>
          <w:rFonts w:cstheme="minorHAnsi"/>
        </w:rPr>
        <w:t xml:space="preserve"> and the International Competition </w:t>
      </w:r>
      <w:r w:rsidR="00925643" w:rsidRPr="004737C5">
        <w:rPr>
          <w:rFonts w:cstheme="minorHAnsi"/>
        </w:rPr>
        <w:t>Network (ICN). Box 6 elaborates.</w:t>
      </w:r>
    </w:p>
    <w:tbl>
      <w:tblPr>
        <w:tblStyle w:val="TableGrid"/>
        <w:tblW w:w="0" w:type="auto"/>
        <w:tblLook w:val="04A0" w:firstRow="1" w:lastRow="0" w:firstColumn="1" w:lastColumn="0" w:noHBand="0" w:noVBand="1"/>
      </w:tblPr>
      <w:tblGrid>
        <w:gridCol w:w="9243"/>
      </w:tblGrid>
      <w:tr w:rsidR="00925643" w:rsidRPr="004737C5" w14:paraId="4967DD50" w14:textId="77777777" w:rsidTr="00925643">
        <w:tc>
          <w:tcPr>
            <w:tcW w:w="9628" w:type="dxa"/>
          </w:tcPr>
          <w:p w14:paraId="3951F2FF" w14:textId="77777777" w:rsidR="00925643" w:rsidRPr="004737C5" w:rsidRDefault="00925643" w:rsidP="00925643">
            <w:pPr>
              <w:rPr>
                <w:rFonts w:cstheme="minorHAnsi"/>
                <w:b/>
              </w:rPr>
            </w:pPr>
            <w:r w:rsidRPr="004737C5">
              <w:rPr>
                <w:rFonts w:cstheme="minorHAnsi"/>
                <w:b/>
              </w:rPr>
              <w:t>Box 6. International organizations and networks on competition policy</w:t>
            </w:r>
          </w:p>
          <w:p w14:paraId="17E3E75F" w14:textId="77777777" w:rsidR="00507023" w:rsidRPr="004737C5" w:rsidRDefault="00925643" w:rsidP="00E907EE">
            <w:pPr>
              <w:pStyle w:val="BodyText2"/>
              <w:spacing w:before="160"/>
              <w:jc w:val="left"/>
              <w:rPr>
                <w:rFonts w:asciiTheme="minorHAnsi" w:hAnsiTheme="minorHAnsi" w:cstheme="minorHAnsi"/>
                <w:b/>
                <w:color w:val="auto"/>
                <w:szCs w:val="22"/>
              </w:rPr>
            </w:pPr>
            <w:r w:rsidRPr="004737C5">
              <w:rPr>
                <w:rFonts w:asciiTheme="minorHAnsi" w:hAnsiTheme="minorHAnsi" w:cstheme="minorHAnsi"/>
                <w:b/>
                <w:color w:val="auto"/>
                <w:szCs w:val="22"/>
              </w:rPr>
              <w:t>United Nations Conference on Trade and Development (UNCTAD)</w:t>
            </w:r>
          </w:p>
          <w:p w14:paraId="1D2FECF9" w14:textId="77777777" w:rsidR="00925643" w:rsidRPr="004737C5" w:rsidRDefault="00FB5819" w:rsidP="00507023">
            <w:pPr>
              <w:pStyle w:val="BodyText2"/>
              <w:jc w:val="left"/>
              <w:rPr>
                <w:rStyle w:val="Hyperlink"/>
                <w:rFonts w:asciiTheme="minorHAnsi" w:hAnsiTheme="minorHAnsi" w:cstheme="minorHAnsi"/>
                <w:b/>
                <w:color w:val="auto"/>
                <w:szCs w:val="22"/>
                <w:u w:val="none"/>
              </w:rPr>
            </w:pPr>
            <w:hyperlink r:id="rId13" w:history="1">
              <w:r w:rsidR="00925643" w:rsidRPr="004737C5">
                <w:rPr>
                  <w:rStyle w:val="Hyperlink"/>
                  <w:rFonts w:asciiTheme="minorHAnsi" w:hAnsiTheme="minorHAnsi" w:cstheme="minorHAnsi"/>
                  <w:szCs w:val="22"/>
                </w:rPr>
                <w:t>www.unctad.org</w:t>
              </w:r>
            </w:hyperlink>
          </w:p>
          <w:p w14:paraId="52A2CE8B" w14:textId="39530F96" w:rsidR="00925643" w:rsidRPr="004737C5" w:rsidRDefault="00925643" w:rsidP="00E907EE">
            <w:pPr>
              <w:pStyle w:val="Title"/>
              <w:spacing w:after="160"/>
              <w:jc w:val="both"/>
              <w:rPr>
                <w:rFonts w:asciiTheme="minorHAnsi" w:hAnsiTheme="minorHAnsi" w:cstheme="minorHAnsi"/>
                <w:b w:val="0"/>
                <w:bCs/>
                <w:i/>
                <w:iCs/>
                <w:color w:val="FF0000"/>
                <w:sz w:val="22"/>
                <w:szCs w:val="22"/>
              </w:rPr>
            </w:pPr>
            <w:r w:rsidRPr="004737C5">
              <w:rPr>
                <w:rFonts w:asciiTheme="minorHAnsi" w:hAnsiTheme="minorHAnsi" w:cstheme="minorHAnsi"/>
                <w:b w:val="0"/>
                <w:sz w:val="22"/>
                <w:szCs w:val="22"/>
              </w:rPr>
              <w:t xml:space="preserve">Established in 1964, the United Nations Conference on Trade and Development (UNCTAD) aims at the development-friendly integration of developing countries into the world economy. UNCTAD is the </w:t>
            </w:r>
            <w:r w:rsidRPr="004737C5">
              <w:rPr>
                <w:rStyle w:val="Strong"/>
                <w:rFonts w:asciiTheme="minorHAnsi" w:hAnsiTheme="minorHAnsi" w:cstheme="minorHAnsi"/>
                <w:sz w:val="22"/>
                <w:szCs w:val="22"/>
              </w:rPr>
              <w:t>focal point within the United Nations</w:t>
            </w:r>
            <w:r w:rsidRPr="004737C5">
              <w:rPr>
                <w:rFonts w:asciiTheme="minorHAnsi" w:hAnsiTheme="minorHAnsi" w:cstheme="minorHAnsi"/>
                <w:b w:val="0"/>
                <w:sz w:val="22"/>
                <w:szCs w:val="22"/>
              </w:rPr>
              <w:t xml:space="preserve"> for the integrated treatment of trade and development and interrelated issues in the areas of trade, finance, technology, investment and sustainable development. It is also the focal point for competition and for consumer protection. UNCTAD is a </w:t>
            </w:r>
            <w:r w:rsidRPr="004737C5">
              <w:rPr>
                <w:rStyle w:val="Strong"/>
                <w:rFonts w:asciiTheme="minorHAnsi" w:hAnsiTheme="minorHAnsi" w:cstheme="minorHAnsi"/>
                <w:sz w:val="22"/>
                <w:szCs w:val="22"/>
              </w:rPr>
              <w:t>forum for intergovernmental discussions and deliberations,</w:t>
            </w:r>
            <w:r w:rsidRPr="004737C5">
              <w:rPr>
                <w:rFonts w:asciiTheme="minorHAnsi" w:hAnsiTheme="minorHAnsi" w:cstheme="minorHAnsi"/>
                <w:b w:val="0"/>
                <w:sz w:val="22"/>
                <w:szCs w:val="22"/>
              </w:rPr>
              <w:t xml:space="preserve"> supported by discussions with experts and exchanges of</w:t>
            </w:r>
            <w:r w:rsidR="00507023" w:rsidRPr="004737C5">
              <w:rPr>
                <w:rFonts w:asciiTheme="minorHAnsi" w:hAnsiTheme="minorHAnsi" w:cstheme="minorHAnsi"/>
                <w:b w:val="0"/>
                <w:sz w:val="22"/>
                <w:szCs w:val="22"/>
              </w:rPr>
              <w:t xml:space="preserve"> experience, aimed at consensus-</w:t>
            </w:r>
            <w:r w:rsidRPr="004737C5">
              <w:rPr>
                <w:rFonts w:asciiTheme="minorHAnsi" w:hAnsiTheme="minorHAnsi" w:cstheme="minorHAnsi"/>
                <w:b w:val="0"/>
                <w:sz w:val="22"/>
                <w:szCs w:val="22"/>
              </w:rPr>
              <w:t xml:space="preserve">building. UNCTAD undertakes </w:t>
            </w:r>
            <w:r w:rsidRPr="004737C5">
              <w:rPr>
                <w:rStyle w:val="Strong"/>
                <w:rFonts w:asciiTheme="minorHAnsi" w:hAnsiTheme="minorHAnsi" w:cstheme="minorHAnsi"/>
                <w:sz w:val="22"/>
                <w:szCs w:val="22"/>
              </w:rPr>
              <w:t>research, policy analysis and data collection</w:t>
            </w:r>
            <w:r w:rsidRPr="004737C5">
              <w:rPr>
                <w:rFonts w:asciiTheme="minorHAnsi" w:hAnsiTheme="minorHAnsi" w:cstheme="minorHAnsi"/>
                <w:b w:val="0"/>
                <w:sz w:val="22"/>
                <w:szCs w:val="22"/>
              </w:rPr>
              <w:t xml:space="preserve"> in order to provide substantive inputs for </w:t>
            </w:r>
            <w:r w:rsidR="00507023" w:rsidRPr="004737C5">
              <w:rPr>
                <w:rFonts w:asciiTheme="minorHAnsi" w:hAnsiTheme="minorHAnsi" w:cstheme="minorHAnsi"/>
                <w:b w:val="0"/>
                <w:sz w:val="22"/>
                <w:szCs w:val="22"/>
              </w:rPr>
              <w:t>the discussions of experts and g</w:t>
            </w:r>
            <w:r w:rsidRPr="004737C5">
              <w:rPr>
                <w:rFonts w:asciiTheme="minorHAnsi" w:hAnsiTheme="minorHAnsi" w:cstheme="minorHAnsi"/>
                <w:b w:val="0"/>
                <w:sz w:val="22"/>
                <w:szCs w:val="22"/>
              </w:rPr>
              <w:t xml:space="preserve">overnment representatives. UNCTAD, in cooperation with other organizations and donor countries, provides </w:t>
            </w:r>
            <w:r w:rsidRPr="004737C5">
              <w:rPr>
                <w:rStyle w:val="Strong"/>
                <w:rFonts w:asciiTheme="minorHAnsi" w:hAnsiTheme="minorHAnsi" w:cstheme="minorHAnsi"/>
                <w:sz w:val="22"/>
                <w:szCs w:val="22"/>
              </w:rPr>
              <w:t>technical assistance</w:t>
            </w:r>
            <w:r w:rsidRPr="004737C5">
              <w:rPr>
                <w:rFonts w:asciiTheme="minorHAnsi" w:hAnsiTheme="minorHAnsi" w:cstheme="minorHAnsi"/>
                <w:b w:val="0"/>
                <w:sz w:val="22"/>
                <w:szCs w:val="22"/>
              </w:rPr>
              <w:t xml:space="preserve"> tailored to the needs of developing countries, with special attention paid to the needs o</w:t>
            </w:r>
            <w:r w:rsidR="00E907EE" w:rsidRPr="004737C5">
              <w:rPr>
                <w:rFonts w:asciiTheme="minorHAnsi" w:hAnsiTheme="minorHAnsi" w:cstheme="minorHAnsi"/>
                <w:b w:val="0"/>
                <w:sz w:val="22"/>
                <w:szCs w:val="22"/>
              </w:rPr>
              <w:t>f</w:t>
            </w:r>
            <w:r w:rsidR="00507023" w:rsidRPr="004737C5">
              <w:rPr>
                <w:rFonts w:asciiTheme="minorHAnsi" w:hAnsiTheme="minorHAnsi" w:cstheme="minorHAnsi"/>
                <w:b w:val="0"/>
                <w:sz w:val="22"/>
                <w:szCs w:val="22"/>
              </w:rPr>
              <w:t xml:space="preserve"> least developed countries</w:t>
            </w:r>
            <w:r w:rsidRPr="004737C5">
              <w:rPr>
                <w:rFonts w:asciiTheme="minorHAnsi" w:hAnsiTheme="minorHAnsi" w:cstheme="minorHAnsi"/>
                <w:b w:val="0"/>
                <w:sz w:val="22"/>
                <w:szCs w:val="22"/>
              </w:rPr>
              <w:t xml:space="preserve"> and countries with economies in transition. UNCTAD hosts an annual meeting of competition experts, including agencies and independent experts, namely the Intergo</w:t>
            </w:r>
            <w:r w:rsidR="00507023" w:rsidRPr="004737C5">
              <w:rPr>
                <w:rFonts w:asciiTheme="minorHAnsi" w:hAnsiTheme="minorHAnsi" w:cstheme="minorHAnsi"/>
                <w:b w:val="0"/>
                <w:sz w:val="22"/>
                <w:szCs w:val="22"/>
              </w:rPr>
              <w:t>vernmental Group of Experts on Competition Law and P</w:t>
            </w:r>
            <w:r w:rsidRPr="004737C5">
              <w:rPr>
                <w:rFonts w:asciiTheme="minorHAnsi" w:hAnsiTheme="minorHAnsi" w:cstheme="minorHAnsi"/>
                <w:b w:val="0"/>
                <w:sz w:val="22"/>
                <w:szCs w:val="22"/>
              </w:rPr>
              <w:t>olicy.</w:t>
            </w:r>
            <w:r w:rsidR="00507023" w:rsidRPr="004737C5">
              <w:rPr>
                <w:rFonts w:asciiTheme="minorHAnsi" w:hAnsiTheme="minorHAnsi" w:cstheme="minorHAnsi"/>
                <w:b w:val="0"/>
                <w:sz w:val="22"/>
                <w:szCs w:val="22"/>
              </w:rPr>
              <w:t xml:space="preserve"> These meetings take place back-to-</w:t>
            </w:r>
            <w:r w:rsidRPr="004737C5">
              <w:rPr>
                <w:rFonts w:asciiTheme="minorHAnsi" w:hAnsiTheme="minorHAnsi" w:cstheme="minorHAnsi"/>
                <w:b w:val="0"/>
                <w:sz w:val="22"/>
                <w:szCs w:val="22"/>
              </w:rPr>
              <w:t xml:space="preserve">back with </w:t>
            </w:r>
            <w:r w:rsidR="00507023" w:rsidRPr="004737C5">
              <w:rPr>
                <w:rFonts w:asciiTheme="minorHAnsi" w:hAnsiTheme="minorHAnsi" w:cstheme="minorHAnsi"/>
                <w:b w:val="0"/>
                <w:sz w:val="22"/>
                <w:szCs w:val="22"/>
              </w:rPr>
              <w:t>those of the Intergovernmental Group of Experts on Consumer Protection Law and P</w:t>
            </w:r>
            <w:r w:rsidRPr="004737C5">
              <w:rPr>
                <w:rFonts w:asciiTheme="minorHAnsi" w:hAnsiTheme="minorHAnsi" w:cstheme="minorHAnsi"/>
                <w:b w:val="0"/>
                <w:sz w:val="22"/>
                <w:szCs w:val="22"/>
              </w:rPr>
              <w:t xml:space="preserve">olicy. </w:t>
            </w:r>
          </w:p>
          <w:p w14:paraId="4ADA8C47" w14:textId="77777777" w:rsidR="00507023" w:rsidRPr="004737C5" w:rsidRDefault="004A581F" w:rsidP="00507023">
            <w:pPr>
              <w:pStyle w:val="BodyText2"/>
              <w:jc w:val="left"/>
              <w:rPr>
                <w:rFonts w:asciiTheme="minorHAnsi" w:hAnsiTheme="minorHAnsi" w:cstheme="minorHAnsi"/>
                <w:szCs w:val="22"/>
              </w:rPr>
            </w:pPr>
            <w:r w:rsidRPr="004737C5">
              <w:rPr>
                <w:rFonts w:asciiTheme="minorHAnsi" w:hAnsiTheme="minorHAnsi" w:cstheme="minorHAnsi"/>
                <w:b/>
                <w:color w:val="auto"/>
                <w:szCs w:val="22"/>
              </w:rPr>
              <w:t>Organis</w:t>
            </w:r>
            <w:r w:rsidR="00507023" w:rsidRPr="004737C5">
              <w:rPr>
                <w:rFonts w:asciiTheme="minorHAnsi" w:hAnsiTheme="minorHAnsi" w:cstheme="minorHAnsi"/>
                <w:b/>
                <w:color w:val="auto"/>
                <w:szCs w:val="22"/>
              </w:rPr>
              <w:t>ation for Economic Cooperation and Development (OECD)</w:t>
            </w:r>
          </w:p>
          <w:p w14:paraId="3D445B35" w14:textId="77777777" w:rsidR="00925643" w:rsidRPr="004737C5" w:rsidRDefault="00FB5819" w:rsidP="006D3BE8">
            <w:pPr>
              <w:rPr>
                <w:rFonts w:cstheme="minorHAnsi"/>
              </w:rPr>
            </w:pPr>
            <w:hyperlink r:id="rId14" w:history="1">
              <w:r w:rsidR="00507023" w:rsidRPr="004737C5">
                <w:rPr>
                  <w:rStyle w:val="Hyperlink"/>
                  <w:rFonts w:cstheme="minorHAnsi"/>
                </w:rPr>
                <w:t>www.oecd.org</w:t>
              </w:r>
            </w:hyperlink>
          </w:p>
          <w:p w14:paraId="026BCAD0" w14:textId="45098DD6" w:rsidR="00925643" w:rsidRPr="004737C5" w:rsidRDefault="00507023" w:rsidP="004A581F">
            <w:pPr>
              <w:rPr>
                <w:rFonts w:cstheme="minorHAnsi"/>
              </w:rPr>
            </w:pPr>
            <w:r w:rsidRPr="004737C5">
              <w:rPr>
                <w:rFonts w:cstheme="minorHAnsi"/>
              </w:rPr>
              <w:t xml:space="preserve">OECD is an intergovernmental organization helping governments tackle the economic, social and governance challenges of a global economy. The OECD is formed of 34 member countries that share a commitment to democratic government and the market economy. With active relationships with many other countries (notably the BRICS), NGOs and civil society, it has a global reach. Best known for its publications and its statistics, its work covers economic and social issues from macroeconomics to trade, education, development and science and innovation. The OECD plays a prominent role in fostering good governance in public service and in corporate activity. It helps governments ensure the responsiveness of key economic areas through sectoral monitoring. By deciphering emerging issues and identifying policies that work, it helps policymakers adopt strategic orientations. It is well known for its individual country surveys and reviews. The OECD produces internationally agreed instruments, decisions and recommendations to promote good practice in areas where multilateral agreement is necessary for individual countries to make progress in a global economy. Sharing the benefits of growth is also crucial as shown in activities related to emerging economies, sustainable development, territorial economy and aid. Dialogue, consensus and peer review are at </w:t>
            </w:r>
            <w:r w:rsidR="00DD2A1B" w:rsidRPr="004737C5">
              <w:rPr>
                <w:rFonts w:cstheme="minorHAnsi"/>
              </w:rPr>
              <w:t>the heart of the OECD</w:t>
            </w:r>
            <w:r w:rsidRPr="004737C5">
              <w:rPr>
                <w:rFonts w:cstheme="minorHAnsi"/>
              </w:rPr>
              <w:t>. The principle of consensus means that national governments can and do block provisions in draft policy advice to which they object. Its governing body, the Council, is made up of representatives of member countries.</w:t>
            </w:r>
          </w:p>
          <w:p w14:paraId="7C5036C5" w14:textId="77777777" w:rsidR="004A581F" w:rsidRPr="004737C5" w:rsidRDefault="004A581F" w:rsidP="00DD2A1B">
            <w:pPr>
              <w:spacing w:before="160"/>
              <w:rPr>
                <w:rFonts w:cstheme="minorHAnsi"/>
              </w:rPr>
            </w:pPr>
            <w:r w:rsidRPr="004737C5">
              <w:rPr>
                <w:rFonts w:cstheme="minorHAnsi"/>
                <w:b/>
              </w:rPr>
              <w:t>The International Competition Network (ICN)</w:t>
            </w:r>
          </w:p>
          <w:p w14:paraId="2C522007" w14:textId="77777777" w:rsidR="00507023" w:rsidRPr="004737C5" w:rsidRDefault="00FB5819" w:rsidP="006D3BE8">
            <w:pPr>
              <w:rPr>
                <w:rFonts w:cstheme="minorHAnsi"/>
                <w:b/>
                <w:u w:val="single"/>
              </w:rPr>
            </w:pPr>
            <w:hyperlink r:id="rId15" w:history="1">
              <w:r w:rsidR="004A581F" w:rsidRPr="004737C5">
                <w:rPr>
                  <w:rStyle w:val="Hyperlink"/>
                  <w:rFonts w:cstheme="minorHAnsi"/>
                </w:rPr>
                <w:t>www.internationalcompetitionnetwork.org</w:t>
              </w:r>
            </w:hyperlink>
            <w:r w:rsidR="004A581F" w:rsidRPr="004737C5">
              <w:rPr>
                <w:rFonts w:cstheme="minorHAnsi"/>
                <w:b/>
                <w:u w:val="single"/>
              </w:rPr>
              <w:t xml:space="preserve"> </w:t>
            </w:r>
          </w:p>
          <w:p w14:paraId="65A36BB5" w14:textId="3C7D5939" w:rsidR="004A581F" w:rsidRPr="004737C5" w:rsidRDefault="004A581F" w:rsidP="006D3BE8">
            <w:pPr>
              <w:rPr>
                <w:rFonts w:cstheme="minorHAnsi"/>
              </w:rPr>
            </w:pPr>
            <w:r w:rsidRPr="004737C5">
              <w:rPr>
                <w:rFonts w:cstheme="minorHAnsi"/>
              </w:rPr>
              <w:t xml:space="preserve">ICN is a project-oriented, consensus-based, informal network of antitrust agencies from developed and developing countries that addresses antitrust enforcement and policy issues of common interest and formulates proposals for procedural and substantive convergence through a results-oriented agenda and structure. ICN encourages the dissemination of antitrust experience and best practices, promotes the advocacy role of antitrust agencies and seeks to facilitate international cooperation. ICN’s activities take place on a voluntary basis and rely on the high level of goodwill and cooperation among jurisdictions involved. It builds on the many contacts that already exist among the organizations concerned. The work of ICN is project-driven and is not intended to replace or </w:t>
            </w:r>
            <w:r w:rsidRPr="004737C5">
              <w:rPr>
                <w:rFonts w:cstheme="minorHAnsi"/>
              </w:rPr>
              <w:lastRenderedPageBreak/>
              <w:t>coordinate the work of other organizations, nor does it exercise any rule-making function. ICN provides the opportunity for its members to maintain regular contacts, in particular by means of annual conferences and progress meetings. Where ICN reaches consensus on recommendations arising from</w:t>
            </w:r>
            <w:r w:rsidR="00DD2A1B" w:rsidRPr="004737C5">
              <w:rPr>
                <w:rFonts w:cstheme="minorHAnsi"/>
              </w:rPr>
              <w:t xml:space="preserve"> the projects, it is left to</w:t>
            </w:r>
            <w:r w:rsidRPr="004737C5">
              <w:rPr>
                <w:rFonts w:cstheme="minorHAnsi"/>
              </w:rPr>
              <w:t xml:space="preserve"> individual antitrust agencies to decide whether and how to implement the recommendations, through unilateral, bilateral or multilateral arrangements, as appropriate. The membership of ICN consists of 138 national or multinational competition agencies entrusted with the enforcement of antitrust laws. 119 jurisdictions are represented.</w:t>
            </w:r>
          </w:p>
        </w:tc>
      </w:tr>
    </w:tbl>
    <w:p w14:paraId="30A228BF" w14:textId="77777777" w:rsidR="004A581F" w:rsidRPr="004737C5" w:rsidRDefault="004A581F" w:rsidP="009771AD">
      <w:pPr>
        <w:spacing w:before="200"/>
        <w:rPr>
          <w:rFonts w:cstheme="minorHAnsi"/>
          <w:sz w:val="24"/>
          <w:szCs w:val="24"/>
        </w:rPr>
      </w:pPr>
      <w:bookmarkStart w:id="74" w:name="_Toc492650026"/>
      <w:r w:rsidRPr="004737C5">
        <w:rPr>
          <w:rStyle w:val="Heading2Char"/>
          <w:rFonts w:cstheme="minorHAnsi"/>
          <w:color w:val="auto"/>
          <w:sz w:val="24"/>
          <w:szCs w:val="24"/>
        </w:rPr>
        <w:lastRenderedPageBreak/>
        <w:t>E.</w:t>
      </w:r>
      <w:r w:rsidR="00843222" w:rsidRPr="004737C5">
        <w:rPr>
          <w:rStyle w:val="Heading2Char"/>
          <w:rFonts w:cstheme="minorHAnsi"/>
          <w:color w:val="auto"/>
          <w:sz w:val="24"/>
          <w:szCs w:val="24"/>
        </w:rPr>
        <w:t xml:space="preserve"> A challenge for competition policy coherence: consumer resistance to switching</w:t>
      </w:r>
      <w:bookmarkEnd w:id="74"/>
      <w:r w:rsidRPr="004737C5">
        <w:rPr>
          <w:rFonts w:cstheme="minorHAnsi"/>
          <w:sz w:val="24"/>
          <w:szCs w:val="24"/>
        </w:rPr>
        <w:tab/>
      </w:r>
    </w:p>
    <w:p w14:paraId="5801E354" w14:textId="77777777" w:rsidR="00843222" w:rsidRPr="004737C5" w:rsidRDefault="00843222" w:rsidP="009771AD">
      <w:pPr>
        <w:rPr>
          <w:rFonts w:cstheme="minorHAnsi"/>
        </w:rPr>
      </w:pPr>
      <w:r w:rsidRPr="004737C5">
        <w:rPr>
          <w:rFonts w:cstheme="minorHAnsi"/>
        </w:rPr>
        <w:t>Consumer choice is the premise for and the goal of competition. For consumers to exercise that choice the options must be known to the consumer, who must be able to exercise choice. However, even if a substitute o</w:t>
      </w:r>
      <w:r w:rsidR="00025031" w:rsidRPr="004737C5">
        <w:rPr>
          <w:rFonts w:cstheme="minorHAnsi"/>
        </w:rPr>
        <w:t>r</w:t>
      </w:r>
      <w:r w:rsidRPr="004737C5">
        <w:rPr>
          <w:rFonts w:cstheme="minorHAnsi"/>
        </w:rPr>
        <w:t xml:space="preserve"> a lower price is available, consumers do not always exercise their choice. This is seen </w:t>
      </w:r>
      <w:r w:rsidR="004A581F" w:rsidRPr="004737C5">
        <w:rPr>
          <w:rFonts w:cstheme="minorHAnsi"/>
        </w:rPr>
        <w:t>by</w:t>
      </w:r>
      <w:r w:rsidRPr="004737C5">
        <w:rPr>
          <w:rFonts w:cstheme="minorHAnsi"/>
        </w:rPr>
        <w:t xml:space="preserve"> classical economists as a paradox and a problem. Recent interest has arisen in applying behavioural economics to consumers, in particular their search behaviour (i.e. how much consumers search and how many players they search amongst) and switching behaviour (i.e. how they respond to differences in prices between players in the industry). The </w:t>
      </w:r>
      <w:r w:rsidR="00C36EAA" w:rsidRPr="004737C5">
        <w:rPr>
          <w:rFonts w:cstheme="minorHAnsi"/>
        </w:rPr>
        <w:t>sometimes unspoken</w:t>
      </w:r>
      <w:r w:rsidRPr="004737C5">
        <w:rPr>
          <w:rFonts w:cstheme="minorHAnsi"/>
        </w:rPr>
        <w:t xml:space="preserve"> conclusion is that consumers stubbornly refus</w:t>
      </w:r>
      <w:r w:rsidR="004A581F" w:rsidRPr="004737C5">
        <w:rPr>
          <w:rFonts w:cstheme="minorHAnsi"/>
        </w:rPr>
        <w:t xml:space="preserve">e </w:t>
      </w:r>
      <w:r w:rsidRPr="004737C5">
        <w:rPr>
          <w:rFonts w:cstheme="minorHAnsi"/>
        </w:rPr>
        <w:t xml:space="preserve">to perceive their own interests. </w:t>
      </w:r>
    </w:p>
    <w:p w14:paraId="5B7AF358" w14:textId="3E0745BE" w:rsidR="00843222" w:rsidRPr="004737C5" w:rsidRDefault="00843222" w:rsidP="006D3BE8">
      <w:pPr>
        <w:pStyle w:val="BodyTextIndent2"/>
        <w:spacing w:after="160" w:line="240" w:lineRule="auto"/>
        <w:ind w:left="0"/>
        <w:rPr>
          <w:rFonts w:cstheme="minorHAnsi"/>
        </w:rPr>
      </w:pPr>
      <w:r w:rsidRPr="004737C5">
        <w:rPr>
          <w:rFonts w:cstheme="minorHAnsi"/>
        </w:rPr>
        <w:t>Yet what if consumers are right to be cautious? The reliance on disclosure for consumer protection rather than upstream regulation may entail a transferred risk to consumers</w:t>
      </w:r>
      <w:r w:rsidR="004A581F" w:rsidRPr="004737C5">
        <w:rPr>
          <w:rFonts w:cstheme="minorHAnsi"/>
        </w:rPr>
        <w:t>,</w:t>
      </w:r>
      <w:r w:rsidRPr="004737C5">
        <w:rPr>
          <w:rFonts w:cstheme="minorHAnsi"/>
        </w:rPr>
        <w:t xml:space="preserve"> as </w:t>
      </w:r>
      <w:r w:rsidR="00025031" w:rsidRPr="004737C5">
        <w:rPr>
          <w:rFonts w:cstheme="minorHAnsi"/>
        </w:rPr>
        <w:t>demonstrated by</w:t>
      </w:r>
      <w:r w:rsidRPr="004737C5">
        <w:rPr>
          <w:rFonts w:cstheme="minorHAnsi"/>
        </w:rPr>
        <w:t xml:space="preserve"> the financial crisis. This is a co</w:t>
      </w:r>
      <w:r w:rsidR="004A581F" w:rsidRPr="004737C5">
        <w:rPr>
          <w:rFonts w:cstheme="minorHAnsi"/>
        </w:rPr>
        <w:t>nsiderable challenge for policy</w:t>
      </w:r>
      <w:r w:rsidRPr="004737C5">
        <w:rPr>
          <w:rFonts w:cstheme="minorHAnsi"/>
        </w:rPr>
        <w:t xml:space="preserve">makers, for one should not swing to the other extreme of denying the advantages of </w:t>
      </w:r>
      <w:r w:rsidR="004A581F" w:rsidRPr="004737C5">
        <w:rPr>
          <w:rFonts w:cstheme="minorHAnsi"/>
        </w:rPr>
        <w:t>switching. Policy</w:t>
      </w:r>
      <w:r w:rsidRPr="004737C5">
        <w:rPr>
          <w:rFonts w:cstheme="minorHAnsi"/>
        </w:rPr>
        <w:t>makers therefore need to look at other measures, such regulati</w:t>
      </w:r>
      <w:r w:rsidR="004A581F" w:rsidRPr="004737C5">
        <w:rPr>
          <w:rFonts w:cstheme="minorHAnsi"/>
        </w:rPr>
        <w:t xml:space="preserve">ng </w:t>
      </w:r>
      <w:r w:rsidRPr="004737C5">
        <w:rPr>
          <w:rFonts w:cstheme="minorHAnsi"/>
        </w:rPr>
        <w:t>the behaviour of providers, while making pricing behaviour more transparent, as was imposed on the French banking sector in 2010</w:t>
      </w:r>
      <w:r w:rsidR="00025031" w:rsidRPr="004737C5">
        <w:rPr>
          <w:rFonts w:cstheme="minorHAnsi"/>
        </w:rPr>
        <w:t>, for example</w:t>
      </w:r>
      <w:r w:rsidRPr="004737C5">
        <w:rPr>
          <w:rFonts w:cstheme="minorHAnsi"/>
        </w:rPr>
        <w:t>. There is thus an important role for policy measures to strengthen consumer protection, in particular by improving the information made available and rooting out prohibitive switching costs. The latter calls for</w:t>
      </w:r>
      <w:r w:rsidR="004A581F" w:rsidRPr="004737C5">
        <w:rPr>
          <w:rFonts w:cstheme="minorHAnsi"/>
        </w:rPr>
        <w:t xml:space="preserve"> </w:t>
      </w:r>
      <w:r w:rsidRPr="004737C5">
        <w:rPr>
          <w:rFonts w:cstheme="minorHAnsi"/>
        </w:rPr>
        <w:t xml:space="preserve">an examination of the terms and conditions in consumer contracts, or </w:t>
      </w:r>
      <w:r w:rsidR="00103B40" w:rsidRPr="004737C5">
        <w:rPr>
          <w:rFonts w:cstheme="minorHAnsi"/>
        </w:rPr>
        <w:t xml:space="preserve">reassessment of their use </w:t>
      </w:r>
      <w:r w:rsidRPr="004737C5">
        <w:rPr>
          <w:rFonts w:cstheme="minorHAnsi"/>
        </w:rPr>
        <w:t>because they have become “custom and pra</w:t>
      </w:r>
      <w:r w:rsidR="004A581F" w:rsidRPr="004737C5">
        <w:rPr>
          <w:rFonts w:cstheme="minorHAnsi"/>
        </w:rPr>
        <w:t>ctice” (for instance in banking and</w:t>
      </w:r>
      <w:r w:rsidRPr="004737C5">
        <w:rPr>
          <w:rFonts w:cstheme="minorHAnsi"/>
        </w:rPr>
        <w:t xml:space="preserve"> insurance)</w:t>
      </w:r>
      <w:r w:rsidR="004A581F" w:rsidRPr="004737C5">
        <w:rPr>
          <w:rFonts w:cstheme="minorHAnsi"/>
        </w:rPr>
        <w:t>.</w:t>
      </w:r>
      <w:r w:rsidRPr="004737C5">
        <w:rPr>
          <w:rFonts w:cstheme="minorHAnsi"/>
        </w:rPr>
        <w:t xml:space="preserve"> Relying </w:t>
      </w:r>
      <w:r w:rsidR="00025031" w:rsidRPr="004737C5">
        <w:rPr>
          <w:rFonts w:cstheme="minorHAnsi"/>
        </w:rPr>
        <w:t xml:space="preserve">solely </w:t>
      </w:r>
      <w:r w:rsidR="004A581F" w:rsidRPr="004737C5">
        <w:rPr>
          <w:rFonts w:cstheme="minorHAnsi"/>
        </w:rPr>
        <w:t>on disclosure and transparency</w:t>
      </w:r>
      <w:r w:rsidRPr="004737C5">
        <w:rPr>
          <w:rFonts w:cstheme="minorHAnsi"/>
        </w:rPr>
        <w:t xml:space="preserve"> to unleash competition and choice has sometimes proved to be ineffective. </w:t>
      </w:r>
    </w:p>
    <w:p w14:paraId="16D64B0B" w14:textId="77777777" w:rsidR="004A581F" w:rsidRPr="004737C5" w:rsidRDefault="004A581F" w:rsidP="009771AD">
      <w:pPr>
        <w:spacing w:before="200"/>
        <w:rPr>
          <w:rFonts w:cstheme="minorHAnsi"/>
          <w:sz w:val="24"/>
          <w:szCs w:val="24"/>
        </w:rPr>
      </w:pPr>
      <w:bookmarkStart w:id="75" w:name="_Toc492650027"/>
      <w:r w:rsidRPr="004737C5">
        <w:rPr>
          <w:rStyle w:val="Heading2Char"/>
          <w:rFonts w:cstheme="minorHAnsi"/>
          <w:color w:val="auto"/>
          <w:sz w:val="24"/>
          <w:szCs w:val="24"/>
        </w:rPr>
        <w:t xml:space="preserve">F. </w:t>
      </w:r>
      <w:r w:rsidR="00843222" w:rsidRPr="004737C5">
        <w:rPr>
          <w:rStyle w:val="Heading2Char"/>
          <w:rFonts w:cstheme="minorHAnsi"/>
          <w:color w:val="auto"/>
          <w:sz w:val="24"/>
          <w:szCs w:val="24"/>
        </w:rPr>
        <w:t>Conclusion</w:t>
      </w:r>
      <w:bookmarkEnd w:id="75"/>
      <w:r w:rsidRPr="004737C5">
        <w:rPr>
          <w:rFonts w:eastAsiaTheme="majorEastAsia" w:cstheme="minorHAnsi"/>
          <w:b/>
          <w:bCs/>
          <w:color w:val="5B9BD5" w:themeColor="accent1"/>
          <w:sz w:val="24"/>
          <w:szCs w:val="24"/>
        </w:rPr>
        <w:tab/>
      </w:r>
    </w:p>
    <w:p w14:paraId="360990D5" w14:textId="77777777" w:rsidR="00843222" w:rsidRPr="004737C5" w:rsidRDefault="00843222" w:rsidP="006D3BE8">
      <w:pPr>
        <w:rPr>
          <w:rFonts w:eastAsiaTheme="majorEastAsia" w:cstheme="minorHAnsi"/>
          <w:b/>
          <w:bCs/>
          <w:color w:val="5B9BD5" w:themeColor="accent1"/>
          <w:sz w:val="26"/>
          <w:szCs w:val="26"/>
        </w:rPr>
      </w:pPr>
      <w:r w:rsidRPr="004737C5">
        <w:rPr>
          <w:rFonts w:cstheme="minorHAnsi"/>
        </w:rPr>
        <w:t>Competition and consumer protection will probably always have a complex relationship</w:t>
      </w:r>
      <w:r w:rsidR="004A581F" w:rsidRPr="004737C5">
        <w:rPr>
          <w:rFonts w:cstheme="minorHAnsi"/>
        </w:rPr>
        <w:t>.</w:t>
      </w:r>
      <w:r w:rsidRPr="004737C5">
        <w:rPr>
          <w:rFonts w:cstheme="minorHAnsi"/>
        </w:rPr>
        <w:t xml:space="preserve"> In most cases, consumers have not campaigned for competition law and policy. Once in place, however, consumers and their representative organizations have come to see competition law and policy as a means of greater consumer protection. The traditional approach is, roughly speaking, for competition regulators to focus on the supply side and consumer regulators to focus on the demand side. Such a dichotomous approach has led to narrow conceptions of what constitutes anti-competitive behaviour and limited approaches to address such behaviour. </w:t>
      </w:r>
    </w:p>
    <w:p w14:paraId="2805F8D2" w14:textId="23093E52" w:rsidR="00843222" w:rsidRPr="004737C5" w:rsidRDefault="00843222" w:rsidP="006D3BE8">
      <w:pPr>
        <w:rPr>
          <w:rFonts w:cstheme="minorHAnsi"/>
        </w:rPr>
      </w:pPr>
      <w:r w:rsidRPr="004737C5">
        <w:rPr>
          <w:rFonts w:cstheme="minorHAnsi"/>
        </w:rPr>
        <w:t xml:space="preserve">As Professor </w:t>
      </w:r>
      <w:r w:rsidR="004A581F" w:rsidRPr="004737C5">
        <w:rPr>
          <w:rFonts w:cstheme="minorHAnsi"/>
        </w:rPr>
        <w:t>Alan Fels expressed to an OECD r</w:t>
      </w:r>
      <w:r w:rsidR="00DD2A1B" w:rsidRPr="004737C5">
        <w:rPr>
          <w:rFonts w:cstheme="minorHAnsi"/>
        </w:rPr>
        <w:t>ound</w:t>
      </w:r>
      <w:r w:rsidRPr="004737C5">
        <w:rPr>
          <w:rFonts w:cstheme="minorHAnsi"/>
        </w:rPr>
        <w:t>table in 2015,</w:t>
      </w:r>
      <w:r w:rsidRPr="004737C5">
        <w:rPr>
          <w:rStyle w:val="FootnoteReference"/>
          <w:rFonts w:cstheme="minorHAnsi"/>
        </w:rPr>
        <w:footnoteReference w:id="121"/>
      </w:r>
      <w:r w:rsidRPr="004737C5">
        <w:rPr>
          <w:rFonts w:cstheme="minorHAnsi"/>
        </w:rPr>
        <w:t xml:space="preserve"> competition tends to be unpopular with the public, </w:t>
      </w:r>
      <w:r w:rsidR="004A581F" w:rsidRPr="004737C5">
        <w:rPr>
          <w:rFonts w:cstheme="minorHAnsi"/>
        </w:rPr>
        <w:t xml:space="preserve">while </w:t>
      </w:r>
      <w:r w:rsidRPr="004737C5">
        <w:rPr>
          <w:rFonts w:cstheme="minorHAnsi"/>
        </w:rPr>
        <w:t>consumer p</w:t>
      </w:r>
      <w:r w:rsidR="004A581F" w:rsidRPr="004737C5">
        <w:rPr>
          <w:rFonts w:cstheme="minorHAnsi"/>
        </w:rPr>
        <w:t>rotection tends to be popular (a “watchdog for the underdog”</w:t>
      </w:r>
      <w:r w:rsidRPr="004737C5">
        <w:rPr>
          <w:rFonts w:cstheme="minorHAnsi"/>
        </w:rPr>
        <w:t xml:space="preserve">); competition authorities proscribe (you must not), </w:t>
      </w:r>
      <w:r w:rsidR="004A581F" w:rsidRPr="004737C5">
        <w:rPr>
          <w:rFonts w:cstheme="minorHAnsi"/>
        </w:rPr>
        <w:t xml:space="preserve">while </w:t>
      </w:r>
      <w:r w:rsidRPr="004737C5">
        <w:rPr>
          <w:rFonts w:cstheme="minorHAnsi"/>
        </w:rPr>
        <w:t xml:space="preserve">consumer protection authorities prescribe (you </w:t>
      </w:r>
      <w:r w:rsidR="00DD2A1B" w:rsidRPr="004737C5">
        <w:rPr>
          <w:rFonts w:cstheme="minorHAnsi"/>
        </w:rPr>
        <w:t xml:space="preserve">must); </w:t>
      </w:r>
      <w:r w:rsidRPr="004737C5">
        <w:rPr>
          <w:rFonts w:cstheme="minorHAnsi"/>
        </w:rPr>
        <w:t xml:space="preserve">competition tends to be </w:t>
      </w:r>
      <w:r w:rsidRPr="004737C5">
        <w:rPr>
          <w:rFonts w:cstheme="minorHAnsi"/>
          <w:i/>
        </w:rPr>
        <w:t>ex post,</w:t>
      </w:r>
      <w:r w:rsidRPr="004737C5">
        <w:rPr>
          <w:rFonts w:cstheme="minorHAnsi"/>
        </w:rPr>
        <w:t xml:space="preserve"> while regulation tends to be </w:t>
      </w:r>
      <w:r w:rsidRPr="004737C5">
        <w:rPr>
          <w:rFonts w:cstheme="minorHAnsi"/>
          <w:i/>
        </w:rPr>
        <w:t>ex ante</w:t>
      </w:r>
      <w:r w:rsidRPr="004737C5">
        <w:rPr>
          <w:rFonts w:cstheme="minorHAnsi"/>
        </w:rPr>
        <w:t xml:space="preserve">. Although his juxtapositions are deliberately simplistic, and one could find exceptions to </w:t>
      </w:r>
      <w:r w:rsidR="004A581F" w:rsidRPr="004737C5">
        <w:rPr>
          <w:rFonts w:cstheme="minorHAnsi"/>
        </w:rPr>
        <w:t xml:space="preserve">them </w:t>
      </w:r>
      <w:r w:rsidRPr="004737C5">
        <w:rPr>
          <w:rFonts w:cstheme="minorHAnsi"/>
        </w:rPr>
        <w:t>all, they do show the complementarity between the two spheres of policy.</w:t>
      </w:r>
      <w:r w:rsidRPr="004737C5">
        <w:rPr>
          <w:rFonts w:cstheme="minorHAnsi"/>
          <w:b/>
          <w:i/>
          <w:color w:val="FF0000"/>
        </w:rPr>
        <w:br w:type="page"/>
      </w:r>
    </w:p>
    <w:p w14:paraId="08276809" w14:textId="77777777" w:rsidR="00843222" w:rsidRPr="004737C5" w:rsidRDefault="004A581F" w:rsidP="00DD2A1B">
      <w:pPr>
        <w:rPr>
          <w:b/>
          <w:sz w:val="28"/>
          <w:szCs w:val="28"/>
        </w:rPr>
      </w:pPr>
      <w:bookmarkStart w:id="76" w:name="_Toc492650028"/>
      <w:r w:rsidRPr="004737C5">
        <w:rPr>
          <w:b/>
          <w:sz w:val="28"/>
          <w:szCs w:val="28"/>
        </w:rPr>
        <w:lastRenderedPageBreak/>
        <w:t xml:space="preserve">VIII. </w:t>
      </w:r>
      <w:r w:rsidR="009B5EA1" w:rsidRPr="004737C5">
        <w:rPr>
          <w:b/>
          <w:sz w:val="28"/>
          <w:szCs w:val="28"/>
        </w:rPr>
        <w:t>International c</w:t>
      </w:r>
      <w:r w:rsidR="00843222" w:rsidRPr="004737C5">
        <w:rPr>
          <w:b/>
          <w:sz w:val="28"/>
          <w:szCs w:val="28"/>
        </w:rPr>
        <w:t>ooperation</w:t>
      </w:r>
      <w:bookmarkEnd w:id="76"/>
    </w:p>
    <w:p w14:paraId="6ACEC947" w14:textId="4BE20121" w:rsidR="004A581F" w:rsidRPr="004737C5" w:rsidRDefault="004A581F" w:rsidP="00DD2A1B">
      <w:pPr>
        <w:rPr>
          <w:rFonts w:cstheme="minorHAnsi"/>
        </w:rPr>
      </w:pPr>
      <w:bookmarkStart w:id="77" w:name="_Toc492650029"/>
      <w:r w:rsidRPr="004737C5">
        <w:rPr>
          <w:rStyle w:val="Heading2Char"/>
          <w:rFonts w:cstheme="minorHAnsi"/>
          <w:color w:val="auto"/>
          <w:sz w:val="24"/>
          <w:szCs w:val="24"/>
        </w:rPr>
        <w:t>A.</w:t>
      </w:r>
      <w:r w:rsidR="00843222" w:rsidRPr="004737C5">
        <w:rPr>
          <w:rStyle w:val="Heading2Char"/>
          <w:rFonts w:cstheme="minorHAnsi"/>
          <w:color w:val="auto"/>
          <w:sz w:val="24"/>
          <w:szCs w:val="24"/>
        </w:rPr>
        <w:t xml:space="preserve"> International cooperation in the United Nations Guidelines for Consumer Protection</w:t>
      </w:r>
      <w:bookmarkEnd w:id="77"/>
    </w:p>
    <w:p w14:paraId="1A0CA8D9" w14:textId="77777777" w:rsidR="00843222" w:rsidRPr="004737C5" w:rsidRDefault="00843222" w:rsidP="006D3BE8">
      <w:pPr>
        <w:rPr>
          <w:rFonts w:cstheme="minorHAnsi"/>
          <w:b/>
          <w:color w:val="5B9BD5" w:themeColor="accent1"/>
          <w:sz w:val="24"/>
          <w:szCs w:val="24"/>
        </w:rPr>
      </w:pPr>
      <w:r w:rsidRPr="004737C5">
        <w:rPr>
          <w:rFonts w:cstheme="minorHAnsi"/>
        </w:rPr>
        <w:t>General Assembly resolution 70/186 on consumer protection of 22 December 2015 recognizes the valu</w:t>
      </w:r>
      <w:r w:rsidR="005D1DC5" w:rsidRPr="004737C5">
        <w:rPr>
          <w:rFonts w:cstheme="minorHAnsi"/>
        </w:rPr>
        <w:t>e of “</w:t>
      </w:r>
      <w:r w:rsidRPr="004737C5">
        <w:rPr>
          <w:rFonts w:cstheme="minorHAnsi"/>
        </w:rPr>
        <w:t>coordination and partnership with establi</w:t>
      </w:r>
      <w:r w:rsidR="005D1DC5" w:rsidRPr="004737C5">
        <w:rPr>
          <w:rFonts w:cstheme="minorHAnsi"/>
        </w:rPr>
        <w:t>shed multilateral organizations”.</w:t>
      </w:r>
      <w:r w:rsidRPr="004737C5">
        <w:rPr>
          <w:rStyle w:val="FootnoteReference"/>
          <w:rFonts w:cstheme="minorHAnsi"/>
        </w:rPr>
        <w:footnoteReference w:id="122"/>
      </w:r>
      <w:r w:rsidRPr="004737C5">
        <w:rPr>
          <w:rFonts w:cstheme="minorHAnsi"/>
        </w:rPr>
        <w:t xml:space="preserve"> Guideline 1 lists among the o</w:t>
      </w:r>
      <w:r w:rsidR="005D1DC5" w:rsidRPr="004737C5">
        <w:rPr>
          <w:rFonts w:cstheme="minorHAnsi"/>
        </w:rPr>
        <w:t>bjectives of the UNGCP the aim “</w:t>
      </w:r>
      <w:r w:rsidRPr="004737C5">
        <w:rPr>
          <w:rFonts w:cstheme="minorHAnsi"/>
        </w:rPr>
        <w:t>to further international cooperation in the field of consumer protection</w:t>
      </w:r>
      <w:r w:rsidR="005D1DC5" w:rsidRPr="004737C5">
        <w:rPr>
          <w:rFonts w:cstheme="minorHAnsi"/>
        </w:rPr>
        <w:t>”</w:t>
      </w:r>
      <w:r w:rsidR="005D1DC5" w:rsidRPr="004737C5">
        <w:rPr>
          <w:rFonts w:cstheme="minorHAnsi"/>
          <w:sz w:val="23"/>
          <w:szCs w:val="23"/>
        </w:rPr>
        <w:t>.</w:t>
      </w:r>
      <w:r w:rsidRPr="004737C5">
        <w:rPr>
          <w:rFonts w:cstheme="minorHAnsi"/>
          <w:sz w:val="23"/>
          <w:szCs w:val="23"/>
        </w:rPr>
        <w:t xml:space="preserve"> </w:t>
      </w:r>
      <w:r w:rsidRPr="004737C5">
        <w:rPr>
          <w:rFonts w:cstheme="minorHAnsi"/>
        </w:rPr>
        <w:t xml:space="preserve">Indeed, international cooperation </w:t>
      </w:r>
      <w:r w:rsidR="005D1DC5" w:rsidRPr="004737C5">
        <w:rPr>
          <w:rFonts w:cstheme="minorHAnsi"/>
        </w:rPr>
        <w:t>is at the heart of the revised g</w:t>
      </w:r>
      <w:r w:rsidRPr="004737C5">
        <w:rPr>
          <w:rFonts w:cstheme="minorHAnsi"/>
        </w:rPr>
        <w:t>uidelines.</w:t>
      </w:r>
    </w:p>
    <w:p w14:paraId="72B650A4" w14:textId="77777777" w:rsidR="00843222" w:rsidRPr="004737C5" w:rsidRDefault="00843222" w:rsidP="006D3BE8">
      <w:pPr>
        <w:pStyle w:val="Default"/>
        <w:spacing w:after="160" w:line="240" w:lineRule="auto"/>
        <w:jc w:val="both"/>
        <w:rPr>
          <w:rFonts w:asciiTheme="minorHAnsi" w:hAnsiTheme="minorHAnsi" w:cstheme="minorHAnsi"/>
          <w:bCs/>
          <w:color w:val="auto"/>
          <w:sz w:val="22"/>
          <w:szCs w:val="22"/>
        </w:rPr>
      </w:pPr>
      <w:r w:rsidRPr="004737C5">
        <w:rPr>
          <w:rFonts w:asciiTheme="minorHAnsi" w:hAnsiTheme="minorHAnsi" w:cstheme="minorHAnsi"/>
          <w:bCs/>
          <w:color w:val="auto"/>
          <w:sz w:val="22"/>
          <w:szCs w:val="22"/>
        </w:rPr>
        <w:t>The</w:t>
      </w:r>
      <w:r w:rsidR="00BF6C6D" w:rsidRPr="004737C5">
        <w:rPr>
          <w:rFonts w:asciiTheme="minorHAnsi" w:hAnsiTheme="minorHAnsi" w:cstheme="minorHAnsi"/>
          <w:bCs/>
          <w:color w:val="auto"/>
          <w:sz w:val="22"/>
          <w:szCs w:val="22"/>
        </w:rPr>
        <w:t xml:space="preserve"> section of the UNGCP on international c</w:t>
      </w:r>
      <w:r w:rsidRPr="004737C5">
        <w:rPr>
          <w:rFonts w:asciiTheme="minorHAnsi" w:hAnsiTheme="minorHAnsi" w:cstheme="minorHAnsi"/>
          <w:bCs/>
          <w:color w:val="auto"/>
          <w:sz w:val="22"/>
          <w:szCs w:val="22"/>
        </w:rPr>
        <w:t xml:space="preserve">ooperation, </w:t>
      </w:r>
      <w:r w:rsidR="00291489" w:rsidRPr="004737C5">
        <w:rPr>
          <w:rFonts w:asciiTheme="minorHAnsi" w:hAnsiTheme="minorHAnsi" w:cstheme="minorHAnsi"/>
          <w:bCs/>
          <w:color w:val="auto"/>
          <w:sz w:val="22"/>
          <w:szCs w:val="22"/>
        </w:rPr>
        <w:t>s</w:t>
      </w:r>
      <w:r w:rsidRPr="004737C5">
        <w:rPr>
          <w:rFonts w:asciiTheme="minorHAnsi" w:hAnsiTheme="minorHAnsi" w:cstheme="minorHAnsi"/>
          <w:bCs/>
          <w:color w:val="auto"/>
          <w:sz w:val="22"/>
          <w:szCs w:val="22"/>
        </w:rPr>
        <w:t>ection VI, was significantly expanded as a result of the revision process. Guideline 79 exhorts Member States to cooperate in exchanging information on policy and measures taken on testing, consumer information and education. Guideline 80 calls for strengthened information links regarding banned, withdrawn or restricted products, a vital matter for consumer safety. Guideline 81 asks for work towards quality differences not to become detrimental, a difficult matter of judgment. Guideline 82 calls for cooperation on cross-border fraud, while entering the caveat also made in Guideline 83, that national consumer protection agencies</w:t>
      </w:r>
      <w:r w:rsidR="00BF6C6D" w:rsidRPr="004737C5">
        <w:rPr>
          <w:rFonts w:asciiTheme="minorHAnsi" w:hAnsiTheme="minorHAnsi" w:cstheme="minorHAnsi"/>
          <w:bCs/>
          <w:color w:val="auto"/>
          <w:sz w:val="22"/>
          <w:szCs w:val="22"/>
        </w:rPr>
        <w:t xml:space="preserve"> retain authority and that Member States may need to “avoid interference”</w:t>
      </w:r>
      <w:r w:rsidRPr="004737C5">
        <w:rPr>
          <w:rFonts w:asciiTheme="minorHAnsi" w:hAnsiTheme="minorHAnsi" w:cstheme="minorHAnsi"/>
          <w:bCs/>
          <w:color w:val="auto"/>
          <w:sz w:val="22"/>
          <w:szCs w:val="22"/>
        </w:rPr>
        <w:t xml:space="preserve"> in the work of consumer protection agencies in other jurisdictions. Guideline 85 envisages bilateral </w:t>
      </w:r>
      <w:r w:rsidR="009F6208" w:rsidRPr="004737C5">
        <w:rPr>
          <w:rFonts w:asciiTheme="minorHAnsi" w:hAnsiTheme="minorHAnsi" w:cstheme="minorHAnsi"/>
          <w:bCs/>
          <w:color w:val="auto"/>
          <w:sz w:val="22"/>
          <w:szCs w:val="22"/>
        </w:rPr>
        <w:t>and</w:t>
      </w:r>
      <w:r w:rsidRPr="004737C5">
        <w:rPr>
          <w:rFonts w:asciiTheme="minorHAnsi" w:hAnsiTheme="minorHAnsi" w:cstheme="minorHAnsi"/>
          <w:bCs/>
          <w:color w:val="auto"/>
          <w:sz w:val="22"/>
          <w:szCs w:val="22"/>
        </w:rPr>
        <w:t xml:space="preserve"> multilateral arrangements</w:t>
      </w:r>
      <w:r w:rsidR="00BF6C6D" w:rsidRPr="004737C5">
        <w:rPr>
          <w:rFonts w:asciiTheme="minorHAnsi" w:hAnsiTheme="minorHAnsi" w:cstheme="minorHAnsi"/>
          <w:bCs/>
          <w:color w:val="auto"/>
          <w:sz w:val="22"/>
          <w:szCs w:val="22"/>
        </w:rPr>
        <w:t>;</w:t>
      </w:r>
      <w:r w:rsidR="009B5EA1" w:rsidRPr="004737C5">
        <w:rPr>
          <w:rFonts w:asciiTheme="minorHAnsi" w:hAnsiTheme="minorHAnsi" w:cstheme="minorHAnsi"/>
          <w:bCs/>
          <w:color w:val="auto"/>
          <w:sz w:val="22"/>
          <w:szCs w:val="22"/>
        </w:rPr>
        <w:t xml:space="preserve"> g</w:t>
      </w:r>
      <w:r w:rsidR="00BF6C6D" w:rsidRPr="004737C5">
        <w:rPr>
          <w:rFonts w:asciiTheme="minorHAnsi" w:hAnsiTheme="minorHAnsi" w:cstheme="minorHAnsi"/>
          <w:bCs/>
          <w:color w:val="auto"/>
          <w:sz w:val="22"/>
          <w:szCs w:val="22"/>
        </w:rPr>
        <w:t>uidelines 86 and 87 envisage a “leading role”</w:t>
      </w:r>
      <w:r w:rsidRPr="004737C5">
        <w:rPr>
          <w:rFonts w:asciiTheme="minorHAnsi" w:hAnsiTheme="minorHAnsi" w:cstheme="minorHAnsi"/>
          <w:bCs/>
          <w:color w:val="auto"/>
          <w:sz w:val="22"/>
          <w:szCs w:val="22"/>
        </w:rPr>
        <w:t xml:space="preserve"> for designated agencies on particular enforcement issues. </w:t>
      </w:r>
      <w:r w:rsidRPr="004737C5">
        <w:rPr>
          <w:rFonts w:asciiTheme="minorHAnsi" w:hAnsiTheme="minorHAnsi" w:cstheme="minorHAnsi"/>
          <w:bCs/>
          <w:sz w:val="22"/>
          <w:szCs w:val="22"/>
        </w:rPr>
        <w:t xml:space="preserve">Guideline 88 states that national authority to investigate and share information should extend to cooperation on judicial and inter-agency enforcement with foreign counterparts. </w:t>
      </w:r>
    </w:p>
    <w:p w14:paraId="57408C2D" w14:textId="189C69CB" w:rsidR="00843222" w:rsidRPr="004737C5" w:rsidRDefault="00843222" w:rsidP="006D3BE8">
      <w:pPr>
        <w:rPr>
          <w:rFonts w:cstheme="minorHAnsi"/>
        </w:rPr>
      </w:pPr>
      <w:r w:rsidRPr="004737C5">
        <w:rPr>
          <w:rFonts w:cstheme="minorHAnsi"/>
          <w:bCs/>
        </w:rPr>
        <w:t>Guidelines 91 and 92 refer to sustainable consumption with regard to technology tra</w:t>
      </w:r>
      <w:r w:rsidR="00BF6C6D" w:rsidRPr="004737C5">
        <w:rPr>
          <w:rFonts w:cstheme="minorHAnsi"/>
          <w:bCs/>
        </w:rPr>
        <w:t>nsfer and capac</w:t>
      </w:r>
      <w:r w:rsidR="00DD2A1B" w:rsidRPr="004737C5">
        <w:rPr>
          <w:rFonts w:cstheme="minorHAnsi"/>
          <w:bCs/>
        </w:rPr>
        <w:t>ity-</w:t>
      </w:r>
      <w:r w:rsidR="00BF6C6D" w:rsidRPr="004737C5">
        <w:rPr>
          <w:rFonts w:cstheme="minorHAnsi"/>
          <w:bCs/>
        </w:rPr>
        <w:t>building.</w:t>
      </w:r>
      <w:r w:rsidRPr="004737C5">
        <w:rPr>
          <w:rFonts w:cstheme="minorHAnsi"/>
          <w:bCs/>
        </w:rPr>
        <w:t xml:space="preserve"> Guideline 93 promotes </w:t>
      </w:r>
      <w:r w:rsidR="009F6208" w:rsidRPr="004737C5">
        <w:rPr>
          <w:rFonts w:cstheme="minorHAnsi"/>
          <w:bCs/>
        </w:rPr>
        <w:t>programmes relating to</w:t>
      </w:r>
      <w:r w:rsidRPr="004737C5">
        <w:rPr>
          <w:rFonts w:cstheme="minorHAnsi"/>
          <w:bCs/>
        </w:rPr>
        <w:t xml:space="preserve"> consumer education and information. </w:t>
      </w:r>
    </w:p>
    <w:p w14:paraId="624E8A10" w14:textId="6BFC65B2" w:rsidR="00843222" w:rsidRPr="004737C5" w:rsidRDefault="00843222" w:rsidP="006D3BE8">
      <w:pPr>
        <w:rPr>
          <w:rFonts w:cstheme="minorHAnsi"/>
        </w:rPr>
      </w:pPr>
      <w:r w:rsidRPr="004737C5">
        <w:rPr>
          <w:rFonts w:cstheme="minorHAnsi"/>
        </w:rPr>
        <w:t>In other sections, the need for collaboration</w:t>
      </w:r>
      <w:r w:rsidR="00BF6C6D" w:rsidRPr="004737C5">
        <w:rPr>
          <w:rFonts w:cstheme="minorHAnsi"/>
        </w:rPr>
        <w:t xml:space="preserve"> between Member States in cross-</w:t>
      </w:r>
      <w:r w:rsidRPr="004737C5">
        <w:rPr>
          <w:rFonts w:cstheme="minorHAnsi"/>
        </w:rPr>
        <w:t xml:space="preserve">border </w:t>
      </w:r>
      <w:r w:rsidR="00BF6C6D" w:rsidRPr="004737C5">
        <w:rPr>
          <w:rFonts w:cstheme="minorHAnsi"/>
        </w:rPr>
        <w:t>cases is specifically mentioned:</w:t>
      </w:r>
      <w:r w:rsidRPr="004737C5">
        <w:rPr>
          <w:rFonts w:cstheme="minorHAnsi"/>
        </w:rPr>
        <w:t xml:space="preserve"> </w:t>
      </w:r>
      <w:r w:rsidR="00BF6C6D" w:rsidRPr="004737C5">
        <w:rPr>
          <w:rFonts w:cstheme="minorHAnsi"/>
        </w:rPr>
        <w:t xml:space="preserve">in </w:t>
      </w:r>
      <w:r w:rsidRPr="004737C5">
        <w:rPr>
          <w:rFonts w:cstheme="minorHAnsi"/>
        </w:rPr>
        <w:t>the new se</w:t>
      </w:r>
      <w:r w:rsidR="001C7019" w:rsidRPr="004737C5">
        <w:rPr>
          <w:rFonts w:cstheme="minorHAnsi"/>
        </w:rPr>
        <w:t>ctions on e-</w:t>
      </w:r>
      <w:r w:rsidR="009B5EA1" w:rsidRPr="004737C5">
        <w:rPr>
          <w:rFonts w:cstheme="minorHAnsi"/>
        </w:rPr>
        <w:t>commerce (g</w:t>
      </w:r>
      <w:r w:rsidRPr="004737C5">
        <w:rPr>
          <w:rFonts w:cstheme="minorHAnsi"/>
        </w:rPr>
        <w:t>uid</w:t>
      </w:r>
      <w:r w:rsidR="009B5EA1" w:rsidRPr="004737C5">
        <w:rPr>
          <w:rFonts w:cstheme="minorHAnsi"/>
        </w:rPr>
        <w:t>eline 65), financial services (g</w:t>
      </w:r>
      <w:r w:rsidRPr="004737C5">
        <w:rPr>
          <w:rFonts w:cstheme="minorHAnsi"/>
        </w:rPr>
        <w:t>uideline 6</w:t>
      </w:r>
      <w:r w:rsidR="009B5EA1" w:rsidRPr="004737C5">
        <w:rPr>
          <w:rFonts w:cstheme="minorHAnsi"/>
        </w:rPr>
        <w:t>8) and tourism (g</w:t>
      </w:r>
      <w:r w:rsidRPr="004737C5">
        <w:rPr>
          <w:rFonts w:cstheme="minorHAnsi"/>
        </w:rPr>
        <w:t>uideline 78).</w:t>
      </w:r>
    </w:p>
    <w:p w14:paraId="7A138158" w14:textId="77777777" w:rsidR="00843222" w:rsidRPr="004737C5" w:rsidRDefault="00843222" w:rsidP="006D3BE8">
      <w:pPr>
        <w:rPr>
          <w:rFonts w:cstheme="minorHAnsi"/>
          <w:b/>
          <w:bCs/>
          <w:color w:val="5B9BD5" w:themeColor="accent1"/>
          <w:sz w:val="24"/>
          <w:szCs w:val="24"/>
        </w:rPr>
      </w:pPr>
      <w:r w:rsidRPr="004737C5">
        <w:rPr>
          <w:rFonts w:cstheme="minorHAnsi"/>
          <w:bCs/>
        </w:rPr>
        <w:t>The UNCTAD Implementation Report (2013) points to a wide variety of c</w:t>
      </w:r>
      <w:r w:rsidR="00BF6C6D" w:rsidRPr="004737C5">
        <w:rPr>
          <w:rFonts w:cstheme="minorHAnsi"/>
          <w:bCs/>
        </w:rPr>
        <w:t>ooperation initiatives between M</w:t>
      </w:r>
      <w:r w:rsidRPr="004737C5">
        <w:rPr>
          <w:rFonts w:cstheme="minorHAnsi"/>
          <w:bCs/>
        </w:rPr>
        <w:t>ember States.</w:t>
      </w:r>
      <w:r w:rsidRPr="004737C5">
        <w:rPr>
          <w:rStyle w:val="FootnoteReference"/>
          <w:rFonts w:cstheme="minorHAnsi"/>
          <w:bCs/>
        </w:rPr>
        <w:footnoteReference w:id="123"/>
      </w:r>
      <w:r w:rsidRPr="004737C5">
        <w:rPr>
          <w:rFonts w:cstheme="minorHAnsi"/>
          <w:bCs/>
        </w:rPr>
        <w:t xml:space="preserve"> It lists </w:t>
      </w:r>
      <w:r w:rsidRPr="004737C5">
        <w:rPr>
          <w:rFonts w:cstheme="minorHAnsi"/>
        </w:rPr>
        <w:t>several bilateral cooperation agreements, such as Chile–Peru, Chile–European Union, the Dominican Republic–Panama and Mexico–United States</w:t>
      </w:r>
      <w:r w:rsidR="00BF6C6D" w:rsidRPr="004737C5">
        <w:rPr>
          <w:rFonts w:cstheme="minorHAnsi"/>
        </w:rPr>
        <w:t xml:space="preserve"> of America</w:t>
      </w:r>
      <w:r w:rsidRPr="004737C5">
        <w:rPr>
          <w:rFonts w:cstheme="minorHAnsi"/>
        </w:rPr>
        <w:t>,</w:t>
      </w:r>
      <w:r w:rsidR="00BF6C6D" w:rsidRPr="004737C5">
        <w:rPr>
          <w:rFonts w:cstheme="minorHAnsi"/>
        </w:rPr>
        <w:t xml:space="preserve"> </w:t>
      </w:r>
      <w:r w:rsidRPr="004737C5">
        <w:rPr>
          <w:rFonts w:cstheme="minorHAnsi"/>
        </w:rPr>
        <w:t xml:space="preserve">usually comprising exchanges of information and capacity-building activities. </w:t>
      </w:r>
    </w:p>
    <w:p w14:paraId="5955FEA2" w14:textId="19F44DFA" w:rsidR="00843222" w:rsidRPr="004737C5" w:rsidRDefault="00843222" w:rsidP="006D3BE8">
      <w:pPr>
        <w:pStyle w:val="Default"/>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t>At the regional level, there are many initiatives: the Committee on Consumer Protection of the Association of Southeast Asian Nations (ASEAN), the Organization of American States and its Inter-American Rapid Alert System (SIAR</w:t>
      </w:r>
      <w:r w:rsidRPr="004737C5">
        <w:rPr>
          <w:rFonts w:asciiTheme="minorHAnsi" w:hAnsiTheme="minorHAnsi" w:cstheme="minorHAnsi"/>
        </w:rPr>
        <w:t>)</w:t>
      </w:r>
      <w:r w:rsidRPr="004737C5">
        <w:rPr>
          <w:rFonts w:asciiTheme="minorHAnsi" w:hAnsiTheme="minorHAnsi" w:cstheme="minorHAnsi"/>
          <w:sz w:val="22"/>
          <w:szCs w:val="22"/>
        </w:rPr>
        <w:t xml:space="preserve">, the Andean Community, the Competition and Consumer Protection </w:t>
      </w:r>
      <w:r w:rsidR="009F6208" w:rsidRPr="004737C5">
        <w:rPr>
          <w:rFonts w:asciiTheme="minorHAnsi" w:hAnsiTheme="minorHAnsi" w:cstheme="minorHAnsi"/>
          <w:sz w:val="22"/>
          <w:szCs w:val="22"/>
        </w:rPr>
        <w:t>Programme</w:t>
      </w:r>
      <w:r w:rsidR="009F6208" w:rsidRPr="004737C5" w:rsidDel="009F6208">
        <w:rPr>
          <w:rFonts w:asciiTheme="minorHAnsi" w:hAnsiTheme="minorHAnsi" w:cstheme="minorHAnsi"/>
          <w:sz w:val="22"/>
          <w:szCs w:val="22"/>
        </w:rPr>
        <w:t xml:space="preserve"> </w:t>
      </w:r>
      <w:r w:rsidRPr="004737C5">
        <w:rPr>
          <w:rFonts w:asciiTheme="minorHAnsi" w:hAnsiTheme="minorHAnsi" w:cstheme="minorHAnsi"/>
          <w:sz w:val="22"/>
          <w:szCs w:val="22"/>
        </w:rPr>
        <w:t xml:space="preserve">for Latin America (COMPAL) of UNCTAD, the Central American Council on Consumer Protection, the </w:t>
      </w:r>
      <w:r w:rsidR="006332EC" w:rsidRPr="004737C5">
        <w:rPr>
          <w:rFonts w:asciiTheme="minorHAnsi" w:hAnsiTheme="minorHAnsi" w:cstheme="minorHAnsi"/>
          <w:sz w:val="22"/>
          <w:szCs w:val="22"/>
        </w:rPr>
        <w:t>Ibero-American</w:t>
      </w:r>
      <w:r w:rsidRPr="004737C5">
        <w:rPr>
          <w:rFonts w:asciiTheme="minorHAnsi" w:hAnsiTheme="minorHAnsi" w:cstheme="minorHAnsi"/>
          <w:sz w:val="22"/>
          <w:szCs w:val="22"/>
        </w:rPr>
        <w:t xml:space="preserve"> Forum of Government Consumer Protection Agencies (FI</w:t>
      </w:r>
      <w:r w:rsidR="00BF6C6D" w:rsidRPr="004737C5">
        <w:rPr>
          <w:rFonts w:asciiTheme="minorHAnsi" w:hAnsiTheme="minorHAnsi" w:cstheme="minorHAnsi"/>
          <w:sz w:val="22"/>
          <w:szCs w:val="22"/>
        </w:rPr>
        <w:t>AGC), the Alianza del Pacífico,</w:t>
      </w:r>
      <w:r w:rsidRPr="004737C5">
        <w:rPr>
          <w:rFonts w:asciiTheme="minorHAnsi" w:hAnsiTheme="minorHAnsi" w:cstheme="minorHAnsi"/>
          <w:sz w:val="22"/>
          <w:szCs w:val="22"/>
        </w:rPr>
        <w:t xml:space="preserve"> the So</w:t>
      </w:r>
      <w:r w:rsidR="00BF6C6D" w:rsidRPr="004737C5">
        <w:rPr>
          <w:rFonts w:asciiTheme="minorHAnsi" w:hAnsiTheme="minorHAnsi" w:cstheme="minorHAnsi"/>
          <w:sz w:val="22"/>
          <w:szCs w:val="22"/>
        </w:rPr>
        <w:t>uthern Common Market (MERCOSUR),</w:t>
      </w:r>
      <w:r w:rsidRPr="004737C5">
        <w:rPr>
          <w:rFonts w:asciiTheme="minorHAnsi" w:hAnsiTheme="minorHAnsi" w:cstheme="minorHAnsi"/>
          <w:sz w:val="22"/>
          <w:szCs w:val="22"/>
        </w:rPr>
        <w:t xml:space="preserve"> the Union of South Americ</w:t>
      </w:r>
      <w:r w:rsidR="005E3F54" w:rsidRPr="004737C5">
        <w:rPr>
          <w:rFonts w:asciiTheme="minorHAnsi" w:hAnsiTheme="minorHAnsi" w:cstheme="minorHAnsi"/>
          <w:sz w:val="22"/>
          <w:szCs w:val="22"/>
        </w:rPr>
        <w:t>an Nations (UNASUR), The UNCTAD‒</w:t>
      </w:r>
      <w:r w:rsidRPr="004737C5">
        <w:rPr>
          <w:rFonts w:asciiTheme="minorHAnsi" w:hAnsiTheme="minorHAnsi" w:cstheme="minorHAnsi"/>
          <w:sz w:val="22"/>
          <w:szCs w:val="22"/>
        </w:rPr>
        <w:t>MENA Programme f</w:t>
      </w:r>
      <w:r w:rsidR="00BF6C6D" w:rsidRPr="004737C5">
        <w:rPr>
          <w:rFonts w:asciiTheme="minorHAnsi" w:hAnsiTheme="minorHAnsi" w:cstheme="minorHAnsi"/>
          <w:sz w:val="22"/>
          <w:szCs w:val="22"/>
        </w:rPr>
        <w:t>or Middle East and North Africa</w:t>
      </w:r>
      <w:r w:rsidR="005E3F54" w:rsidRPr="004737C5">
        <w:rPr>
          <w:rFonts w:asciiTheme="minorHAnsi" w:hAnsiTheme="minorHAnsi" w:cstheme="minorHAnsi"/>
          <w:sz w:val="22"/>
          <w:szCs w:val="22"/>
        </w:rPr>
        <w:t>,</w:t>
      </w:r>
      <w:r w:rsidRPr="004737C5">
        <w:rPr>
          <w:rFonts w:asciiTheme="minorHAnsi" w:hAnsiTheme="minorHAnsi" w:cstheme="minorHAnsi"/>
          <w:sz w:val="22"/>
          <w:szCs w:val="22"/>
        </w:rPr>
        <w:t xml:space="preserve"> Africomp of UNCTAD, African Consumer Dialogue, the Southern African Customs Union</w:t>
      </w:r>
      <w:r w:rsidR="005E3F54" w:rsidRPr="004737C5">
        <w:rPr>
          <w:rFonts w:asciiTheme="minorHAnsi" w:hAnsiTheme="minorHAnsi" w:cstheme="minorHAnsi"/>
          <w:sz w:val="22"/>
          <w:szCs w:val="22"/>
        </w:rPr>
        <w:t>,</w:t>
      </w:r>
      <w:r w:rsidRPr="004737C5">
        <w:rPr>
          <w:rFonts w:asciiTheme="minorHAnsi" w:hAnsiTheme="minorHAnsi" w:cstheme="minorHAnsi"/>
          <w:sz w:val="22"/>
          <w:szCs w:val="22"/>
        </w:rPr>
        <w:t xml:space="preserve"> the Souther</w:t>
      </w:r>
      <w:r w:rsidR="005E3F54" w:rsidRPr="004737C5">
        <w:rPr>
          <w:rFonts w:asciiTheme="minorHAnsi" w:hAnsiTheme="minorHAnsi" w:cstheme="minorHAnsi"/>
          <w:sz w:val="22"/>
          <w:szCs w:val="22"/>
        </w:rPr>
        <w:t>n African Development Community,</w:t>
      </w:r>
      <w:r w:rsidRPr="004737C5">
        <w:rPr>
          <w:rFonts w:asciiTheme="minorHAnsi" w:hAnsiTheme="minorHAnsi" w:cstheme="minorHAnsi"/>
          <w:sz w:val="22"/>
          <w:szCs w:val="22"/>
        </w:rPr>
        <w:t xml:space="preserve"> the European Union Council on Cons</w:t>
      </w:r>
      <w:r w:rsidR="005E3F54" w:rsidRPr="004737C5">
        <w:rPr>
          <w:rFonts w:asciiTheme="minorHAnsi" w:hAnsiTheme="minorHAnsi" w:cstheme="minorHAnsi"/>
          <w:sz w:val="22"/>
          <w:szCs w:val="22"/>
        </w:rPr>
        <w:t>umer Protection Cooperation and</w:t>
      </w:r>
      <w:r w:rsidRPr="004737C5">
        <w:rPr>
          <w:rFonts w:asciiTheme="minorHAnsi" w:hAnsiTheme="minorHAnsi" w:cstheme="minorHAnsi"/>
          <w:sz w:val="22"/>
          <w:szCs w:val="22"/>
        </w:rPr>
        <w:t xml:space="preserve"> European Commission initiatives, among others.  </w:t>
      </w:r>
    </w:p>
    <w:p w14:paraId="53167BD2" w14:textId="5A0E9F21" w:rsidR="00843222" w:rsidRPr="004737C5" w:rsidRDefault="00843222" w:rsidP="006D3BE8">
      <w:pPr>
        <w:pStyle w:val="Default"/>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t>On a multilateral level, some United Nations Mem</w:t>
      </w:r>
      <w:r w:rsidR="005E3F54" w:rsidRPr="004737C5">
        <w:rPr>
          <w:rFonts w:asciiTheme="minorHAnsi" w:hAnsiTheme="minorHAnsi" w:cstheme="minorHAnsi"/>
          <w:sz w:val="22"/>
          <w:szCs w:val="22"/>
        </w:rPr>
        <w:t>ber States are part of the Asia-</w:t>
      </w:r>
      <w:r w:rsidRPr="004737C5">
        <w:rPr>
          <w:rFonts w:asciiTheme="minorHAnsi" w:hAnsiTheme="minorHAnsi" w:cstheme="minorHAnsi"/>
          <w:sz w:val="22"/>
          <w:szCs w:val="22"/>
        </w:rPr>
        <w:t>Pacific Economic Coope</w:t>
      </w:r>
      <w:r w:rsidR="005E3F54" w:rsidRPr="004737C5">
        <w:rPr>
          <w:rFonts w:asciiTheme="minorHAnsi" w:hAnsiTheme="minorHAnsi" w:cstheme="minorHAnsi"/>
          <w:sz w:val="22"/>
          <w:szCs w:val="22"/>
        </w:rPr>
        <w:t>ration forum,</w:t>
      </w:r>
      <w:r w:rsidR="006332EC" w:rsidRPr="004737C5">
        <w:rPr>
          <w:rFonts w:asciiTheme="minorHAnsi" w:hAnsiTheme="minorHAnsi" w:cstheme="minorHAnsi"/>
          <w:sz w:val="22"/>
          <w:szCs w:val="22"/>
        </w:rPr>
        <w:t xml:space="preserve"> the</w:t>
      </w:r>
      <w:r w:rsidR="005E3F54" w:rsidRPr="004737C5">
        <w:rPr>
          <w:rFonts w:asciiTheme="minorHAnsi" w:hAnsiTheme="minorHAnsi" w:cstheme="minorHAnsi"/>
          <w:sz w:val="22"/>
          <w:szCs w:val="22"/>
        </w:rPr>
        <w:t xml:space="preserve"> </w:t>
      </w:r>
      <w:r w:rsidR="006332EC" w:rsidRPr="004737C5">
        <w:rPr>
          <w:rFonts w:asciiTheme="minorHAnsi" w:hAnsiTheme="minorHAnsi" w:cstheme="minorHAnsi"/>
          <w:sz w:val="22"/>
          <w:szCs w:val="22"/>
        </w:rPr>
        <w:t xml:space="preserve">International Consumer Protection and Enforcement Network (ICPEN, </w:t>
      </w:r>
      <w:r w:rsidR="005E3F54" w:rsidRPr="004737C5">
        <w:rPr>
          <w:rFonts w:asciiTheme="minorHAnsi" w:hAnsiTheme="minorHAnsi" w:cstheme="minorHAnsi"/>
          <w:sz w:val="22"/>
          <w:szCs w:val="22"/>
        </w:rPr>
        <w:t xml:space="preserve">see </w:t>
      </w:r>
      <w:r w:rsidR="005E3F54" w:rsidRPr="004737C5">
        <w:rPr>
          <w:rFonts w:asciiTheme="minorHAnsi" w:hAnsiTheme="minorHAnsi" w:cstheme="minorHAnsi"/>
          <w:sz w:val="22"/>
          <w:szCs w:val="22"/>
        </w:rPr>
        <w:lastRenderedPageBreak/>
        <w:t>below)</w:t>
      </w:r>
      <w:r w:rsidRPr="004737C5">
        <w:rPr>
          <w:rFonts w:asciiTheme="minorHAnsi" w:hAnsiTheme="minorHAnsi" w:cstheme="minorHAnsi"/>
          <w:sz w:val="22"/>
          <w:szCs w:val="22"/>
        </w:rPr>
        <w:t xml:space="preserve"> and OECD, in whose Commit</w:t>
      </w:r>
      <w:r w:rsidR="005E3F54" w:rsidRPr="004737C5">
        <w:rPr>
          <w:rFonts w:asciiTheme="minorHAnsi" w:hAnsiTheme="minorHAnsi" w:cstheme="minorHAnsi"/>
          <w:sz w:val="22"/>
          <w:szCs w:val="22"/>
        </w:rPr>
        <w:t xml:space="preserve">tee on Consumer Policy </w:t>
      </w:r>
      <w:r w:rsidRPr="004737C5">
        <w:rPr>
          <w:rFonts w:asciiTheme="minorHAnsi" w:hAnsiTheme="minorHAnsi" w:cstheme="minorHAnsi"/>
          <w:sz w:val="22"/>
          <w:szCs w:val="22"/>
        </w:rPr>
        <w:t xml:space="preserve">observers from non-OECD economies (such as Colombia and Egypt) actively and regularly participate.  </w:t>
      </w:r>
    </w:p>
    <w:p w14:paraId="20990181" w14:textId="77777777" w:rsidR="00843222" w:rsidRPr="004737C5" w:rsidRDefault="00843222" w:rsidP="006D3BE8">
      <w:pPr>
        <w:pStyle w:val="Default"/>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t xml:space="preserve">UNCTAD is the focal point within the United Nations family and the </w:t>
      </w:r>
      <w:r w:rsidR="009F6208" w:rsidRPr="004737C5">
        <w:rPr>
          <w:rFonts w:asciiTheme="minorHAnsi" w:hAnsiTheme="minorHAnsi" w:cstheme="minorHAnsi"/>
          <w:sz w:val="22"/>
          <w:szCs w:val="22"/>
        </w:rPr>
        <w:t>glob</w:t>
      </w:r>
      <w:r w:rsidRPr="004737C5">
        <w:rPr>
          <w:rFonts w:asciiTheme="minorHAnsi" w:hAnsiTheme="minorHAnsi" w:cstheme="minorHAnsi"/>
          <w:sz w:val="22"/>
          <w:szCs w:val="22"/>
        </w:rPr>
        <w:t>al intergovernmental forum for co</w:t>
      </w:r>
      <w:r w:rsidR="009B5EA1" w:rsidRPr="004737C5">
        <w:rPr>
          <w:rFonts w:asciiTheme="minorHAnsi" w:hAnsiTheme="minorHAnsi" w:cstheme="minorHAnsi"/>
          <w:sz w:val="22"/>
          <w:szCs w:val="22"/>
        </w:rPr>
        <w:t>nsumer protection matters. The g</w:t>
      </w:r>
      <w:r w:rsidRPr="004737C5">
        <w:rPr>
          <w:rFonts w:asciiTheme="minorHAnsi" w:hAnsiTheme="minorHAnsi" w:cstheme="minorHAnsi"/>
          <w:sz w:val="22"/>
          <w:szCs w:val="22"/>
        </w:rPr>
        <w:t>uidelines have mandated it to carry out various cooperation activities, including</w:t>
      </w:r>
      <w:r w:rsidR="005E3F54" w:rsidRPr="004737C5">
        <w:rPr>
          <w:rFonts w:asciiTheme="minorHAnsi" w:hAnsiTheme="minorHAnsi" w:cstheme="minorHAnsi"/>
          <w:sz w:val="22"/>
          <w:szCs w:val="22"/>
        </w:rPr>
        <w:t xml:space="preserve">: </w:t>
      </w:r>
      <w:r w:rsidRPr="004737C5">
        <w:rPr>
          <w:rFonts w:asciiTheme="minorHAnsi" w:hAnsiTheme="minorHAnsi" w:cstheme="minorHAnsi"/>
          <w:sz w:val="22"/>
          <w:szCs w:val="22"/>
        </w:rPr>
        <w:t>a) exploring the interface between competition a</w:t>
      </w:r>
      <w:r w:rsidR="005E3F54" w:rsidRPr="004737C5">
        <w:rPr>
          <w:rFonts w:asciiTheme="minorHAnsi" w:hAnsiTheme="minorHAnsi" w:cstheme="minorHAnsi"/>
          <w:sz w:val="22"/>
          <w:szCs w:val="22"/>
        </w:rPr>
        <w:t xml:space="preserve">nd consumer protection issues; </w:t>
      </w:r>
      <w:r w:rsidRPr="004737C5">
        <w:rPr>
          <w:rFonts w:asciiTheme="minorHAnsi" w:hAnsiTheme="minorHAnsi" w:cstheme="minorHAnsi"/>
          <w:sz w:val="22"/>
          <w:szCs w:val="22"/>
        </w:rPr>
        <w:t>b) reviewing and advising Member States on consumer</w:t>
      </w:r>
      <w:r w:rsidR="005E3F54" w:rsidRPr="004737C5">
        <w:rPr>
          <w:rFonts w:asciiTheme="minorHAnsi" w:hAnsiTheme="minorHAnsi" w:cstheme="minorHAnsi"/>
          <w:sz w:val="22"/>
          <w:szCs w:val="22"/>
        </w:rPr>
        <w:t xml:space="preserve"> protection laws and policies; </w:t>
      </w:r>
      <w:r w:rsidRPr="004737C5">
        <w:rPr>
          <w:rFonts w:asciiTheme="minorHAnsi" w:hAnsiTheme="minorHAnsi" w:cstheme="minorHAnsi"/>
          <w:sz w:val="22"/>
          <w:szCs w:val="22"/>
        </w:rPr>
        <w:t>c) conducting training and capacity-building activities on consumer protection</w:t>
      </w:r>
      <w:r w:rsidR="005E3F54" w:rsidRPr="004737C5">
        <w:rPr>
          <w:rFonts w:asciiTheme="minorHAnsi" w:hAnsiTheme="minorHAnsi" w:cstheme="minorHAnsi"/>
          <w:sz w:val="22"/>
          <w:szCs w:val="22"/>
        </w:rPr>
        <w:t xml:space="preserve"> issues for Member States; and </w:t>
      </w:r>
      <w:r w:rsidRPr="004737C5">
        <w:rPr>
          <w:rFonts w:asciiTheme="minorHAnsi" w:hAnsiTheme="minorHAnsi" w:cstheme="minorHAnsi"/>
          <w:sz w:val="22"/>
          <w:szCs w:val="22"/>
        </w:rPr>
        <w:t>d) supporting region</w:t>
      </w:r>
      <w:r w:rsidR="005E3F54" w:rsidRPr="004737C5">
        <w:rPr>
          <w:rFonts w:asciiTheme="minorHAnsi" w:hAnsiTheme="minorHAnsi" w:cstheme="minorHAnsi"/>
          <w:sz w:val="22"/>
          <w:szCs w:val="22"/>
        </w:rPr>
        <w:t>al and multilateral initiatives. These</w:t>
      </w:r>
      <w:r w:rsidRPr="004737C5">
        <w:rPr>
          <w:rFonts w:asciiTheme="minorHAnsi" w:hAnsiTheme="minorHAnsi" w:cstheme="minorHAnsi"/>
          <w:sz w:val="22"/>
          <w:szCs w:val="22"/>
        </w:rPr>
        <w:t xml:space="preserve"> are </w:t>
      </w:r>
      <w:r w:rsidR="009F6208" w:rsidRPr="004737C5">
        <w:rPr>
          <w:rFonts w:asciiTheme="minorHAnsi" w:hAnsiTheme="minorHAnsi" w:cstheme="minorHAnsi"/>
          <w:sz w:val="22"/>
          <w:szCs w:val="22"/>
        </w:rPr>
        <w:t xml:space="preserve">elaborated </w:t>
      </w:r>
      <w:r w:rsidR="005E3F54" w:rsidRPr="004737C5">
        <w:rPr>
          <w:rFonts w:asciiTheme="minorHAnsi" w:hAnsiTheme="minorHAnsi" w:cstheme="minorHAnsi"/>
          <w:sz w:val="22"/>
          <w:szCs w:val="22"/>
        </w:rPr>
        <w:t xml:space="preserve">further </w:t>
      </w:r>
      <w:r w:rsidRPr="004737C5">
        <w:rPr>
          <w:rFonts w:asciiTheme="minorHAnsi" w:hAnsiTheme="minorHAnsi" w:cstheme="minorHAnsi"/>
          <w:sz w:val="22"/>
          <w:szCs w:val="22"/>
        </w:rPr>
        <w:t>later in th</w:t>
      </w:r>
      <w:r w:rsidR="009F6208" w:rsidRPr="004737C5">
        <w:rPr>
          <w:rFonts w:asciiTheme="minorHAnsi" w:hAnsiTheme="minorHAnsi" w:cstheme="minorHAnsi"/>
          <w:sz w:val="22"/>
          <w:szCs w:val="22"/>
        </w:rPr>
        <w:t>is</w:t>
      </w:r>
      <w:r w:rsidRPr="004737C5">
        <w:rPr>
          <w:rFonts w:asciiTheme="minorHAnsi" w:hAnsiTheme="minorHAnsi" w:cstheme="minorHAnsi"/>
          <w:sz w:val="22"/>
          <w:szCs w:val="22"/>
        </w:rPr>
        <w:t xml:space="preserve"> chapter.</w:t>
      </w:r>
    </w:p>
    <w:p w14:paraId="28DB8004" w14:textId="77777777" w:rsidR="00843222" w:rsidRPr="004737C5" w:rsidRDefault="00843222" w:rsidP="006D3BE8">
      <w:pPr>
        <w:pStyle w:val="Default"/>
        <w:spacing w:after="160" w:line="240" w:lineRule="auto"/>
        <w:jc w:val="both"/>
        <w:rPr>
          <w:rFonts w:asciiTheme="minorHAnsi" w:hAnsiTheme="minorHAnsi" w:cstheme="minorHAnsi"/>
          <w:sz w:val="22"/>
          <w:szCs w:val="22"/>
        </w:rPr>
      </w:pPr>
      <w:r w:rsidRPr="004737C5">
        <w:rPr>
          <w:rFonts w:asciiTheme="minorHAnsi" w:hAnsiTheme="minorHAnsi" w:cstheme="minorHAnsi"/>
          <w:sz w:val="22"/>
          <w:szCs w:val="22"/>
        </w:rPr>
        <w:t xml:space="preserve">There is clearly then a great deal of exchange of information on policy and implementation of </w:t>
      </w:r>
      <w:r w:rsidRPr="004737C5">
        <w:rPr>
          <w:rFonts w:asciiTheme="minorHAnsi" w:hAnsiTheme="minorHAnsi" w:cstheme="minorHAnsi"/>
          <w:bCs/>
          <w:color w:val="auto"/>
          <w:sz w:val="22"/>
          <w:szCs w:val="22"/>
        </w:rPr>
        <w:t xml:space="preserve">consumer protection </w:t>
      </w:r>
      <w:r w:rsidRPr="004737C5">
        <w:rPr>
          <w:rFonts w:asciiTheme="minorHAnsi" w:hAnsiTheme="minorHAnsi" w:cstheme="minorHAnsi"/>
          <w:sz w:val="22"/>
          <w:szCs w:val="22"/>
        </w:rPr>
        <w:t xml:space="preserve">measures, and many members can reasonably claim to have implemented those provisions of the UNGCP already. However, one particular challenge remains: the applicable law and jurisdiction. </w:t>
      </w:r>
    </w:p>
    <w:p w14:paraId="07CADE3E" w14:textId="77777777" w:rsidR="005E3F54" w:rsidRPr="004737C5" w:rsidRDefault="005E3F54" w:rsidP="009771AD">
      <w:pPr>
        <w:spacing w:before="200"/>
        <w:rPr>
          <w:rFonts w:cstheme="minorHAnsi"/>
          <w:sz w:val="24"/>
          <w:szCs w:val="24"/>
        </w:rPr>
      </w:pPr>
      <w:bookmarkStart w:id="78" w:name="_Toc492650030"/>
      <w:r w:rsidRPr="004737C5">
        <w:rPr>
          <w:rStyle w:val="Heading2Char"/>
          <w:rFonts w:cstheme="minorHAnsi"/>
          <w:color w:val="auto"/>
          <w:sz w:val="24"/>
          <w:szCs w:val="24"/>
        </w:rPr>
        <w:t>B.</w:t>
      </w:r>
      <w:r w:rsidR="00843222" w:rsidRPr="004737C5">
        <w:rPr>
          <w:rStyle w:val="Heading2Char"/>
          <w:rFonts w:cstheme="minorHAnsi"/>
          <w:color w:val="auto"/>
          <w:sz w:val="24"/>
          <w:szCs w:val="24"/>
        </w:rPr>
        <w:t xml:space="preserve"> Applicable law and jurisdiction</w:t>
      </w:r>
      <w:bookmarkEnd w:id="78"/>
      <w:r w:rsidR="00843222" w:rsidRPr="004737C5">
        <w:rPr>
          <w:rFonts w:eastAsiaTheme="majorEastAsia" w:cstheme="minorHAnsi"/>
          <w:b/>
          <w:bCs/>
          <w:sz w:val="24"/>
          <w:szCs w:val="24"/>
        </w:rPr>
        <w:tab/>
      </w:r>
    </w:p>
    <w:p w14:paraId="0CBC9A43" w14:textId="6C92DE01" w:rsidR="00843222" w:rsidRPr="004737C5" w:rsidRDefault="00843222" w:rsidP="006D3BE8">
      <w:pPr>
        <w:rPr>
          <w:rFonts w:cstheme="minorHAnsi"/>
          <w:b/>
          <w:color w:val="5B9BD5" w:themeColor="accent1"/>
          <w:sz w:val="24"/>
          <w:szCs w:val="24"/>
        </w:rPr>
      </w:pPr>
      <w:r w:rsidRPr="004737C5">
        <w:rPr>
          <w:rFonts w:cstheme="minorHAnsi"/>
        </w:rPr>
        <w:t xml:space="preserve">The detail in which matters of international cooperation are set out in the UNGCP suggests an interest in overcoming the challenges to inter-agency cooperation. Resolution 70/186 </w:t>
      </w:r>
      <w:r w:rsidR="005E3F54" w:rsidRPr="004737C5">
        <w:rPr>
          <w:rFonts w:cstheme="minorHAnsi"/>
        </w:rPr>
        <w:t>(mentioned above)</w:t>
      </w:r>
      <w:r w:rsidRPr="004737C5">
        <w:rPr>
          <w:rFonts w:cstheme="minorHAnsi"/>
        </w:rPr>
        <w:t xml:space="preserve"> refers explicitly </w:t>
      </w:r>
      <w:r w:rsidR="005E3F54" w:rsidRPr="004737C5">
        <w:rPr>
          <w:rFonts w:cstheme="minorHAnsi"/>
        </w:rPr>
        <w:t>to this issue when it declares that “</w:t>
      </w:r>
      <w:r w:rsidRPr="004737C5">
        <w:rPr>
          <w:rFonts w:cstheme="minorHAnsi"/>
          <w:bCs/>
        </w:rPr>
        <w:t>certain consumer protection issues, such as applicable law and jurisdiction, may be addressed most effectively through internation</w:t>
      </w:r>
      <w:r w:rsidR="005E3F54" w:rsidRPr="004737C5">
        <w:rPr>
          <w:rFonts w:cstheme="minorHAnsi"/>
          <w:bCs/>
        </w:rPr>
        <w:t>al consultation and cooperation”. The term “applicable law and jurisdiction”</w:t>
      </w:r>
      <w:r w:rsidRPr="004737C5">
        <w:rPr>
          <w:rFonts w:cstheme="minorHAnsi"/>
          <w:bCs/>
        </w:rPr>
        <w:t xml:space="preserve"> does not app</w:t>
      </w:r>
      <w:r w:rsidR="005E3F54" w:rsidRPr="004737C5">
        <w:rPr>
          <w:rFonts w:cstheme="minorHAnsi"/>
          <w:bCs/>
        </w:rPr>
        <w:t>ear in the body of the UNGCP</w:t>
      </w:r>
      <w:r w:rsidRPr="004737C5">
        <w:rPr>
          <w:rFonts w:cstheme="minorHAnsi"/>
          <w:bCs/>
        </w:rPr>
        <w:t xml:space="preserve">, although </w:t>
      </w:r>
      <w:r w:rsidR="009B5EA1" w:rsidRPr="004737C5">
        <w:rPr>
          <w:rFonts w:cstheme="minorHAnsi"/>
          <w:bCs/>
        </w:rPr>
        <w:t>g</w:t>
      </w:r>
      <w:r w:rsidRPr="004737C5">
        <w:rPr>
          <w:rFonts w:cstheme="minorHAnsi"/>
          <w:bCs/>
        </w:rPr>
        <w:t>uideline 39 calls for access to justice and mechanisms</w:t>
      </w:r>
      <w:r w:rsidR="005E3F54" w:rsidRPr="004737C5">
        <w:rPr>
          <w:rFonts w:cstheme="minorHAnsi"/>
          <w:bCs/>
        </w:rPr>
        <w:t xml:space="preserve"> for redress</w:t>
      </w:r>
      <w:r w:rsidRPr="004737C5">
        <w:rPr>
          <w:rFonts w:cstheme="minorHAnsi"/>
          <w:bCs/>
        </w:rPr>
        <w:t xml:space="preserve">, particularly in cross-border disputes, to be enhanced. </w:t>
      </w:r>
      <w:r w:rsidR="006332EC" w:rsidRPr="004737C5">
        <w:rPr>
          <w:rFonts w:cstheme="minorHAnsi"/>
        </w:rPr>
        <w:t>The OECD Guidelines on E</w:t>
      </w:r>
      <w:r w:rsidRPr="004737C5">
        <w:rPr>
          <w:rFonts w:cstheme="minorHAnsi"/>
        </w:rPr>
        <w:t>-commerce paragraph 54</w:t>
      </w:r>
      <w:r w:rsidR="009B5EA1" w:rsidRPr="004737C5">
        <w:rPr>
          <w:rFonts w:cstheme="minorHAnsi"/>
        </w:rPr>
        <w:t>vi</w:t>
      </w:r>
      <w:r w:rsidRPr="004737C5">
        <w:rPr>
          <w:rFonts w:cstheme="minorHAnsi"/>
        </w:rPr>
        <w:t>, to which</w:t>
      </w:r>
      <w:r w:rsidR="005A2086" w:rsidRPr="004737C5">
        <w:rPr>
          <w:rFonts w:cstheme="minorHAnsi"/>
        </w:rPr>
        <w:t xml:space="preserve"> the UNGCP make reference,</w:t>
      </w:r>
      <w:r w:rsidR="005E3F54" w:rsidRPr="004737C5">
        <w:rPr>
          <w:rFonts w:cstheme="minorHAnsi"/>
        </w:rPr>
        <w:t xml:space="preserve"> asks governments to “</w:t>
      </w:r>
      <w:r w:rsidRPr="004737C5">
        <w:rPr>
          <w:rFonts w:cstheme="minorHAnsi"/>
        </w:rPr>
        <w:t>consider the role of applicable law and jurisdiction in enhanci</w:t>
      </w:r>
      <w:r w:rsidR="005E3F54" w:rsidRPr="004737C5">
        <w:rPr>
          <w:rFonts w:cstheme="minorHAnsi"/>
        </w:rPr>
        <w:t>ng consumer trust in e-commerce”</w:t>
      </w:r>
      <w:r w:rsidRPr="004737C5">
        <w:rPr>
          <w:rFonts w:cstheme="minorHAnsi"/>
        </w:rPr>
        <w:t>.</w:t>
      </w:r>
      <w:r w:rsidRPr="004737C5">
        <w:rPr>
          <w:rStyle w:val="FootnoteReference"/>
          <w:rFonts w:cstheme="minorHAnsi"/>
        </w:rPr>
        <w:footnoteReference w:id="124"/>
      </w:r>
    </w:p>
    <w:p w14:paraId="3A76B67C" w14:textId="77777777" w:rsidR="005E3F54" w:rsidRPr="004737C5" w:rsidRDefault="00843222" w:rsidP="006D3BE8">
      <w:pPr>
        <w:rPr>
          <w:rFonts w:cstheme="minorHAnsi"/>
          <w:bCs/>
        </w:rPr>
      </w:pPr>
      <w:r w:rsidRPr="004737C5">
        <w:rPr>
          <w:rFonts w:cstheme="minorHAnsi"/>
          <w:bCs/>
        </w:rPr>
        <w:t xml:space="preserve">Guideline 90 </w:t>
      </w:r>
      <w:r w:rsidRPr="004737C5">
        <w:rPr>
          <w:rFonts w:cstheme="minorHAnsi"/>
        </w:rPr>
        <w:t>of the</w:t>
      </w:r>
      <w:r w:rsidR="009F6208" w:rsidRPr="004737C5">
        <w:rPr>
          <w:rFonts w:cstheme="minorHAnsi"/>
        </w:rPr>
        <w:t xml:space="preserve"> UNGCP refers to the</w:t>
      </w:r>
      <w:r w:rsidRPr="004737C5">
        <w:rPr>
          <w:rFonts w:cstheme="minorHAnsi"/>
        </w:rPr>
        <w:t xml:space="preserve"> OECD</w:t>
      </w:r>
      <w:r w:rsidR="005E3F54" w:rsidRPr="004737C5">
        <w:rPr>
          <w:rFonts w:cstheme="minorHAnsi"/>
          <w:bCs/>
        </w:rPr>
        <w:t xml:space="preserve"> g</w:t>
      </w:r>
      <w:r w:rsidRPr="004737C5">
        <w:rPr>
          <w:rFonts w:cstheme="minorHAnsi"/>
          <w:bCs/>
        </w:rPr>
        <w:t xml:space="preserve">uidelines for protecting consumers from fraudulent and deceptive commercial practices across borders </w:t>
      </w:r>
      <w:r w:rsidR="005E3F54" w:rsidRPr="004737C5">
        <w:rPr>
          <w:rFonts w:cstheme="minorHAnsi"/>
          <w:bCs/>
        </w:rPr>
        <w:t>which</w:t>
      </w:r>
      <w:r w:rsidR="009F6208" w:rsidRPr="004737C5">
        <w:rPr>
          <w:rFonts w:cstheme="minorHAnsi"/>
          <w:bCs/>
        </w:rPr>
        <w:t xml:space="preserve"> deal, in paragraph III.A</w:t>
      </w:r>
      <w:r w:rsidR="005E3F54" w:rsidRPr="004737C5">
        <w:rPr>
          <w:rFonts w:cstheme="minorHAnsi"/>
          <w:bCs/>
        </w:rPr>
        <w:t>,</w:t>
      </w:r>
      <w:r w:rsidR="009F6208" w:rsidRPr="004737C5">
        <w:rPr>
          <w:rFonts w:cstheme="minorHAnsi"/>
          <w:bCs/>
        </w:rPr>
        <w:t xml:space="preserve"> with </w:t>
      </w:r>
      <w:r w:rsidRPr="004737C5">
        <w:rPr>
          <w:rFonts w:cstheme="minorHAnsi"/>
          <w:bCs/>
        </w:rPr>
        <w:t>the possibilit</w:t>
      </w:r>
      <w:r w:rsidR="005E3F54" w:rsidRPr="004737C5">
        <w:rPr>
          <w:rFonts w:cstheme="minorHAnsi"/>
          <w:bCs/>
        </w:rPr>
        <w:t xml:space="preserve">y of jurisdictional conflict: </w:t>
      </w:r>
    </w:p>
    <w:p w14:paraId="77438B16" w14:textId="77777777" w:rsidR="00843222" w:rsidRPr="004737C5" w:rsidRDefault="005E3F54" w:rsidP="005E3F54">
      <w:pPr>
        <w:ind w:left="567" w:right="567"/>
        <w:rPr>
          <w:rFonts w:cstheme="minorHAnsi"/>
          <w:bCs/>
        </w:rPr>
      </w:pPr>
      <w:r w:rsidRPr="004737C5">
        <w:rPr>
          <w:rFonts w:cstheme="minorHAnsi"/>
          <w:bCs/>
        </w:rPr>
        <w:t>M</w:t>
      </w:r>
      <w:r w:rsidR="00843222" w:rsidRPr="004737C5">
        <w:rPr>
          <w:rFonts w:cstheme="minorHAnsi"/>
          <w:bCs/>
        </w:rPr>
        <w:t>ember countries sho</w:t>
      </w:r>
      <w:r w:rsidRPr="004737C5">
        <w:rPr>
          <w:rFonts w:cstheme="minorHAnsi"/>
          <w:bCs/>
        </w:rPr>
        <w:t>uld improve their ability to co</w:t>
      </w:r>
      <w:r w:rsidR="00843222" w:rsidRPr="004737C5">
        <w:rPr>
          <w:rFonts w:cstheme="minorHAnsi"/>
          <w:bCs/>
        </w:rPr>
        <w:t>operate in combating cross-border fraudulent and deceptive commercial practices recognizing that cooperation on particular investigations or cases remains within the discretion of the consumer protection enforcement agency being asked to cooperate. This agency may decline to cooperate on particular investigations or proceedings or limit or condition such cooperation, on the ground that it considers compliance with a request for cooperation to be inconsistent with its laws, interests or priorities, or resource constraints, or based on the absence of a mutual interest in the investigation or proceeding in question</w:t>
      </w:r>
      <w:r w:rsidRPr="004737C5">
        <w:rPr>
          <w:rFonts w:cstheme="minorHAnsi"/>
          <w:bCs/>
        </w:rPr>
        <w:t>.</w:t>
      </w:r>
      <w:r w:rsidR="00843222" w:rsidRPr="004737C5">
        <w:rPr>
          <w:rStyle w:val="FootnoteReference"/>
          <w:rFonts w:cstheme="minorHAnsi"/>
          <w:bCs/>
        </w:rPr>
        <w:footnoteReference w:id="125"/>
      </w:r>
      <w:r w:rsidR="00843222" w:rsidRPr="004737C5">
        <w:rPr>
          <w:rFonts w:cstheme="minorHAnsi"/>
          <w:bCs/>
        </w:rPr>
        <w:t xml:space="preserve"> </w:t>
      </w:r>
    </w:p>
    <w:p w14:paraId="753BB53D" w14:textId="77777777" w:rsidR="00843222" w:rsidRPr="004737C5" w:rsidRDefault="00843222" w:rsidP="006D3BE8">
      <w:pPr>
        <w:rPr>
          <w:rFonts w:cstheme="minorHAnsi"/>
          <w:bCs/>
        </w:rPr>
      </w:pPr>
      <w:r w:rsidRPr="004737C5">
        <w:rPr>
          <w:rFonts w:cstheme="minorHAnsi"/>
          <w:bCs/>
        </w:rPr>
        <w:t xml:space="preserve">A first reaction might be to ask whether the interest of foreign consumers is adequately taken into consideration by national authorities in the midst of such loose obligations. Although it might </w:t>
      </w:r>
      <w:r w:rsidR="009F6208" w:rsidRPr="004737C5">
        <w:rPr>
          <w:rFonts w:cstheme="minorHAnsi"/>
          <w:bCs/>
        </w:rPr>
        <w:t>seem</w:t>
      </w:r>
      <w:r w:rsidRPr="004737C5">
        <w:rPr>
          <w:rFonts w:cstheme="minorHAnsi"/>
          <w:bCs/>
        </w:rPr>
        <w:t xml:space="preserve"> a good point</w:t>
      </w:r>
      <w:r w:rsidR="005E3F54" w:rsidRPr="004737C5">
        <w:rPr>
          <w:rFonts w:cstheme="minorHAnsi"/>
          <w:bCs/>
        </w:rPr>
        <w:t xml:space="preserve"> of debate</w:t>
      </w:r>
      <w:r w:rsidRPr="004737C5">
        <w:rPr>
          <w:rFonts w:cstheme="minorHAnsi"/>
          <w:bCs/>
        </w:rPr>
        <w:t xml:space="preserve">, the claim may not be entirely fair. What if the gravity or number of domestic fraudulent and deceptive practices far exceeds that of those at an international level? Consumer protection agencies are </w:t>
      </w:r>
      <w:r w:rsidR="009F6208" w:rsidRPr="004737C5">
        <w:rPr>
          <w:rFonts w:cstheme="minorHAnsi"/>
          <w:bCs/>
        </w:rPr>
        <w:t xml:space="preserve">constantly </w:t>
      </w:r>
      <w:r w:rsidRPr="004737C5">
        <w:rPr>
          <w:rFonts w:cstheme="minorHAnsi"/>
          <w:bCs/>
        </w:rPr>
        <w:t xml:space="preserve">forced to make judgments about priority where there is no international dimension, so it is not surprising that the judgments are even more difficult when </w:t>
      </w:r>
      <w:r w:rsidR="005E3F54" w:rsidRPr="004737C5">
        <w:rPr>
          <w:rFonts w:cstheme="minorHAnsi"/>
          <w:bCs/>
        </w:rPr>
        <w:t>there are cross-border elements</w:t>
      </w:r>
      <w:r w:rsidRPr="004737C5">
        <w:rPr>
          <w:rFonts w:cstheme="minorHAnsi"/>
          <w:bCs/>
        </w:rPr>
        <w:t xml:space="preserve"> which may diminish the chances of success. In regard to international private law, </w:t>
      </w:r>
      <w:r w:rsidRPr="004737C5">
        <w:rPr>
          <w:rFonts w:cstheme="minorHAnsi"/>
        </w:rPr>
        <w:t>several – but not all – Member States have introduced special conflict of law rules to pro</w:t>
      </w:r>
      <w:r w:rsidR="005E3F54" w:rsidRPr="004737C5">
        <w:rPr>
          <w:rFonts w:cstheme="minorHAnsi"/>
        </w:rPr>
        <w:t>tect consumers (European Union member s</w:t>
      </w:r>
      <w:r w:rsidRPr="004737C5">
        <w:rPr>
          <w:rFonts w:cstheme="minorHAnsi"/>
        </w:rPr>
        <w:t xml:space="preserve">tates, Argentina, China, Japan and </w:t>
      </w:r>
      <w:r w:rsidR="00C36EAA" w:rsidRPr="004737C5">
        <w:rPr>
          <w:rFonts w:cstheme="minorHAnsi"/>
        </w:rPr>
        <w:t xml:space="preserve">the Russian </w:t>
      </w:r>
      <w:r w:rsidR="00C36EAA" w:rsidRPr="004737C5">
        <w:rPr>
          <w:rFonts w:cstheme="minorHAnsi"/>
        </w:rPr>
        <w:lastRenderedPageBreak/>
        <w:t>Federation</w:t>
      </w:r>
      <w:r w:rsidRPr="004737C5">
        <w:rPr>
          <w:rFonts w:cstheme="minorHAnsi"/>
        </w:rPr>
        <w:t xml:space="preserve"> for example). Many countries hav</w:t>
      </w:r>
      <w:r w:rsidR="0096333A" w:rsidRPr="004737C5">
        <w:rPr>
          <w:rFonts w:cstheme="minorHAnsi"/>
        </w:rPr>
        <w:t xml:space="preserve">e introduced </w:t>
      </w:r>
      <w:r w:rsidRPr="004737C5">
        <w:rPr>
          <w:rFonts w:cstheme="minorHAnsi"/>
        </w:rPr>
        <w:t>rules on</w:t>
      </w:r>
      <w:r w:rsidR="0096333A" w:rsidRPr="004737C5">
        <w:rPr>
          <w:rFonts w:cstheme="minorHAnsi"/>
        </w:rPr>
        <w:t xml:space="preserve"> special jurisdiction for cross-</w:t>
      </w:r>
      <w:r w:rsidRPr="004737C5">
        <w:rPr>
          <w:rFonts w:cstheme="minorHAnsi"/>
        </w:rPr>
        <w:t>border cases involving consumers</w:t>
      </w:r>
      <w:r w:rsidR="0096333A" w:rsidRPr="004737C5">
        <w:rPr>
          <w:rFonts w:cstheme="minorHAnsi"/>
        </w:rPr>
        <w:t xml:space="preserve"> into national laws</w:t>
      </w:r>
      <w:r w:rsidRPr="004737C5">
        <w:rPr>
          <w:rFonts w:cstheme="minorHAnsi"/>
        </w:rPr>
        <w:t xml:space="preserve">, often using the judicial forum in </w:t>
      </w:r>
      <w:r w:rsidR="0096333A" w:rsidRPr="004737C5">
        <w:rPr>
          <w:rFonts w:cstheme="minorHAnsi"/>
        </w:rPr>
        <w:t>the consumer’s country</w:t>
      </w:r>
      <w:r w:rsidRPr="004737C5">
        <w:rPr>
          <w:rFonts w:cstheme="minorHAnsi"/>
        </w:rPr>
        <w:t xml:space="preserve"> of domicile.</w:t>
      </w:r>
    </w:p>
    <w:p w14:paraId="0EA4D4E2" w14:textId="77777777" w:rsidR="00904CD2" w:rsidRPr="004737C5" w:rsidRDefault="00843222" w:rsidP="006D3BE8">
      <w:pPr>
        <w:rPr>
          <w:rFonts w:cstheme="minorHAnsi"/>
        </w:rPr>
      </w:pPr>
      <w:r w:rsidRPr="004737C5">
        <w:rPr>
          <w:rFonts w:cstheme="minorHAnsi"/>
          <w:bCs/>
        </w:rPr>
        <w:t xml:space="preserve">Attempts have been made to establish a general principle regarding which national </w:t>
      </w:r>
      <w:r w:rsidR="00076EE8" w:rsidRPr="004737C5">
        <w:rPr>
          <w:rFonts w:cstheme="minorHAnsi"/>
          <w:bCs/>
        </w:rPr>
        <w:t>law</w:t>
      </w:r>
      <w:r w:rsidRPr="004737C5">
        <w:rPr>
          <w:rFonts w:cstheme="minorHAnsi"/>
          <w:bCs/>
        </w:rPr>
        <w:t xml:space="preserve"> should take </w:t>
      </w:r>
      <w:r w:rsidR="00076EE8" w:rsidRPr="004737C5">
        <w:rPr>
          <w:rFonts w:cstheme="minorHAnsi"/>
          <w:bCs/>
        </w:rPr>
        <w:t>precedence</w:t>
      </w:r>
      <w:r w:rsidRPr="004737C5">
        <w:rPr>
          <w:rFonts w:cstheme="minorHAnsi"/>
          <w:bCs/>
        </w:rPr>
        <w:t xml:space="preserve">. For example, the </w:t>
      </w:r>
      <w:r w:rsidRPr="004737C5">
        <w:rPr>
          <w:rFonts w:cstheme="minorHAnsi"/>
        </w:rPr>
        <w:t xml:space="preserve">International Law Association has developed </w:t>
      </w:r>
      <w:r w:rsidR="0096333A" w:rsidRPr="004737C5">
        <w:rPr>
          <w:rFonts w:cstheme="minorHAnsi"/>
        </w:rPr>
        <w:t>the “most favourable protection” principle, according to which “</w:t>
      </w:r>
      <w:r w:rsidRPr="004737C5">
        <w:rPr>
          <w:rFonts w:cstheme="minorHAnsi"/>
        </w:rPr>
        <w:t>it is desirable to develop standards and to apply rules of private international law that entitle consumers to take advantage of the most favourable consumer protection</w:t>
      </w:r>
      <w:r w:rsidR="0096333A" w:rsidRPr="004737C5">
        <w:rPr>
          <w:rFonts w:cstheme="minorHAnsi"/>
        </w:rPr>
        <w:t>”.</w:t>
      </w:r>
      <w:r w:rsidRPr="004737C5">
        <w:rPr>
          <w:rStyle w:val="FootnoteReference"/>
          <w:rFonts w:cstheme="minorHAnsi"/>
        </w:rPr>
        <w:footnoteReference w:id="126"/>
      </w:r>
      <w:r w:rsidRPr="004737C5">
        <w:rPr>
          <w:rFonts w:cstheme="minorHAnsi"/>
        </w:rPr>
        <w:t xml:space="preserve"> </w:t>
      </w:r>
    </w:p>
    <w:p w14:paraId="64878EFB" w14:textId="77777777" w:rsidR="0096333A" w:rsidRPr="004737C5" w:rsidRDefault="00D31F0E" w:rsidP="009771AD">
      <w:pPr>
        <w:spacing w:before="200"/>
        <w:rPr>
          <w:rFonts w:cstheme="minorHAnsi"/>
        </w:rPr>
      </w:pPr>
      <w:r w:rsidRPr="004737C5">
        <w:rPr>
          <w:rFonts w:cstheme="minorHAnsi"/>
          <w:b/>
          <w:bCs/>
        </w:rPr>
        <w:t>1</w:t>
      </w:r>
      <w:r w:rsidR="0096333A" w:rsidRPr="004737C5">
        <w:rPr>
          <w:rFonts w:cstheme="minorHAnsi"/>
          <w:b/>
          <w:bCs/>
        </w:rPr>
        <w:t>.</w:t>
      </w:r>
      <w:r w:rsidRPr="004737C5">
        <w:rPr>
          <w:rFonts w:cstheme="minorHAnsi"/>
          <w:b/>
          <w:bCs/>
        </w:rPr>
        <w:t xml:space="preserve"> </w:t>
      </w:r>
      <w:r w:rsidRPr="004737C5">
        <w:rPr>
          <w:rFonts w:cstheme="minorHAnsi"/>
          <w:b/>
        </w:rPr>
        <w:t xml:space="preserve">The </w:t>
      </w:r>
      <w:r w:rsidRPr="004737C5">
        <w:rPr>
          <w:rFonts w:cstheme="minorHAnsi"/>
          <w:b/>
          <w:bCs/>
        </w:rPr>
        <w:t>example</w:t>
      </w:r>
      <w:r w:rsidRPr="004737C5">
        <w:rPr>
          <w:rFonts w:cstheme="minorHAnsi"/>
          <w:b/>
        </w:rPr>
        <w:t xml:space="preserve"> of </w:t>
      </w:r>
      <w:r w:rsidR="0096333A" w:rsidRPr="004737C5">
        <w:rPr>
          <w:rFonts w:cstheme="minorHAnsi"/>
          <w:b/>
          <w:bCs/>
        </w:rPr>
        <w:t>t</w:t>
      </w:r>
      <w:r w:rsidR="00843222" w:rsidRPr="004737C5">
        <w:rPr>
          <w:rFonts w:cstheme="minorHAnsi"/>
          <w:b/>
          <w:bCs/>
        </w:rPr>
        <w:t>ourism</w:t>
      </w:r>
      <w:r w:rsidR="00843222" w:rsidRPr="004737C5">
        <w:rPr>
          <w:rFonts w:cstheme="minorHAnsi"/>
        </w:rPr>
        <w:tab/>
      </w:r>
    </w:p>
    <w:p w14:paraId="3F852BD2" w14:textId="6B878E36" w:rsidR="0096333A" w:rsidRPr="004737C5" w:rsidRDefault="00843222" w:rsidP="006332EC">
      <w:pPr>
        <w:rPr>
          <w:rFonts w:cstheme="minorHAnsi"/>
        </w:rPr>
      </w:pPr>
      <w:r w:rsidRPr="004737C5">
        <w:rPr>
          <w:rFonts w:cstheme="minorHAnsi"/>
        </w:rPr>
        <w:t xml:space="preserve">An obvious area for international cooperation is tourism, </w:t>
      </w:r>
      <w:r w:rsidR="00D31F0E" w:rsidRPr="004737C5">
        <w:rPr>
          <w:rFonts w:cstheme="minorHAnsi"/>
        </w:rPr>
        <w:t xml:space="preserve">especially as </w:t>
      </w:r>
      <w:r w:rsidRPr="004737C5">
        <w:rPr>
          <w:rFonts w:cstheme="minorHAnsi"/>
        </w:rPr>
        <w:t>the country of domicile will often not be where the alleged infringement takes</w:t>
      </w:r>
      <w:r w:rsidR="006332EC" w:rsidRPr="004737C5">
        <w:rPr>
          <w:rFonts w:cstheme="minorHAnsi"/>
        </w:rPr>
        <w:t xml:space="preserve"> place. The revised UNGCP break</w:t>
      </w:r>
      <w:r w:rsidRPr="004737C5">
        <w:rPr>
          <w:rFonts w:cstheme="minorHAnsi"/>
        </w:rPr>
        <w:t xml:space="preserve"> new ground in dealing with the </w:t>
      </w:r>
      <w:r w:rsidR="00D31F0E" w:rsidRPr="004737C5">
        <w:rPr>
          <w:rFonts w:cstheme="minorHAnsi"/>
        </w:rPr>
        <w:t>needs</w:t>
      </w:r>
      <w:r w:rsidRPr="004737C5">
        <w:rPr>
          <w:rFonts w:cstheme="minorHAnsi"/>
        </w:rPr>
        <w:t xml:space="preserve"> of tourists </w:t>
      </w:r>
      <w:r w:rsidR="00D31F0E" w:rsidRPr="004737C5">
        <w:rPr>
          <w:rFonts w:cstheme="minorHAnsi"/>
        </w:rPr>
        <w:t xml:space="preserve">and travellers </w:t>
      </w:r>
      <w:r w:rsidRPr="004737C5">
        <w:rPr>
          <w:rFonts w:cstheme="minorHAnsi"/>
        </w:rPr>
        <w:t>for the f</w:t>
      </w:r>
      <w:r w:rsidR="0096333A" w:rsidRPr="004737C5">
        <w:rPr>
          <w:rFonts w:cstheme="minorHAnsi"/>
        </w:rPr>
        <w:t xml:space="preserve">irst time. Guideline 78 states that: </w:t>
      </w:r>
    </w:p>
    <w:p w14:paraId="72EEDBB2" w14:textId="4EFC0160" w:rsidR="00843222" w:rsidRPr="004737C5" w:rsidRDefault="00843222" w:rsidP="0096333A">
      <w:pPr>
        <w:ind w:left="567" w:right="567"/>
        <w:rPr>
          <w:rFonts w:cstheme="minorHAnsi"/>
          <w:b/>
          <w:color w:val="5B9BD5" w:themeColor="accent1"/>
          <w:sz w:val="24"/>
          <w:szCs w:val="24"/>
        </w:rPr>
      </w:pPr>
      <w:r w:rsidRPr="004737C5">
        <w:rPr>
          <w:rFonts w:cstheme="minorHAnsi"/>
          <w:bCs/>
        </w:rPr>
        <w:t>Member States should ensure that their consumer protection policies are adequate to address the marketing and provision of goods and services related to tourism, including, but not limited to, travel, traveller accommodation and timeshares. Member States should, in particular, address the cross-border challenges raised by such activity, including enforcement cooperation and information</w:t>
      </w:r>
      <w:r w:rsidR="00D31F0E" w:rsidRPr="004737C5">
        <w:rPr>
          <w:rFonts w:cstheme="minorHAnsi"/>
          <w:bCs/>
        </w:rPr>
        <w:t>-</w:t>
      </w:r>
      <w:r w:rsidRPr="004737C5">
        <w:rPr>
          <w:rFonts w:cstheme="minorHAnsi"/>
          <w:bCs/>
        </w:rPr>
        <w:t>sharing with other Member States, and should also cooperate with the relevant stakeholde</w:t>
      </w:r>
      <w:r w:rsidR="0096333A" w:rsidRPr="004737C5">
        <w:rPr>
          <w:rFonts w:cstheme="minorHAnsi"/>
          <w:bCs/>
        </w:rPr>
        <w:t>rs in the tourism-travel sector</w:t>
      </w:r>
      <w:r w:rsidRPr="004737C5">
        <w:rPr>
          <w:rFonts w:cstheme="minorHAnsi"/>
          <w:bCs/>
        </w:rPr>
        <w:t xml:space="preserve">. </w:t>
      </w:r>
    </w:p>
    <w:p w14:paraId="506F35A6" w14:textId="77777777" w:rsidR="00843222" w:rsidRPr="004737C5" w:rsidRDefault="00843222" w:rsidP="006D3BE8">
      <w:pPr>
        <w:rPr>
          <w:rFonts w:cstheme="minorHAnsi"/>
        </w:rPr>
      </w:pPr>
      <w:r w:rsidRPr="004737C5">
        <w:rPr>
          <w:rFonts w:cstheme="minorHAnsi"/>
          <w:bCs/>
        </w:rPr>
        <w:t>Tourism is one of the two</w:t>
      </w:r>
      <w:r w:rsidR="0096333A" w:rsidRPr="004737C5">
        <w:rPr>
          <w:rFonts w:cstheme="minorHAnsi"/>
          <w:bCs/>
        </w:rPr>
        <w:t xml:space="preserve"> largest sectors in the world on</w:t>
      </w:r>
      <w:r w:rsidRPr="004737C5">
        <w:rPr>
          <w:rFonts w:cstheme="minorHAnsi"/>
          <w:bCs/>
        </w:rPr>
        <w:t xml:space="preserve"> some criteria, second </w:t>
      </w:r>
      <w:r w:rsidR="0096333A" w:rsidRPr="004737C5">
        <w:rPr>
          <w:rFonts w:cstheme="minorHAnsi"/>
          <w:bCs/>
        </w:rPr>
        <w:t xml:space="preserve">only </w:t>
      </w:r>
      <w:r w:rsidRPr="004737C5">
        <w:rPr>
          <w:rFonts w:cstheme="minorHAnsi"/>
          <w:bCs/>
        </w:rPr>
        <w:t>to agriculture. Yet it has been somewhat ignored in consumer policy discussions. There are obvious vulnerabilities, which may require international cooperation, and it should</w:t>
      </w:r>
      <w:r w:rsidR="0096333A" w:rsidRPr="004737C5">
        <w:rPr>
          <w:rFonts w:cstheme="minorHAnsi"/>
          <w:bCs/>
        </w:rPr>
        <w:t xml:space="preserve"> be noted </w:t>
      </w:r>
      <w:r w:rsidRPr="004737C5">
        <w:rPr>
          <w:rFonts w:cstheme="minorHAnsi"/>
          <w:bCs/>
        </w:rPr>
        <w:t xml:space="preserve">that the </w:t>
      </w:r>
      <w:r w:rsidR="0096333A" w:rsidRPr="004737C5">
        <w:rPr>
          <w:rFonts w:cstheme="minorHAnsi"/>
          <w:bCs/>
        </w:rPr>
        <w:t>guidelines apply</w:t>
      </w:r>
      <w:r w:rsidRPr="004737C5">
        <w:rPr>
          <w:rFonts w:cstheme="minorHAnsi"/>
          <w:bCs/>
        </w:rPr>
        <w:t xml:space="preserve"> to </w:t>
      </w:r>
      <w:r w:rsidR="00D31F0E" w:rsidRPr="004737C5">
        <w:rPr>
          <w:rFonts w:cstheme="minorHAnsi"/>
        </w:rPr>
        <w:t>travel</w:t>
      </w:r>
      <w:r w:rsidR="00D31F0E" w:rsidRPr="004737C5">
        <w:rPr>
          <w:rFonts w:cstheme="minorHAnsi"/>
          <w:bCs/>
        </w:rPr>
        <w:t xml:space="preserve"> </w:t>
      </w:r>
      <w:r w:rsidRPr="004737C5">
        <w:rPr>
          <w:rFonts w:cstheme="minorHAnsi"/>
          <w:bCs/>
        </w:rPr>
        <w:t xml:space="preserve">as well as </w:t>
      </w:r>
      <w:r w:rsidR="00D31F0E" w:rsidRPr="004737C5">
        <w:rPr>
          <w:rFonts w:cstheme="minorHAnsi"/>
          <w:bCs/>
        </w:rPr>
        <w:t xml:space="preserve">to </w:t>
      </w:r>
      <w:r w:rsidRPr="004737C5">
        <w:rPr>
          <w:rFonts w:cstheme="minorHAnsi"/>
          <w:bCs/>
        </w:rPr>
        <w:t xml:space="preserve">the </w:t>
      </w:r>
      <w:r w:rsidR="00D31F0E" w:rsidRPr="004737C5">
        <w:rPr>
          <w:rFonts w:cstheme="minorHAnsi"/>
          <w:bCs/>
        </w:rPr>
        <w:t xml:space="preserve">tourism </w:t>
      </w:r>
      <w:r w:rsidRPr="004737C5">
        <w:rPr>
          <w:rFonts w:cstheme="minorHAnsi"/>
          <w:bCs/>
        </w:rPr>
        <w:t xml:space="preserve">sector. Thus, the protections envisaged could stretch to include migrant workers. </w:t>
      </w:r>
    </w:p>
    <w:p w14:paraId="5569F00E" w14:textId="77777777" w:rsidR="00843222" w:rsidRPr="004737C5" w:rsidRDefault="00843222" w:rsidP="006D3BE8">
      <w:pPr>
        <w:rPr>
          <w:rFonts w:cstheme="minorHAnsi"/>
        </w:rPr>
      </w:pPr>
      <w:r w:rsidRPr="004737C5">
        <w:rPr>
          <w:rFonts w:cstheme="minorHAnsi"/>
        </w:rPr>
        <w:t>In some respects the work involved in protecting tourists has become more difficult for two ma</w:t>
      </w:r>
      <w:r w:rsidR="0096333A" w:rsidRPr="004737C5">
        <w:rPr>
          <w:rFonts w:cstheme="minorHAnsi"/>
        </w:rPr>
        <w:t>in reasons. The first is scale:</w:t>
      </w:r>
      <w:r w:rsidRPr="004737C5">
        <w:rPr>
          <w:rFonts w:cstheme="minorHAnsi"/>
        </w:rPr>
        <w:t xml:space="preserve"> the one billion mark was passed for arrivals in 2012 for the first time. Secondly, as online reservations have become more prevalent and tourist agencies have gone into decline, often there is no responsible service provider incorporated in the home country. For example, two thirds of foreign tourists to Brazil have no travel agency in their home country.</w:t>
      </w:r>
      <w:r w:rsidRPr="004737C5">
        <w:rPr>
          <w:rStyle w:val="FootnoteReference"/>
          <w:rFonts w:cstheme="minorHAnsi"/>
        </w:rPr>
        <w:footnoteReference w:id="127"/>
      </w:r>
      <w:r w:rsidRPr="004737C5">
        <w:rPr>
          <w:rFonts w:cstheme="minorHAnsi"/>
        </w:rPr>
        <w:t xml:space="preserve"> </w:t>
      </w:r>
    </w:p>
    <w:p w14:paraId="5C2B1F41" w14:textId="412DBFCF" w:rsidR="00843222" w:rsidRPr="004737C5" w:rsidRDefault="00843222" w:rsidP="006D3BE8">
      <w:pPr>
        <w:rPr>
          <w:rFonts w:cstheme="minorHAnsi"/>
        </w:rPr>
      </w:pPr>
      <w:r w:rsidRPr="004737C5">
        <w:rPr>
          <w:rFonts w:cstheme="minorHAnsi"/>
        </w:rPr>
        <w:t>Two countries in particular, Brazil and China, have pressed for greater protections for tourists: Brazil partly because of the prospect of two global sporting events, the 2014 soccer World Cup and the 2016 Olympic Games; and China because of the sheer scale and sharp increase of both outward and inward tourism.</w:t>
      </w:r>
      <w:r w:rsidRPr="004737C5">
        <w:rPr>
          <w:rStyle w:val="FootnoteReference"/>
          <w:rFonts w:cstheme="minorHAnsi"/>
        </w:rPr>
        <w:footnoteReference w:id="128"/>
      </w:r>
      <w:r w:rsidRPr="004737C5">
        <w:rPr>
          <w:rFonts w:cstheme="minorHAnsi"/>
        </w:rPr>
        <w:t xml:space="preserve"> The </w:t>
      </w:r>
      <w:r w:rsidR="0096333A" w:rsidRPr="004737C5">
        <w:rPr>
          <w:rFonts w:cstheme="minorHAnsi"/>
        </w:rPr>
        <w:t xml:space="preserve">Government of </w:t>
      </w:r>
      <w:r w:rsidRPr="004737C5">
        <w:rPr>
          <w:rFonts w:cstheme="minorHAnsi"/>
        </w:rPr>
        <w:t>Brazil</w:t>
      </w:r>
      <w:r w:rsidR="0096333A" w:rsidRPr="004737C5">
        <w:rPr>
          <w:rFonts w:cstheme="minorHAnsi"/>
        </w:rPr>
        <w:t xml:space="preserve"> </w:t>
      </w:r>
      <w:r w:rsidRPr="004737C5">
        <w:rPr>
          <w:rFonts w:cstheme="minorHAnsi"/>
        </w:rPr>
        <w:t>is promoting the adoption of the draft International Convention on the Protection of Tourists and Vis</w:t>
      </w:r>
      <w:r w:rsidR="006332EC" w:rsidRPr="004737C5">
        <w:rPr>
          <w:rFonts w:cstheme="minorHAnsi"/>
        </w:rPr>
        <w:t>itors through the annual Hague Conference on Private International L</w:t>
      </w:r>
      <w:r w:rsidRPr="004737C5">
        <w:rPr>
          <w:rFonts w:cstheme="minorHAnsi"/>
        </w:rPr>
        <w:t>aw.</w:t>
      </w:r>
      <w:r w:rsidRPr="004737C5">
        <w:rPr>
          <w:rStyle w:val="FootnoteReference"/>
          <w:rFonts w:cstheme="minorHAnsi"/>
        </w:rPr>
        <w:footnoteReference w:id="129"/>
      </w:r>
      <w:r w:rsidRPr="004737C5">
        <w:rPr>
          <w:rFonts w:cstheme="minorHAnsi"/>
        </w:rPr>
        <w:t xml:space="preserve"> Professor Claudia Lima Marques, an advocate of reform in the sector, has indicated </w:t>
      </w:r>
      <w:r w:rsidR="0096333A" w:rsidRPr="004737C5">
        <w:rPr>
          <w:rFonts w:cstheme="minorHAnsi"/>
        </w:rPr>
        <w:t xml:space="preserve">that </w:t>
      </w:r>
      <w:r w:rsidRPr="004737C5">
        <w:rPr>
          <w:rFonts w:cstheme="minorHAnsi"/>
        </w:rPr>
        <w:t xml:space="preserve">there is a need for </w:t>
      </w:r>
      <w:r w:rsidRPr="004737C5">
        <w:rPr>
          <w:rFonts w:cstheme="minorHAnsi"/>
          <w:i/>
        </w:rPr>
        <w:t>ex ante</w:t>
      </w:r>
      <w:r w:rsidRPr="004737C5">
        <w:rPr>
          <w:rFonts w:cstheme="minorHAnsi"/>
        </w:rPr>
        <w:t xml:space="preserve"> rather th</w:t>
      </w:r>
      <w:r w:rsidR="0096333A" w:rsidRPr="004737C5">
        <w:rPr>
          <w:rFonts w:cstheme="minorHAnsi"/>
        </w:rPr>
        <w:t xml:space="preserve">an </w:t>
      </w:r>
      <w:r w:rsidR="0096333A" w:rsidRPr="004737C5">
        <w:rPr>
          <w:rFonts w:cstheme="minorHAnsi"/>
          <w:i/>
        </w:rPr>
        <w:t xml:space="preserve">ex </w:t>
      </w:r>
      <w:r w:rsidRPr="004737C5">
        <w:rPr>
          <w:rFonts w:cstheme="minorHAnsi"/>
          <w:i/>
        </w:rPr>
        <w:t>post</w:t>
      </w:r>
      <w:r w:rsidRPr="004737C5">
        <w:rPr>
          <w:rFonts w:cstheme="minorHAnsi"/>
        </w:rPr>
        <w:t xml:space="preserve"> measures. In this context that means arrangements </w:t>
      </w:r>
      <w:r w:rsidR="0096333A" w:rsidRPr="004737C5">
        <w:rPr>
          <w:rFonts w:cstheme="minorHAnsi"/>
        </w:rPr>
        <w:t>being made in the country of</w:t>
      </w:r>
      <w:r w:rsidRPr="004737C5">
        <w:rPr>
          <w:rFonts w:cstheme="minorHAnsi"/>
        </w:rPr>
        <w:t xml:space="preserve"> destination rather than the country of domicile </w:t>
      </w:r>
      <w:r w:rsidRPr="004737C5">
        <w:rPr>
          <w:rFonts w:cstheme="minorHAnsi"/>
        </w:rPr>
        <w:lastRenderedPageBreak/>
        <w:t>so that</w:t>
      </w:r>
      <w:r w:rsidR="0096333A" w:rsidRPr="004737C5">
        <w:rPr>
          <w:rFonts w:cstheme="minorHAnsi"/>
        </w:rPr>
        <w:t>,</w:t>
      </w:r>
      <w:r w:rsidRPr="004737C5">
        <w:rPr>
          <w:rFonts w:cstheme="minorHAnsi"/>
        </w:rPr>
        <w:t xml:space="preserve"> as far as possible, cross-border litiga</w:t>
      </w:r>
      <w:r w:rsidR="00D113A8" w:rsidRPr="004737C5">
        <w:rPr>
          <w:rFonts w:cstheme="minorHAnsi"/>
        </w:rPr>
        <w:t>tion can be avoided. The draft c</w:t>
      </w:r>
      <w:r w:rsidRPr="004737C5">
        <w:rPr>
          <w:rFonts w:cstheme="minorHAnsi"/>
        </w:rPr>
        <w:t>onvention accordingly envisages a nominated aut</w:t>
      </w:r>
      <w:r w:rsidR="0096333A" w:rsidRPr="004737C5">
        <w:rPr>
          <w:rFonts w:cstheme="minorHAnsi"/>
        </w:rPr>
        <w:t xml:space="preserve">hority in the contracting state which has </w:t>
      </w:r>
      <w:r w:rsidRPr="004737C5">
        <w:rPr>
          <w:rFonts w:cstheme="minorHAnsi"/>
        </w:rPr>
        <w:t>the remit of providing advice, assistance and mediation services as well as small claims facilities if needed. This is essential</w:t>
      </w:r>
      <w:r w:rsidR="00D113A8" w:rsidRPr="004737C5">
        <w:rPr>
          <w:rFonts w:cstheme="minorHAnsi"/>
        </w:rPr>
        <w:t>ly an institutional arrangement and</w:t>
      </w:r>
      <w:r w:rsidRPr="004737C5">
        <w:rPr>
          <w:rFonts w:cstheme="minorHAnsi"/>
        </w:rPr>
        <w:t xml:space="preserve"> what Professor Lima Marqu</w:t>
      </w:r>
      <w:r w:rsidR="0096333A" w:rsidRPr="004737C5">
        <w:rPr>
          <w:rFonts w:cstheme="minorHAnsi"/>
        </w:rPr>
        <w:t>es describes as a “</w:t>
      </w:r>
      <w:r w:rsidRPr="004737C5">
        <w:rPr>
          <w:rFonts w:cstheme="minorHAnsi"/>
        </w:rPr>
        <w:t>pragmatic comeback to private international law</w:t>
      </w:r>
      <w:r w:rsidR="0096333A" w:rsidRPr="004737C5">
        <w:rPr>
          <w:rFonts w:cstheme="minorHAnsi"/>
        </w:rPr>
        <w:t>”.</w:t>
      </w:r>
      <w:r w:rsidRPr="004737C5">
        <w:rPr>
          <w:rStyle w:val="FootnoteReference"/>
          <w:rFonts w:cstheme="minorHAnsi"/>
        </w:rPr>
        <w:footnoteReference w:id="130"/>
      </w:r>
      <w:r w:rsidRPr="004737C5">
        <w:rPr>
          <w:rFonts w:cstheme="minorHAnsi"/>
        </w:rPr>
        <w:t xml:space="preserve"> </w:t>
      </w:r>
    </w:p>
    <w:p w14:paraId="7D5AD61A" w14:textId="77777777" w:rsidR="00843222" w:rsidRPr="004737C5" w:rsidRDefault="0096333A" w:rsidP="006D3BE8">
      <w:pPr>
        <w:rPr>
          <w:rFonts w:cstheme="minorHAnsi"/>
          <w:color w:val="FF0000"/>
        </w:rPr>
      </w:pPr>
      <w:r w:rsidRPr="004737C5">
        <w:rPr>
          <w:rFonts w:cstheme="minorHAnsi"/>
        </w:rPr>
        <w:t>It is far from clear, then,</w:t>
      </w:r>
      <w:r w:rsidR="00843222" w:rsidRPr="004737C5">
        <w:rPr>
          <w:rFonts w:cstheme="minorHAnsi"/>
        </w:rPr>
        <w:t xml:space="preserve"> that there is a definitive answer to the quest</w:t>
      </w:r>
      <w:r w:rsidR="00291489" w:rsidRPr="004737C5">
        <w:rPr>
          <w:rFonts w:cstheme="minorHAnsi"/>
        </w:rPr>
        <w:t>ions of jurisdiction raised in s</w:t>
      </w:r>
      <w:r w:rsidR="00843222" w:rsidRPr="004737C5">
        <w:rPr>
          <w:rFonts w:cstheme="minorHAnsi"/>
        </w:rPr>
        <w:t xml:space="preserve">ection VI of the UNGCP. The example of tourism shows how institutional arrangements, namely the presence of someone for tourists to turn to for help, may prove to be the most effective solution. </w:t>
      </w:r>
    </w:p>
    <w:p w14:paraId="20D4AD51" w14:textId="77777777" w:rsidR="0096333A" w:rsidRPr="004737C5" w:rsidRDefault="0096333A" w:rsidP="009771AD">
      <w:pPr>
        <w:spacing w:before="200"/>
        <w:rPr>
          <w:rFonts w:cstheme="minorHAnsi"/>
          <w:sz w:val="24"/>
          <w:szCs w:val="24"/>
        </w:rPr>
      </w:pPr>
      <w:bookmarkStart w:id="79" w:name="_Toc492650031"/>
      <w:r w:rsidRPr="004737C5">
        <w:rPr>
          <w:rStyle w:val="Heading2Char"/>
          <w:rFonts w:cstheme="minorHAnsi"/>
          <w:color w:val="auto"/>
          <w:sz w:val="24"/>
          <w:szCs w:val="24"/>
        </w:rPr>
        <w:t>C.</w:t>
      </w:r>
      <w:r w:rsidR="00843222" w:rsidRPr="004737C5">
        <w:rPr>
          <w:rStyle w:val="Heading2Char"/>
          <w:rFonts w:cstheme="minorHAnsi"/>
          <w:color w:val="auto"/>
          <w:sz w:val="24"/>
          <w:szCs w:val="24"/>
        </w:rPr>
        <w:t xml:space="preserve"> Practical international cooperation</w:t>
      </w:r>
      <w:bookmarkEnd w:id="79"/>
      <w:r w:rsidRPr="004737C5">
        <w:rPr>
          <w:rFonts w:eastAsiaTheme="majorEastAsia" w:cstheme="minorHAnsi"/>
          <w:b/>
          <w:bCs/>
          <w:sz w:val="24"/>
          <w:szCs w:val="24"/>
        </w:rPr>
        <w:tab/>
      </w:r>
    </w:p>
    <w:p w14:paraId="1A09B84C" w14:textId="77777777" w:rsidR="00843222" w:rsidRPr="004737C5" w:rsidRDefault="00843222" w:rsidP="006332EC">
      <w:pPr>
        <w:rPr>
          <w:rFonts w:eastAsiaTheme="majorEastAsia" w:cstheme="minorHAnsi"/>
          <w:b/>
          <w:bCs/>
          <w:color w:val="4472C4"/>
          <w:sz w:val="24"/>
          <w:szCs w:val="24"/>
        </w:rPr>
      </w:pPr>
      <w:r w:rsidRPr="004737C5">
        <w:rPr>
          <w:rFonts w:cstheme="minorHAnsi"/>
        </w:rPr>
        <w:t>Despite the above difficulties, agencies do coope</w:t>
      </w:r>
      <w:r w:rsidR="0096333A" w:rsidRPr="004737C5">
        <w:rPr>
          <w:rFonts w:cstheme="minorHAnsi"/>
        </w:rPr>
        <w:t>rate internationally, as shown in</w:t>
      </w:r>
      <w:r w:rsidRPr="004737C5">
        <w:rPr>
          <w:rFonts w:cstheme="minorHAnsi"/>
        </w:rPr>
        <w:t xml:space="preserve"> the 2013 survey by UNCTAD,</w:t>
      </w:r>
      <w:r w:rsidR="00D31F0E" w:rsidRPr="004737C5">
        <w:rPr>
          <w:rStyle w:val="FootnoteReference"/>
          <w:rFonts w:cstheme="minorHAnsi"/>
        </w:rPr>
        <w:footnoteReference w:id="131"/>
      </w:r>
      <w:r w:rsidRPr="004737C5">
        <w:rPr>
          <w:rFonts w:cstheme="minorHAnsi"/>
        </w:rPr>
        <w:t xml:space="preserve"> and there are professional associations to promote that cooperation. For example, the </w:t>
      </w:r>
      <w:bookmarkStart w:id="80" w:name="_Hlk496388466"/>
      <w:r w:rsidRPr="004737C5">
        <w:rPr>
          <w:rFonts w:cstheme="minorHAnsi"/>
        </w:rPr>
        <w:t>International Consumer Protection and</w:t>
      </w:r>
      <w:r w:rsidR="0096333A" w:rsidRPr="004737C5">
        <w:rPr>
          <w:rFonts w:cstheme="minorHAnsi"/>
        </w:rPr>
        <w:t xml:space="preserve"> Enforcement Network (ICPEN</w:t>
      </w:r>
      <w:bookmarkEnd w:id="80"/>
      <w:r w:rsidR="0096333A" w:rsidRPr="004737C5">
        <w:rPr>
          <w:rFonts w:cstheme="minorHAnsi"/>
        </w:rPr>
        <w:t>) is</w:t>
      </w:r>
      <w:r w:rsidRPr="004737C5">
        <w:rPr>
          <w:rFonts w:cstheme="minorHAnsi"/>
        </w:rPr>
        <w:t xml:space="preserve"> composed of organizations from over 50 countries, aiming to:</w:t>
      </w:r>
    </w:p>
    <w:p w14:paraId="01EFF41C" w14:textId="77777777" w:rsidR="00843222" w:rsidRPr="004737C5" w:rsidRDefault="00843222" w:rsidP="002473E9">
      <w:pPr>
        <w:pStyle w:val="ListParagraph"/>
        <w:numPr>
          <w:ilvl w:val="0"/>
          <w:numId w:val="55"/>
        </w:numPr>
        <w:ind w:left="709" w:hanging="425"/>
        <w:rPr>
          <w:rFonts w:cstheme="minorHAnsi"/>
        </w:rPr>
      </w:pPr>
      <w:r w:rsidRPr="004737C5">
        <w:rPr>
          <w:rFonts w:cstheme="minorHAnsi"/>
        </w:rPr>
        <w:t xml:space="preserve">Protect consumers’ economic </w:t>
      </w:r>
      <w:r w:rsidR="0096333A" w:rsidRPr="004737C5">
        <w:rPr>
          <w:rFonts w:cstheme="minorHAnsi"/>
        </w:rPr>
        <w:t>interests around the world</w:t>
      </w:r>
    </w:p>
    <w:p w14:paraId="6D7487FF" w14:textId="77777777" w:rsidR="00843222" w:rsidRPr="004737C5" w:rsidRDefault="00843222" w:rsidP="002473E9">
      <w:pPr>
        <w:pStyle w:val="ListParagraph"/>
        <w:numPr>
          <w:ilvl w:val="0"/>
          <w:numId w:val="55"/>
        </w:numPr>
        <w:ind w:left="709" w:hanging="425"/>
        <w:rPr>
          <w:rFonts w:cstheme="minorHAnsi"/>
        </w:rPr>
      </w:pPr>
      <w:r w:rsidRPr="004737C5">
        <w:rPr>
          <w:rFonts w:cstheme="minorHAnsi"/>
        </w:rPr>
        <w:t>Share information about cross-border commercial activities t</w:t>
      </w:r>
      <w:r w:rsidR="0096333A" w:rsidRPr="004737C5">
        <w:rPr>
          <w:rFonts w:cstheme="minorHAnsi"/>
        </w:rPr>
        <w:t>hat may affect consumer welfare</w:t>
      </w:r>
    </w:p>
    <w:p w14:paraId="2A9239D3" w14:textId="77777777" w:rsidR="00843222" w:rsidRPr="004737C5" w:rsidRDefault="00843222" w:rsidP="002473E9">
      <w:pPr>
        <w:pStyle w:val="ListParagraph"/>
        <w:numPr>
          <w:ilvl w:val="0"/>
          <w:numId w:val="55"/>
        </w:numPr>
        <w:ind w:left="709" w:hanging="425"/>
        <w:rPr>
          <w:rFonts w:cstheme="minorHAnsi"/>
        </w:rPr>
      </w:pPr>
      <w:r w:rsidRPr="004737C5">
        <w:rPr>
          <w:rFonts w:cstheme="minorHAnsi"/>
        </w:rPr>
        <w:t>Encourage global cooperation</w:t>
      </w:r>
      <w:r w:rsidR="0096333A" w:rsidRPr="004737C5">
        <w:rPr>
          <w:rFonts w:cstheme="minorHAnsi"/>
        </w:rPr>
        <w:t xml:space="preserve"> among law enforcement agencies</w:t>
      </w:r>
    </w:p>
    <w:p w14:paraId="46C12BB1" w14:textId="77777777" w:rsidR="00843222" w:rsidRPr="004737C5" w:rsidRDefault="00843222" w:rsidP="006D3BE8">
      <w:pPr>
        <w:rPr>
          <w:rFonts w:cstheme="minorHAnsi"/>
        </w:rPr>
      </w:pPr>
      <w:r w:rsidRPr="004737C5">
        <w:rPr>
          <w:rFonts w:cstheme="minorHAnsi"/>
        </w:rPr>
        <w:t>While the membership is predominantly from OECD countries, it spreads further afield to a wide range of countries in all regions, varying from small island states, like Barbados and Dominican Republic, to large major exporters, like China, sub-Saharan African countries</w:t>
      </w:r>
      <w:r w:rsidR="00B3745A" w:rsidRPr="004737C5">
        <w:rPr>
          <w:rFonts w:cstheme="minorHAnsi"/>
        </w:rPr>
        <w:t>,</w:t>
      </w:r>
      <w:r w:rsidRPr="004737C5">
        <w:rPr>
          <w:rFonts w:cstheme="minorHAnsi"/>
        </w:rPr>
        <w:t xml:space="preserve"> including Nigeria and Kenya, and emerging economies in transition like Viet Nam. </w:t>
      </w:r>
    </w:p>
    <w:p w14:paraId="7BB60F8C" w14:textId="77777777" w:rsidR="00843222" w:rsidRPr="004737C5" w:rsidRDefault="00843222" w:rsidP="006D3BE8">
      <w:pPr>
        <w:rPr>
          <w:rFonts w:cstheme="minorHAnsi"/>
        </w:rPr>
      </w:pPr>
      <w:r w:rsidRPr="004737C5">
        <w:rPr>
          <w:rFonts w:cstheme="minorHAnsi"/>
        </w:rPr>
        <w:t>ICPEN runs education campaigns, such as the annual Fraud Prevention Month, and carries out the annual Interne</w:t>
      </w:r>
      <w:r w:rsidR="0096333A" w:rsidRPr="004737C5">
        <w:rPr>
          <w:rFonts w:cstheme="minorHAnsi"/>
        </w:rPr>
        <w:t>t Sweep, which searches for web</w:t>
      </w:r>
      <w:r w:rsidRPr="004737C5">
        <w:rPr>
          <w:rFonts w:cstheme="minorHAnsi"/>
        </w:rPr>
        <w:t>sites that may be defrauding consumers. The sweep is described by the UNCTAD Implementat</w:t>
      </w:r>
      <w:r w:rsidR="0096333A" w:rsidRPr="004737C5">
        <w:rPr>
          <w:rFonts w:cstheme="minorHAnsi"/>
        </w:rPr>
        <w:t>ion Report as “</w:t>
      </w:r>
      <w:r w:rsidRPr="004737C5">
        <w:rPr>
          <w:rFonts w:cstheme="minorHAnsi"/>
        </w:rPr>
        <w:t>parallel and coor</w:t>
      </w:r>
      <w:r w:rsidR="0096333A" w:rsidRPr="004737C5">
        <w:rPr>
          <w:rFonts w:cstheme="minorHAnsi"/>
        </w:rPr>
        <w:t>dinated law enforcement actions”</w:t>
      </w:r>
      <w:r w:rsidRPr="004737C5">
        <w:rPr>
          <w:rFonts w:cstheme="minorHAnsi"/>
        </w:rPr>
        <w:t>. Such actions signal the existence of a global law enfo</w:t>
      </w:r>
      <w:r w:rsidR="0096333A" w:rsidRPr="004737C5">
        <w:rPr>
          <w:rFonts w:cstheme="minorHAnsi"/>
        </w:rPr>
        <w:t>rcement network, and enable pro</w:t>
      </w:r>
      <w:r w:rsidRPr="004737C5">
        <w:rPr>
          <w:rFonts w:cstheme="minorHAnsi"/>
        </w:rPr>
        <w:t>active enforcement. ICPEN aims to enable cross-border e-commerce complaints “through means other than formal legal action” and distributes incoming complaints to national consumer protection agencies.</w:t>
      </w:r>
      <w:r w:rsidRPr="004737C5">
        <w:rPr>
          <w:rStyle w:val="FootnoteReference"/>
          <w:rFonts w:cstheme="minorHAnsi"/>
        </w:rPr>
        <w:footnoteReference w:id="132"/>
      </w:r>
    </w:p>
    <w:p w14:paraId="127F5D6E" w14:textId="5E1D580F" w:rsidR="00843222" w:rsidRPr="004737C5" w:rsidRDefault="00843222" w:rsidP="006D3BE8">
      <w:pPr>
        <w:rPr>
          <w:rFonts w:cstheme="minorHAnsi"/>
          <w:color w:val="464646"/>
        </w:rPr>
      </w:pPr>
      <w:r w:rsidRPr="004737C5">
        <w:rPr>
          <w:rFonts w:cstheme="minorHAnsi"/>
        </w:rPr>
        <w:t>Another regional example of inter-agency cooperation is the European Commission’s rapid alert system for dangerous</w:t>
      </w:r>
      <w:r w:rsidR="001C7019" w:rsidRPr="004737C5">
        <w:rPr>
          <w:rFonts w:cstheme="minorHAnsi"/>
        </w:rPr>
        <w:t xml:space="preserve"> non-food products, RAPEX. The c</w:t>
      </w:r>
      <w:r w:rsidRPr="004737C5">
        <w:rPr>
          <w:rFonts w:cstheme="minorHAnsi"/>
        </w:rPr>
        <w:t>ommission publishes a weekly overview of alerts on products reported by national authorities. They include information on the dangerous products found, the identified risks and the measures taken in the notifying country in order to prevent or restrict their marketing or use. Measures can be or</w:t>
      </w:r>
      <w:r w:rsidR="00E260EA" w:rsidRPr="004737C5">
        <w:rPr>
          <w:rFonts w:cstheme="minorHAnsi"/>
        </w:rPr>
        <w:t>dered by national authorities (“compulsory measures”</w:t>
      </w:r>
      <w:r w:rsidRPr="004737C5">
        <w:rPr>
          <w:rFonts w:cstheme="minorHAnsi"/>
        </w:rPr>
        <w:t>) or be taken directly by prod</w:t>
      </w:r>
      <w:r w:rsidR="00E260EA" w:rsidRPr="004737C5">
        <w:rPr>
          <w:rFonts w:cstheme="minorHAnsi"/>
        </w:rPr>
        <w:t>ucers and distributors (“voluntary measures”</w:t>
      </w:r>
      <w:r w:rsidRPr="004737C5">
        <w:rPr>
          <w:rFonts w:cstheme="minorHAnsi"/>
        </w:rPr>
        <w:t>). Each alert also includes information o</w:t>
      </w:r>
      <w:r w:rsidR="00D7351E" w:rsidRPr="004737C5">
        <w:rPr>
          <w:rFonts w:cstheme="minorHAnsi"/>
        </w:rPr>
        <w:t>n</w:t>
      </w:r>
      <w:r w:rsidRPr="004737C5">
        <w:rPr>
          <w:rFonts w:cstheme="minorHAnsi"/>
        </w:rPr>
        <w:t xml:space="preserve"> the countries where the same product was found and if further measures were taken. Such alerts are not specific to individual cases (although information is gleaned from them) and so do not raise issues of jurisdiction.</w:t>
      </w:r>
      <w:r w:rsidRPr="004737C5">
        <w:rPr>
          <w:rStyle w:val="FootnoteReference"/>
          <w:rFonts w:cstheme="minorHAnsi"/>
        </w:rPr>
        <w:footnoteReference w:id="133"/>
      </w:r>
      <w:r w:rsidRPr="004737C5">
        <w:rPr>
          <w:rFonts w:cstheme="minorHAnsi"/>
        </w:rPr>
        <w:t xml:space="preserve"> The Organization of American States has created a similar system to RAPEX, the SIAR (Inter-American Rapid Alert System), a new network to monitor safety problems in products and services in the Americas, effective since December 2014.</w:t>
      </w:r>
    </w:p>
    <w:p w14:paraId="3B300A45" w14:textId="3D522C15" w:rsidR="00843222" w:rsidRPr="004737C5" w:rsidRDefault="00843222" w:rsidP="006D3BE8">
      <w:pPr>
        <w:rPr>
          <w:rFonts w:cstheme="minorHAnsi"/>
          <w:color w:val="5B9BD5" w:themeColor="accent1"/>
        </w:rPr>
      </w:pPr>
      <w:r w:rsidRPr="004737C5">
        <w:rPr>
          <w:rFonts w:cstheme="minorHAnsi"/>
        </w:rPr>
        <w:lastRenderedPageBreak/>
        <w:t>The E</w:t>
      </w:r>
      <w:r w:rsidR="00D7351E" w:rsidRPr="004737C5">
        <w:rPr>
          <w:rFonts w:cstheme="minorHAnsi"/>
        </w:rPr>
        <w:t>uropean Commission</w:t>
      </w:r>
      <w:r w:rsidRPr="004737C5">
        <w:rPr>
          <w:rFonts w:cstheme="minorHAnsi"/>
        </w:rPr>
        <w:t xml:space="preserve"> has also developed the network of European Consumer Centres with a presence in all 28 </w:t>
      </w:r>
      <w:r w:rsidR="001C7019" w:rsidRPr="004737C5">
        <w:rPr>
          <w:rFonts w:cstheme="minorHAnsi"/>
        </w:rPr>
        <w:t xml:space="preserve">EU </w:t>
      </w:r>
      <w:r w:rsidRPr="004737C5">
        <w:rPr>
          <w:rFonts w:cstheme="minorHAnsi"/>
        </w:rPr>
        <w:t xml:space="preserve">member states (plus Norway and Iceland), which deal with individual consumers. The centres assist consumers with a free service </w:t>
      </w:r>
      <w:r w:rsidR="00E260EA" w:rsidRPr="004737C5">
        <w:rPr>
          <w:rFonts w:cstheme="minorHAnsi"/>
        </w:rPr>
        <w:t>offering cross-border mediation and advice (</w:t>
      </w:r>
      <w:r w:rsidRPr="004737C5">
        <w:rPr>
          <w:rFonts w:cstheme="minorHAnsi"/>
        </w:rPr>
        <w:t xml:space="preserve">including on judicial procedures </w:t>
      </w:r>
      <w:r w:rsidR="00E260EA" w:rsidRPr="004737C5">
        <w:rPr>
          <w:rFonts w:cstheme="minorHAnsi"/>
        </w:rPr>
        <w:t>and</w:t>
      </w:r>
      <w:r w:rsidRPr="004737C5">
        <w:rPr>
          <w:rFonts w:cstheme="minorHAnsi"/>
        </w:rPr>
        <w:t xml:space="preserve"> dispute resolution</w:t>
      </w:r>
      <w:r w:rsidR="00E260EA" w:rsidRPr="004737C5">
        <w:rPr>
          <w:rFonts w:cstheme="minorHAnsi"/>
        </w:rPr>
        <w:t>)</w:t>
      </w:r>
      <w:r w:rsidRPr="004737C5">
        <w:rPr>
          <w:rFonts w:cstheme="minorHAnsi"/>
        </w:rPr>
        <w:t xml:space="preserve"> and have the capacity to produce policy reports. Although often seen as a service for tourists, the remit of the centres applies to a far wider public, </w:t>
      </w:r>
      <w:r w:rsidR="00E260EA" w:rsidRPr="004737C5">
        <w:rPr>
          <w:rFonts w:cstheme="minorHAnsi"/>
        </w:rPr>
        <w:t>encompassing</w:t>
      </w:r>
      <w:r w:rsidRPr="004737C5">
        <w:rPr>
          <w:rFonts w:cstheme="minorHAnsi"/>
        </w:rPr>
        <w:t xml:space="preserve"> all cross-border disputes between consumers and service providers. Over 10 years of operation as a network, they have received 650,000 direct contacts and by 2015 were running at 100,000 direct contacts per annum, including 40,000 complaints and with far more (</w:t>
      </w:r>
      <w:r w:rsidR="00E260EA" w:rsidRPr="004737C5">
        <w:rPr>
          <w:rFonts w:cstheme="minorHAnsi"/>
        </w:rPr>
        <w:t>3</w:t>
      </w:r>
      <w:r w:rsidRPr="004737C5">
        <w:rPr>
          <w:rFonts w:cstheme="minorHAnsi"/>
        </w:rPr>
        <w:t xml:space="preserve"> million) referred to national </w:t>
      </w:r>
      <w:r w:rsidRPr="004737C5">
        <w:rPr>
          <w:rFonts w:cstheme="minorHAnsi"/>
          <w:bCs/>
        </w:rPr>
        <w:t xml:space="preserve">consumer protection </w:t>
      </w:r>
      <w:r w:rsidRPr="004737C5">
        <w:rPr>
          <w:rFonts w:cstheme="minorHAnsi"/>
        </w:rPr>
        <w:t>agencies. Again, practical action, not necessarily requiring litigation, follows the institutional arrangements.</w:t>
      </w:r>
      <w:r w:rsidRPr="004737C5">
        <w:rPr>
          <w:rStyle w:val="FootnoteReference"/>
          <w:rFonts w:cstheme="minorHAnsi"/>
        </w:rPr>
        <w:footnoteReference w:id="134"/>
      </w:r>
    </w:p>
    <w:p w14:paraId="3D06D395" w14:textId="77777777" w:rsidR="00E260EA" w:rsidRPr="004737C5" w:rsidRDefault="00E260EA" w:rsidP="009771AD">
      <w:pPr>
        <w:spacing w:before="200"/>
        <w:rPr>
          <w:rFonts w:cstheme="minorHAnsi"/>
          <w:bCs/>
          <w:sz w:val="24"/>
          <w:szCs w:val="24"/>
        </w:rPr>
      </w:pPr>
      <w:bookmarkStart w:id="81" w:name="_Toc492650032"/>
      <w:r w:rsidRPr="004737C5">
        <w:rPr>
          <w:rStyle w:val="Heading2Char"/>
          <w:rFonts w:cstheme="minorHAnsi"/>
          <w:color w:val="auto"/>
          <w:sz w:val="24"/>
          <w:szCs w:val="24"/>
        </w:rPr>
        <w:t>D.</w:t>
      </w:r>
      <w:r w:rsidR="00843222" w:rsidRPr="004737C5">
        <w:rPr>
          <w:rStyle w:val="Heading2Char"/>
          <w:rFonts w:cstheme="minorHAnsi"/>
          <w:color w:val="auto"/>
          <w:sz w:val="24"/>
          <w:szCs w:val="24"/>
        </w:rPr>
        <w:t xml:space="preserve"> International institutional machinery</w:t>
      </w:r>
      <w:bookmarkEnd w:id="81"/>
      <w:r w:rsidRPr="004737C5">
        <w:rPr>
          <w:rFonts w:eastAsiaTheme="majorEastAsia" w:cstheme="minorHAnsi"/>
          <w:b/>
          <w:bCs/>
          <w:sz w:val="24"/>
          <w:szCs w:val="24"/>
        </w:rPr>
        <w:t xml:space="preserve"> </w:t>
      </w:r>
      <w:r w:rsidRPr="004737C5">
        <w:rPr>
          <w:rFonts w:eastAsiaTheme="majorEastAsia" w:cstheme="minorHAnsi"/>
          <w:b/>
          <w:bCs/>
          <w:sz w:val="24"/>
          <w:szCs w:val="24"/>
        </w:rPr>
        <w:tab/>
      </w:r>
    </w:p>
    <w:p w14:paraId="49EFBECA" w14:textId="77777777" w:rsidR="00843222" w:rsidRPr="004737C5" w:rsidRDefault="00843222" w:rsidP="006D3BE8">
      <w:pPr>
        <w:rPr>
          <w:rFonts w:eastAsiaTheme="majorEastAsia" w:cstheme="minorHAnsi"/>
          <w:b/>
          <w:bCs/>
          <w:color w:val="4472C4"/>
          <w:sz w:val="24"/>
          <w:szCs w:val="24"/>
        </w:rPr>
      </w:pPr>
      <w:r w:rsidRPr="004737C5">
        <w:rPr>
          <w:rFonts w:cstheme="minorHAnsi"/>
          <w:bCs/>
        </w:rPr>
        <w:t xml:space="preserve">The second context in which international cooperation is raised in the UNGCP is </w:t>
      </w:r>
      <w:r w:rsidR="00291489" w:rsidRPr="004737C5">
        <w:rPr>
          <w:rFonts w:cstheme="minorHAnsi"/>
          <w:bCs/>
        </w:rPr>
        <w:t>s</w:t>
      </w:r>
      <w:r w:rsidR="00E260EA" w:rsidRPr="004737C5">
        <w:rPr>
          <w:rFonts w:cstheme="minorHAnsi"/>
          <w:bCs/>
        </w:rPr>
        <w:t>ection VII on i</w:t>
      </w:r>
      <w:r w:rsidRPr="004737C5">
        <w:rPr>
          <w:rFonts w:cstheme="minorHAnsi"/>
          <w:bCs/>
        </w:rPr>
        <w:t xml:space="preserve">nternational institutional machinery, an entirely new and substantial addition. The text sets out arrangements for the Intergovernmental Group of Experts (IGE) on consumer protection law and policy, which meets under the auspices of UNCTAD. Guideline 97 sets out the functions of the IGE: </w:t>
      </w:r>
    </w:p>
    <w:p w14:paraId="0D77260D" w14:textId="7077FD60"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a)</w:t>
      </w:r>
      <w:r w:rsidRPr="004737C5">
        <w:rPr>
          <w:rFonts w:asciiTheme="minorHAnsi" w:hAnsiTheme="minorHAnsi" w:cstheme="minorHAnsi"/>
          <w:bCs/>
          <w:spacing w:val="0"/>
          <w:w w:val="100"/>
          <w:kern w:val="0"/>
          <w:sz w:val="22"/>
          <w:szCs w:val="22"/>
        </w:rPr>
        <w:tab/>
        <w:t>To provide an annual forum and modalities for multilateral consultations, discussion and exchange of views between Member States on matters related to the guidelines, in particular their implementation and the experience arising therefrom;</w:t>
      </w:r>
    </w:p>
    <w:p w14:paraId="2EFB6BF5"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b)</w:t>
      </w:r>
      <w:r w:rsidRPr="004737C5">
        <w:rPr>
          <w:rFonts w:asciiTheme="minorHAnsi" w:hAnsiTheme="minorHAnsi" w:cstheme="minorHAnsi"/>
          <w:bCs/>
          <w:spacing w:val="0"/>
          <w:w w:val="100"/>
          <w:kern w:val="0"/>
          <w:sz w:val="22"/>
          <w:szCs w:val="22"/>
        </w:rPr>
        <w:tab/>
        <w:t xml:space="preserve">To undertake studies and research periodically on consumer protection issues related to the guidelines based on a consensus and the interests of Member States and disseminate them with a view to increasing the exchange of experience and giving greater effectiveness to the guidelines; </w:t>
      </w:r>
    </w:p>
    <w:p w14:paraId="7E69686C"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(c)</w:t>
      </w:r>
      <w:r w:rsidRPr="004737C5">
        <w:rPr>
          <w:rFonts w:asciiTheme="minorHAnsi" w:hAnsiTheme="minorHAnsi" w:cstheme="minorHAnsi"/>
          <w:bCs/>
          <w:spacing w:val="0"/>
          <w:w w:val="100"/>
          <w:kern w:val="0"/>
          <w:sz w:val="22"/>
          <w:szCs w:val="22"/>
        </w:rPr>
        <w:tab/>
        <w:t xml:space="preserve">To conduct voluntary peer reviews of national consumer protection policies of Member States, as implemented by consumer protection authorities; </w:t>
      </w:r>
    </w:p>
    <w:p w14:paraId="2CD7EFF2"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(d)</w:t>
      </w:r>
      <w:r w:rsidRPr="004737C5">
        <w:rPr>
          <w:rFonts w:asciiTheme="minorHAnsi" w:hAnsiTheme="minorHAnsi" w:cstheme="minorHAnsi"/>
          <w:bCs/>
          <w:spacing w:val="0"/>
          <w:w w:val="100"/>
          <w:kern w:val="0"/>
          <w:sz w:val="22"/>
          <w:szCs w:val="22"/>
        </w:rPr>
        <w:tab/>
        <w:t>To collect and disseminate information on matters relating to the overall attainment of the goals of the guidelines and to the appropriate steps Member States have taken at the national or regional levels to promote effective implementation of their objectives and principles;</w:t>
      </w:r>
    </w:p>
    <w:p w14:paraId="731CE25D"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(e)</w:t>
      </w:r>
      <w:r w:rsidRPr="004737C5">
        <w:rPr>
          <w:rFonts w:asciiTheme="minorHAnsi" w:hAnsiTheme="minorHAnsi" w:cstheme="minorHAnsi"/>
          <w:bCs/>
          <w:spacing w:val="0"/>
          <w:w w:val="100"/>
          <w:kern w:val="0"/>
          <w:sz w:val="22"/>
          <w:szCs w:val="22"/>
        </w:rPr>
        <w:tab/>
        <w:t>To provide capacity-building and technical assistance to developing countries and economies in transition in formulating and enforcing consumer protection laws and policies;</w:t>
      </w:r>
    </w:p>
    <w:p w14:paraId="3625069E"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(f)</w:t>
      </w:r>
      <w:r w:rsidRPr="004737C5">
        <w:rPr>
          <w:rFonts w:asciiTheme="minorHAnsi" w:hAnsiTheme="minorHAnsi" w:cstheme="minorHAnsi"/>
          <w:bCs/>
          <w:spacing w:val="0"/>
          <w:w w:val="100"/>
          <w:kern w:val="0"/>
          <w:sz w:val="22"/>
          <w:szCs w:val="22"/>
        </w:rPr>
        <w:tab/>
        <w:t>To consider relevant studies, documentation and reports from relevant organizations of the United Nations system and other international organizations and networks, to exchange information on work programmes and topics for consultations, and to identify work-sharing projects and cooperation in the provision of technical assistance;</w:t>
      </w:r>
    </w:p>
    <w:p w14:paraId="457BA68D"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(g)</w:t>
      </w:r>
      <w:r w:rsidRPr="004737C5">
        <w:rPr>
          <w:rFonts w:asciiTheme="minorHAnsi" w:hAnsiTheme="minorHAnsi" w:cstheme="minorHAnsi"/>
          <w:bCs/>
          <w:spacing w:val="0"/>
          <w:w w:val="100"/>
          <w:kern w:val="0"/>
          <w:sz w:val="22"/>
          <w:szCs w:val="22"/>
        </w:rPr>
        <w:tab/>
        <w:t>To make appropriate reports and recommendations on the consumer protection policies of Member States, including the application and implementation of these guidelines;</w:t>
      </w:r>
    </w:p>
    <w:p w14:paraId="33B1502E"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(h)</w:t>
      </w:r>
      <w:r w:rsidRPr="004737C5">
        <w:rPr>
          <w:rFonts w:asciiTheme="minorHAnsi" w:hAnsiTheme="minorHAnsi" w:cstheme="minorHAnsi"/>
          <w:bCs/>
          <w:spacing w:val="0"/>
          <w:w w:val="100"/>
          <w:kern w:val="0"/>
          <w:sz w:val="22"/>
          <w:szCs w:val="22"/>
        </w:rPr>
        <w:tab/>
        <w:t>To operate between and report to the United Nations Conferences to Review All Aspects of the Set of Multilaterally Agreed Equitable Principles and Rules for the Control of Restrictive Business Practices;</w:t>
      </w:r>
    </w:p>
    <w:p w14:paraId="345DD033" w14:textId="77777777" w:rsidR="00843222" w:rsidRPr="004737C5" w:rsidRDefault="00843222" w:rsidP="00E260EA">
      <w:pPr>
        <w:pStyle w:val="SingleTxt"/>
        <w:spacing w:before="240" w:after="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t>(i)</w:t>
      </w:r>
      <w:r w:rsidRPr="004737C5">
        <w:rPr>
          <w:rFonts w:asciiTheme="minorHAnsi" w:hAnsiTheme="minorHAnsi" w:cstheme="minorHAnsi"/>
          <w:bCs/>
          <w:spacing w:val="0"/>
          <w:w w:val="100"/>
          <w:kern w:val="0"/>
          <w:sz w:val="22"/>
          <w:szCs w:val="22"/>
        </w:rPr>
        <w:tab/>
        <w:t xml:space="preserve">To conduct a periodic review of the guidelines, when mandated by the United Nations Conference to Review All Aspects of the Set of Multilaterally Agreed Equitable Principles and Rules for the Control of Restrictive Business Practices; </w:t>
      </w:r>
      <w:r w:rsidR="00A2240B" w:rsidRPr="004737C5">
        <w:rPr>
          <w:rFonts w:asciiTheme="minorHAnsi" w:hAnsiTheme="minorHAnsi" w:cstheme="minorHAnsi"/>
          <w:bCs/>
          <w:spacing w:val="0"/>
          <w:w w:val="100"/>
          <w:kern w:val="0"/>
          <w:sz w:val="22"/>
          <w:szCs w:val="22"/>
        </w:rPr>
        <w:t>and</w:t>
      </w:r>
    </w:p>
    <w:p w14:paraId="0E09060D" w14:textId="581160BB" w:rsidR="002B41BC" w:rsidRPr="004737C5" w:rsidRDefault="00843222" w:rsidP="00E260EA">
      <w:pPr>
        <w:pStyle w:val="SingleTxt"/>
        <w:spacing w:before="240" w:line="240" w:lineRule="auto"/>
        <w:ind w:left="721" w:right="431" w:hanging="437"/>
        <w:contextualSpacing/>
        <w:rPr>
          <w:rFonts w:asciiTheme="minorHAnsi" w:hAnsiTheme="minorHAnsi" w:cstheme="minorHAnsi"/>
          <w:bCs/>
          <w:spacing w:val="0"/>
          <w:w w:val="100"/>
          <w:kern w:val="0"/>
          <w:sz w:val="22"/>
          <w:szCs w:val="22"/>
        </w:rPr>
      </w:pPr>
      <w:r w:rsidRPr="004737C5">
        <w:rPr>
          <w:rFonts w:asciiTheme="minorHAnsi" w:hAnsiTheme="minorHAnsi" w:cstheme="minorHAnsi"/>
          <w:bCs/>
          <w:spacing w:val="0"/>
          <w:w w:val="100"/>
          <w:kern w:val="0"/>
          <w:sz w:val="22"/>
          <w:szCs w:val="22"/>
        </w:rPr>
        <w:lastRenderedPageBreak/>
        <w:t>(j)</w:t>
      </w:r>
      <w:r w:rsidRPr="004737C5">
        <w:rPr>
          <w:rFonts w:asciiTheme="minorHAnsi" w:hAnsiTheme="minorHAnsi" w:cstheme="minorHAnsi"/>
          <w:bCs/>
          <w:spacing w:val="0"/>
          <w:w w:val="100"/>
          <w:kern w:val="0"/>
          <w:sz w:val="22"/>
          <w:szCs w:val="22"/>
        </w:rPr>
        <w:tab/>
        <w:t>To establish such procedures and methods of work as may be necessary to carry out its mandate.</w:t>
      </w:r>
    </w:p>
    <w:p w14:paraId="0B39EC2E" w14:textId="77777777" w:rsidR="00843222" w:rsidRPr="004737C5" w:rsidRDefault="00843222" w:rsidP="006D3BE8">
      <w:pPr>
        <w:pStyle w:val="Default"/>
        <w:spacing w:after="160" w:line="240" w:lineRule="auto"/>
        <w:jc w:val="both"/>
        <w:rPr>
          <w:rFonts w:asciiTheme="minorHAnsi" w:hAnsiTheme="minorHAnsi" w:cstheme="minorHAnsi"/>
          <w:bCs/>
          <w:color w:val="auto"/>
          <w:sz w:val="22"/>
          <w:szCs w:val="22"/>
        </w:rPr>
      </w:pPr>
      <w:r w:rsidRPr="004737C5">
        <w:rPr>
          <w:rFonts w:asciiTheme="minorHAnsi" w:hAnsiTheme="minorHAnsi" w:cstheme="minorHAnsi"/>
          <w:bCs/>
          <w:color w:val="auto"/>
          <w:sz w:val="22"/>
          <w:szCs w:val="22"/>
        </w:rPr>
        <w:t>Guideline 98 sp</w:t>
      </w:r>
      <w:r w:rsidR="00E260EA" w:rsidRPr="004737C5">
        <w:rPr>
          <w:rFonts w:asciiTheme="minorHAnsi" w:hAnsiTheme="minorHAnsi" w:cstheme="minorHAnsi"/>
          <w:bCs/>
          <w:color w:val="auto"/>
          <w:sz w:val="22"/>
          <w:szCs w:val="22"/>
        </w:rPr>
        <w:t>ells out that the IGE will not “pass judgment”</w:t>
      </w:r>
      <w:r w:rsidRPr="004737C5">
        <w:rPr>
          <w:rFonts w:asciiTheme="minorHAnsi" w:hAnsiTheme="minorHAnsi" w:cstheme="minorHAnsi"/>
          <w:bCs/>
          <w:color w:val="auto"/>
          <w:sz w:val="22"/>
          <w:szCs w:val="22"/>
        </w:rPr>
        <w:t xml:space="preserve"> on individual states or companies in connection with specific transactions. </w:t>
      </w:r>
    </w:p>
    <w:p w14:paraId="482650D1" w14:textId="77777777" w:rsidR="00843222" w:rsidRPr="004737C5" w:rsidRDefault="00843222" w:rsidP="006D3BE8">
      <w:pPr>
        <w:pStyle w:val="Default"/>
        <w:spacing w:after="160" w:line="240" w:lineRule="auto"/>
        <w:jc w:val="both"/>
        <w:rPr>
          <w:rFonts w:asciiTheme="minorHAnsi" w:hAnsiTheme="minorHAnsi" w:cstheme="minorHAnsi"/>
          <w:bCs/>
          <w:color w:val="auto"/>
          <w:sz w:val="22"/>
          <w:szCs w:val="22"/>
        </w:rPr>
      </w:pPr>
      <w:r w:rsidRPr="004737C5">
        <w:rPr>
          <w:rFonts w:asciiTheme="minorHAnsi" w:hAnsiTheme="minorHAnsi" w:cstheme="minorHAnsi"/>
          <w:bCs/>
          <w:color w:val="auto"/>
          <w:sz w:val="22"/>
          <w:szCs w:val="22"/>
        </w:rPr>
        <w:t xml:space="preserve">In particular, voluntary peer reviews have a long and generally positive history in international institutions such as UNCTAD, </w:t>
      </w:r>
      <w:r w:rsidR="00E260EA" w:rsidRPr="004737C5">
        <w:rPr>
          <w:rFonts w:asciiTheme="minorHAnsi" w:hAnsiTheme="minorHAnsi" w:cstheme="minorHAnsi"/>
          <w:bCs/>
          <w:color w:val="auto"/>
          <w:sz w:val="22"/>
          <w:szCs w:val="22"/>
        </w:rPr>
        <w:t xml:space="preserve">with has </w:t>
      </w:r>
      <w:r w:rsidRPr="004737C5">
        <w:rPr>
          <w:rFonts w:asciiTheme="minorHAnsi" w:hAnsiTheme="minorHAnsi" w:cstheme="minorHAnsi"/>
          <w:bCs/>
          <w:color w:val="auto"/>
          <w:sz w:val="22"/>
          <w:szCs w:val="22"/>
        </w:rPr>
        <w:t>over ten years of experience in the field of competition. This is useful not only for the country reviewed but also for those reviewing institutions faced with the practical realities of policy implementati</w:t>
      </w:r>
      <w:r w:rsidR="00E260EA" w:rsidRPr="004737C5">
        <w:rPr>
          <w:rFonts w:asciiTheme="minorHAnsi" w:hAnsiTheme="minorHAnsi" w:cstheme="minorHAnsi"/>
          <w:bCs/>
          <w:color w:val="auto"/>
          <w:sz w:val="22"/>
          <w:szCs w:val="22"/>
        </w:rPr>
        <w:t>on</w:t>
      </w:r>
      <w:r w:rsidRPr="004737C5">
        <w:rPr>
          <w:rFonts w:asciiTheme="minorHAnsi" w:hAnsiTheme="minorHAnsi" w:cstheme="minorHAnsi"/>
          <w:bCs/>
          <w:color w:val="auto"/>
          <w:sz w:val="22"/>
          <w:szCs w:val="22"/>
        </w:rPr>
        <w:t xml:space="preserve"> and can </w:t>
      </w:r>
      <w:r w:rsidR="00E260EA" w:rsidRPr="004737C5">
        <w:rPr>
          <w:rFonts w:asciiTheme="minorHAnsi" w:hAnsiTheme="minorHAnsi" w:cstheme="minorHAnsi"/>
          <w:bCs/>
          <w:color w:val="auto"/>
          <w:sz w:val="22"/>
          <w:szCs w:val="22"/>
        </w:rPr>
        <w:t>serve as</w:t>
      </w:r>
      <w:r w:rsidRPr="004737C5">
        <w:rPr>
          <w:rFonts w:asciiTheme="minorHAnsi" w:hAnsiTheme="minorHAnsi" w:cstheme="minorHAnsi"/>
          <w:bCs/>
          <w:color w:val="auto"/>
          <w:sz w:val="22"/>
          <w:szCs w:val="22"/>
        </w:rPr>
        <w:t xml:space="preserve"> </w:t>
      </w:r>
      <w:r w:rsidR="00E260EA" w:rsidRPr="004737C5">
        <w:rPr>
          <w:rFonts w:asciiTheme="minorHAnsi" w:hAnsiTheme="minorHAnsi" w:cstheme="minorHAnsi"/>
          <w:bCs/>
          <w:color w:val="auto"/>
          <w:sz w:val="22"/>
          <w:szCs w:val="22"/>
        </w:rPr>
        <w:t xml:space="preserve">a </w:t>
      </w:r>
      <w:r w:rsidRPr="004737C5">
        <w:rPr>
          <w:rFonts w:asciiTheme="minorHAnsi" w:hAnsiTheme="minorHAnsi" w:cstheme="minorHAnsi"/>
          <w:bCs/>
          <w:color w:val="auto"/>
          <w:sz w:val="22"/>
          <w:szCs w:val="22"/>
        </w:rPr>
        <w:t xml:space="preserve">counterpoint to the often rather vague provisions of </w:t>
      </w:r>
      <w:r w:rsidR="00E260EA" w:rsidRPr="004737C5">
        <w:rPr>
          <w:rFonts w:asciiTheme="minorHAnsi" w:hAnsiTheme="minorHAnsi" w:cstheme="minorHAnsi"/>
          <w:bCs/>
          <w:color w:val="auto"/>
          <w:sz w:val="22"/>
          <w:szCs w:val="22"/>
        </w:rPr>
        <w:t>international guidelines. Such “reality checks”</w:t>
      </w:r>
      <w:r w:rsidRPr="004737C5">
        <w:rPr>
          <w:rFonts w:asciiTheme="minorHAnsi" w:hAnsiTheme="minorHAnsi" w:cstheme="minorHAnsi"/>
          <w:bCs/>
          <w:color w:val="auto"/>
          <w:sz w:val="22"/>
          <w:szCs w:val="22"/>
        </w:rPr>
        <w:t xml:space="preserve"> can be very useful internally for the country be</w:t>
      </w:r>
      <w:r w:rsidR="00E260EA" w:rsidRPr="004737C5">
        <w:rPr>
          <w:rFonts w:asciiTheme="minorHAnsi" w:hAnsiTheme="minorHAnsi" w:cstheme="minorHAnsi"/>
          <w:bCs/>
          <w:color w:val="auto"/>
          <w:sz w:val="22"/>
          <w:szCs w:val="22"/>
        </w:rPr>
        <w:t>ing reviewed where a reforming g</w:t>
      </w:r>
      <w:r w:rsidRPr="004737C5">
        <w:rPr>
          <w:rFonts w:asciiTheme="minorHAnsi" w:hAnsiTheme="minorHAnsi" w:cstheme="minorHAnsi"/>
          <w:bCs/>
          <w:color w:val="auto"/>
          <w:sz w:val="22"/>
          <w:szCs w:val="22"/>
        </w:rPr>
        <w:t xml:space="preserve">overnment may need an outside eye to assist in the process of internal policy reform. </w:t>
      </w:r>
    </w:p>
    <w:p w14:paraId="00F72CEF" w14:textId="77777777" w:rsidR="00843222" w:rsidRPr="004737C5" w:rsidRDefault="009B5EA1" w:rsidP="006D3BE8">
      <w:pPr>
        <w:pStyle w:val="Default"/>
        <w:spacing w:after="160" w:line="240" w:lineRule="auto"/>
        <w:jc w:val="both"/>
        <w:rPr>
          <w:rFonts w:asciiTheme="minorHAnsi" w:hAnsiTheme="minorHAnsi" w:cstheme="minorHAnsi"/>
          <w:bCs/>
          <w:color w:val="auto"/>
          <w:sz w:val="22"/>
          <w:szCs w:val="22"/>
        </w:rPr>
      </w:pPr>
      <w:r w:rsidRPr="004737C5">
        <w:rPr>
          <w:rFonts w:asciiTheme="minorHAnsi" w:hAnsiTheme="minorHAnsi" w:cstheme="minorHAnsi"/>
          <w:bCs/>
          <w:color w:val="auto"/>
          <w:sz w:val="22"/>
          <w:szCs w:val="22"/>
        </w:rPr>
        <w:t>The provision in guideline 97a</w:t>
      </w:r>
      <w:r w:rsidR="00843222" w:rsidRPr="004737C5">
        <w:rPr>
          <w:rFonts w:asciiTheme="minorHAnsi" w:hAnsiTheme="minorHAnsi" w:cstheme="minorHAnsi"/>
          <w:bCs/>
          <w:color w:val="auto"/>
          <w:sz w:val="22"/>
          <w:szCs w:val="22"/>
        </w:rPr>
        <w:t xml:space="preserve"> on the exchange of views</w:t>
      </w:r>
      <w:r w:rsidR="00E260EA" w:rsidRPr="004737C5">
        <w:rPr>
          <w:rFonts w:asciiTheme="minorHAnsi" w:hAnsiTheme="minorHAnsi" w:cstheme="minorHAnsi"/>
          <w:bCs/>
          <w:color w:val="auto"/>
          <w:sz w:val="22"/>
          <w:szCs w:val="22"/>
        </w:rPr>
        <w:t xml:space="preserve"> and experiences</w:t>
      </w:r>
      <w:r w:rsidR="00843222" w:rsidRPr="004737C5">
        <w:rPr>
          <w:rFonts w:asciiTheme="minorHAnsi" w:hAnsiTheme="minorHAnsi" w:cstheme="minorHAnsi"/>
          <w:bCs/>
          <w:color w:val="auto"/>
          <w:sz w:val="22"/>
          <w:szCs w:val="22"/>
        </w:rPr>
        <w:t xml:space="preserve"> between Member States</w:t>
      </w:r>
      <w:r w:rsidR="00E260EA" w:rsidRPr="004737C5">
        <w:rPr>
          <w:rFonts w:asciiTheme="minorHAnsi" w:hAnsiTheme="minorHAnsi" w:cstheme="minorHAnsi"/>
          <w:bCs/>
          <w:color w:val="auto"/>
          <w:sz w:val="22"/>
          <w:szCs w:val="22"/>
        </w:rPr>
        <w:t xml:space="preserve"> </w:t>
      </w:r>
      <w:r w:rsidR="00843222" w:rsidRPr="004737C5">
        <w:rPr>
          <w:rFonts w:asciiTheme="minorHAnsi" w:hAnsiTheme="minorHAnsi" w:cstheme="minorHAnsi"/>
          <w:bCs/>
          <w:color w:val="auto"/>
          <w:sz w:val="22"/>
          <w:szCs w:val="22"/>
        </w:rPr>
        <w:t xml:space="preserve">will also be significant, </w:t>
      </w:r>
      <w:r w:rsidR="00E260EA" w:rsidRPr="004737C5">
        <w:rPr>
          <w:rFonts w:asciiTheme="minorHAnsi" w:hAnsiTheme="minorHAnsi" w:cstheme="minorHAnsi"/>
          <w:bCs/>
          <w:color w:val="auto"/>
          <w:sz w:val="22"/>
          <w:szCs w:val="22"/>
        </w:rPr>
        <w:t xml:space="preserve">particularly in relation to implementation, </w:t>
      </w:r>
      <w:r w:rsidR="00843222" w:rsidRPr="004737C5">
        <w:rPr>
          <w:rFonts w:asciiTheme="minorHAnsi" w:hAnsiTheme="minorHAnsi" w:cstheme="minorHAnsi"/>
          <w:bCs/>
          <w:color w:val="auto"/>
          <w:sz w:val="22"/>
          <w:szCs w:val="22"/>
        </w:rPr>
        <w:t xml:space="preserve">especially given the widening of the UNGCP. While Member States might be reluctant to be judged on their performance in implementation, there is bound to be an element of comparison arising from these exchanges, which is likely to generate an upward momentum. </w:t>
      </w:r>
    </w:p>
    <w:p w14:paraId="2583797C" w14:textId="7177BBCB" w:rsidR="00843222" w:rsidRPr="004737C5" w:rsidRDefault="00843222" w:rsidP="006D3BE8">
      <w:pPr>
        <w:pStyle w:val="Default"/>
        <w:spacing w:after="160" w:line="240" w:lineRule="auto"/>
        <w:jc w:val="both"/>
        <w:rPr>
          <w:rFonts w:asciiTheme="minorHAnsi" w:hAnsiTheme="minorHAnsi" w:cstheme="minorHAnsi"/>
          <w:bCs/>
          <w:color w:val="auto"/>
          <w:sz w:val="22"/>
          <w:szCs w:val="22"/>
        </w:rPr>
      </w:pPr>
      <w:r w:rsidRPr="004737C5">
        <w:rPr>
          <w:rFonts w:asciiTheme="minorHAnsi" w:hAnsiTheme="minorHAnsi" w:cstheme="minorHAnsi"/>
          <w:bCs/>
          <w:color w:val="auto"/>
          <w:sz w:val="22"/>
          <w:szCs w:val="22"/>
        </w:rPr>
        <w:t xml:space="preserve">One of the major innovations of the revised </w:t>
      </w:r>
      <w:r w:rsidRPr="004737C5">
        <w:rPr>
          <w:rFonts w:asciiTheme="minorHAnsi" w:hAnsiTheme="minorHAnsi" w:cstheme="minorHAnsi"/>
          <w:bCs/>
          <w:sz w:val="22"/>
          <w:szCs w:val="22"/>
        </w:rPr>
        <w:t>UNGCP</w:t>
      </w:r>
      <w:r w:rsidRPr="004737C5" w:rsidDel="00577009">
        <w:rPr>
          <w:rFonts w:asciiTheme="minorHAnsi" w:hAnsiTheme="minorHAnsi" w:cstheme="minorHAnsi"/>
          <w:bCs/>
          <w:color w:val="auto"/>
          <w:sz w:val="22"/>
          <w:szCs w:val="22"/>
        </w:rPr>
        <w:t xml:space="preserve"> </w:t>
      </w:r>
      <w:r w:rsidRPr="004737C5">
        <w:rPr>
          <w:rFonts w:asciiTheme="minorHAnsi" w:hAnsiTheme="minorHAnsi" w:cstheme="minorHAnsi"/>
          <w:bCs/>
          <w:color w:val="auto"/>
          <w:sz w:val="22"/>
          <w:szCs w:val="22"/>
        </w:rPr>
        <w:t xml:space="preserve">is </w:t>
      </w:r>
      <w:r w:rsidR="001C7019" w:rsidRPr="004737C5">
        <w:rPr>
          <w:rFonts w:asciiTheme="minorHAnsi" w:hAnsiTheme="minorHAnsi" w:cstheme="minorHAnsi"/>
          <w:bCs/>
          <w:color w:val="auto"/>
          <w:sz w:val="22"/>
          <w:szCs w:val="22"/>
        </w:rPr>
        <w:t>their</w:t>
      </w:r>
      <w:r w:rsidRPr="004737C5">
        <w:rPr>
          <w:rFonts w:asciiTheme="minorHAnsi" w:hAnsiTheme="minorHAnsi" w:cstheme="minorHAnsi"/>
          <w:bCs/>
          <w:color w:val="auto"/>
          <w:sz w:val="22"/>
          <w:szCs w:val="22"/>
        </w:rPr>
        <w:t xml:space="preserve"> dynamic update. Whereas in previous versions there was no institutionali</w:t>
      </w:r>
      <w:r w:rsidR="009B5EA1" w:rsidRPr="004737C5">
        <w:rPr>
          <w:rFonts w:asciiTheme="minorHAnsi" w:hAnsiTheme="minorHAnsi" w:cstheme="minorHAnsi"/>
          <w:bCs/>
          <w:color w:val="auto"/>
          <w:sz w:val="22"/>
          <w:szCs w:val="22"/>
        </w:rPr>
        <w:t>zed revision process foreseen, guideline 97i</w:t>
      </w:r>
      <w:r w:rsidRPr="004737C5">
        <w:rPr>
          <w:rFonts w:asciiTheme="minorHAnsi" w:hAnsiTheme="minorHAnsi" w:cstheme="minorHAnsi"/>
          <w:bCs/>
          <w:color w:val="auto"/>
          <w:sz w:val="22"/>
          <w:szCs w:val="22"/>
        </w:rPr>
        <w:t xml:space="preserve"> asks the IGE to co</w:t>
      </w:r>
      <w:r w:rsidR="009B5EA1" w:rsidRPr="004737C5">
        <w:rPr>
          <w:rFonts w:asciiTheme="minorHAnsi" w:hAnsiTheme="minorHAnsi" w:cstheme="minorHAnsi"/>
          <w:bCs/>
          <w:color w:val="auto"/>
          <w:sz w:val="22"/>
          <w:szCs w:val="22"/>
        </w:rPr>
        <w:t>nduct a periodic review of the g</w:t>
      </w:r>
      <w:r w:rsidRPr="004737C5">
        <w:rPr>
          <w:rFonts w:asciiTheme="minorHAnsi" w:hAnsiTheme="minorHAnsi" w:cstheme="minorHAnsi"/>
          <w:bCs/>
          <w:color w:val="auto"/>
          <w:sz w:val="22"/>
          <w:szCs w:val="22"/>
        </w:rPr>
        <w:t>u</w:t>
      </w:r>
      <w:r w:rsidR="009B5EA1" w:rsidRPr="004737C5">
        <w:rPr>
          <w:rFonts w:asciiTheme="minorHAnsi" w:hAnsiTheme="minorHAnsi" w:cstheme="minorHAnsi"/>
          <w:bCs/>
          <w:color w:val="auto"/>
          <w:sz w:val="22"/>
          <w:szCs w:val="22"/>
        </w:rPr>
        <w:t>idelines, when mandated by the review c</w:t>
      </w:r>
      <w:r w:rsidRPr="004737C5">
        <w:rPr>
          <w:rFonts w:asciiTheme="minorHAnsi" w:hAnsiTheme="minorHAnsi" w:cstheme="minorHAnsi"/>
          <w:bCs/>
          <w:color w:val="auto"/>
          <w:sz w:val="22"/>
          <w:szCs w:val="22"/>
        </w:rPr>
        <w:t xml:space="preserve">onference. This will allow new issues and developments to be duly discussed at the intergovernmental level and, </w:t>
      </w:r>
      <w:r w:rsidR="00E260EA" w:rsidRPr="004737C5">
        <w:rPr>
          <w:rFonts w:asciiTheme="minorHAnsi" w:hAnsiTheme="minorHAnsi" w:cstheme="minorHAnsi"/>
          <w:bCs/>
          <w:color w:val="auto"/>
          <w:sz w:val="22"/>
          <w:szCs w:val="22"/>
        </w:rPr>
        <w:t xml:space="preserve">if and </w:t>
      </w:r>
      <w:r w:rsidRPr="004737C5">
        <w:rPr>
          <w:rFonts w:asciiTheme="minorHAnsi" w:hAnsiTheme="minorHAnsi" w:cstheme="minorHAnsi"/>
          <w:bCs/>
          <w:color w:val="auto"/>
          <w:sz w:val="22"/>
          <w:szCs w:val="22"/>
        </w:rPr>
        <w:t>when consensus</w:t>
      </w:r>
      <w:r w:rsidR="009B5EA1" w:rsidRPr="004737C5">
        <w:rPr>
          <w:rFonts w:asciiTheme="minorHAnsi" w:hAnsiTheme="minorHAnsi" w:cstheme="minorHAnsi"/>
          <w:bCs/>
          <w:color w:val="auto"/>
          <w:sz w:val="22"/>
          <w:szCs w:val="22"/>
        </w:rPr>
        <w:t xml:space="preserve"> arises, to be included in the g</w:t>
      </w:r>
      <w:r w:rsidRPr="004737C5">
        <w:rPr>
          <w:rFonts w:asciiTheme="minorHAnsi" w:hAnsiTheme="minorHAnsi" w:cstheme="minorHAnsi"/>
          <w:bCs/>
          <w:color w:val="auto"/>
          <w:sz w:val="22"/>
          <w:szCs w:val="22"/>
        </w:rPr>
        <w:t xml:space="preserve">uidelines. This will serve to </w:t>
      </w:r>
      <w:r w:rsidR="00D7351E" w:rsidRPr="004737C5">
        <w:rPr>
          <w:rFonts w:asciiTheme="minorHAnsi" w:hAnsiTheme="minorHAnsi" w:cstheme="minorHAnsi"/>
          <w:bCs/>
          <w:color w:val="auto"/>
          <w:sz w:val="22"/>
          <w:szCs w:val="22"/>
        </w:rPr>
        <w:t xml:space="preserve">periodically </w:t>
      </w:r>
      <w:r w:rsidR="00E260EA" w:rsidRPr="004737C5">
        <w:rPr>
          <w:rFonts w:asciiTheme="minorHAnsi" w:hAnsiTheme="minorHAnsi" w:cstheme="minorHAnsi"/>
          <w:bCs/>
          <w:color w:val="auto"/>
          <w:sz w:val="22"/>
          <w:szCs w:val="22"/>
        </w:rPr>
        <w:t xml:space="preserve">update </w:t>
      </w:r>
      <w:r w:rsidRPr="004737C5">
        <w:rPr>
          <w:rFonts w:asciiTheme="minorHAnsi" w:hAnsiTheme="minorHAnsi" w:cstheme="minorHAnsi"/>
          <w:bCs/>
          <w:color w:val="auto"/>
          <w:sz w:val="22"/>
          <w:szCs w:val="22"/>
        </w:rPr>
        <w:t xml:space="preserve">the UNGCP, ensuring their continued relevance. Indeed, the newly established IGE is set to become a very important forum </w:t>
      </w:r>
      <w:r w:rsidR="00E260EA" w:rsidRPr="004737C5">
        <w:rPr>
          <w:rFonts w:asciiTheme="minorHAnsi" w:hAnsiTheme="minorHAnsi" w:cstheme="minorHAnsi"/>
          <w:bCs/>
          <w:color w:val="auto"/>
          <w:sz w:val="22"/>
          <w:szCs w:val="22"/>
        </w:rPr>
        <w:t>for enhancing</w:t>
      </w:r>
      <w:r w:rsidRPr="004737C5">
        <w:rPr>
          <w:rFonts w:asciiTheme="minorHAnsi" w:hAnsiTheme="minorHAnsi" w:cstheme="minorHAnsi"/>
          <w:bCs/>
          <w:color w:val="auto"/>
          <w:sz w:val="22"/>
          <w:szCs w:val="22"/>
        </w:rPr>
        <w:t xml:space="preserve"> cooperation and push</w:t>
      </w:r>
      <w:r w:rsidR="00E260EA" w:rsidRPr="004737C5">
        <w:rPr>
          <w:rFonts w:asciiTheme="minorHAnsi" w:hAnsiTheme="minorHAnsi" w:cstheme="minorHAnsi"/>
          <w:bCs/>
          <w:color w:val="auto"/>
          <w:sz w:val="22"/>
          <w:szCs w:val="22"/>
        </w:rPr>
        <w:t>ing</w:t>
      </w:r>
      <w:r w:rsidRPr="004737C5">
        <w:rPr>
          <w:rFonts w:asciiTheme="minorHAnsi" w:hAnsiTheme="minorHAnsi" w:cstheme="minorHAnsi"/>
          <w:bCs/>
          <w:color w:val="auto"/>
          <w:sz w:val="22"/>
          <w:szCs w:val="22"/>
        </w:rPr>
        <w:t xml:space="preserve"> consumer protection issues forward in the global agenda.</w:t>
      </w:r>
    </w:p>
    <w:p w14:paraId="3FD8476A" w14:textId="790D9733" w:rsidR="00E260EA" w:rsidRPr="004737C5" w:rsidRDefault="0071486B" w:rsidP="009771AD">
      <w:pPr>
        <w:spacing w:before="200"/>
        <w:rPr>
          <w:rFonts w:cstheme="minorHAnsi"/>
          <w:sz w:val="24"/>
          <w:szCs w:val="24"/>
        </w:rPr>
      </w:pPr>
      <w:bookmarkStart w:id="82" w:name="_Toc492650033"/>
      <w:r w:rsidRPr="004737C5">
        <w:rPr>
          <w:rStyle w:val="Heading2Char"/>
          <w:rFonts w:cstheme="minorHAnsi"/>
          <w:color w:val="auto"/>
          <w:sz w:val="24"/>
          <w:szCs w:val="24"/>
        </w:rPr>
        <w:t>E</w:t>
      </w:r>
      <w:r w:rsidR="00E260EA" w:rsidRPr="004737C5">
        <w:rPr>
          <w:rStyle w:val="Heading2Char"/>
          <w:rFonts w:cstheme="minorHAnsi"/>
          <w:color w:val="auto"/>
          <w:sz w:val="24"/>
          <w:szCs w:val="24"/>
        </w:rPr>
        <w:t>.</w:t>
      </w:r>
      <w:r w:rsidR="00843222" w:rsidRPr="004737C5">
        <w:rPr>
          <w:rStyle w:val="Heading2Char"/>
          <w:rFonts w:cstheme="minorHAnsi"/>
          <w:color w:val="auto"/>
          <w:sz w:val="24"/>
          <w:szCs w:val="24"/>
        </w:rPr>
        <w:t xml:space="preserve"> Conclusion</w:t>
      </w:r>
      <w:bookmarkEnd w:id="82"/>
      <w:r w:rsidR="00843222" w:rsidRPr="004737C5">
        <w:rPr>
          <w:rStyle w:val="Heading2Char"/>
          <w:rFonts w:cstheme="minorHAnsi"/>
          <w:color w:val="auto"/>
          <w:sz w:val="24"/>
          <w:szCs w:val="24"/>
        </w:rPr>
        <w:tab/>
      </w:r>
    </w:p>
    <w:p w14:paraId="673889C8" w14:textId="1EB33518" w:rsidR="00843222" w:rsidRPr="004737C5" w:rsidRDefault="00843222" w:rsidP="006D3BE8">
      <w:pPr>
        <w:rPr>
          <w:rFonts w:eastAsiaTheme="majorEastAsia" w:cstheme="minorHAnsi"/>
          <w:b/>
          <w:bCs/>
          <w:color w:val="4472C4"/>
          <w:sz w:val="24"/>
          <w:szCs w:val="24"/>
        </w:rPr>
      </w:pPr>
      <w:r w:rsidRPr="004737C5">
        <w:rPr>
          <w:rFonts w:cstheme="minorHAnsi"/>
        </w:rPr>
        <w:t xml:space="preserve">This brief survey of international cooperation very strongly suggests that the current route to international consumer protection for individuals passes by way of institutional, rather than judicial, solutions. This is not only because of the intrinsic difficulty of filing judicial cases across borders, but also because there are no definitive inter-agency cooperation agreements of a judicial nature. In the case of tourism and international visits there is a choice between, on the one hand, quick and basic dispute resolution in the country of destination that may involve some relatively non-judicial procedures such as alternative dispute resolution, and on the other hand, protracted long distance litigation with little guarantee of success. The former route seems to be prevailing and </w:t>
      </w:r>
      <w:r w:rsidR="007A74E2" w:rsidRPr="004737C5">
        <w:rPr>
          <w:rFonts w:cstheme="minorHAnsi"/>
        </w:rPr>
        <w:t xml:space="preserve">the </w:t>
      </w:r>
      <w:r w:rsidRPr="004737C5">
        <w:rPr>
          <w:rFonts w:cstheme="minorHAnsi"/>
        </w:rPr>
        <w:t xml:space="preserve">existence of practical arrangements between </w:t>
      </w:r>
      <w:r w:rsidRPr="004737C5">
        <w:rPr>
          <w:rFonts w:cstheme="minorHAnsi"/>
          <w:bCs/>
        </w:rPr>
        <w:t xml:space="preserve">consumer protection </w:t>
      </w:r>
      <w:r w:rsidRPr="004737C5">
        <w:rPr>
          <w:rFonts w:cstheme="minorHAnsi"/>
        </w:rPr>
        <w:t xml:space="preserve">agencies represents a great improvement in this regard. </w:t>
      </w:r>
    </w:p>
    <w:p w14:paraId="7F0A9EC3" w14:textId="758AD87B" w:rsidR="00843222" w:rsidRPr="004737C5" w:rsidRDefault="00843222" w:rsidP="006D3BE8">
      <w:pPr>
        <w:rPr>
          <w:rFonts w:cstheme="minorHAnsi"/>
        </w:rPr>
      </w:pPr>
      <w:r w:rsidRPr="004737C5">
        <w:rPr>
          <w:rFonts w:cstheme="minorHAnsi"/>
        </w:rPr>
        <w:t>However, the problems are more fundamental for consumers who are</w:t>
      </w:r>
      <w:r w:rsidR="00E260EA" w:rsidRPr="004737C5">
        <w:rPr>
          <w:rFonts w:cstheme="minorHAnsi"/>
        </w:rPr>
        <w:t xml:space="preserve"> not</w:t>
      </w:r>
      <w:r w:rsidRPr="004737C5">
        <w:rPr>
          <w:rFonts w:cstheme="minorHAnsi"/>
        </w:rPr>
        <w:t xml:space="preserve"> physically</w:t>
      </w:r>
      <w:r w:rsidR="00E260EA" w:rsidRPr="004737C5">
        <w:rPr>
          <w:rFonts w:cstheme="minorHAnsi"/>
        </w:rPr>
        <w:t xml:space="preserve"> located in </w:t>
      </w:r>
      <w:r w:rsidRPr="004737C5">
        <w:rPr>
          <w:rFonts w:cstheme="minorHAnsi"/>
        </w:rPr>
        <w:t xml:space="preserve">the domicile of businesses. The growth of transactions by internet has undermined traditional frontier controls that have always applied to physical imports. Increasingly, international controls are regulatory rather than physical for both goods and services. Where a consumer orders a physical product from a foreign website, the goods may be delivered from a depot in the country of </w:t>
      </w:r>
      <w:r w:rsidR="00D7351E" w:rsidRPr="004737C5">
        <w:rPr>
          <w:rFonts w:cstheme="minorHAnsi"/>
        </w:rPr>
        <w:t xml:space="preserve">the consumer’s </w:t>
      </w:r>
      <w:r w:rsidRPr="004737C5">
        <w:rPr>
          <w:rFonts w:cstheme="minorHAnsi"/>
        </w:rPr>
        <w:t xml:space="preserve">domicile </w:t>
      </w:r>
      <w:r w:rsidR="00D7351E" w:rsidRPr="004737C5">
        <w:rPr>
          <w:rFonts w:cstheme="minorHAnsi"/>
        </w:rPr>
        <w:t xml:space="preserve">or despatched from </w:t>
      </w:r>
      <w:r w:rsidRPr="004737C5">
        <w:rPr>
          <w:rFonts w:cstheme="minorHAnsi"/>
        </w:rPr>
        <w:t>where they were manufactured</w:t>
      </w:r>
      <w:r w:rsidR="00D7351E" w:rsidRPr="004737C5">
        <w:rPr>
          <w:rFonts w:cstheme="minorHAnsi"/>
        </w:rPr>
        <w:t>. Alternatively, a</w:t>
      </w:r>
      <w:r w:rsidRPr="004737C5">
        <w:rPr>
          <w:rFonts w:cstheme="minorHAnsi"/>
        </w:rPr>
        <w:t xml:space="preserve"> digital product produced in country A may be downloaded from a website in country B </w:t>
      </w:r>
      <w:r w:rsidR="00D17D39" w:rsidRPr="004737C5">
        <w:rPr>
          <w:rFonts w:cstheme="minorHAnsi"/>
        </w:rPr>
        <w:t>by</w:t>
      </w:r>
      <w:r w:rsidRPr="004737C5">
        <w:rPr>
          <w:rFonts w:cstheme="minorHAnsi"/>
        </w:rPr>
        <w:t xml:space="preserve"> a consumer in country C. </w:t>
      </w:r>
    </w:p>
    <w:p w14:paraId="55798843" w14:textId="77777777" w:rsidR="00843222" w:rsidRPr="004737C5" w:rsidRDefault="00843222" w:rsidP="006D3BE8">
      <w:pPr>
        <w:rPr>
          <w:rFonts w:cstheme="minorHAnsi"/>
        </w:rPr>
      </w:pPr>
      <w:r w:rsidRPr="004737C5">
        <w:rPr>
          <w:rFonts w:cstheme="minorHAnsi"/>
        </w:rPr>
        <w:t xml:space="preserve">Given such complexities, it is important that effective international legal instruments are designed to achieve effective cross-border consumer redress. Currently, companies </w:t>
      </w:r>
      <w:r w:rsidR="007A448C" w:rsidRPr="004737C5">
        <w:rPr>
          <w:rFonts w:cstheme="minorHAnsi"/>
        </w:rPr>
        <w:t>may</w:t>
      </w:r>
      <w:r w:rsidRPr="004737C5">
        <w:rPr>
          <w:rFonts w:cstheme="minorHAnsi"/>
        </w:rPr>
        <w:t xml:space="preserve"> gain market advantages by making public commitments to standards of conduct </w:t>
      </w:r>
      <w:r w:rsidR="007A448C" w:rsidRPr="004737C5">
        <w:rPr>
          <w:rFonts w:cstheme="minorHAnsi"/>
        </w:rPr>
        <w:t>rei</w:t>
      </w:r>
      <w:r w:rsidRPr="004737C5">
        <w:rPr>
          <w:rFonts w:cstheme="minorHAnsi"/>
        </w:rPr>
        <w:t xml:space="preserve">nforced by certain codes of behaviour </w:t>
      </w:r>
      <w:r w:rsidRPr="004737C5">
        <w:rPr>
          <w:rFonts w:cstheme="minorHAnsi"/>
        </w:rPr>
        <w:lastRenderedPageBreak/>
        <w:t>wherever they operate. That leads to increased focus on matters of business co</w:t>
      </w:r>
      <w:r w:rsidR="004240DC" w:rsidRPr="004737C5">
        <w:rPr>
          <w:rFonts w:cstheme="minorHAnsi"/>
        </w:rPr>
        <w:t>nduct, as discussed in chapter VI</w:t>
      </w:r>
      <w:r w:rsidRPr="004737C5">
        <w:rPr>
          <w:rFonts w:cstheme="minorHAnsi"/>
        </w:rPr>
        <w:t xml:space="preserve">. </w:t>
      </w:r>
    </w:p>
    <w:p w14:paraId="326D620F" w14:textId="77777777" w:rsidR="00843222" w:rsidRPr="004737C5" w:rsidRDefault="00843222" w:rsidP="006D3BE8">
      <w:pPr>
        <w:rPr>
          <w:rFonts w:cstheme="minorHAnsi"/>
        </w:rPr>
      </w:pPr>
    </w:p>
    <w:bookmarkEnd w:id="0"/>
    <w:bookmarkEnd w:id="1"/>
    <w:bookmarkEnd w:id="2"/>
    <w:p w14:paraId="2957AC9F" w14:textId="77777777" w:rsidR="00BE71E3" w:rsidRPr="004737C5" w:rsidRDefault="00BE71E3" w:rsidP="006D3BE8">
      <w:pPr>
        <w:jc w:val="left"/>
        <w:rPr>
          <w:rFonts w:cstheme="minorHAnsi"/>
        </w:rPr>
      </w:pPr>
      <w:r w:rsidRPr="004737C5">
        <w:rPr>
          <w:rFonts w:cstheme="minorHAnsi"/>
        </w:rPr>
        <w:br w:type="page"/>
      </w:r>
    </w:p>
    <w:p w14:paraId="23861B11" w14:textId="77777777" w:rsidR="00BE71E3" w:rsidRPr="004737C5" w:rsidRDefault="00BE71E3" w:rsidP="006D3BE8">
      <w:pPr>
        <w:pStyle w:val="Heading1"/>
        <w:spacing w:after="240"/>
        <w:rPr>
          <w:rFonts w:asciiTheme="minorHAnsi" w:hAnsiTheme="minorHAnsi" w:cstheme="minorHAnsi"/>
        </w:rPr>
      </w:pPr>
    </w:p>
    <w:p w14:paraId="6AC923B4" w14:textId="77777777" w:rsidR="00BE71E3" w:rsidRPr="004737C5" w:rsidRDefault="00BE71E3" w:rsidP="006D3BE8">
      <w:pPr>
        <w:pStyle w:val="Heading1"/>
        <w:spacing w:after="240"/>
        <w:rPr>
          <w:rFonts w:asciiTheme="minorHAnsi" w:hAnsiTheme="minorHAnsi" w:cstheme="minorHAnsi"/>
        </w:rPr>
      </w:pPr>
    </w:p>
    <w:p w14:paraId="416BAA00" w14:textId="77777777" w:rsidR="00BE71E3" w:rsidRPr="004737C5" w:rsidRDefault="00BE71E3" w:rsidP="006D3BE8">
      <w:pPr>
        <w:pStyle w:val="Heading1"/>
        <w:spacing w:after="240"/>
        <w:rPr>
          <w:rFonts w:asciiTheme="minorHAnsi" w:hAnsiTheme="minorHAnsi" w:cstheme="minorHAnsi"/>
        </w:rPr>
      </w:pPr>
    </w:p>
    <w:p w14:paraId="5A659458" w14:textId="77777777" w:rsidR="00BE71E3" w:rsidRPr="004737C5" w:rsidRDefault="00BE71E3" w:rsidP="006D3BE8">
      <w:pPr>
        <w:pStyle w:val="Heading1"/>
        <w:spacing w:after="240"/>
        <w:rPr>
          <w:rFonts w:asciiTheme="minorHAnsi" w:hAnsiTheme="minorHAnsi" w:cstheme="minorHAnsi"/>
        </w:rPr>
      </w:pPr>
    </w:p>
    <w:p w14:paraId="05F8E5B7" w14:textId="77777777" w:rsidR="00BE71E3" w:rsidRPr="004737C5" w:rsidRDefault="00BE71E3" w:rsidP="006D3BE8">
      <w:pPr>
        <w:pStyle w:val="Heading1"/>
        <w:spacing w:after="240"/>
        <w:rPr>
          <w:rFonts w:asciiTheme="minorHAnsi" w:hAnsiTheme="minorHAnsi" w:cstheme="minorHAnsi"/>
        </w:rPr>
      </w:pPr>
    </w:p>
    <w:p w14:paraId="3891469E" w14:textId="77777777" w:rsidR="00BE71E3" w:rsidRPr="004737C5" w:rsidRDefault="00BE71E3" w:rsidP="006D3BE8">
      <w:pPr>
        <w:pStyle w:val="Heading1"/>
        <w:spacing w:after="240"/>
        <w:rPr>
          <w:rFonts w:asciiTheme="minorHAnsi" w:hAnsiTheme="minorHAnsi" w:cstheme="minorHAnsi"/>
        </w:rPr>
      </w:pPr>
    </w:p>
    <w:p w14:paraId="384EEA86" w14:textId="77777777" w:rsidR="00BE71E3" w:rsidRPr="004737C5" w:rsidRDefault="00BE71E3" w:rsidP="006D3BE8">
      <w:pPr>
        <w:pStyle w:val="Heading1"/>
        <w:spacing w:after="240"/>
        <w:rPr>
          <w:rFonts w:asciiTheme="minorHAnsi" w:hAnsiTheme="minorHAnsi" w:cstheme="minorHAnsi"/>
        </w:rPr>
      </w:pPr>
    </w:p>
    <w:p w14:paraId="0F344308" w14:textId="5F145B60" w:rsidR="00A577C4" w:rsidRPr="004737C5" w:rsidRDefault="00A577C4" w:rsidP="00A577C4">
      <w:pPr>
        <w:rPr>
          <w:b/>
          <w:sz w:val="34"/>
          <w:szCs w:val="34"/>
        </w:rPr>
      </w:pPr>
      <w:bookmarkStart w:id="83" w:name="_Toc489950247"/>
      <w:bookmarkStart w:id="84" w:name="_Toc492650034"/>
    </w:p>
    <w:p w14:paraId="13729590" w14:textId="77777777" w:rsidR="00A577C4" w:rsidRPr="004737C5" w:rsidRDefault="00A577C4" w:rsidP="007A448C">
      <w:pPr>
        <w:jc w:val="center"/>
        <w:rPr>
          <w:b/>
          <w:sz w:val="34"/>
          <w:szCs w:val="34"/>
        </w:rPr>
      </w:pPr>
    </w:p>
    <w:p w14:paraId="670EFC67" w14:textId="1A2B8AA5" w:rsidR="007A448C" w:rsidRPr="004737C5" w:rsidRDefault="007A448C" w:rsidP="007A448C">
      <w:pPr>
        <w:jc w:val="center"/>
        <w:rPr>
          <w:b/>
          <w:sz w:val="34"/>
          <w:szCs w:val="34"/>
        </w:rPr>
      </w:pPr>
      <w:r w:rsidRPr="004737C5">
        <w:rPr>
          <w:b/>
          <w:sz w:val="34"/>
          <w:szCs w:val="34"/>
        </w:rPr>
        <w:t>Part two</w:t>
      </w:r>
    </w:p>
    <w:p w14:paraId="44F5E0CC" w14:textId="77777777" w:rsidR="00BE71E3" w:rsidRPr="004737C5" w:rsidRDefault="00BE71E3" w:rsidP="007A448C">
      <w:pPr>
        <w:jc w:val="center"/>
        <w:rPr>
          <w:b/>
          <w:sz w:val="34"/>
          <w:szCs w:val="34"/>
        </w:rPr>
      </w:pPr>
      <w:r w:rsidRPr="004737C5">
        <w:rPr>
          <w:b/>
          <w:sz w:val="34"/>
          <w:szCs w:val="34"/>
        </w:rPr>
        <w:t>C</w:t>
      </w:r>
      <w:r w:rsidR="007A448C" w:rsidRPr="004737C5">
        <w:rPr>
          <w:b/>
          <w:sz w:val="34"/>
          <w:szCs w:val="34"/>
        </w:rPr>
        <w:t>onsumer protection in the marketplace</w:t>
      </w:r>
      <w:bookmarkEnd w:id="83"/>
      <w:bookmarkEnd w:id="84"/>
    </w:p>
    <w:p w14:paraId="27BDC2BC" w14:textId="77777777" w:rsidR="00BE71E3" w:rsidRPr="004737C5" w:rsidRDefault="00BE71E3" w:rsidP="006D3BE8">
      <w:pPr>
        <w:jc w:val="left"/>
        <w:rPr>
          <w:rFonts w:eastAsia="Times New Roman" w:cstheme="minorHAnsi"/>
          <w:b/>
          <w:bCs/>
          <w:caps/>
          <w:sz w:val="24"/>
          <w:szCs w:val="20"/>
        </w:rPr>
      </w:pPr>
      <w:r w:rsidRPr="004737C5">
        <w:rPr>
          <w:rFonts w:cstheme="minorHAnsi"/>
        </w:rPr>
        <w:br w:type="page"/>
      </w:r>
    </w:p>
    <w:p w14:paraId="35E46ADB" w14:textId="77777777" w:rsidR="00BE71E3" w:rsidRPr="004737C5" w:rsidRDefault="007A448C" w:rsidP="007A74E2">
      <w:pPr>
        <w:rPr>
          <w:b/>
          <w:sz w:val="28"/>
          <w:szCs w:val="28"/>
        </w:rPr>
      </w:pPr>
      <w:bookmarkStart w:id="85" w:name="_Toc489950248"/>
      <w:bookmarkStart w:id="86" w:name="_Toc492650035"/>
      <w:r w:rsidRPr="004737C5">
        <w:rPr>
          <w:b/>
          <w:sz w:val="28"/>
          <w:szCs w:val="28"/>
        </w:rPr>
        <w:lastRenderedPageBreak/>
        <w:t xml:space="preserve">IX. </w:t>
      </w:r>
      <w:r w:rsidR="00BE71E3" w:rsidRPr="004737C5">
        <w:rPr>
          <w:b/>
          <w:sz w:val="28"/>
          <w:szCs w:val="28"/>
        </w:rPr>
        <w:t>Product Safety and Liability</w:t>
      </w:r>
      <w:bookmarkEnd w:id="85"/>
      <w:bookmarkEnd w:id="86"/>
    </w:p>
    <w:p w14:paraId="16E4351E" w14:textId="77777777" w:rsidR="00BE71E3" w:rsidRPr="004737C5" w:rsidRDefault="007A448C" w:rsidP="009771AD">
      <w:pPr>
        <w:pStyle w:val="Heading2"/>
        <w:spacing w:before="0" w:after="160"/>
        <w:rPr>
          <w:rFonts w:cstheme="minorHAnsi"/>
          <w:color w:val="auto"/>
          <w:sz w:val="24"/>
          <w:szCs w:val="24"/>
        </w:rPr>
      </w:pPr>
      <w:bookmarkStart w:id="87" w:name="_Toc489950249"/>
      <w:bookmarkStart w:id="88" w:name="_Toc492650036"/>
      <w:r w:rsidRPr="004737C5">
        <w:rPr>
          <w:rFonts w:cstheme="minorHAnsi"/>
          <w:color w:val="auto"/>
          <w:sz w:val="24"/>
          <w:szCs w:val="24"/>
        </w:rPr>
        <w:t>A.</w:t>
      </w:r>
      <w:r w:rsidR="00BE71E3" w:rsidRPr="004737C5">
        <w:rPr>
          <w:rFonts w:cstheme="minorHAnsi"/>
          <w:color w:val="auto"/>
          <w:sz w:val="24"/>
          <w:szCs w:val="24"/>
        </w:rPr>
        <w:t xml:space="preserve"> Product safety in the United Nations Guidelines for Consumer Protection</w:t>
      </w:r>
      <w:bookmarkEnd w:id="87"/>
      <w:bookmarkEnd w:id="88"/>
    </w:p>
    <w:p w14:paraId="4BD68668" w14:textId="77777777" w:rsidR="00BE71E3" w:rsidRPr="004737C5" w:rsidRDefault="00BE71E3" w:rsidP="007A74E2">
      <w:pPr>
        <w:pStyle w:val="BodyText2"/>
        <w:spacing w:after="160"/>
        <w:rPr>
          <w:rFonts w:asciiTheme="minorHAnsi" w:hAnsiTheme="minorHAnsi" w:cstheme="minorHAnsi"/>
          <w:color w:val="auto"/>
        </w:rPr>
      </w:pPr>
      <w:r w:rsidRPr="004737C5">
        <w:rPr>
          <w:rFonts w:asciiTheme="minorHAnsi" w:hAnsiTheme="minorHAnsi" w:cstheme="minorHAnsi"/>
          <w:color w:val="auto"/>
        </w:rPr>
        <w:t>Of all the issues covered by the UNGCP, section V.B on physical safety is perhaps the one that has changed the least over time, there being little variation since the initial 1985 version. This suggests the text has aged well and indeed it could even be said that the original drafters were ahead of their time, for example in making reference to the use of international standards before they were fully incorporated into the GATT/WTO agreement on international trade in 1995. Apart from the specific sections set out below, it</w:t>
      </w:r>
      <w:r w:rsidR="007A448C" w:rsidRPr="004737C5">
        <w:rPr>
          <w:rFonts w:asciiTheme="minorHAnsi" w:hAnsiTheme="minorHAnsi" w:cstheme="minorHAnsi"/>
          <w:color w:val="auto"/>
        </w:rPr>
        <w:t xml:space="preserve"> should also be noted that the </w:t>
      </w:r>
      <w:r w:rsidR="009B5EA1" w:rsidRPr="004737C5">
        <w:rPr>
          <w:rFonts w:asciiTheme="minorHAnsi" w:hAnsiTheme="minorHAnsi" w:cstheme="minorHAnsi"/>
          <w:color w:val="auto"/>
        </w:rPr>
        <w:t>“legitimate needs” include, in guideline 5c</w:t>
      </w:r>
      <w:r w:rsidR="007A448C" w:rsidRPr="004737C5">
        <w:rPr>
          <w:rFonts w:asciiTheme="minorHAnsi" w:hAnsiTheme="minorHAnsi" w:cstheme="minorHAnsi"/>
          <w:color w:val="auto"/>
        </w:rPr>
        <w:t>, “</w:t>
      </w:r>
      <w:r w:rsidRPr="004737C5">
        <w:rPr>
          <w:rFonts w:asciiTheme="minorHAnsi" w:hAnsiTheme="minorHAnsi" w:cstheme="minorHAnsi"/>
          <w:color w:val="auto"/>
        </w:rPr>
        <w:t>the protection of consumers from haz</w:t>
      </w:r>
      <w:r w:rsidR="007A448C" w:rsidRPr="004737C5">
        <w:rPr>
          <w:rFonts w:asciiTheme="minorHAnsi" w:hAnsiTheme="minorHAnsi" w:cstheme="minorHAnsi"/>
          <w:color w:val="auto"/>
        </w:rPr>
        <w:t>ards to their health and safety”</w:t>
      </w:r>
      <w:r w:rsidR="009B5EA1" w:rsidRPr="004737C5">
        <w:rPr>
          <w:rFonts w:asciiTheme="minorHAnsi" w:hAnsiTheme="minorHAnsi" w:cstheme="minorHAnsi"/>
          <w:color w:val="auto"/>
        </w:rPr>
        <w:t>. Section V.B (g</w:t>
      </w:r>
      <w:r w:rsidRPr="004737C5">
        <w:rPr>
          <w:rFonts w:asciiTheme="minorHAnsi" w:hAnsiTheme="minorHAnsi" w:cstheme="minorHAnsi"/>
          <w:color w:val="auto"/>
        </w:rPr>
        <w:t>uidelines</w:t>
      </w:r>
      <w:r w:rsidR="007A448C" w:rsidRPr="004737C5">
        <w:rPr>
          <w:rFonts w:asciiTheme="minorHAnsi" w:hAnsiTheme="minorHAnsi" w:cstheme="minorHAnsi"/>
          <w:color w:val="auto"/>
        </w:rPr>
        <w:t xml:space="preserve"> 16‒</w:t>
      </w:r>
      <w:r w:rsidRPr="004737C5">
        <w:rPr>
          <w:rFonts w:asciiTheme="minorHAnsi" w:hAnsiTheme="minorHAnsi" w:cstheme="minorHAnsi"/>
          <w:color w:val="auto"/>
        </w:rPr>
        <w:t>19) is set out below:</w:t>
      </w:r>
    </w:p>
    <w:p w14:paraId="7FEF1AB2" w14:textId="77777777" w:rsidR="00BE71E3" w:rsidRPr="004737C5" w:rsidRDefault="009B5EA1" w:rsidP="007A74E2">
      <w:pPr>
        <w:pStyle w:val="Default"/>
        <w:numPr>
          <w:ilvl w:val="0"/>
          <w:numId w:val="27"/>
        </w:numPr>
        <w:suppressAutoHyphens w:val="0"/>
        <w:autoSpaceDE w:val="0"/>
        <w:autoSpaceDN w:val="0"/>
        <w:adjustRightInd w:val="0"/>
        <w:spacing w:after="160" w:line="240" w:lineRule="auto"/>
        <w:ind w:left="992" w:right="567" w:hanging="425"/>
        <w:contextualSpacing/>
        <w:jc w:val="both"/>
        <w:rPr>
          <w:rFonts w:asciiTheme="minorHAnsi" w:hAnsiTheme="minorHAnsi" w:cstheme="minorHAnsi"/>
          <w:iCs/>
          <w:sz w:val="22"/>
          <w:szCs w:val="22"/>
        </w:rPr>
      </w:pPr>
      <w:r w:rsidRPr="004737C5">
        <w:rPr>
          <w:rFonts w:asciiTheme="minorHAnsi" w:hAnsiTheme="minorHAnsi" w:cstheme="minorHAnsi"/>
          <w:iCs/>
          <w:sz w:val="22"/>
          <w:szCs w:val="22"/>
        </w:rPr>
        <w:t>16.</w:t>
      </w:r>
      <w:r w:rsidR="00BE71E3" w:rsidRPr="004737C5">
        <w:rPr>
          <w:rFonts w:asciiTheme="minorHAnsi" w:hAnsiTheme="minorHAnsi" w:cstheme="minorHAnsi"/>
          <w:iCs/>
          <w:sz w:val="22"/>
          <w:szCs w:val="22"/>
        </w:rPr>
        <w:t xml:space="preserve"> </w:t>
      </w:r>
      <w:r w:rsidR="00BE71E3" w:rsidRPr="004737C5">
        <w:rPr>
          <w:rFonts w:asciiTheme="minorHAnsi" w:hAnsiTheme="minorHAnsi" w:cstheme="minorHAnsi"/>
          <w:bCs/>
          <w:iCs/>
          <w:sz w:val="22"/>
          <w:szCs w:val="22"/>
        </w:rPr>
        <w:t>Member States</w:t>
      </w:r>
      <w:r w:rsidR="00BE71E3" w:rsidRPr="004737C5">
        <w:rPr>
          <w:rFonts w:asciiTheme="minorHAnsi" w:hAnsiTheme="minorHAnsi" w:cstheme="minorHAnsi"/>
          <w:b/>
          <w:bCs/>
          <w:iCs/>
          <w:sz w:val="22"/>
          <w:szCs w:val="22"/>
        </w:rPr>
        <w:t xml:space="preserve"> </w:t>
      </w:r>
      <w:r w:rsidR="00BE71E3" w:rsidRPr="004737C5">
        <w:rPr>
          <w:rFonts w:asciiTheme="minorHAnsi" w:hAnsiTheme="minorHAnsi" w:cstheme="minorHAnsi"/>
          <w:iCs/>
          <w:sz w:val="22"/>
          <w:szCs w:val="22"/>
        </w:rPr>
        <w:t xml:space="preserve">should adopt or encourage the adoption of appropriate measures, including legal systems, safety regulations, national or international standards, voluntary standards and the maintenance of safety records to ensure that products are safe for either intended or normally foreseeable use. </w:t>
      </w:r>
    </w:p>
    <w:p w14:paraId="12E0137B" w14:textId="77777777" w:rsidR="00BE71E3" w:rsidRPr="004737C5" w:rsidRDefault="009B5EA1" w:rsidP="007A74E2">
      <w:pPr>
        <w:pStyle w:val="ListParagraph"/>
        <w:numPr>
          <w:ilvl w:val="0"/>
          <w:numId w:val="27"/>
        </w:numPr>
        <w:autoSpaceDE w:val="0"/>
        <w:autoSpaceDN w:val="0"/>
        <w:adjustRightInd w:val="0"/>
        <w:ind w:left="992" w:right="567" w:hanging="425"/>
        <w:contextualSpacing w:val="0"/>
        <w:rPr>
          <w:rFonts w:cstheme="minorHAnsi"/>
          <w:iCs/>
          <w:color w:val="000000"/>
        </w:rPr>
      </w:pPr>
      <w:r w:rsidRPr="004737C5">
        <w:rPr>
          <w:rFonts w:cstheme="minorHAnsi"/>
          <w:iCs/>
          <w:color w:val="000000"/>
        </w:rPr>
        <w:t>17.</w:t>
      </w:r>
      <w:r w:rsidR="00BE71E3" w:rsidRPr="004737C5">
        <w:rPr>
          <w:rFonts w:cstheme="minorHAnsi"/>
          <w:iCs/>
          <w:color w:val="000000"/>
        </w:rPr>
        <w:t xml:space="preserve"> Appropriate policies should ensure that goods produced by manufacturers are safe for either intended or normally foreseeable use. Those responsible for bringing goods to the market, in particular suppliers, exporters, importers, retailers and the li</w:t>
      </w:r>
      <w:r w:rsidR="007A448C" w:rsidRPr="004737C5">
        <w:rPr>
          <w:rFonts w:cstheme="minorHAnsi"/>
          <w:iCs/>
          <w:color w:val="000000"/>
        </w:rPr>
        <w:t>ke (hereinafter referred to as “distributors”),</w:t>
      </w:r>
      <w:r w:rsidR="00BE71E3" w:rsidRPr="004737C5">
        <w:rPr>
          <w:rFonts w:cstheme="minorHAnsi"/>
          <w:iCs/>
          <w:color w:val="000000"/>
        </w:rPr>
        <w:t xml:space="preserve"> should ensure that while in their care these goods are not rendered unsafe through improper handling or storage. Consumers should be instructed in the proper use of goods and should be informed of the risks involved in intended or normally foreseeable use. Vital safety information should be conveyed to consumers by internationally understandable symbols wherever possible. </w:t>
      </w:r>
    </w:p>
    <w:p w14:paraId="3958100E" w14:textId="77777777" w:rsidR="00BE71E3" w:rsidRPr="004737C5" w:rsidRDefault="009B5EA1" w:rsidP="007A74E2">
      <w:pPr>
        <w:pStyle w:val="ListParagraph"/>
        <w:numPr>
          <w:ilvl w:val="0"/>
          <w:numId w:val="27"/>
        </w:numPr>
        <w:autoSpaceDE w:val="0"/>
        <w:autoSpaceDN w:val="0"/>
        <w:adjustRightInd w:val="0"/>
        <w:ind w:left="992" w:right="567" w:hanging="425"/>
        <w:contextualSpacing w:val="0"/>
        <w:rPr>
          <w:rFonts w:cstheme="minorHAnsi"/>
          <w:iCs/>
          <w:color w:val="000000"/>
        </w:rPr>
      </w:pPr>
      <w:r w:rsidRPr="004737C5">
        <w:rPr>
          <w:rFonts w:cstheme="minorHAnsi"/>
          <w:iCs/>
          <w:color w:val="000000"/>
        </w:rPr>
        <w:t>18.</w:t>
      </w:r>
      <w:r w:rsidR="00BE71E3" w:rsidRPr="004737C5">
        <w:rPr>
          <w:rFonts w:cstheme="minorHAnsi"/>
          <w:iCs/>
          <w:color w:val="000000"/>
        </w:rPr>
        <w:t xml:space="preserve"> Appropriate policies should ensure that if manufacturers or distributors become aware of unforeseen hazards after products are placed on the market, they should notify the relevant authorities and, as appropriate, the public without delay. </w:t>
      </w:r>
      <w:r w:rsidR="00BE71E3" w:rsidRPr="004737C5">
        <w:rPr>
          <w:rFonts w:cstheme="minorHAnsi"/>
          <w:bCs/>
          <w:iCs/>
          <w:color w:val="000000"/>
        </w:rPr>
        <w:t>Member States</w:t>
      </w:r>
      <w:r w:rsidR="00BE71E3" w:rsidRPr="004737C5">
        <w:rPr>
          <w:rFonts w:cstheme="minorHAnsi"/>
          <w:b/>
          <w:bCs/>
          <w:iCs/>
          <w:color w:val="000000"/>
        </w:rPr>
        <w:t xml:space="preserve"> </w:t>
      </w:r>
      <w:r w:rsidR="00BE71E3" w:rsidRPr="004737C5">
        <w:rPr>
          <w:rFonts w:cstheme="minorHAnsi"/>
          <w:iCs/>
          <w:color w:val="000000"/>
        </w:rPr>
        <w:t xml:space="preserve">should also consider ways of ensuring that consumers are properly informed of such hazards. </w:t>
      </w:r>
    </w:p>
    <w:p w14:paraId="026CAFAC" w14:textId="3E1E5B99" w:rsidR="00BE71E3" w:rsidRPr="004737C5" w:rsidRDefault="009B5EA1" w:rsidP="007A74E2">
      <w:pPr>
        <w:pStyle w:val="BodyText2"/>
        <w:numPr>
          <w:ilvl w:val="0"/>
          <w:numId w:val="27"/>
        </w:numPr>
        <w:spacing w:after="160"/>
        <w:ind w:left="992" w:right="567" w:hanging="425"/>
        <w:rPr>
          <w:rFonts w:asciiTheme="minorHAnsi" w:hAnsiTheme="minorHAnsi" w:cstheme="minorHAnsi"/>
          <w:iCs/>
          <w:color w:val="auto"/>
          <w:szCs w:val="22"/>
        </w:rPr>
      </w:pPr>
      <w:r w:rsidRPr="004737C5">
        <w:rPr>
          <w:rFonts w:asciiTheme="minorHAnsi" w:eastAsiaTheme="minorHAnsi" w:hAnsiTheme="minorHAnsi" w:cstheme="minorHAnsi"/>
          <w:iCs/>
          <w:color w:val="000000"/>
          <w:szCs w:val="22"/>
        </w:rPr>
        <w:t>19.</w:t>
      </w:r>
      <w:r w:rsidR="00BE71E3" w:rsidRPr="004737C5">
        <w:rPr>
          <w:rFonts w:asciiTheme="minorHAnsi" w:eastAsiaTheme="minorHAnsi" w:hAnsiTheme="minorHAnsi" w:cstheme="minorHAnsi"/>
          <w:iCs/>
          <w:color w:val="000000"/>
          <w:szCs w:val="22"/>
        </w:rPr>
        <w:t xml:space="preserve"> </w:t>
      </w:r>
      <w:r w:rsidR="00BE71E3" w:rsidRPr="004737C5">
        <w:rPr>
          <w:rFonts w:asciiTheme="minorHAnsi" w:eastAsiaTheme="minorHAnsi" w:hAnsiTheme="minorHAnsi" w:cstheme="minorHAnsi"/>
          <w:bCs/>
          <w:iCs/>
          <w:color w:val="000000"/>
          <w:szCs w:val="22"/>
        </w:rPr>
        <w:t>Member States</w:t>
      </w:r>
      <w:r w:rsidR="00BE71E3" w:rsidRPr="004737C5">
        <w:rPr>
          <w:rFonts w:asciiTheme="minorHAnsi" w:eastAsiaTheme="minorHAnsi" w:hAnsiTheme="minorHAnsi" w:cstheme="minorHAnsi"/>
          <w:b/>
          <w:bCs/>
          <w:iCs/>
          <w:color w:val="000000"/>
          <w:szCs w:val="22"/>
        </w:rPr>
        <w:t xml:space="preserve"> </w:t>
      </w:r>
      <w:r w:rsidR="00BE71E3" w:rsidRPr="004737C5">
        <w:rPr>
          <w:rFonts w:asciiTheme="minorHAnsi" w:eastAsiaTheme="minorHAnsi" w:hAnsiTheme="minorHAnsi" w:cstheme="minorHAnsi"/>
          <w:iCs/>
          <w:color w:val="000000"/>
          <w:szCs w:val="22"/>
        </w:rPr>
        <w:t>should, where appropriate, adopt policies under which, if a product is found to be seriously defective and/or to constitute a substantial and severe hazard even when properly used, manufacturers and/or distributors should recall it and replace or modify it, or substitute another product for it; if it is not possible to do this within a reasonable period of time, the consumer sh</w:t>
      </w:r>
      <w:r w:rsidR="007A74E2" w:rsidRPr="004737C5">
        <w:rPr>
          <w:rFonts w:asciiTheme="minorHAnsi" w:eastAsiaTheme="minorHAnsi" w:hAnsiTheme="minorHAnsi" w:cstheme="minorHAnsi"/>
          <w:iCs/>
          <w:color w:val="000000"/>
          <w:szCs w:val="22"/>
        </w:rPr>
        <w:t>ould be adequately compensated.</w:t>
      </w:r>
    </w:p>
    <w:p w14:paraId="1E9C1102" w14:textId="77777777" w:rsidR="00BE71E3" w:rsidRPr="004737C5" w:rsidRDefault="00BE71E3" w:rsidP="006D3BE8">
      <w:pPr>
        <w:rPr>
          <w:rFonts w:cstheme="minorHAnsi"/>
        </w:rPr>
      </w:pPr>
      <w:r w:rsidRPr="004737C5">
        <w:rPr>
          <w:rFonts w:cstheme="minorHAnsi"/>
        </w:rPr>
        <w:t>The other main treatment of safety comes i</w:t>
      </w:r>
      <w:r w:rsidR="009B5EA1" w:rsidRPr="004737C5">
        <w:rPr>
          <w:rFonts w:cstheme="minorHAnsi"/>
        </w:rPr>
        <w:t>n Section V.D, g</w:t>
      </w:r>
      <w:r w:rsidR="007A448C" w:rsidRPr="004737C5">
        <w:rPr>
          <w:rFonts w:cstheme="minorHAnsi"/>
        </w:rPr>
        <w:t>uidelines 33‒35 on “</w:t>
      </w:r>
      <w:r w:rsidR="009B5EA1" w:rsidRPr="004737C5">
        <w:rPr>
          <w:rFonts w:cstheme="minorHAnsi"/>
        </w:rPr>
        <w:t>s</w:t>
      </w:r>
      <w:r w:rsidRPr="004737C5">
        <w:rPr>
          <w:rFonts w:cstheme="minorHAnsi"/>
        </w:rPr>
        <w:t>tandards for the safety and quality</w:t>
      </w:r>
      <w:r w:rsidR="007A448C" w:rsidRPr="004737C5">
        <w:rPr>
          <w:rFonts w:cstheme="minorHAnsi"/>
        </w:rPr>
        <w:t xml:space="preserve"> of consumer goods and services”</w:t>
      </w:r>
      <w:r w:rsidRPr="004737C5">
        <w:rPr>
          <w:rFonts w:cstheme="minorHAnsi"/>
        </w:rPr>
        <w:t>:</w:t>
      </w:r>
    </w:p>
    <w:p w14:paraId="6445440E" w14:textId="77777777" w:rsidR="00BE71E3" w:rsidRPr="004737C5" w:rsidRDefault="00A80CAC" w:rsidP="007A74E2">
      <w:pPr>
        <w:pStyle w:val="ListParagraph"/>
        <w:numPr>
          <w:ilvl w:val="0"/>
          <w:numId w:val="93"/>
        </w:numPr>
        <w:ind w:left="992" w:right="567" w:hanging="425"/>
        <w:contextualSpacing w:val="0"/>
        <w:rPr>
          <w:rFonts w:cstheme="minorHAnsi"/>
          <w:iCs/>
        </w:rPr>
      </w:pPr>
      <w:r w:rsidRPr="004737C5">
        <w:rPr>
          <w:rFonts w:cstheme="minorHAnsi"/>
          <w:iCs/>
        </w:rPr>
        <w:t>33.</w:t>
      </w:r>
      <w:r w:rsidR="007A448C" w:rsidRPr="004737C5">
        <w:rPr>
          <w:rFonts w:cstheme="minorHAnsi"/>
          <w:iCs/>
        </w:rPr>
        <w:t xml:space="preserve"> Member S</w:t>
      </w:r>
      <w:r w:rsidR="00BE71E3" w:rsidRPr="004737C5">
        <w:rPr>
          <w:rFonts w:cstheme="minorHAnsi"/>
          <w:iCs/>
        </w:rPr>
        <w:t>tates should, as appropriate, formulate or promote the elaboration and implementation of standards, voluntary and otherwise, at the national and international levels for the safety and quality of goods and services and give them appropriate publicity. National standards and regulations should be reviewed from time to time, in order that they conform, where possible, to generally accepted international standards.</w:t>
      </w:r>
    </w:p>
    <w:p w14:paraId="5050C51F" w14:textId="77777777" w:rsidR="00BE71E3" w:rsidRPr="004737C5" w:rsidRDefault="00A80CAC" w:rsidP="007A74E2">
      <w:pPr>
        <w:pStyle w:val="ListParagraph"/>
        <w:numPr>
          <w:ilvl w:val="0"/>
          <w:numId w:val="93"/>
        </w:numPr>
        <w:spacing w:before="160"/>
        <w:ind w:left="992" w:right="567" w:hanging="425"/>
        <w:contextualSpacing w:val="0"/>
        <w:rPr>
          <w:rFonts w:cstheme="minorHAnsi"/>
          <w:iCs/>
        </w:rPr>
      </w:pPr>
      <w:r w:rsidRPr="004737C5">
        <w:rPr>
          <w:rFonts w:cstheme="minorHAnsi"/>
          <w:iCs/>
        </w:rPr>
        <w:t>34.</w:t>
      </w:r>
      <w:r w:rsidR="00BE71E3" w:rsidRPr="004737C5">
        <w:rPr>
          <w:rFonts w:cstheme="minorHAnsi"/>
          <w:iCs/>
        </w:rPr>
        <w:t xml:space="preserve"> Where a standard lower than the generally accepted international standard is being applied because of local economic conditions, every effort should be made to raise that standard as soon as possible. </w:t>
      </w:r>
    </w:p>
    <w:p w14:paraId="45A70FA7" w14:textId="77777777" w:rsidR="00BE71E3" w:rsidRPr="004737C5" w:rsidRDefault="00A80CAC" w:rsidP="007A74E2">
      <w:pPr>
        <w:pStyle w:val="ListParagraph"/>
        <w:numPr>
          <w:ilvl w:val="0"/>
          <w:numId w:val="93"/>
        </w:numPr>
        <w:ind w:left="992" w:right="567" w:hanging="425"/>
        <w:rPr>
          <w:rFonts w:cstheme="minorHAnsi"/>
          <w:iCs/>
        </w:rPr>
      </w:pPr>
      <w:r w:rsidRPr="004737C5">
        <w:rPr>
          <w:rFonts w:cstheme="minorHAnsi"/>
          <w:iCs/>
        </w:rPr>
        <w:lastRenderedPageBreak/>
        <w:t>35.</w:t>
      </w:r>
      <w:r w:rsidR="007A448C" w:rsidRPr="004737C5">
        <w:rPr>
          <w:rFonts w:cstheme="minorHAnsi"/>
          <w:iCs/>
        </w:rPr>
        <w:t xml:space="preserve"> Member S</w:t>
      </w:r>
      <w:r w:rsidR="00BE71E3" w:rsidRPr="004737C5">
        <w:rPr>
          <w:rFonts w:cstheme="minorHAnsi"/>
          <w:iCs/>
        </w:rPr>
        <w:t xml:space="preserve">tates should encourage and ensure the availability of facilities to test and certify the safety, quality and performance of essential consumer goods and services. </w:t>
      </w:r>
    </w:p>
    <w:p w14:paraId="351047E5" w14:textId="77777777" w:rsidR="00BE71E3" w:rsidRPr="004737C5" w:rsidRDefault="00BE71E3" w:rsidP="00570703">
      <w:pPr>
        <w:rPr>
          <w:rFonts w:cstheme="minorHAnsi"/>
          <w:iCs/>
        </w:rPr>
      </w:pPr>
      <w:r w:rsidRPr="004737C5">
        <w:rPr>
          <w:rFonts w:cstheme="minorHAnsi"/>
          <w:iCs/>
        </w:rPr>
        <w:t>T</w:t>
      </w:r>
      <w:r w:rsidR="00A80CAC" w:rsidRPr="004737C5">
        <w:rPr>
          <w:rFonts w:cstheme="minorHAnsi"/>
          <w:iCs/>
        </w:rPr>
        <w:t>he wording of g</w:t>
      </w:r>
      <w:r w:rsidRPr="004737C5">
        <w:rPr>
          <w:rFonts w:cstheme="minorHAnsi"/>
          <w:iCs/>
        </w:rPr>
        <w:t>uideline 35 is notable in that it clearly allows for independent testing and verification.</w:t>
      </w:r>
    </w:p>
    <w:p w14:paraId="4CA2E7F2" w14:textId="77777777" w:rsidR="00BE71E3" w:rsidRPr="004737C5" w:rsidRDefault="007A448C" w:rsidP="006D3BE8">
      <w:pPr>
        <w:rPr>
          <w:rFonts w:cstheme="minorHAnsi"/>
        </w:rPr>
      </w:pPr>
      <w:r w:rsidRPr="004737C5">
        <w:rPr>
          <w:rFonts w:cstheme="minorHAnsi"/>
        </w:rPr>
        <w:t>Section V.K on “</w:t>
      </w:r>
      <w:r w:rsidR="00A80CAC" w:rsidRPr="004737C5">
        <w:rPr>
          <w:rFonts w:cstheme="minorHAnsi"/>
        </w:rPr>
        <w:t>m</w:t>
      </w:r>
      <w:r w:rsidR="00BE71E3" w:rsidRPr="004737C5">
        <w:rPr>
          <w:rFonts w:cstheme="minorHAnsi"/>
        </w:rPr>
        <w:t>eas</w:t>
      </w:r>
      <w:r w:rsidRPr="004737C5">
        <w:rPr>
          <w:rFonts w:cstheme="minorHAnsi"/>
        </w:rPr>
        <w:t>ures relating to specific areas” refers to safety as “product quality control” in relation to food, water and</w:t>
      </w:r>
      <w:r w:rsidR="00BE71E3" w:rsidRPr="004737C5">
        <w:rPr>
          <w:rFonts w:cstheme="minorHAnsi"/>
        </w:rPr>
        <w:t xml:space="preserve"> pharmaceuticals, with reference to relevant international bodies including </w:t>
      </w:r>
      <w:r w:rsidR="00BE71E3" w:rsidRPr="004737C5">
        <w:rPr>
          <w:rFonts w:cstheme="minorHAnsi"/>
          <w:i/>
          <w:iCs/>
        </w:rPr>
        <w:t>Codex Alimentarius</w:t>
      </w:r>
      <w:r w:rsidRPr="004737C5">
        <w:rPr>
          <w:rFonts w:cstheme="minorHAnsi"/>
        </w:rPr>
        <w:t xml:space="preserve"> and WHO. The new wording on “universal access”</w:t>
      </w:r>
      <w:r w:rsidR="00A80CAC" w:rsidRPr="004737C5">
        <w:rPr>
          <w:rFonts w:cstheme="minorHAnsi"/>
        </w:rPr>
        <w:t xml:space="preserve"> to public utility services in g</w:t>
      </w:r>
      <w:r w:rsidR="00BE71E3" w:rsidRPr="004737C5">
        <w:rPr>
          <w:rFonts w:cstheme="minorHAnsi"/>
        </w:rPr>
        <w:t xml:space="preserve">uideline 77 should have considerable significance for safety, as the lack of safe drinking water and sanitation and clean energy sources are major threats to public health. </w:t>
      </w:r>
    </w:p>
    <w:p w14:paraId="20A8FAE5" w14:textId="77777777" w:rsidR="00BE71E3" w:rsidRPr="004737C5" w:rsidRDefault="00BE71E3" w:rsidP="006D3BE8">
      <w:pPr>
        <w:rPr>
          <w:rFonts w:cstheme="minorHAnsi"/>
          <w:iCs/>
        </w:rPr>
      </w:pPr>
      <w:r w:rsidRPr="004737C5">
        <w:rPr>
          <w:rFonts w:cstheme="minorHAnsi"/>
        </w:rPr>
        <w:t xml:space="preserve">It should also be noted that </w:t>
      </w:r>
      <w:r w:rsidRPr="004737C5">
        <w:rPr>
          <w:rFonts w:cstheme="minorHAnsi"/>
          <w:iCs/>
        </w:rPr>
        <w:t>Resolution 70/186 which</w:t>
      </w:r>
      <w:r w:rsidR="007A448C" w:rsidRPr="004737C5">
        <w:rPr>
          <w:rFonts w:cstheme="minorHAnsi"/>
          <w:iCs/>
        </w:rPr>
        <w:t xml:space="preserve"> precedes the UNGCP recognizes “</w:t>
      </w:r>
      <w:r w:rsidRPr="004737C5">
        <w:rPr>
          <w:rFonts w:cstheme="minorHAnsi"/>
          <w:iCs/>
        </w:rPr>
        <w:t>the importance of combating substandard, falsely labelled and counterfeit products which pose threats to the</w:t>
      </w:r>
      <w:r w:rsidR="007A448C" w:rsidRPr="004737C5">
        <w:rPr>
          <w:rFonts w:cstheme="minorHAnsi"/>
          <w:iCs/>
        </w:rPr>
        <w:t xml:space="preserve"> health and safety of consumers”</w:t>
      </w:r>
      <w:r w:rsidRPr="004737C5">
        <w:rPr>
          <w:rFonts w:cstheme="minorHAnsi"/>
          <w:i/>
          <w:iCs/>
        </w:rPr>
        <w:t xml:space="preserve">. </w:t>
      </w:r>
      <w:r w:rsidRPr="004737C5">
        <w:rPr>
          <w:rFonts w:cstheme="minorHAnsi"/>
          <w:iCs/>
        </w:rPr>
        <w:t>This is not followed up in the text</w:t>
      </w:r>
      <w:r w:rsidR="00A80CAC" w:rsidRPr="004737C5">
        <w:rPr>
          <w:rFonts w:cstheme="minorHAnsi"/>
          <w:iCs/>
        </w:rPr>
        <w:t xml:space="preserve"> of the g</w:t>
      </w:r>
      <w:r w:rsidR="007A448C" w:rsidRPr="004737C5">
        <w:rPr>
          <w:rFonts w:cstheme="minorHAnsi"/>
          <w:iCs/>
        </w:rPr>
        <w:t xml:space="preserve">uidelines themselves. </w:t>
      </w:r>
    </w:p>
    <w:p w14:paraId="0DADDDB7" w14:textId="6CF2CC03" w:rsidR="00BE71E3" w:rsidRPr="004737C5" w:rsidRDefault="007A448C" w:rsidP="007A74E2">
      <w:pPr>
        <w:pStyle w:val="Heading2"/>
        <w:spacing w:after="160"/>
        <w:rPr>
          <w:rFonts w:cstheme="minorHAnsi"/>
          <w:color w:val="auto"/>
          <w:sz w:val="24"/>
          <w:szCs w:val="24"/>
        </w:rPr>
      </w:pPr>
      <w:bookmarkStart w:id="89" w:name="_Toc489950250"/>
      <w:bookmarkStart w:id="90" w:name="_Toc492650037"/>
      <w:r w:rsidRPr="004737C5">
        <w:rPr>
          <w:rFonts w:cstheme="minorHAnsi"/>
          <w:color w:val="auto"/>
          <w:sz w:val="24"/>
          <w:szCs w:val="24"/>
        </w:rPr>
        <w:t>B.</w:t>
      </w:r>
      <w:r w:rsidR="009771AD" w:rsidRPr="004737C5">
        <w:rPr>
          <w:rFonts w:cstheme="minorHAnsi"/>
          <w:color w:val="auto"/>
          <w:sz w:val="24"/>
          <w:szCs w:val="24"/>
        </w:rPr>
        <w:t xml:space="preserve"> Product safety l</w:t>
      </w:r>
      <w:r w:rsidR="00BE71E3" w:rsidRPr="004737C5">
        <w:rPr>
          <w:rFonts w:cstheme="minorHAnsi"/>
          <w:color w:val="auto"/>
          <w:sz w:val="24"/>
          <w:szCs w:val="24"/>
        </w:rPr>
        <w:t>aws</w:t>
      </w:r>
      <w:bookmarkEnd w:id="89"/>
      <w:bookmarkEnd w:id="90"/>
      <w:r w:rsidR="00BE71E3" w:rsidRPr="004737C5">
        <w:rPr>
          <w:rFonts w:cstheme="minorHAnsi"/>
          <w:color w:val="auto"/>
          <w:sz w:val="24"/>
          <w:szCs w:val="24"/>
        </w:rPr>
        <w:t xml:space="preserve"> </w:t>
      </w:r>
    </w:p>
    <w:p w14:paraId="621F63A2" w14:textId="77777777" w:rsidR="00BE71E3" w:rsidRPr="004737C5" w:rsidRDefault="00BE71E3" w:rsidP="006D3BE8">
      <w:pPr>
        <w:rPr>
          <w:rFonts w:cstheme="minorHAnsi"/>
        </w:rPr>
      </w:pPr>
      <w:r w:rsidRPr="004737C5">
        <w:rPr>
          <w:rFonts w:cstheme="minorHAnsi"/>
        </w:rPr>
        <w:t>Product safety laws relate to loss or damage caused by products</w:t>
      </w:r>
      <w:r w:rsidR="007A448C" w:rsidRPr="004737C5">
        <w:rPr>
          <w:rFonts w:cstheme="minorHAnsi"/>
        </w:rPr>
        <w:t>.</w:t>
      </w:r>
      <w:r w:rsidRPr="004737C5">
        <w:rPr>
          <w:rFonts w:cstheme="minorHAnsi"/>
        </w:rPr>
        <w:t xml:space="preserve"> </w:t>
      </w:r>
      <w:r w:rsidR="007A448C" w:rsidRPr="004737C5">
        <w:rPr>
          <w:rFonts w:cstheme="minorHAnsi"/>
        </w:rPr>
        <w:t>The “right to safety”</w:t>
      </w:r>
      <w:r w:rsidRPr="004737C5">
        <w:rPr>
          <w:rFonts w:cstheme="minorHAnsi"/>
        </w:rPr>
        <w:t xml:space="preserve"> is widely viewed as one of the basic rights of the consumer, partly as a result of safety being listed as a legitimate need. </w:t>
      </w:r>
    </w:p>
    <w:p w14:paraId="693E39DB" w14:textId="77777777" w:rsidR="00BE71E3" w:rsidRPr="004737C5" w:rsidRDefault="00BE71E3" w:rsidP="007A74E2">
      <w:pPr>
        <w:pStyle w:val="Heading3"/>
        <w:spacing w:after="160" w:line="240" w:lineRule="auto"/>
        <w:rPr>
          <w:rFonts w:cstheme="minorHAnsi"/>
          <w:color w:val="auto"/>
        </w:rPr>
      </w:pPr>
      <w:bookmarkStart w:id="91" w:name="_Toc489950251"/>
      <w:bookmarkStart w:id="92" w:name="_Toc492650038"/>
      <w:r w:rsidRPr="004737C5">
        <w:rPr>
          <w:rFonts w:cstheme="minorHAnsi"/>
          <w:color w:val="auto"/>
        </w:rPr>
        <w:t>1</w:t>
      </w:r>
      <w:r w:rsidR="007A448C" w:rsidRPr="004737C5">
        <w:rPr>
          <w:rFonts w:cstheme="minorHAnsi"/>
          <w:color w:val="auto"/>
        </w:rPr>
        <w:t>.</w:t>
      </w:r>
      <w:r w:rsidRPr="004737C5">
        <w:rPr>
          <w:rFonts w:cstheme="minorHAnsi"/>
          <w:color w:val="auto"/>
        </w:rPr>
        <w:t xml:space="preserve"> The rationale for product safety laws</w:t>
      </w:r>
      <w:bookmarkEnd w:id="91"/>
      <w:bookmarkEnd w:id="92"/>
    </w:p>
    <w:p w14:paraId="133E7801" w14:textId="77777777" w:rsidR="00BE71E3" w:rsidRPr="004737C5" w:rsidRDefault="00BE71E3" w:rsidP="007A74E2">
      <w:pPr>
        <w:rPr>
          <w:rFonts w:cstheme="minorHAnsi"/>
        </w:rPr>
      </w:pPr>
      <w:r w:rsidRPr="004737C5">
        <w:rPr>
          <w:rFonts w:cstheme="minorHAnsi"/>
        </w:rPr>
        <w:t>There are a number of reasons why product safety laws need to be in place:</w:t>
      </w:r>
    </w:p>
    <w:p w14:paraId="5E8E71FD" w14:textId="77777777" w:rsidR="00BE71E3" w:rsidRPr="004737C5" w:rsidRDefault="00BE71E3" w:rsidP="002473E9">
      <w:pPr>
        <w:pStyle w:val="ListParagraph"/>
        <w:numPr>
          <w:ilvl w:val="0"/>
          <w:numId w:val="24"/>
        </w:numPr>
        <w:tabs>
          <w:tab w:val="clear" w:pos="360"/>
          <w:tab w:val="left" w:pos="709"/>
        </w:tabs>
        <w:ind w:left="709" w:hanging="425"/>
        <w:rPr>
          <w:rFonts w:cstheme="minorHAnsi"/>
        </w:rPr>
      </w:pPr>
      <w:r w:rsidRPr="004737C5">
        <w:rPr>
          <w:rFonts w:cstheme="minorHAnsi"/>
        </w:rPr>
        <w:t>Consumers need to be protected against unreasonable, unnecessary and preventable risks of injury from the fores</w:t>
      </w:r>
      <w:r w:rsidR="007A448C" w:rsidRPr="004737C5">
        <w:rPr>
          <w:rFonts w:cstheme="minorHAnsi"/>
        </w:rPr>
        <w:t>eeable use of consumer products.</w:t>
      </w:r>
    </w:p>
    <w:p w14:paraId="19B7D685" w14:textId="3BFFEE4A" w:rsidR="00BE71E3" w:rsidRPr="004737C5" w:rsidRDefault="00BE71E3" w:rsidP="002473E9">
      <w:pPr>
        <w:pStyle w:val="ListParagraph"/>
        <w:numPr>
          <w:ilvl w:val="0"/>
          <w:numId w:val="24"/>
        </w:numPr>
        <w:tabs>
          <w:tab w:val="clear" w:pos="360"/>
          <w:tab w:val="left" w:pos="709"/>
        </w:tabs>
        <w:ind w:left="709" w:hanging="425"/>
        <w:rPr>
          <w:rFonts w:cstheme="minorHAnsi"/>
        </w:rPr>
      </w:pPr>
      <w:r w:rsidRPr="004737C5">
        <w:rPr>
          <w:rFonts w:cstheme="minorHAnsi"/>
        </w:rPr>
        <w:t>Consumer products in the marketplace are increasing in complexity and sophistication.</w:t>
      </w:r>
      <w:r w:rsidR="007A448C" w:rsidRPr="004737C5">
        <w:rPr>
          <w:rFonts w:cstheme="minorHAnsi"/>
        </w:rPr>
        <w:t xml:space="preserve"> </w:t>
      </w:r>
      <w:r w:rsidRPr="004737C5">
        <w:rPr>
          <w:rFonts w:cstheme="minorHAnsi"/>
        </w:rPr>
        <w:t xml:space="preserve">Reasonable examination of the product will not reveal the inherent defects or hazards in many products, including those which are substandard falsely labelled or counterfeit. The maxim </w:t>
      </w:r>
      <w:r w:rsidR="007A448C" w:rsidRPr="004737C5">
        <w:rPr>
          <w:rFonts w:cstheme="minorHAnsi"/>
          <w:i/>
        </w:rPr>
        <w:t>caveat emptor</w:t>
      </w:r>
      <w:r w:rsidR="007A74E2" w:rsidRPr="004737C5">
        <w:rPr>
          <w:rFonts w:cstheme="minorHAnsi"/>
        </w:rPr>
        <w:t xml:space="preserve"> (let the buyer beware</w:t>
      </w:r>
      <w:r w:rsidRPr="004737C5">
        <w:rPr>
          <w:rFonts w:cstheme="minorHAnsi"/>
        </w:rPr>
        <w:t xml:space="preserve">) is particularly inadequate </w:t>
      </w:r>
      <w:r w:rsidR="007A448C" w:rsidRPr="004737C5">
        <w:rPr>
          <w:rFonts w:cstheme="minorHAnsi"/>
        </w:rPr>
        <w:t>in the face of complex products.</w:t>
      </w:r>
    </w:p>
    <w:p w14:paraId="3CAD7D77" w14:textId="77777777" w:rsidR="00BE71E3" w:rsidRPr="004737C5" w:rsidRDefault="00BE71E3" w:rsidP="002473E9">
      <w:pPr>
        <w:pStyle w:val="ListParagraph"/>
        <w:numPr>
          <w:ilvl w:val="0"/>
          <w:numId w:val="24"/>
        </w:numPr>
        <w:tabs>
          <w:tab w:val="clear" w:pos="360"/>
          <w:tab w:val="left" w:pos="709"/>
        </w:tabs>
        <w:ind w:left="709" w:hanging="425"/>
        <w:rPr>
          <w:rFonts w:cstheme="minorHAnsi"/>
        </w:rPr>
      </w:pPr>
      <w:r w:rsidRPr="004737C5">
        <w:rPr>
          <w:rFonts w:cstheme="minorHAnsi"/>
        </w:rPr>
        <w:t>Consumers are often unable to foresee risks and protect themselves. This is particularly true with new products of which consumers had no previous experience, or products that contain components such as chemi</w:t>
      </w:r>
      <w:r w:rsidR="002A2C99" w:rsidRPr="004737C5">
        <w:rPr>
          <w:rFonts w:cstheme="minorHAnsi"/>
        </w:rPr>
        <w:t>cals, which may not be apparent.</w:t>
      </w:r>
    </w:p>
    <w:p w14:paraId="66B30D34" w14:textId="2A2502CF" w:rsidR="00BE71E3" w:rsidRPr="004737C5" w:rsidRDefault="00BE71E3" w:rsidP="002473E9">
      <w:pPr>
        <w:pStyle w:val="ListParagraph"/>
        <w:numPr>
          <w:ilvl w:val="0"/>
          <w:numId w:val="24"/>
        </w:numPr>
        <w:tabs>
          <w:tab w:val="clear" w:pos="360"/>
          <w:tab w:val="left" w:pos="709"/>
          <w:tab w:val="num" w:pos="1440"/>
        </w:tabs>
        <w:ind w:left="709" w:hanging="425"/>
        <w:rPr>
          <w:rFonts w:cstheme="minorHAnsi"/>
        </w:rPr>
      </w:pPr>
      <w:r w:rsidRPr="004737C5">
        <w:rPr>
          <w:rFonts w:cstheme="minorHAnsi"/>
        </w:rPr>
        <w:t>There is a need to establish minimum and harmonized safety standards for products being sold to ensure that developing countries do not</w:t>
      </w:r>
      <w:r w:rsidR="007A74E2" w:rsidRPr="004737C5">
        <w:rPr>
          <w:rFonts w:cstheme="minorHAnsi"/>
        </w:rPr>
        <w:t xml:space="preserve"> become dumping grounds for sub</w:t>
      </w:r>
      <w:r w:rsidRPr="004737C5">
        <w:rPr>
          <w:rFonts w:cstheme="minorHAnsi"/>
        </w:rPr>
        <w:t>standard products th</w:t>
      </w:r>
      <w:r w:rsidR="002A2C99" w:rsidRPr="004737C5">
        <w:rPr>
          <w:rFonts w:cstheme="minorHAnsi"/>
        </w:rPr>
        <w:t>at would not meet the standards</w:t>
      </w:r>
      <w:r w:rsidRPr="004737C5">
        <w:rPr>
          <w:rFonts w:cstheme="minorHAnsi"/>
        </w:rPr>
        <w:t xml:space="preserve"> in the country of origin, or other </w:t>
      </w:r>
      <w:r w:rsidR="002A2C99" w:rsidRPr="004737C5">
        <w:rPr>
          <w:rFonts w:cstheme="minorHAnsi"/>
        </w:rPr>
        <w:t>potential importing countries (t</w:t>
      </w:r>
      <w:r w:rsidR="007A74E2" w:rsidRPr="004737C5">
        <w:rPr>
          <w:rFonts w:cstheme="minorHAnsi"/>
        </w:rPr>
        <w:t>he problems raised by second-</w:t>
      </w:r>
      <w:r w:rsidRPr="004737C5">
        <w:rPr>
          <w:rFonts w:cstheme="minorHAnsi"/>
        </w:rPr>
        <w:t>h</w:t>
      </w:r>
      <w:r w:rsidR="002A2C99" w:rsidRPr="004737C5">
        <w:rPr>
          <w:rFonts w:cstheme="minorHAnsi"/>
        </w:rPr>
        <w:t>and goods are discussed later).</w:t>
      </w:r>
    </w:p>
    <w:p w14:paraId="7E0E6EF6" w14:textId="77777777" w:rsidR="00BE71E3" w:rsidRPr="004737C5" w:rsidRDefault="00BE71E3" w:rsidP="002473E9">
      <w:pPr>
        <w:pStyle w:val="ListParagraph"/>
        <w:numPr>
          <w:ilvl w:val="0"/>
          <w:numId w:val="24"/>
        </w:numPr>
        <w:tabs>
          <w:tab w:val="clear" w:pos="360"/>
          <w:tab w:val="left" w:pos="709"/>
        </w:tabs>
        <w:ind w:left="709" w:hanging="425"/>
        <w:rPr>
          <w:rFonts w:cstheme="minorHAnsi"/>
        </w:rPr>
      </w:pPr>
      <w:r w:rsidRPr="004737C5">
        <w:rPr>
          <w:rFonts w:cstheme="minorHAnsi"/>
        </w:rPr>
        <w:t xml:space="preserve">It is beneficial both for business and for consumers to have products that comply with international standards, as this will </w:t>
      </w:r>
      <w:r w:rsidR="002A2C99" w:rsidRPr="004737C5">
        <w:rPr>
          <w:rFonts w:cstheme="minorHAnsi"/>
        </w:rPr>
        <w:t>i</w:t>
      </w:r>
      <w:r w:rsidRPr="004737C5">
        <w:rPr>
          <w:rFonts w:cstheme="minorHAnsi"/>
        </w:rPr>
        <w:t xml:space="preserve">mprove access to international markets, thus allowing greater consumer choice and raising the baseline for safety on a global basis. </w:t>
      </w:r>
    </w:p>
    <w:p w14:paraId="0AC3C2DD" w14:textId="77777777" w:rsidR="00BE71E3" w:rsidRPr="004737C5" w:rsidRDefault="00BE71E3" w:rsidP="00A80360">
      <w:pPr>
        <w:rPr>
          <w:rFonts w:cstheme="minorHAnsi"/>
        </w:rPr>
      </w:pPr>
      <w:r w:rsidRPr="004737C5">
        <w:rPr>
          <w:rFonts w:cstheme="minorHAnsi"/>
        </w:rPr>
        <w:t>Comprehensive consumer protection statutes need therefore to extend to all consumer products, especially those that might</w:t>
      </w:r>
      <w:r w:rsidR="002A2C99" w:rsidRPr="004737C5">
        <w:rPr>
          <w:rFonts w:cstheme="minorHAnsi"/>
        </w:rPr>
        <w:t xml:space="preserve"> become unsafe with age or use,</w:t>
      </w:r>
      <w:r w:rsidRPr="004737C5">
        <w:rPr>
          <w:rFonts w:cstheme="minorHAnsi"/>
        </w:rPr>
        <w:t xml:space="preserve"> be it normal or abusive. At the same time, attention needs to be paid to the upstream stages of the production process where intervention may be more effective in terms of scale, cutting out the need for large numbers of individual redress procedures. </w:t>
      </w:r>
    </w:p>
    <w:p w14:paraId="1317568E" w14:textId="77777777" w:rsidR="00BE71E3" w:rsidRPr="004737C5" w:rsidRDefault="00BE71E3" w:rsidP="00A80360">
      <w:pPr>
        <w:pStyle w:val="Heading3"/>
        <w:spacing w:after="160" w:line="240" w:lineRule="auto"/>
        <w:rPr>
          <w:rFonts w:cstheme="minorHAnsi"/>
          <w:color w:val="auto"/>
        </w:rPr>
      </w:pPr>
      <w:bookmarkStart w:id="93" w:name="_Toc489950252"/>
      <w:bookmarkStart w:id="94" w:name="_Toc492650039"/>
      <w:r w:rsidRPr="004737C5">
        <w:rPr>
          <w:rFonts w:cstheme="minorHAnsi"/>
          <w:color w:val="auto"/>
        </w:rPr>
        <w:lastRenderedPageBreak/>
        <w:t>2</w:t>
      </w:r>
      <w:r w:rsidR="002A2C99" w:rsidRPr="004737C5">
        <w:rPr>
          <w:rFonts w:cstheme="minorHAnsi"/>
          <w:color w:val="auto"/>
        </w:rPr>
        <w:t>.</w:t>
      </w:r>
      <w:r w:rsidRPr="004737C5">
        <w:rPr>
          <w:rFonts w:cstheme="minorHAnsi"/>
          <w:color w:val="auto"/>
        </w:rPr>
        <w:t xml:space="preserve"> Components of a comprehensive product safety policy</w:t>
      </w:r>
      <w:bookmarkEnd w:id="93"/>
      <w:bookmarkEnd w:id="94"/>
    </w:p>
    <w:p w14:paraId="016036E5" w14:textId="77777777" w:rsidR="00BE71E3" w:rsidRPr="004737C5" w:rsidRDefault="00BE71E3" w:rsidP="006D3BE8">
      <w:pPr>
        <w:rPr>
          <w:rFonts w:cstheme="minorHAnsi"/>
        </w:rPr>
      </w:pPr>
      <w:r w:rsidRPr="004737C5">
        <w:rPr>
          <w:rFonts w:cstheme="minorHAnsi"/>
        </w:rPr>
        <w:t>There are six basic components that may be identified as crucial in establishing a coherent and effective product safety policy. These are as follows:</w:t>
      </w:r>
    </w:p>
    <w:p w14:paraId="6326903C" w14:textId="77777777" w:rsidR="00BE71E3" w:rsidRPr="004737C5" w:rsidRDefault="002A2C99" w:rsidP="002473E9">
      <w:pPr>
        <w:pStyle w:val="ListParagraph"/>
        <w:numPr>
          <w:ilvl w:val="0"/>
          <w:numId w:val="40"/>
        </w:numPr>
        <w:tabs>
          <w:tab w:val="clear" w:pos="1069"/>
          <w:tab w:val="num" w:pos="1418"/>
        </w:tabs>
        <w:ind w:left="709" w:hanging="425"/>
        <w:rPr>
          <w:rFonts w:cstheme="minorHAnsi"/>
        </w:rPr>
      </w:pPr>
      <w:r w:rsidRPr="004737C5">
        <w:rPr>
          <w:rFonts w:cstheme="minorHAnsi"/>
        </w:rPr>
        <w:t>Pre-market design</w:t>
      </w:r>
    </w:p>
    <w:p w14:paraId="59782B9B" w14:textId="77777777" w:rsidR="00BE71E3" w:rsidRPr="004737C5" w:rsidRDefault="002A2C99" w:rsidP="002473E9">
      <w:pPr>
        <w:pStyle w:val="ListParagraph"/>
        <w:numPr>
          <w:ilvl w:val="0"/>
          <w:numId w:val="40"/>
        </w:numPr>
        <w:tabs>
          <w:tab w:val="clear" w:pos="1069"/>
        </w:tabs>
        <w:ind w:left="709" w:hanging="425"/>
        <w:rPr>
          <w:rFonts w:cstheme="minorHAnsi"/>
        </w:rPr>
      </w:pPr>
      <w:r w:rsidRPr="004737C5">
        <w:rPr>
          <w:rFonts w:cstheme="minorHAnsi"/>
        </w:rPr>
        <w:t>Preparatory action</w:t>
      </w:r>
    </w:p>
    <w:p w14:paraId="722DCE7E" w14:textId="77777777" w:rsidR="00BE71E3" w:rsidRPr="004737C5" w:rsidRDefault="00BE71E3" w:rsidP="002473E9">
      <w:pPr>
        <w:pStyle w:val="ListParagraph"/>
        <w:numPr>
          <w:ilvl w:val="0"/>
          <w:numId w:val="40"/>
        </w:numPr>
        <w:tabs>
          <w:tab w:val="clear" w:pos="1069"/>
          <w:tab w:val="num" w:pos="1418"/>
        </w:tabs>
        <w:ind w:left="709" w:hanging="425"/>
        <w:rPr>
          <w:rFonts w:cstheme="minorHAnsi"/>
        </w:rPr>
      </w:pPr>
      <w:r w:rsidRPr="004737C5">
        <w:rPr>
          <w:rFonts w:cstheme="minorHAnsi"/>
        </w:rPr>
        <w:t>Regulato</w:t>
      </w:r>
      <w:r w:rsidR="002A2C99" w:rsidRPr="004737C5">
        <w:rPr>
          <w:rFonts w:cstheme="minorHAnsi"/>
        </w:rPr>
        <w:t>ry action and standards setting</w:t>
      </w:r>
    </w:p>
    <w:p w14:paraId="6257BB45" w14:textId="77777777" w:rsidR="00BE71E3" w:rsidRPr="004737C5" w:rsidRDefault="002A2C99" w:rsidP="002473E9">
      <w:pPr>
        <w:pStyle w:val="ListParagraph"/>
        <w:numPr>
          <w:ilvl w:val="0"/>
          <w:numId w:val="40"/>
        </w:numPr>
        <w:tabs>
          <w:tab w:val="clear" w:pos="1069"/>
          <w:tab w:val="num" w:pos="1418"/>
        </w:tabs>
        <w:ind w:left="709" w:hanging="425"/>
        <w:rPr>
          <w:rFonts w:cstheme="minorHAnsi"/>
        </w:rPr>
      </w:pPr>
      <w:r w:rsidRPr="004737C5">
        <w:rPr>
          <w:rFonts w:cstheme="minorHAnsi"/>
        </w:rPr>
        <w:t>Monitoring action</w:t>
      </w:r>
    </w:p>
    <w:p w14:paraId="5AB83DE0" w14:textId="77777777" w:rsidR="00BE71E3" w:rsidRPr="004737C5" w:rsidRDefault="002A2C99" w:rsidP="002473E9">
      <w:pPr>
        <w:pStyle w:val="ListParagraph"/>
        <w:numPr>
          <w:ilvl w:val="0"/>
          <w:numId w:val="40"/>
        </w:numPr>
        <w:tabs>
          <w:tab w:val="clear" w:pos="1069"/>
          <w:tab w:val="num" w:pos="1418"/>
        </w:tabs>
        <w:ind w:left="709" w:hanging="425"/>
        <w:rPr>
          <w:rFonts w:cstheme="minorHAnsi"/>
        </w:rPr>
      </w:pPr>
      <w:r w:rsidRPr="004737C5">
        <w:rPr>
          <w:rFonts w:cstheme="minorHAnsi"/>
        </w:rPr>
        <w:t>Corrective action</w:t>
      </w:r>
    </w:p>
    <w:p w14:paraId="692AA538" w14:textId="77777777" w:rsidR="00BE71E3" w:rsidRPr="004737C5" w:rsidRDefault="002A2C99" w:rsidP="002473E9">
      <w:pPr>
        <w:pStyle w:val="ListParagraph"/>
        <w:numPr>
          <w:ilvl w:val="0"/>
          <w:numId w:val="40"/>
        </w:numPr>
        <w:tabs>
          <w:tab w:val="clear" w:pos="1069"/>
          <w:tab w:val="num" w:pos="1418"/>
        </w:tabs>
        <w:ind w:left="709" w:hanging="425"/>
        <w:rPr>
          <w:rFonts w:cstheme="minorHAnsi"/>
        </w:rPr>
      </w:pPr>
      <w:r w:rsidRPr="004737C5">
        <w:rPr>
          <w:rFonts w:cstheme="minorHAnsi"/>
        </w:rPr>
        <w:t>Compensatory action</w:t>
      </w:r>
    </w:p>
    <w:p w14:paraId="2411564C" w14:textId="77777777" w:rsidR="00BE71E3" w:rsidRPr="004737C5" w:rsidRDefault="002A2C99" w:rsidP="00A80360">
      <w:pPr>
        <w:pStyle w:val="Heading4"/>
        <w:spacing w:after="160"/>
        <w:rPr>
          <w:rFonts w:cstheme="minorHAnsi"/>
          <w:i w:val="0"/>
          <w:color w:val="auto"/>
        </w:rPr>
      </w:pPr>
      <w:r w:rsidRPr="004737C5">
        <w:rPr>
          <w:rFonts w:cstheme="minorHAnsi"/>
          <w:i w:val="0"/>
          <w:color w:val="auto"/>
        </w:rPr>
        <w:t>(a)</w:t>
      </w:r>
      <w:r w:rsidR="00BE71E3" w:rsidRPr="004737C5">
        <w:rPr>
          <w:rFonts w:cstheme="minorHAnsi"/>
          <w:i w:val="0"/>
          <w:color w:val="auto"/>
        </w:rPr>
        <w:t xml:space="preserve"> Pre-market design</w:t>
      </w:r>
    </w:p>
    <w:p w14:paraId="48286C3D" w14:textId="61437747" w:rsidR="00BE71E3" w:rsidRPr="004737C5" w:rsidRDefault="00BE71E3" w:rsidP="00A80360">
      <w:pPr>
        <w:rPr>
          <w:rFonts w:cstheme="minorHAnsi"/>
        </w:rPr>
      </w:pPr>
      <w:r w:rsidRPr="004737C5">
        <w:rPr>
          <w:rFonts w:cstheme="minorHAnsi"/>
        </w:rPr>
        <w:t>Businesses should be encouraged to integrate safety into design and to meet any applicable standards during the design and production of a product, with third party certification to assure safety before going to market. Many retailers require this before they wil</w:t>
      </w:r>
      <w:r w:rsidR="002A2C99" w:rsidRPr="004737C5">
        <w:rPr>
          <w:rFonts w:cstheme="minorHAnsi"/>
        </w:rPr>
        <w:t>l market a product in any case.</w:t>
      </w:r>
      <w:r w:rsidRPr="004737C5">
        <w:rPr>
          <w:rFonts w:cstheme="minorHAnsi"/>
        </w:rPr>
        <w:t xml:space="preserve"> In the United States of America, the Consumer Product Safety Commission also offers a service to industry to help with pre-market compliance.</w:t>
      </w:r>
      <w:r w:rsidRPr="004737C5">
        <w:rPr>
          <w:rStyle w:val="FootnoteReference"/>
          <w:rFonts w:cstheme="minorHAnsi"/>
        </w:rPr>
        <w:footnoteReference w:id="135"/>
      </w:r>
      <w:r w:rsidR="00A80360" w:rsidRPr="004737C5">
        <w:rPr>
          <w:rFonts w:cstheme="minorHAnsi"/>
        </w:rPr>
        <w:t xml:space="preserve"> It</w:t>
      </w:r>
      <w:r w:rsidRPr="004737C5">
        <w:rPr>
          <w:rFonts w:cstheme="minorHAnsi"/>
        </w:rPr>
        <w:t xml:space="preserve"> also hold</w:t>
      </w:r>
      <w:r w:rsidR="00A80360" w:rsidRPr="004737C5">
        <w:rPr>
          <w:rFonts w:cstheme="minorHAnsi"/>
        </w:rPr>
        <w:t>s</w:t>
      </w:r>
      <w:r w:rsidRPr="004737C5">
        <w:rPr>
          <w:rFonts w:cstheme="minorHAnsi"/>
        </w:rPr>
        <w:t xml:space="preserve"> a public register of product safety issues. As suggested above, this may reduce the need for downstream redress by incorporating good practice further up the production chain. </w:t>
      </w:r>
    </w:p>
    <w:p w14:paraId="51CD36B4" w14:textId="77777777" w:rsidR="00BE71E3" w:rsidRPr="004737C5" w:rsidRDefault="002A2C99" w:rsidP="00A80360">
      <w:pPr>
        <w:pStyle w:val="Heading4"/>
        <w:spacing w:after="160"/>
        <w:rPr>
          <w:rFonts w:cstheme="minorHAnsi"/>
          <w:i w:val="0"/>
          <w:color w:val="auto"/>
        </w:rPr>
      </w:pPr>
      <w:r w:rsidRPr="004737C5">
        <w:rPr>
          <w:rFonts w:cstheme="minorHAnsi"/>
          <w:i w:val="0"/>
          <w:color w:val="auto"/>
        </w:rPr>
        <w:t>(b)</w:t>
      </w:r>
      <w:r w:rsidR="00BE71E3" w:rsidRPr="004737C5">
        <w:rPr>
          <w:rFonts w:cstheme="minorHAnsi"/>
          <w:i w:val="0"/>
          <w:color w:val="auto"/>
        </w:rPr>
        <w:t xml:space="preserve"> Preparatory action</w:t>
      </w:r>
    </w:p>
    <w:p w14:paraId="48B8695D" w14:textId="77777777" w:rsidR="00BE71E3" w:rsidRPr="004737C5" w:rsidRDefault="00BE71E3" w:rsidP="006D3BE8">
      <w:pPr>
        <w:rPr>
          <w:rFonts w:cstheme="minorHAnsi"/>
        </w:rPr>
      </w:pPr>
      <w:r w:rsidRPr="004737C5">
        <w:rPr>
          <w:rFonts w:cstheme="minorHAnsi"/>
        </w:rPr>
        <w:t>Regular and systematic surveillance of consumer products available in the market is necessary to identify pro</w:t>
      </w:r>
      <w:r w:rsidR="002A2C99" w:rsidRPr="004737C5">
        <w:rPr>
          <w:rFonts w:cstheme="minorHAnsi"/>
        </w:rPr>
        <w:t>duct-</w:t>
      </w:r>
      <w:r w:rsidRPr="004737C5">
        <w:rPr>
          <w:rFonts w:cstheme="minorHAnsi"/>
        </w:rPr>
        <w:t xml:space="preserve">related injuries and to analyse the risks faced by consumers. For this, data has to be collected from both local and foreign sources. The designated agency must have the authority to require the submission of relevant data to all parties concerned. </w:t>
      </w:r>
    </w:p>
    <w:p w14:paraId="65AEE3AF" w14:textId="4F83B35D" w:rsidR="00BE71E3" w:rsidRPr="004737C5" w:rsidRDefault="00BE71E3" w:rsidP="006D3BE8">
      <w:pPr>
        <w:rPr>
          <w:rFonts w:cstheme="minorHAnsi"/>
        </w:rPr>
      </w:pPr>
      <w:r w:rsidRPr="004737C5">
        <w:rPr>
          <w:rFonts w:cstheme="minorHAnsi"/>
        </w:rPr>
        <w:t>There are numerous interna</w:t>
      </w:r>
      <w:r w:rsidR="002A2C99" w:rsidRPr="004737C5">
        <w:rPr>
          <w:rFonts w:cstheme="minorHAnsi"/>
        </w:rPr>
        <w:t>tional and regional initiatives that</w:t>
      </w:r>
      <w:r w:rsidRPr="004737C5">
        <w:rPr>
          <w:rFonts w:cstheme="minorHAnsi"/>
        </w:rPr>
        <w:t xml:space="preserve"> provide valuable information on the safety of consumer pr</w:t>
      </w:r>
      <w:r w:rsidR="002A2C99" w:rsidRPr="004737C5">
        <w:rPr>
          <w:rFonts w:cstheme="minorHAnsi"/>
        </w:rPr>
        <w:t>oducts and the action taken by g</w:t>
      </w:r>
      <w:r w:rsidRPr="004737C5">
        <w:rPr>
          <w:rFonts w:cstheme="minorHAnsi"/>
        </w:rPr>
        <w:t>overnments throughout the world. Among the mo</w:t>
      </w:r>
      <w:r w:rsidR="002A2C99" w:rsidRPr="004737C5">
        <w:rPr>
          <w:rFonts w:cstheme="minorHAnsi"/>
        </w:rPr>
        <w:t>st significant of these is the “</w:t>
      </w:r>
      <w:r w:rsidRPr="004737C5">
        <w:rPr>
          <w:rFonts w:cstheme="minorHAnsi"/>
        </w:rPr>
        <w:t>Consolidated List of Products Whose Consumption and/or Sale Have Been Banned, Withdrawn, Severely Restricted,</w:t>
      </w:r>
      <w:r w:rsidR="002A2C99" w:rsidRPr="004737C5">
        <w:rPr>
          <w:rFonts w:cstheme="minorHAnsi"/>
        </w:rPr>
        <w:t xml:space="preserve"> or Not Approved by Governments”</w:t>
      </w:r>
      <w:r w:rsidRPr="004737C5">
        <w:rPr>
          <w:rFonts w:cstheme="minorHAnsi"/>
        </w:rPr>
        <w:t xml:space="preserve"> issued by the Department of International Economic and Social Affairs of the United Nations.</w:t>
      </w:r>
      <w:r w:rsidR="002A2C99" w:rsidRPr="004737C5">
        <w:rPr>
          <w:rFonts w:cstheme="minorHAnsi"/>
        </w:rPr>
        <w:t xml:space="preserve"> The</w:t>
      </w:r>
      <w:r w:rsidR="00A80360" w:rsidRPr="004737C5">
        <w:rPr>
          <w:rFonts w:cstheme="minorHAnsi"/>
        </w:rPr>
        <w:t xml:space="preserve"> list</w:t>
      </w:r>
      <w:r w:rsidR="002A2C99" w:rsidRPr="004737C5">
        <w:rPr>
          <w:rFonts w:cstheme="minorHAnsi"/>
        </w:rPr>
        <w:t xml:space="preserve"> enables g</w:t>
      </w:r>
      <w:r w:rsidRPr="004737C5">
        <w:rPr>
          <w:rFonts w:cstheme="minorHAnsi"/>
        </w:rPr>
        <w:t>overnment agencies</w:t>
      </w:r>
      <w:r w:rsidR="002A2C99" w:rsidRPr="004737C5">
        <w:rPr>
          <w:rFonts w:cstheme="minorHAnsi"/>
        </w:rPr>
        <w:t xml:space="preserve"> that </w:t>
      </w:r>
      <w:r w:rsidRPr="004737C5">
        <w:rPr>
          <w:rFonts w:cstheme="minorHAnsi"/>
        </w:rPr>
        <w:t>review applic</w:t>
      </w:r>
      <w:r w:rsidR="002A2C99" w:rsidRPr="004737C5">
        <w:rPr>
          <w:rFonts w:cstheme="minorHAnsi"/>
        </w:rPr>
        <w:t>ations for product registration</w:t>
      </w:r>
      <w:r w:rsidRPr="004737C5">
        <w:rPr>
          <w:rFonts w:cstheme="minorHAnsi"/>
        </w:rPr>
        <w:t xml:space="preserve"> to easily ascertain the nature of regulatory decisions made in other countries and apply the permissible measure</w:t>
      </w:r>
      <w:r w:rsidR="00A80360" w:rsidRPr="004737C5">
        <w:rPr>
          <w:rFonts w:cstheme="minorHAnsi"/>
        </w:rPr>
        <w:t>s locally. The list</w:t>
      </w:r>
      <w:r w:rsidRPr="004737C5">
        <w:rPr>
          <w:rFonts w:cstheme="minorHAnsi"/>
        </w:rPr>
        <w:t xml:space="preserve"> also complements and consolidates other information produced within the United N</w:t>
      </w:r>
      <w:r w:rsidR="002A2C99" w:rsidRPr="004737C5">
        <w:rPr>
          <w:rFonts w:cstheme="minorHAnsi"/>
        </w:rPr>
        <w:t>ations system and its networks.</w:t>
      </w:r>
      <w:r w:rsidRPr="004737C5">
        <w:rPr>
          <w:rFonts w:cstheme="minorHAnsi"/>
        </w:rPr>
        <w:t xml:space="preserve"> In the European Union, RAPEX</w:t>
      </w:r>
      <w:r w:rsidRPr="004737C5">
        <w:rPr>
          <w:rStyle w:val="FootnoteReference"/>
          <w:rFonts w:cstheme="minorHAnsi"/>
        </w:rPr>
        <w:footnoteReference w:id="136"/>
      </w:r>
      <w:r w:rsidRPr="004737C5">
        <w:rPr>
          <w:rFonts w:cstheme="minorHAnsi"/>
        </w:rPr>
        <w:t xml:space="preserve"> is a rapid alert system for product</w:t>
      </w:r>
      <w:r w:rsidR="002A2C99" w:rsidRPr="004737C5">
        <w:rPr>
          <w:rFonts w:cstheme="minorHAnsi"/>
        </w:rPr>
        <w:t xml:space="preserve"> safety between European Union governments ‒</w:t>
      </w:r>
      <w:r w:rsidRPr="004737C5">
        <w:rPr>
          <w:rFonts w:cstheme="minorHAnsi"/>
        </w:rPr>
        <w:t xml:space="preserve"> a practice which is spreading to other regions of the world</w:t>
      </w:r>
      <w:r w:rsidR="002A2C99" w:rsidRPr="004737C5">
        <w:rPr>
          <w:rFonts w:cstheme="minorHAnsi"/>
        </w:rPr>
        <w:t xml:space="preserve"> ‒</w:t>
      </w:r>
      <w:r w:rsidRPr="004737C5">
        <w:rPr>
          <w:rFonts w:cstheme="minorHAnsi"/>
        </w:rPr>
        <w:t xml:space="preserve"> while PROSAFE</w:t>
      </w:r>
      <w:r w:rsidRPr="004737C5">
        <w:rPr>
          <w:rStyle w:val="FootnoteReference"/>
          <w:rFonts w:cstheme="minorHAnsi"/>
        </w:rPr>
        <w:footnoteReference w:id="137"/>
      </w:r>
      <w:r w:rsidRPr="004737C5">
        <w:rPr>
          <w:rFonts w:cstheme="minorHAnsi"/>
        </w:rPr>
        <w:t xml:space="preserve"> links and advises market surveillance authorities and carries out training activities funded by the European Union. </w:t>
      </w:r>
    </w:p>
    <w:p w14:paraId="016194AF" w14:textId="77777777" w:rsidR="00BE71E3" w:rsidRPr="004737C5" w:rsidRDefault="00BE71E3" w:rsidP="00A80360">
      <w:pPr>
        <w:rPr>
          <w:rFonts w:cstheme="minorHAnsi"/>
        </w:rPr>
      </w:pPr>
      <w:r w:rsidRPr="004737C5">
        <w:rPr>
          <w:rFonts w:cstheme="minorHAnsi"/>
        </w:rPr>
        <w:t>The OECD hosts the Global Recalls Portal, an online tool which contains regularly updated information on consumer product recalls issued by jurisdictions across the world. Consumers and busine</w:t>
      </w:r>
      <w:r w:rsidR="002A2C99" w:rsidRPr="004737C5">
        <w:rPr>
          <w:rFonts w:cstheme="minorHAnsi"/>
        </w:rPr>
        <w:t>sses have access to the portal.</w:t>
      </w:r>
      <w:r w:rsidRPr="004737C5">
        <w:rPr>
          <w:rStyle w:val="FootnoteReference"/>
          <w:rFonts w:cstheme="minorHAnsi"/>
        </w:rPr>
        <w:footnoteReference w:id="138"/>
      </w:r>
    </w:p>
    <w:p w14:paraId="1791A477" w14:textId="77777777" w:rsidR="00BE71E3" w:rsidRPr="004737C5" w:rsidRDefault="002A2C99" w:rsidP="00A80360">
      <w:pPr>
        <w:pStyle w:val="Heading4"/>
        <w:spacing w:after="160"/>
        <w:rPr>
          <w:rFonts w:cstheme="minorHAnsi"/>
          <w:i w:val="0"/>
          <w:color w:val="auto"/>
        </w:rPr>
      </w:pPr>
      <w:r w:rsidRPr="004737C5">
        <w:rPr>
          <w:rFonts w:cstheme="minorHAnsi"/>
          <w:i w:val="0"/>
          <w:color w:val="auto"/>
        </w:rPr>
        <w:lastRenderedPageBreak/>
        <w:t>(c)</w:t>
      </w:r>
      <w:r w:rsidR="00BE71E3" w:rsidRPr="004737C5">
        <w:rPr>
          <w:rFonts w:cstheme="minorHAnsi"/>
          <w:i w:val="0"/>
          <w:color w:val="auto"/>
        </w:rPr>
        <w:t xml:space="preserve"> Regulatory action and standards setting</w:t>
      </w:r>
    </w:p>
    <w:p w14:paraId="495F271F" w14:textId="77777777" w:rsidR="00BE71E3" w:rsidRPr="004737C5" w:rsidRDefault="00BE71E3" w:rsidP="006D3BE8">
      <w:pPr>
        <w:pStyle w:val="BodyText2"/>
        <w:spacing w:after="160"/>
        <w:rPr>
          <w:rFonts w:asciiTheme="minorHAnsi" w:hAnsiTheme="minorHAnsi" w:cstheme="minorHAnsi"/>
          <w:color w:val="auto"/>
        </w:rPr>
      </w:pPr>
      <w:r w:rsidRPr="004737C5">
        <w:rPr>
          <w:rFonts w:asciiTheme="minorHAnsi" w:hAnsiTheme="minorHAnsi" w:cstheme="minorHAnsi"/>
          <w:color w:val="auto"/>
        </w:rPr>
        <w:t>The development of pr</w:t>
      </w:r>
      <w:r w:rsidR="002A2C99" w:rsidRPr="004737C5">
        <w:rPr>
          <w:rFonts w:asciiTheme="minorHAnsi" w:hAnsiTheme="minorHAnsi" w:cstheme="minorHAnsi"/>
          <w:color w:val="auto"/>
        </w:rPr>
        <w:t>oduct safety standards is a pre</w:t>
      </w:r>
      <w:r w:rsidRPr="004737C5">
        <w:rPr>
          <w:rFonts w:asciiTheme="minorHAnsi" w:hAnsiTheme="minorHAnsi" w:cstheme="minorHAnsi"/>
          <w:color w:val="auto"/>
        </w:rPr>
        <w:t>requisite for a sound product safety policy. Standards of product safety form part of the statutory machinery for regulating industry performance and so must be published. They may be enforced through a variety of sanctions such as those under criminal law, civil liability and extending to withdrawal of license. The purpose of specifying standards is to make a clear statement of what society deems desirable and acceptable. Taking the example of international trade law, one option is for legislation to refer to standards rather than directly</w:t>
      </w:r>
      <w:r w:rsidR="002A2C99" w:rsidRPr="004737C5">
        <w:rPr>
          <w:rFonts w:asciiTheme="minorHAnsi" w:hAnsiTheme="minorHAnsi" w:cstheme="minorHAnsi"/>
          <w:color w:val="auto"/>
        </w:rPr>
        <w:t xml:space="preserve"> integrating</w:t>
      </w:r>
      <w:r w:rsidRPr="004737C5">
        <w:rPr>
          <w:rFonts w:asciiTheme="minorHAnsi" w:hAnsiTheme="minorHAnsi" w:cstheme="minorHAnsi"/>
          <w:color w:val="auto"/>
        </w:rPr>
        <w:t xml:space="preserve"> them into legislation, as they need to be able to change with innovation.</w:t>
      </w:r>
    </w:p>
    <w:p w14:paraId="626CB6F3" w14:textId="7D452997" w:rsidR="00BE71E3" w:rsidRPr="004737C5" w:rsidRDefault="00BE71E3" w:rsidP="00A80360">
      <w:pPr>
        <w:pStyle w:val="BodyText2"/>
        <w:spacing w:after="160"/>
        <w:rPr>
          <w:rFonts w:asciiTheme="minorHAnsi" w:hAnsiTheme="minorHAnsi" w:cstheme="minorHAnsi"/>
          <w:color w:val="auto"/>
        </w:rPr>
      </w:pPr>
      <w:r w:rsidRPr="004737C5">
        <w:rPr>
          <w:rFonts w:asciiTheme="minorHAnsi" w:hAnsiTheme="minorHAnsi" w:cstheme="minorHAnsi"/>
          <w:color w:val="auto"/>
        </w:rPr>
        <w:t>The standards</w:t>
      </w:r>
      <w:r w:rsidR="00A80360" w:rsidRPr="004737C5">
        <w:rPr>
          <w:rFonts w:asciiTheme="minorHAnsi" w:hAnsiTheme="minorHAnsi" w:cstheme="minorHAnsi"/>
          <w:color w:val="auto"/>
        </w:rPr>
        <w:t xml:space="preserve"> developed need to recognize </w:t>
      </w:r>
      <w:r w:rsidRPr="004737C5">
        <w:rPr>
          <w:rFonts w:asciiTheme="minorHAnsi" w:hAnsiTheme="minorHAnsi" w:cstheme="minorHAnsi"/>
          <w:color w:val="auto"/>
        </w:rPr>
        <w:t>a host of factors, such as local cultural context and climatic conditions and international developments such as dumping. An effective national regulatory agency must be mandated to perform this function. Governments may be advised by the WTO Code of Good Practice, which lays out the core requirements of the process.</w:t>
      </w:r>
      <w:r w:rsidRPr="004737C5">
        <w:rPr>
          <w:rStyle w:val="FootnoteReference"/>
          <w:rFonts w:asciiTheme="minorHAnsi" w:hAnsiTheme="minorHAnsi" w:cstheme="minorHAnsi"/>
          <w:color w:val="auto"/>
        </w:rPr>
        <w:footnoteReference w:id="139"/>
      </w:r>
    </w:p>
    <w:p w14:paraId="7FB372F9" w14:textId="77777777" w:rsidR="00BE71E3" w:rsidRPr="004737C5" w:rsidRDefault="00BE71E3" w:rsidP="00A80360">
      <w:pPr>
        <w:pStyle w:val="BodyText2"/>
        <w:spacing w:after="160"/>
        <w:rPr>
          <w:rFonts w:asciiTheme="minorHAnsi" w:hAnsiTheme="minorHAnsi" w:cstheme="minorHAnsi"/>
          <w:color w:val="auto"/>
        </w:rPr>
      </w:pPr>
      <w:r w:rsidRPr="004737C5">
        <w:rPr>
          <w:rFonts w:asciiTheme="minorHAnsi" w:hAnsiTheme="minorHAnsi" w:cstheme="minorHAnsi"/>
          <w:color w:val="auto"/>
        </w:rPr>
        <w:t>Regulatory action comprises at least the following:</w:t>
      </w:r>
    </w:p>
    <w:p w14:paraId="224EAD79" w14:textId="6BD56C47" w:rsidR="00BE71E3" w:rsidRPr="004737C5" w:rsidRDefault="00A80360" w:rsidP="002473E9">
      <w:pPr>
        <w:pStyle w:val="BodyText2"/>
        <w:numPr>
          <w:ilvl w:val="0"/>
          <w:numId w:val="23"/>
        </w:numPr>
        <w:tabs>
          <w:tab w:val="clear" w:pos="360"/>
          <w:tab w:val="clear" w:pos="4111"/>
          <w:tab w:val="left" w:pos="709"/>
        </w:tabs>
        <w:spacing w:after="160"/>
        <w:ind w:left="709" w:hanging="425"/>
        <w:contextualSpacing/>
        <w:rPr>
          <w:rFonts w:asciiTheme="minorHAnsi" w:hAnsiTheme="minorHAnsi" w:cstheme="minorHAnsi"/>
          <w:color w:val="auto"/>
        </w:rPr>
      </w:pPr>
      <w:r w:rsidRPr="004737C5">
        <w:rPr>
          <w:rFonts w:asciiTheme="minorHAnsi" w:hAnsiTheme="minorHAnsi" w:cstheme="minorHAnsi"/>
          <w:color w:val="auto"/>
        </w:rPr>
        <w:t xml:space="preserve">Standards </w:t>
      </w:r>
      <w:r w:rsidR="00BE71E3" w:rsidRPr="004737C5">
        <w:rPr>
          <w:rFonts w:asciiTheme="minorHAnsi" w:hAnsiTheme="minorHAnsi" w:cstheme="minorHAnsi"/>
          <w:color w:val="auto"/>
        </w:rPr>
        <w:t>setting as necessary to safeguard the inte</w:t>
      </w:r>
      <w:r w:rsidR="002A2C99" w:rsidRPr="004737C5">
        <w:rPr>
          <w:rFonts w:asciiTheme="minorHAnsi" w:hAnsiTheme="minorHAnsi" w:cstheme="minorHAnsi"/>
          <w:color w:val="auto"/>
        </w:rPr>
        <w:t>rest of consumers</w:t>
      </w:r>
      <w:r w:rsidR="00BE71E3" w:rsidRPr="004737C5">
        <w:rPr>
          <w:rFonts w:asciiTheme="minorHAnsi" w:hAnsiTheme="minorHAnsi" w:cstheme="minorHAnsi"/>
          <w:color w:val="auto"/>
        </w:rPr>
        <w:t xml:space="preserve"> and involving the testing and certification of products to enable consumers to identify those that have been certified as conforming. There should be representation of the consumer interest in the development of standards. Governments do not usually produce standards. They may ask national standards bodies to develop standards which can then be referenced as ma</w:t>
      </w:r>
      <w:r w:rsidR="002A2C99" w:rsidRPr="004737C5">
        <w:rPr>
          <w:rFonts w:asciiTheme="minorHAnsi" w:hAnsiTheme="minorHAnsi" w:cstheme="minorHAnsi"/>
          <w:color w:val="auto"/>
        </w:rPr>
        <w:t>ndatory or put into regulations.</w:t>
      </w:r>
    </w:p>
    <w:p w14:paraId="3F61CDE7" w14:textId="77777777" w:rsidR="00BE71E3" w:rsidRPr="004737C5" w:rsidRDefault="00BE71E3" w:rsidP="002473E9">
      <w:pPr>
        <w:pStyle w:val="BodyText2"/>
        <w:numPr>
          <w:ilvl w:val="0"/>
          <w:numId w:val="23"/>
        </w:numPr>
        <w:tabs>
          <w:tab w:val="clear" w:pos="360"/>
          <w:tab w:val="clear" w:pos="4111"/>
          <w:tab w:val="left" w:pos="709"/>
        </w:tabs>
        <w:spacing w:after="160"/>
        <w:ind w:left="709" w:hanging="425"/>
        <w:contextualSpacing/>
        <w:rPr>
          <w:rFonts w:asciiTheme="minorHAnsi" w:hAnsiTheme="minorHAnsi" w:cstheme="minorHAnsi"/>
          <w:color w:val="auto"/>
        </w:rPr>
      </w:pPr>
      <w:r w:rsidRPr="004737C5">
        <w:rPr>
          <w:rFonts w:asciiTheme="minorHAnsi" w:hAnsiTheme="minorHAnsi" w:cstheme="minorHAnsi"/>
          <w:color w:val="auto"/>
        </w:rPr>
        <w:t>Information on product characteristics, use and warnings directed at both suppliers and consumers</w:t>
      </w:r>
      <w:r w:rsidR="002A2C99" w:rsidRPr="004737C5">
        <w:rPr>
          <w:rFonts w:asciiTheme="minorHAnsi" w:hAnsiTheme="minorHAnsi" w:cstheme="minorHAnsi"/>
          <w:color w:val="auto"/>
        </w:rPr>
        <w:t>.</w:t>
      </w:r>
    </w:p>
    <w:p w14:paraId="2624F3AE" w14:textId="77777777" w:rsidR="00BE71E3" w:rsidRPr="004737C5" w:rsidRDefault="00BE71E3" w:rsidP="00A80360">
      <w:pPr>
        <w:pStyle w:val="BodyText2"/>
        <w:numPr>
          <w:ilvl w:val="0"/>
          <w:numId w:val="23"/>
        </w:numPr>
        <w:tabs>
          <w:tab w:val="clear" w:pos="360"/>
          <w:tab w:val="clear" w:pos="4111"/>
          <w:tab w:val="left" w:pos="709"/>
        </w:tabs>
        <w:spacing w:after="160"/>
        <w:ind w:left="709" w:hanging="425"/>
        <w:contextualSpacing/>
        <w:rPr>
          <w:rFonts w:asciiTheme="minorHAnsi" w:hAnsiTheme="minorHAnsi" w:cstheme="minorHAnsi"/>
          <w:color w:val="auto"/>
        </w:rPr>
      </w:pPr>
      <w:r w:rsidRPr="004737C5">
        <w:rPr>
          <w:rFonts w:asciiTheme="minorHAnsi" w:hAnsiTheme="minorHAnsi" w:cstheme="minorHAnsi"/>
          <w:color w:val="auto"/>
        </w:rPr>
        <w:t xml:space="preserve">Restrictions on use including bans where the risks are exceptionally high.  </w:t>
      </w:r>
    </w:p>
    <w:p w14:paraId="72A52F1A" w14:textId="77777777" w:rsidR="00BE71E3" w:rsidRPr="004737C5" w:rsidRDefault="002A2C99" w:rsidP="00A80360">
      <w:pPr>
        <w:pStyle w:val="Heading4"/>
        <w:spacing w:after="160"/>
        <w:rPr>
          <w:rFonts w:cstheme="minorHAnsi"/>
          <w:i w:val="0"/>
          <w:color w:val="auto"/>
        </w:rPr>
      </w:pPr>
      <w:r w:rsidRPr="004737C5">
        <w:rPr>
          <w:rFonts w:cstheme="minorHAnsi"/>
          <w:i w:val="0"/>
          <w:color w:val="auto"/>
        </w:rPr>
        <w:t>(d)</w:t>
      </w:r>
      <w:r w:rsidR="00BE71E3" w:rsidRPr="004737C5">
        <w:rPr>
          <w:rFonts w:cstheme="minorHAnsi"/>
          <w:i w:val="0"/>
          <w:color w:val="auto"/>
        </w:rPr>
        <w:t xml:space="preserve"> Monitoring action</w:t>
      </w:r>
    </w:p>
    <w:p w14:paraId="460CF0EE" w14:textId="6FD99734" w:rsidR="00BE71E3" w:rsidRPr="004737C5" w:rsidRDefault="00BE71E3" w:rsidP="00A80360">
      <w:pPr>
        <w:rPr>
          <w:rFonts w:cstheme="minorHAnsi"/>
        </w:rPr>
      </w:pPr>
      <w:r w:rsidRPr="004737C5">
        <w:rPr>
          <w:rFonts w:cstheme="minorHAnsi"/>
        </w:rPr>
        <w:t xml:space="preserve">Monitoring may involve intervention at both the pre-marketing and post-marketing stage. </w:t>
      </w:r>
      <w:r w:rsidR="00A80360" w:rsidRPr="004737C5">
        <w:rPr>
          <w:rFonts w:cstheme="minorHAnsi"/>
        </w:rPr>
        <w:t>P</w:t>
      </w:r>
      <w:r w:rsidRPr="004737C5">
        <w:rPr>
          <w:rFonts w:cstheme="minorHAnsi"/>
        </w:rPr>
        <w:t xml:space="preserve">re-marketing controls involve the introduction of quality control and supervision of manufacturing. Post-marketing controls involve ascertaining adherence to safety standards by authorized officers. </w:t>
      </w:r>
      <w:r w:rsidR="002A2C99" w:rsidRPr="004737C5">
        <w:rPr>
          <w:rFonts w:cstheme="minorHAnsi"/>
        </w:rPr>
        <w:t>There has to be i</w:t>
      </w:r>
      <w:r w:rsidRPr="004737C5">
        <w:rPr>
          <w:rFonts w:cstheme="minorHAnsi"/>
        </w:rPr>
        <w:t>ndependent testing</w:t>
      </w:r>
      <w:r w:rsidR="002A2C99" w:rsidRPr="004737C5">
        <w:rPr>
          <w:rFonts w:cstheme="minorHAnsi"/>
        </w:rPr>
        <w:t xml:space="preserve"> undertaken on behalf of the government</w:t>
      </w:r>
      <w:r w:rsidRPr="004737C5">
        <w:rPr>
          <w:rFonts w:cstheme="minorHAnsi"/>
        </w:rPr>
        <w:t xml:space="preserve"> or provision for testing by independent consumer organizations. In some countries, the national standard bodies may offer a testing service or certification, but many developing countries have limited test facilities in terms of laboratories, test equipment and expertise.</w:t>
      </w:r>
    </w:p>
    <w:p w14:paraId="7983B74B" w14:textId="77777777" w:rsidR="00BE71E3" w:rsidRPr="004737C5" w:rsidRDefault="002A2C99" w:rsidP="00A80360">
      <w:pPr>
        <w:pStyle w:val="Heading4"/>
        <w:spacing w:after="160"/>
        <w:rPr>
          <w:rFonts w:cstheme="minorHAnsi"/>
          <w:i w:val="0"/>
          <w:color w:val="auto"/>
        </w:rPr>
      </w:pPr>
      <w:r w:rsidRPr="004737C5">
        <w:rPr>
          <w:rFonts w:cstheme="minorHAnsi"/>
          <w:i w:val="0"/>
          <w:color w:val="auto"/>
        </w:rPr>
        <w:t>(e)</w:t>
      </w:r>
      <w:r w:rsidR="00BE71E3" w:rsidRPr="004737C5">
        <w:rPr>
          <w:rFonts w:cstheme="minorHAnsi"/>
          <w:i w:val="0"/>
          <w:color w:val="auto"/>
        </w:rPr>
        <w:t xml:space="preserve"> Corrective action</w:t>
      </w:r>
    </w:p>
    <w:p w14:paraId="4D1BBA79" w14:textId="77777777" w:rsidR="00BE71E3" w:rsidRPr="004737C5" w:rsidRDefault="00BE71E3" w:rsidP="00A80360">
      <w:pPr>
        <w:rPr>
          <w:rFonts w:cstheme="minorHAnsi"/>
        </w:rPr>
      </w:pPr>
      <w:r w:rsidRPr="004737C5">
        <w:rPr>
          <w:rFonts w:cstheme="minorHAnsi"/>
        </w:rPr>
        <w:t>Pre-marketing controls minimize the likelihood of unsafe products entering the market. Unfortunately even the most stringent of such controls cannot ensure that all products will be safe. Manufacturing flaws may still occur or design flaws may subsequently</w:t>
      </w:r>
      <w:r w:rsidR="002A2C99" w:rsidRPr="004737C5">
        <w:rPr>
          <w:rFonts w:cstheme="minorHAnsi"/>
        </w:rPr>
        <w:t xml:space="preserve"> manifest</w:t>
      </w:r>
      <w:r w:rsidRPr="004737C5">
        <w:rPr>
          <w:rFonts w:cstheme="minorHAnsi"/>
        </w:rPr>
        <w:t xml:space="preserve">. A comprehensive product safety policy provides scope for regulating certain products after they have entered the market, and for the possibility of prohibiting certain types of products in extreme cases. With this comes the task of immediate intervention when hazards arise, regardless of whether the commodities involved are specifically regulated. The relevant authorities must be empowered to take urgent action when an </w:t>
      </w:r>
      <w:r w:rsidR="002A2C99" w:rsidRPr="004737C5">
        <w:rPr>
          <w:rFonts w:cstheme="minorHAnsi"/>
        </w:rPr>
        <w:t>unsafe product is on the market. Steps range</w:t>
      </w:r>
      <w:r w:rsidRPr="004737C5">
        <w:rPr>
          <w:rFonts w:cstheme="minorHAnsi"/>
        </w:rPr>
        <w:t xml:space="preserve"> from warning notices, product recalls and required modification of </w:t>
      </w:r>
      <w:r w:rsidR="002A2C99" w:rsidRPr="004737C5">
        <w:rPr>
          <w:rFonts w:cstheme="minorHAnsi"/>
        </w:rPr>
        <w:t>products as a condition of sale</w:t>
      </w:r>
      <w:r w:rsidRPr="004737C5">
        <w:rPr>
          <w:rFonts w:cstheme="minorHAnsi"/>
        </w:rPr>
        <w:t xml:space="preserve"> </w:t>
      </w:r>
      <w:r w:rsidR="002A2C99" w:rsidRPr="004737C5">
        <w:rPr>
          <w:rFonts w:cstheme="minorHAnsi"/>
        </w:rPr>
        <w:t>to prohibition of further sales</w:t>
      </w:r>
      <w:r w:rsidRPr="004737C5">
        <w:rPr>
          <w:rFonts w:cstheme="minorHAnsi"/>
        </w:rPr>
        <w:t xml:space="preserve"> and ultimately destruction of stocks (</w:t>
      </w:r>
      <w:r w:rsidR="002A2C99" w:rsidRPr="004737C5">
        <w:rPr>
          <w:rFonts w:cstheme="minorHAnsi"/>
        </w:rPr>
        <w:t>as happened in the case of the “mad cow disease”</w:t>
      </w:r>
      <w:r w:rsidRPr="004737C5">
        <w:rPr>
          <w:rFonts w:cstheme="minorHAnsi"/>
        </w:rPr>
        <w:t xml:space="preserve"> </w:t>
      </w:r>
      <w:r w:rsidRPr="004737C5">
        <w:rPr>
          <w:rFonts w:cstheme="minorHAnsi"/>
        </w:rPr>
        <w:lastRenderedPageBreak/>
        <w:t>outbreak in cattle in the United Kingdom of Great Britain a</w:t>
      </w:r>
      <w:r w:rsidR="002A2C99" w:rsidRPr="004737C5">
        <w:rPr>
          <w:rFonts w:cstheme="minorHAnsi"/>
        </w:rPr>
        <w:t>nd Northern Ireland during the 1990s, see b</w:t>
      </w:r>
      <w:r w:rsidRPr="004737C5">
        <w:rPr>
          <w:rFonts w:cstheme="minorHAnsi"/>
        </w:rPr>
        <w:t xml:space="preserve">ox 7). </w:t>
      </w:r>
    </w:p>
    <w:p w14:paraId="3BCD821C" w14:textId="77777777" w:rsidR="00BE71E3" w:rsidRPr="004737C5" w:rsidRDefault="002A2C99" w:rsidP="00A80360">
      <w:pPr>
        <w:pStyle w:val="Heading4"/>
        <w:spacing w:after="160"/>
        <w:rPr>
          <w:rFonts w:cstheme="minorHAnsi"/>
          <w:i w:val="0"/>
          <w:color w:val="auto"/>
        </w:rPr>
      </w:pPr>
      <w:r w:rsidRPr="004737C5">
        <w:rPr>
          <w:rFonts w:cstheme="minorHAnsi"/>
          <w:i w:val="0"/>
          <w:color w:val="auto"/>
        </w:rPr>
        <w:t>(f)</w:t>
      </w:r>
      <w:r w:rsidR="00BE71E3" w:rsidRPr="004737C5">
        <w:rPr>
          <w:rFonts w:cstheme="minorHAnsi"/>
          <w:i w:val="0"/>
          <w:color w:val="auto"/>
        </w:rPr>
        <w:t xml:space="preserve"> Compensatory action</w:t>
      </w:r>
    </w:p>
    <w:p w14:paraId="560530F4" w14:textId="77777777" w:rsidR="00BE71E3" w:rsidRPr="004737C5" w:rsidRDefault="00BE71E3" w:rsidP="00A80360">
      <w:pPr>
        <w:pStyle w:val="BodyText2"/>
        <w:tabs>
          <w:tab w:val="left" w:pos="360"/>
        </w:tabs>
        <w:spacing w:after="160"/>
        <w:rPr>
          <w:rFonts w:asciiTheme="minorHAnsi" w:hAnsiTheme="minorHAnsi" w:cstheme="minorHAnsi"/>
          <w:color w:val="auto"/>
        </w:rPr>
      </w:pPr>
      <w:r w:rsidRPr="004737C5">
        <w:rPr>
          <w:rFonts w:asciiTheme="minorHAnsi" w:hAnsiTheme="minorHAnsi" w:cstheme="minorHAnsi"/>
          <w:color w:val="auto"/>
        </w:rPr>
        <w:t xml:space="preserve">Compensation for damages caused by dangerous goods can be </w:t>
      </w:r>
      <w:r w:rsidR="002A2C99" w:rsidRPr="004737C5">
        <w:rPr>
          <w:rFonts w:asciiTheme="minorHAnsi" w:hAnsiTheme="minorHAnsi" w:cstheme="minorHAnsi"/>
          <w:color w:val="auto"/>
        </w:rPr>
        <w:t>realiz</w:t>
      </w:r>
      <w:r w:rsidRPr="004737C5">
        <w:rPr>
          <w:rFonts w:asciiTheme="minorHAnsi" w:hAnsiTheme="minorHAnsi" w:cstheme="minorHAnsi"/>
          <w:color w:val="auto"/>
        </w:rPr>
        <w:t>ed in two ways:</w:t>
      </w:r>
    </w:p>
    <w:p w14:paraId="2033F71B" w14:textId="77777777" w:rsidR="00BE71E3" w:rsidRPr="004737C5" w:rsidRDefault="004F5671" w:rsidP="00A80360">
      <w:pPr>
        <w:pStyle w:val="BodyText2"/>
        <w:numPr>
          <w:ilvl w:val="0"/>
          <w:numId w:val="93"/>
        </w:numPr>
        <w:tabs>
          <w:tab w:val="left" w:pos="360"/>
        </w:tabs>
        <w:ind w:left="709" w:hanging="425"/>
        <w:rPr>
          <w:rFonts w:asciiTheme="minorHAnsi" w:hAnsiTheme="minorHAnsi" w:cstheme="minorHAnsi"/>
          <w:color w:val="auto"/>
        </w:rPr>
      </w:pPr>
      <w:r w:rsidRPr="004737C5">
        <w:rPr>
          <w:rFonts w:asciiTheme="minorHAnsi" w:hAnsiTheme="minorHAnsi" w:cstheme="minorHAnsi"/>
          <w:color w:val="auto"/>
        </w:rPr>
        <w:t xml:space="preserve">An administrative scheme providing for persons who have suffered loss or damage from defective products to </w:t>
      </w:r>
      <w:r w:rsidR="00BE71E3" w:rsidRPr="004737C5">
        <w:rPr>
          <w:rFonts w:asciiTheme="minorHAnsi" w:hAnsiTheme="minorHAnsi" w:cstheme="minorHAnsi"/>
          <w:color w:val="auto"/>
        </w:rPr>
        <w:t>claim from a centrally administered fund. It could be paid from taxation revenue and be deemed the collective responsibility of all taxpayers and/or, by way of a premium paid by persons engaged in the manufactur</w:t>
      </w:r>
      <w:r w:rsidRPr="004737C5">
        <w:rPr>
          <w:rFonts w:asciiTheme="minorHAnsi" w:hAnsiTheme="minorHAnsi" w:cstheme="minorHAnsi"/>
          <w:color w:val="auto"/>
        </w:rPr>
        <w:t>e and distribution of goods.</w:t>
      </w:r>
    </w:p>
    <w:p w14:paraId="049B80F5" w14:textId="77777777" w:rsidR="00BE71E3" w:rsidRPr="004737C5" w:rsidRDefault="00BE71E3" w:rsidP="002473E9">
      <w:pPr>
        <w:pStyle w:val="ListParagraph"/>
        <w:numPr>
          <w:ilvl w:val="0"/>
          <w:numId w:val="41"/>
        </w:numPr>
        <w:tabs>
          <w:tab w:val="clear" w:pos="1080"/>
          <w:tab w:val="num" w:pos="709"/>
          <w:tab w:val="left" w:pos="1134"/>
        </w:tabs>
        <w:ind w:left="709" w:hanging="425"/>
        <w:rPr>
          <w:rFonts w:cstheme="minorHAnsi"/>
        </w:rPr>
      </w:pPr>
      <w:r w:rsidRPr="004737C5">
        <w:rPr>
          <w:rFonts w:cstheme="minorHAnsi"/>
        </w:rPr>
        <w:t>Private arrangements providing for the payment of compensation to the person who has suffered the loss or damage by those involved in the production and/or supply of the defective product. The usual causes of action for such a scheme would be pursuant to the law</w:t>
      </w:r>
      <w:r w:rsidR="004F5671" w:rsidRPr="004737C5">
        <w:rPr>
          <w:rFonts w:cstheme="minorHAnsi"/>
        </w:rPr>
        <w:t xml:space="preserve"> of contract, law of negligence</w:t>
      </w:r>
      <w:r w:rsidRPr="004737C5">
        <w:rPr>
          <w:rFonts w:cstheme="minorHAnsi"/>
        </w:rPr>
        <w:t xml:space="preserve"> or strict liability provisions in consumer protection laws.</w:t>
      </w:r>
    </w:p>
    <w:p w14:paraId="5CAEE8AE" w14:textId="77777777" w:rsidR="00BE71E3" w:rsidRPr="004737C5" w:rsidRDefault="00BE71E3" w:rsidP="00A80360">
      <w:pPr>
        <w:pStyle w:val="BodyText2"/>
        <w:tabs>
          <w:tab w:val="left" w:pos="360"/>
        </w:tabs>
        <w:spacing w:after="160"/>
        <w:rPr>
          <w:rFonts w:asciiTheme="minorHAnsi" w:hAnsiTheme="minorHAnsi" w:cstheme="minorHAnsi"/>
          <w:color w:val="auto"/>
        </w:rPr>
      </w:pPr>
      <w:r w:rsidRPr="004737C5">
        <w:rPr>
          <w:rFonts w:asciiTheme="minorHAnsi" w:hAnsiTheme="minorHAnsi" w:cstheme="minorHAnsi"/>
          <w:color w:val="auto"/>
        </w:rPr>
        <w:t xml:space="preserve">Compensation schemes serve not only to mitigate the loss of the injured party but also to provide incentives or deterrents to producers. </w:t>
      </w:r>
    </w:p>
    <w:p w14:paraId="3D214576" w14:textId="21AD9B6A" w:rsidR="00BE71E3" w:rsidRPr="004737C5" w:rsidRDefault="004F5671" w:rsidP="00A80360">
      <w:pPr>
        <w:pStyle w:val="Heading4"/>
        <w:tabs>
          <w:tab w:val="left" w:pos="851"/>
        </w:tabs>
        <w:spacing w:after="160"/>
        <w:rPr>
          <w:rFonts w:cstheme="minorHAnsi"/>
          <w:i w:val="0"/>
          <w:color w:val="auto"/>
        </w:rPr>
      </w:pPr>
      <w:r w:rsidRPr="004737C5">
        <w:rPr>
          <w:rFonts w:cstheme="minorHAnsi"/>
          <w:i w:val="0"/>
          <w:color w:val="auto"/>
        </w:rPr>
        <w:t>(g)</w:t>
      </w:r>
      <w:r w:rsidR="00A80360" w:rsidRPr="004737C5">
        <w:rPr>
          <w:rFonts w:cstheme="minorHAnsi"/>
          <w:i w:val="0"/>
          <w:color w:val="auto"/>
        </w:rPr>
        <w:t xml:space="preserve"> Legal and i</w:t>
      </w:r>
      <w:r w:rsidR="00BE71E3" w:rsidRPr="004737C5">
        <w:rPr>
          <w:rFonts w:cstheme="minorHAnsi"/>
          <w:i w:val="0"/>
          <w:color w:val="auto"/>
        </w:rPr>
        <w:t>nstitutional framework for product safety</w:t>
      </w:r>
    </w:p>
    <w:p w14:paraId="40728913" w14:textId="77777777" w:rsidR="00BE71E3" w:rsidRPr="004737C5" w:rsidRDefault="00BE71E3" w:rsidP="006D3BE8">
      <w:pPr>
        <w:pStyle w:val="BodyText2"/>
        <w:spacing w:after="160"/>
        <w:rPr>
          <w:rFonts w:asciiTheme="minorHAnsi" w:hAnsiTheme="minorHAnsi" w:cstheme="minorHAnsi"/>
          <w:color w:val="auto"/>
        </w:rPr>
      </w:pPr>
      <w:r w:rsidRPr="004737C5">
        <w:rPr>
          <w:rFonts w:asciiTheme="minorHAnsi" w:hAnsiTheme="minorHAnsi" w:cstheme="minorHAnsi"/>
          <w:color w:val="auto"/>
        </w:rPr>
        <w:t>The following approaches may be taken:</w:t>
      </w:r>
    </w:p>
    <w:p w14:paraId="05016324" w14:textId="77777777" w:rsidR="00BE71E3" w:rsidRPr="004737C5" w:rsidRDefault="004F5671" w:rsidP="009771AD">
      <w:pPr>
        <w:pStyle w:val="BodyText2"/>
        <w:tabs>
          <w:tab w:val="left" w:pos="360"/>
        </w:tabs>
        <w:spacing w:before="200" w:after="160"/>
        <w:rPr>
          <w:rFonts w:asciiTheme="minorHAnsi" w:hAnsiTheme="minorHAnsi" w:cstheme="minorHAnsi"/>
          <w:bCs/>
          <w:i/>
          <w:iCs/>
          <w:color w:val="auto"/>
        </w:rPr>
      </w:pPr>
      <w:r w:rsidRPr="004737C5">
        <w:rPr>
          <w:rFonts w:asciiTheme="minorHAnsi" w:hAnsiTheme="minorHAnsi" w:cstheme="minorHAnsi"/>
          <w:bCs/>
          <w:i/>
          <w:iCs/>
          <w:color w:val="auto"/>
        </w:rPr>
        <w:t xml:space="preserve">(i) </w:t>
      </w:r>
      <w:r w:rsidR="00BE71E3" w:rsidRPr="004737C5">
        <w:rPr>
          <w:rFonts w:asciiTheme="minorHAnsi" w:hAnsiTheme="minorHAnsi" w:cstheme="minorHAnsi"/>
          <w:bCs/>
          <w:i/>
          <w:iCs/>
          <w:color w:val="auto"/>
        </w:rPr>
        <w:t>Legal</w:t>
      </w:r>
    </w:p>
    <w:p w14:paraId="21450943" w14:textId="77777777" w:rsidR="00BE71E3" w:rsidRPr="004737C5" w:rsidRDefault="00BE71E3" w:rsidP="002473E9">
      <w:pPr>
        <w:pStyle w:val="ListParagraph"/>
        <w:numPr>
          <w:ilvl w:val="0"/>
          <w:numId w:val="42"/>
        </w:numPr>
        <w:tabs>
          <w:tab w:val="clear" w:pos="1080"/>
          <w:tab w:val="num" w:pos="709"/>
        </w:tabs>
        <w:ind w:left="709" w:hanging="425"/>
        <w:rPr>
          <w:rFonts w:cstheme="minorHAnsi"/>
        </w:rPr>
      </w:pPr>
      <w:r w:rsidRPr="004737C5">
        <w:rPr>
          <w:rFonts w:cstheme="minorHAnsi"/>
        </w:rPr>
        <w:t>General framework laws with general clauses forbidding the supply of unsafe products and providing for safety regulations with reg</w:t>
      </w:r>
      <w:r w:rsidR="004F5671" w:rsidRPr="004737C5">
        <w:rPr>
          <w:rFonts w:cstheme="minorHAnsi"/>
        </w:rPr>
        <w:t>ard to specific products</w:t>
      </w:r>
    </w:p>
    <w:p w14:paraId="7081171E" w14:textId="77777777" w:rsidR="00BE71E3" w:rsidRPr="004737C5" w:rsidRDefault="00BE71E3" w:rsidP="002473E9">
      <w:pPr>
        <w:pStyle w:val="ListParagraph"/>
        <w:numPr>
          <w:ilvl w:val="0"/>
          <w:numId w:val="42"/>
        </w:numPr>
        <w:tabs>
          <w:tab w:val="clear" w:pos="1080"/>
          <w:tab w:val="num" w:pos="709"/>
        </w:tabs>
        <w:ind w:left="709" w:hanging="425"/>
        <w:rPr>
          <w:rFonts w:cstheme="minorHAnsi"/>
        </w:rPr>
      </w:pPr>
      <w:r w:rsidRPr="004737C5">
        <w:rPr>
          <w:rFonts w:cstheme="minorHAnsi"/>
        </w:rPr>
        <w:t>Regulations relating to specific product groups, e.g. drugs, food, moto</w:t>
      </w:r>
      <w:r w:rsidR="004F5671" w:rsidRPr="004737C5">
        <w:rPr>
          <w:rFonts w:cstheme="minorHAnsi"/>
        </w:rPr>
        <w:t>r vehicles, pesticides, etc.</w:t>
      </w:r>
    </w:p>
    <w:p w14:paraId="2360DA8D" w14:textId="77777777" w:rsidR="00BE71E3" w:rsidRPr="004737C5" w:rsidRDefault="00BE71E3" w:rsidP="002473E9">
      <w:pPr>
        <w:pStyle w:val="ListParagraph"/>
        <w:numPr>
          <w:ilvl w:val="0"/>
          <w:numId w:val="42"/>
        </w:numPr>
        <w:tabs>
          <w:tab w:val="clear" w:pos="1080"/>
          <w:tab w:val="num" w:pos="709"/>
        </w:tabs>
        <w:ind w:left="709" w:hanging="425"/>
        <w:rPr>
          <w:rFonts w:cstheme="minorHAnsi"/>
        </w:rPr>
      </w:pPr>
      <w:r w:rsidRPr="004737C5">
        <w:rPr>
          <w:rFonts w:cstheme="minorHAnsi"/>
        </w:rPr>
        <w:t>Safety requirements and technical specifications introduced in natio</w:t>
      </w:r>
      <w:r w:rsidR="004F5671" w:rsidRPr="004737C5">
        <w:rPr>
          <w:rFonts w:cstheme="minorHAnsi"/>
        </w:rPr>
        <w:t xml:space="preserve">nal laws as mandatory standards, including </w:t>
      </w:r>
      <w:r w:rsidRPr="004737C5">
        <w:rPr>
          <w:rFonts w:cstheme="minorHAnsi"/>
        </w:rPr>
        <w:t xml:space="preserve">referencing </w:t>
      </w:r>
      <w:r w:rsidR="004F5671" w:rsidRPr="004737C5">
        <w:rPr>
          <w:rFonts w:cstheme="minorHAnsi"/>
        </w:rPr>
        <w:t>of standards as mentioned above</w:t>
      </w:r>
    </w:p>
    <w:p w14:paraId="55AD286A" w14:textId="77777777" w:rsidR="00BE71E3" w:rsidRPr="004737C5" w:rsidRDefault="004F5671" w:rsidP="009771AD">
      <w:pPr>
        <w:spacing w:before="200"/>
        <w:rPr>
          <w:rFonts w:cstheme="minorHAnsi"/>
          <w:i/>
        </w:rPr>
      </w:pPr>
      <w:r w:rsidRPr="004737C5">
        <w:rPr>
          <w:rFonts w:cstheme="minorHAnsi"/>
          <w:i/>
        </w:rPr>
        <w:t xml:space="preserve">(ii) </w:t>
      </w:r>
      <w:r w:rsidR="00BE71E3" w:rsidRPr="004737C5">
        <w:rPr>
          <w:rFonts w:cstheme="minorHAnsi"/>
          <w:i/>
        </w:rPr>
        <w:t>Institutional</w:t>
      </w:r>
    </w:p>
    <w:p w14:paraId="2EF41937" w14:textId="5A68B3DA" w:rsidR="00BE71E3" w:rsidRPr="004737C5" w:rsidRDefault="00BE71E3" w:rsidP="00243547">
      <w:pPr>
        <w:pStyle w:val="ListParagraph"/>
        <w:numPr>
          <w:ilvl w:val="0"/>
          <w:numId w:val="43"/>
        </w:numPr>
        <w:tabs>
          <w:tab w:val="clear" w:pos="1080"/>
          <w:tab w:val="num" w:pos="709"/>
        </w:tabs>
        <w:ind w:left="709" w:hanging="425"/>
        <w:contextualSpacing w:val="0"/>
        <w:rPr>
          <w:rFonts w:cstheme="minorHAnsi"/>
        </w:rPr>
      </w:pPr>
      <w:r w:rsidRPr="004737C5">
        <w:rPr>
          <w:rFonts w:cstheme="minorHAnsi"/>
        </w:rPr>
        <w:t xml:space="preserve">Institutions with overall responsibility for the safety of consumer </w:t>
      </w:r>
      <w:r w:rsidR="004F5671" w:rsidRPr="004737C5">
        <w:rPr>
          <w:rFonts w:cstheme="minorHAnsi"/>
        </w:rPr>
        <w:t>products, for example a single g</w:t>
      </w:r>
      <w:r w:rsidRPr="004737C5">
        <w:rPr>
          <w:rFonts w:cstheme="minorHAnsi"/>
        </w:rPr>
        <w:t xml:space="preserve">overnment body with broad responsibility for the safety of consumer products. There are institutional variants of the model. A general consumer protection agency may have a product safety division such as Product Safety Australia within the Australian Competition and Consumer Commission (ACCC). An alternative model is the free-standing </w:t>
      </w:r>
      <w:r w:rsidR="00243547" w:rsidRPr="004737C5">
        <w:rPr>
          <w:rFonts w:cstheme="minorHAnsi"/>
        </w:rPr>
        <w:t xml:space="preserve">United States </w:t>
      </w:r>
      <w:r w:rsidRPr="004737C5">
        <w:rPr>
          <w:rFonts w:cstheme="minorHAnsi"/>
        </w:rPr>
        <w:t>Con</w:t>
      </w:r>
      <w:r w:rsidR="004F5671" w:rsidRPr="004737C5">
        <w:rPr>
          <w:rFonts w:cstheme="minorHAnsi"/>
        </w:rPr>
        <w:t>sumer Product Safety Commission.</w:t>
      </w:r>
      <w:r w:rsidRPr="004737C5">
        <w:rPr>
          <w:rStyle w:val="FootnoteReference"/>
          <w:rFonts w:cstheme="minorHAnsi"/>
        </w:rPr>
        <w:footnoteReference w:id="140"/>
      </w:r>
      <w:r w:rsidRPr="004737C5">
        <w:rPr>
          <w:rFonts w:cstheme="minorHAnsi"/>
        </w:rPr>
        <w:t xml:space="preserve"> </w:t>
      </w:r>
    </w:p>
    <w:p w14:paraId="6578306A" w14:textId="3B3054C5" w:rsidR="00BE71E3" w:rsidRPr="004737C5" w:rsidRDefault="00BE71E3" w:rsidP="002473E9">
      <w:pPr>
        <w:pStyle w:val="ListParagraph"/>
        <w:numPr>
          <w:ilvl w:val="0"/>
          <w:numId w:val="43"/>
        </w:numPr>
        <w:ind w:left="709" w:hanging="425"/>
        <w:rPr>
          <w:rFonts w:cstheme="minorHAnsi"/>
        </w:rPr>
      </w:pPr>
      <w:r w:rsidRPr="004737C5">
        <w:rPr>
          <w:rFonts w:cstheme="minorHAnsi"/>
        </w:rPr>
        <w:t>Government departments and bodies dealing with specific product areas such as the Food and Drug Administration</w:t>
      </w:r>
      <w:r w:rsidR="00243547" w:rsidRPr="004737C5">
        <w:rPr>
          <w:rFonts w:cstheme="minorHAnsi"/>
        </w:rPr>
        <w:t xml:space="preserve"> of the United States of America</w:t>
      </w:r>
      <w:r w:rsidRPr="004737C5">
        <w:rPr>
          <w:rFonts w:cstheme="minorHAnsi"/>
        </w:rPr>
        <w:t>. In the European Union, many members have national food agencies with a high public profile, and the European Food Safety Authority has designated competent partners in all 28 jurisdictions.</w:t>
      </w:r>
      <w:r w:rsidRPr="004737C5">
        <w:rPr>
          <w:rStyle w:val="FootnoteReference"/>
          <w:rFonts w:cstheme="minorHAnsi"/>
        </w:rPr>
        <w:footnoteReference w:id="141"/>
      </w:r>
      <w:r w:rsidRPr="004737C5">
        <w:rPr>
          <w:rFonts w:cstheme="minorHAnsi"/>
        </w:rPr>
        <w:t xml:space="preserve"> In both of the above models (generic and sectoral), the agencies do not necessarily carry out detailed investigation and analysis themselves. For example, the competent partners listed in the European Union may be public health, nutrition or veterinary institutes often linked to universities. The OECD Working Party on </w:t>
      </w:r>
      <w:r w:rsidR="004F5671" w:rsidRPr="004737C5">
        <w:rPr>
          <w:rFonts w:cstheme="minorHAnsi"/>
        </w:rPr>
        <w:t>Consumer Product Safety summarizes that “</w:t>
      </w:r>
      <w:r w:rsidRPr="004737C5">
        <w:rPr>
          <w:rFonts w:cstheme="minorHAnsi"/>
        </w:rPr>
        <w:t xml:space="preserve">third parties may be engaged to assist in performing product risk assessments. This can vary, from a simple outsourcing arrangement to acquire appropriate expertise and specialist knowledge </w:t>
      </w:r>
      <w:r w:rsidRPr="004737C5">
        <w:rPr>
          <w:rFonts w:cstheme="minorHAnsi"/>
        </w:rPr>
        <w:lastRenderedPageBreak/>
        <w:t>in risk assessment, through to engaging an accredited test laboratory, conformity assessment body or certification body to assess the product</w:t>
      </w:r>
      <w:r w:rsidR="004F5671" w:rsidRPr="004737C5">
        <w:rPr>
          <w:rFonts w:cstheme="minorHAnsi"/>
        </w:rPr>
        <w:t>.”</w:t>
      </w:r>
      <w:r w:rsidRPr="004737C5">
        <w:rPr>
          <w:rStyle w:val="FootnoteReference"/>
          <w:rFonts w:cstheme="minorHAnsi"/>
          <w:i/>
        </w:rPr>
        <w:footnoteReference w:id="142"/>
      </w:r>
    </w:p>
    <w:p w14:paraId="4EE63FC1" w14:textId="77777777" w:rsidR="004F5671" w:rsidRPr="004737C5" w:rsidRDefault="004F5671" w:rsidP="009771AD">
      <w:pPr>
        <w:spacing w:before="200"/>
        <w:rPr>
          <w:rFonts w:cstheme="minorHAnsi"/>
        </w:rPr>
      </w:pPr>
      <w:r w:rsidRPr="004737C5">
        <w:rPr>
          <w:rStyle w:val="Heading4Char"/>
          <w:rFonts w:cstheme="minorHAnsi"/>
          <w:i w:val="0"/>
          <w:color w:val="auto"/>
        </w:rPr>
        <w:t>(h)</w:t>
      </w:r>
      <w:r w:rsidR="00BE71E3" w:rsidRPr="004737C5">
        <w:rPr>
          <w:rStyle w:val="Heading4Char"/>
          <w:rFonts w:cstheme="minorHAnsi"/>
          <w:i w:val="0"/>
          <w:color w:val="auto"/>
        </w:rPr>
        <w:t xml:space="preserve"> Essential elements of product safety laws</w:t>
      </w:r>
      <w:r w:rsidR="00BE71E3" w:rsidRPr="004737C5">
        <w:rPr>
          <w:rFonts w:cstheme="minorHAnsi"/>
          <w:i/>
        </w:rPr>
        <w:tab/>
      </w:r>
    </w:p>
    <w:p w14:paraId="7228A281" w14:textId="77777777" w:rsidR="00BE71E3" w:rsidRPr="004737C5" w:rsidRDefault="00BE71E3" w:rsidP="00243547">
      <w:pPr>
        <w:rPr>
          <w:rFonts w:cstheme="minorHAnsi"/>
          <w:b/>
          <w:i/>
          <w:color w:val="4472C4" w:themeColor="accent5"/>
        </w:rPr>
      </w:pPr>
      <w:r w:rsidRPr="004737C5">
        <w:rPr>
          <w:rFonts w:cstheme="minorHAnsi"/>
        </w:rPr>
        <w:t>Safety laws must extend to the full range of consumer goods and not be restricted to those sectors covered by specific legislation.</w:t>
      </w:r>
    </w:p>
    <w:p w14:paraId="1BEF3570" w14:textId="45E7BAF2" w:rsidR="00BE71E3" w:rsidRPr="004737C5" w:rsidRDefault="00BE71E3" w:rsidP="00243547">
      <w:pPr>
        <w:rPr>
          <w:rFonts w:cstheme="minorHAnsi"/>
        </w:rPr>
      </w:pPr>
      <w:r w:rsidRPr="004737C5">
        <w:rPr>
          <w:rFonts w:cstheme="minorHAnsi"/>
        </w:rPr>
        <w:t>Goods must meet mandatory standards of safety, failing which they could be prohibited from entering the market. Safety requirements should be based on sound risk assessment criteria. These can vary according to national policy</w:t>
      </w:r>
      <w:r w:rsidR="004F5671" w:rsidRPr="004737C5">
        <w:rPr>
          <w:rFonts w:cstheme="minorHAnsi"/>
        </w:rPr>
        <w:t>.</w:t>
      </w:r>
      <w:r w:rsidRPr="004737C5">
        <w:rPr>
          <w:rFonts w:cstheme="minorHAnsi"/>
        </w:rPr>
        <w:t xml:space="preserve"> </w:t>
      </w:r>
      <w:r w:rsidR="004F5671" w:rsidRPr="004737C5">
        <w:rPr>
          <w:rFonts w:cstheme="minorHAnsi"/>
        </w:rPr>
        <w:t>J</w:t>
      </w:r>
      <w:r w:rsidRPr="004737C5">
        <w:rPr>
          <w:rFonts w:cstheme="minorHAnsi"/>
        </w:rPr>
        <w:t>urisdictions may adopt good practices fr</w:t>
      </w:r>
      <w:r w:rsidR="00243547" w:rsidRPr="004737C5">
        <w:rPr>
          <w:rFonts w:cstheme="minorHAnsi"/>
        </w:rPr>
        <w:t xml:space="preserve">om each other. For example, </w:t>
      </w:r>
      <w:r w:rsidRPr="004737C5">
        <w:rPr>
          <w:rFonts w:cstheme="minorHAnsi"/>
        </w:rPr>
        <w:t>ACCC has updated the model of risk assessment by adopting the European Union RAPEX injury severity levels, applied to a model developed in New Zealand.</w:t>
      </w:r>
      <w:r w:rsidRPr="004737C5">
        <w:rPr>
          <w:rStyle w:val="FootnoteReference"/>
          <w:rFonts w:cstheme="minorHAnsi"/>
        </w:rPr>
        <w:footnoteReference w:id="143"/>
      </w:r>
    </w:p>
    <w:p w14:paraId="42E1C5DB" w14:textId="77777777" w:rsidR="00BE71E3" w:rsidRPr="004737C5" w:rsidRDefault="004F5671" w:rsidP="00243547">
      <w:pPr>
        <w:rPr>
          <w:rFonts w:cstheme="minorHAnsi"/>
          <w:u w:val="single"/>
        </w:rPr>
      </w:pPr>
      <w:r w:rsidRPr="004737C5">
        <w:rPr>
          <w:rFonts w:cstheme="minorHAnsi"/>
        </w:rPr>
        <w:t>A</w:t>
      </w:r>
      <w:r w:rsidR="00BE71E3" w:rsidRPr="004737C5">
        <w:rPr>
          <w:rFonts w:cstheme="minorHAnsi"/>
        </w:rPr>
        <w:t>uthorities should have the following powers:</w:t>
      </w:r>
    </w:p>
    <w:p w14:paraId="6A7036ED" w14:textId="77777777" w:rsidR="00BE71E3" w:rsidRPr="004737C5" w:rsidRDefault="00BE71E3" w:rsidP="002473E9">
      <w:pPr>
        <w:pStyle w:val="ListParagraph"/>
        <w:numPr>
          <w:ilvl w:val="0"/>
          <w:numId w:val="44"/>
        </w:numPr>
        <w:tabs>
          <w:tab w:val="num" w:pos="709"/>
          <w:tab w:val="left" w:pos="1134"/>
        </w:tabs>
        <w:ind w:left="709" w:hanging="425"/>
        <w:rPr>
          <w:rFonts w:cstheme="minorHAnsi"/>
        </w:rPr>
      </w:pPr>
      <w:r w:rsidRPr="004737C5">
        <w:rPr>
          <w:rFonts w:cstheme="minorHAnsi"/>
        </w:rPr>
        <w:t>Power to require that adequate information on the safe use of goods is provided along with</w:t>
      </w:r>
      <w:r w:rsidR="004F5671" w:rsidRPr="004737C5">
        <w:rPr>
          <w:rFonts w:cstheme="minorHAnsi"/>
        </w:rPr>
        <w:t xml:space="preserve"> </w:t>
      </w:r>
      <w:r w:rsidRPr="004737C5">
        <w:rPr>
          <w:rFonts w:cstheme="minorHAnsi"/>
        </w:rPr>
        <w:t>the good</w:t>
      </w:r>
      <w:r w:rsidR="004F5671" w:rsidRPr="004737C5">
        <w:rPr>
          <w:rFonts w:cstheme="minorHAnsi"/>
        </w:rPr>
        <w:t>s</w:t>
      </w:r>
    </w:p>
    <w:p w14:paraId="6DF8102A" w14:textId="77777777" w:rsidR="00BE71E3" w:rsidRPr="004737C5" w:rsidRDefault="00BE71E3" w:rsidP="002473E9">
      <w:pPr>
        <w:pStyle w:val="ListParagraph"/>
        <w:numPr>
          <w:ilvl w:val="0"/>
          <w:numId w:val="44"/>
        </w:numPr>
        <w:tabs>
          <w:tab w:val="clear" w:pos="928"/>
          <w:tab w:val="num" w:pos="284"/>
          <w:tab w:val="num" w:pos="709"/>
          <w:tab w:val="left" w:pos="1134"/>
        </w:tabs>
        <w:ind w:left="709" w:hanging="425"/>
        <w:rPr>
          <w:rFonts w:cstheme="minorHAnsi"/>
          <w:u w:val="single"/>
        </w:rPr>
      </w:pPr>
      <w:r w:rsidRPr="004737C5">
        <w:rPr>
          <w:rFonts w:cstheme="minorHAnsi"/>
        </w:rPr>
        <w:t xml:space="preserve">Power to require the suppliers to publish warning notices if unsafe products are found to be </w:t>
      </w:r>
      <w:r w:rsidR="004F5671" w:rsidRPr="004737C5">
        <w:rPr>
          <w:rFonts w:cstheme="minorHAnsi"/>
        </w:rPr>
        <w:t>available on the market</w:t>
      </w:r>
    </w:p>
    <w:p w14:paraId="609114F1" w14:textId="77777777" w:rsidR="00BE71E3" w:rsidRPr="004737C5" w:rsidRDefault="00BE71E3" w:rsidP="002473E9">
      <w:pPr>
        <w:pStyle w:val="ListParagraph"/>
        <w:numPr>
          <w:ilvl w:val="0"/>
          <w:numId w:val="44"/>
        </w:numPr>
        <w:tabs>
          <w:tab w:val="num" w:pos="284"/>
          <w:tab w:val="left" w:pos="1134"/>
        </w:tabs>
        <w:ind w:left="709" w:hanging="425"/>
        <w:rPr>
          <w:rFonts w:cstheme="minorHAnsi"/>
          <w:u w:val="single"/>
        </w:rPr>
      </w:pPr>
      <w:r w:rsidRPr="004737C5">
        <w:rPr>
          <w:rFonts w:cstheme="minorHAnsi"/>
        </w:rPr>
        <w:t>Power to require suppliers to recall hazardous product</w:t>
      </w:r>
      <w:r w:rsidR="004F5671" w:rsidRPr="004737C5">
        <w:rPr>
          <w:rFonts w:cstheme="minorHAnsi"/>
        </w:rPr>
        <w:t>s already sold to consumers</w:t>
      </w:r>
    </w:p>
    <w:p w14:paraId="38DD3ACB" w14:textId="77777777" w:rsidR="00BE71E3" w:rsidRPr="004737C5" w:rsidRDefault="00BE71E3" w:rsidP="002473E9">
      <w:pPr>
        <w:pStyle w:val="ListParagraph"/>
        <w:numPr>
          <w:ilvl w:val="0"/>
          <w:numId w:val="44"/>
        </w:numPr>
        <w:tabs>
          <w:tab w:val="num" w:pos="709"/>
          <w:tab w:val="left" w:pos="1134"/>
        </w:tabs>
        <w:ind w:left="709" w:hanging="425"/>
        <w:rPr>
          <w:rFonts w:cstheme="minorHAnsi"/>
          <w:u w:val="single"/>
        </w:rPr>
      </w:pPr>
      <w:r w:rsidRPr="004737C5">
        <w:rPr>
          <w:rFonts w:cstheme="minorHAnsi"/>
        </w:rPr>
        <w:t>Power to ban or suspend the supply and sale of</w:t>
      </w:r>
      <w:r w:rsidR="004F5671" w:rsidRPr="004737C5">
        <w:rPr>
          <w:rFonts w:cstheme="minorHAnsi"/>
        </w:rPr>
        <w:t xml:space="preserve"> unsafe products and services</w:t>
      </w:r>
    </w:p>
    <w:p w14:paraId="1A253E0A" w14:textId="77777777" w:rsidR="00BE71E3" w:rsidRPr="004737C5" w:rsidRDefault="004F5671" w:rsidP="00243547">
      <w:pPr>
        <w:pStyle w:val="Heading4"/>
        <w:spacing w:after="160"/>
        <w:rPr>
          <w:rFonts w:cstheme="minorHAnsi"/>
          <w:i w:val="0"/>
          <w:color w:val="auto"/>
        </w:rPr>
      </w:pPr>
      <w:r w:rsidRPr="004737C5">
        <w:rPr>
          <w:rFonts w:cstheme="minorHAnsi"/>
          <w:i w:val="0"/>
          <w:color w:val="auto"/>
        </w:rPr>
        <w:t>(i) Data c</w:t>
      </w:r>
      <w:r w:rsidR="00BE71E3" w:rsidRPr="004737C5">
        <w:rPr>
          <w:rFonts w:cstheme="minorHAnsi"/>
          <w:i w:val="0"/>
          <w:color w:val="auto"/>
        </w:rPr>
        <w:t>ollection</w:t>
      </w:r>
    </w:p>
    <w:p w14:paraId="21C9B344" w14:textId="48C40B76" w:rsidR="00BE71E3" w:rsidRPr="004737C5" w:rsidRDefault="00BE71E3" w:rsidP="006D3BE8">
      <w:pPr>
        <w:pStyle w:val="BodyText"/>
        <w:spacing w:after="160"/>
        <w:rPr>
          <w:rFonts w:asciiTheme="minorHAnsi" w:hAnsiTheme="minorHAnsi" w:cstheme="minorHAnsi"/>
          <w:sz w:val="22"/>
        </w:rPr>
      </w:pPr>
      <w:r w:rsidRPr="004737C5">
        <w:rPr>
          <w:rFonts w:asciiTheme="minorHAnsi" w:hAnsiTheme="minorHAnsi" w:cstheme="minorHAnsi"/>
          <w:sz w:val="22"/>
        </w:rPr>
        <w:t>In determining priorities for developing safety standards, it is desirable</w:t>
      </w:r>
      <w:r w:rsidR="00243547" w:rsidRPr="004737C5">
        <w:rPr>
          <w:rFonts w:asciiTheme="minorHAnsi" w:hAnsiTheme="minorHAnsi" w:cstheme="minorHAnsi"/>
          <w:sz w:val="22"/>
        </w:rPr>
        <w:t xml:space="preserve"> that data collection systems are</w:t>
      </w:r>
      <w:r w:rsidRPr="004737C5">
        <w:rPr>
          <w:rFonts w:asciiTheme="minorHAnsi" w:hAnsiTheme="minorHAnsi" w:cstheme="minorHAnsi"/>
          <w:sz w:val="22"/>
        </w:rPr>
        <w:t xml:space="preserve"> established for home accidents and injury reporting in relation to consumer products and services. The data will show the most</w:t>
      </w:r>
      <w:r w:rsidR="004F5671" w:rsidRPr="004737C5">
        <w:rPr>
          <w:rFonts w:asciiTheme="minorHAnsi" w:hAnsiTheme="minorHAnsi" w:cstheme="minorHAnsi"/>
          <w:sz w:val="22"/>
        </w:rPr>
        <w:t xml:space="preserve"> commonly used products and th</w:t>
      </w:r>
      <w:r w:rsidRPr="004737C5">
        <w:rPr>
          <w:rFonts w:asciiTheme="minorHAnsi" w:hAnsiTheme="minorHAnsi" w:cstheme="minorHAnsi"/>
          <w:sz w:val="22"/>
        </w:rPr>
        <w:t>e physical features and manners of use that cause the most injuries or even deaths. Such information is particularly important for countries that are yet to develop standards on all consumer products available in the market. Other sources of such information include consumer organizations, standards organizations, insurance statistics, schools and private industry.</w:t>
      </w:r>
    </w:p>
    <w:p w14:paraId="51EF02EE" w14:textId="77777777" w:rsidR="00BE71E3" w:rsidRPr="004737C5" w:rsidRDefault="004F5671" w:rsidP="00243547">
      <w:pPr>
        <w:pStyle w:val="Heading2"/>
        <w:spacing w:after="160"/>
        <w:rPr>
          <w:rFonts w:cstheme="minorHAnsi"/>
          <w:color w:val="auto"/>
          <w:sz w:val="24"/>
          <w:szCs w:val="24"/>
        </w:rPr>
      </w:pPr>
      <w:bookmarkStart w:id="95" w:name="_Toc489950253"/>
      <w:bookmarkStart w:id="96" w:name="_Toc492650040"/>
      <w:r w:rsidRPr="004737C5">
        <w:rPr>
          <w:rFonts w:cstheme="minorHAnsi"/>
          <w:color w:val="auto"/>
          <w:sz w:val="24"/>
          <w:szCs w:val="24"/>
        </w:rPr>
        <w:t>C.</w:t>
      </w:r>
      <w:r w:rsidR="00767597" w:rsidRPr="004737C5">
        <w:rPr>
          <w:rFonts w:cstheme="minorHAnsi"/>
          <w:color w:val="auto"/>
          <w:sz w:val="24"/>
          <w:szCs w:val="24"/>
        </w:rPr>
        <w:t xml:space="preserve"> Product l</w:t>
      </w:r>
      <w:r w:rsidR="00BE71E3" w:rsidRPr="004737C5">
        <w:rPr>
          <w:rFonts w:cstheme="minorHAnsi"/>
          <w:color w:val="auto"/>
          <w:sz w:val="24"/>
          <w:szCs w:val="24"/>
        </w:rPr>
        <w:t>iability</w:t>
      </w:r>
      <w:bookmarkEnd w:id="95"/>
      <w:bookmarkEnd w:id="96"/>
    </w:p>
    <w:p w14:paraId="59504C63" w14:textId="77777777" w:rsidR="00BE71E3" w:rsidRPr="004737C5" w:rsidRDefault="00BE71E3" w:rsidP="006D3BE8">
      <w:pPr>
        <w:pStyle w:val="BodyText"/>
        <w:spacing w:after="160"/>
        <w:rPr>
          <w:rFonts w:asciiTheme="minorHAnsi" w:hAnsiTheme="minorHAnsi" w:cstheme="minorHAnsi"/>
          <w:sz w:val="22"/>
        </w:rPr>
      </w:pPr>
      <w:r w:rsidRPr="004737C5">
        <w:rPr>
          <w:rFonts w:asciiTheme="minorHAnsi" w:hAnsiTheme="minorHAnsi" w:cstheme="minorHAnsi"/>
          <w:sz w:val="22"/>
        </w:rPr>
        <w:t>Product liability is concerned with how to compensate consumers who have suffered from defective products. A consumer who has suffered damage, loss or injury as a result of a defective product may seek remedies in the following ways.</w:t>
      </w:r>
    </w:p>
    <w:p w14:paraId="788F4954" w14:textId="77777777" w:rsidR="00BE71E3" w:rsidRPr="004737C5" w:rsidRDefault="00BE71E3" w:rsidP="00243547">
      <w:pPr>
        <w:pStyle w:val="Heading3"/>
        <w:spacing w:after="160" w:line="240" w:lineRule="auto"/>
        <w:rPr>
          <w:rFonts w:cstheme="minorHAnsi"/>
          <w:color w:val="auto"/>
        </w:rPr>
      </w:pPr>
      <w:bookmarkStart w:id="97" w:name="_Toc489950254"/>
      <w:bookmarkStart w:id="98" w:name="_Toc492650041"/>
      <w:r w:rsidRPr="004737C5">
        <w:rPr>
          <w:rFonts w:cstheme="minorHAnsi"/>
          <w:color w:val="auto"/>
        </w:rPr>
        <w:t>1</w:t>
      </w:r>
      <w:r w:rsidR="00767597" w:rsidRPr="004737C5">
        <w:rPr>
          <w:rFonts w:cstheme="minorHAnsi"/>
          <w:color w:val="auto"/>
        </w:rPr>
        <w:t>.</w:t>
      </w:r>
      <w:r w:rsidRPr="004737C5">
        <w:rPr>
          <w:rFonts w:cstheme="minorHAnsi"/>
          <w:color w:val="auto"/>
        </w:rPr>
        <w:t xml:space="preserve"> Contractual liability</w:t>
      </w:r>
      <w:bookmarkEnd w:id="97"/>
      <w:bookmarkEnd w:id="98"/>
    </w:p>
    <w:p w14:paraId="2BFD13C7" w14:textId="77777777" w:rsidR="00BE71E3" w:rsidRPr="004737C5" w:rsidRDefault="00BE71E3" w:rsidP="00243547">
      <w:pPr>
        <w:pStyle w:val="BodyText"/>
        <w:spacing w:after="160"/>
        <w:rPr>
          <w:rFonts w:asciiTheme="minorHAnsi" w:hAnsiTheme="minorHAnsi" w:cstheme="minorHAnsi"/>
          <w:sz w:val="22"/>
        </w:rPr>
      </w:pPr>
      <w:r w:rsidRPr="004737C5">
        <w:rPr>
          <w:rFonts w:asciiTheme="minorHAnsi" w:hAnsiTheme="minorHAnsi" w:cstheme="minorHAnsi"/>
          <w:sz w:val="22"/>
        </w:rPr>
        <w:t>Parties entering into a contract may have their rights determined by the terms of the contract. A plaintiff suffering loss or damage as a result of goods supplied under a contract must prove that the goods failed to meet the standard required by the contract. However, legal recourse based on contractual rights may be limited in some situatio</w:t>
      </w:r>
      <w:r w:rsidR="00767597" w:rsidRPr="004737C5">
        <w:rPr>
          <w:rFonts w:asciiTheme="minorHAnsi" w:hAnsiTheme="minorHAnsi" w:cstheme="minorHAnsi"/>
          <w:sz w:val="22"/>
        </w:rPr>
        <w:t>ns. This may be due to certain “realities” of the market</w:t>
      </w:r>
      <w:r w:rsidRPr="004737C5">
        <w:rPr>
          <w:rFonts w:asciiTheme="minorHAnsi" w:hAnsiTheme="minorHAnsi" w:cstheme="minorHAnsi"/>
          <w:sz w:val="22"/>
        </w:rPr>
        <w:t>place and legal doctrines such as:</w:t>
      </w:r>
    </w:p>
    <w:p w14:paraId="26EC814D" w14:textId="77777777" w:rsidR="00BE71E3" w:rsidRPr="004737C5" w:rsidRDefault="00767597" w:rsidP="00243547">
      <w:pPr>
        <w:pStyle w:val="ListParagraph"/>
        <w:numPr>
          <w:ilvl w:val="0"/>
          <w:numId w:val="44"/>
        </w:numPr>
        <w:ind w:left="709" w:hanging="425"/>
        <w:contextualSpacing w:val="0"/>
        <w:rPr>
          <w:rFonts w:cstheme="minorHAnsi"/>
        </w:rPr>
      </w:pPr>
      <w:r w:rsidRPr="004737C5">
        <w:rPr>
          <w:rFonts w:cstheme="minorHAnsi"/>
        </w:rPr>
        <w:t>Standard form contracts.</w:t>
      </w:r>
      <w:r w:rsidR="00BE71E3" w:rsidRPr="004737C5">
        <w:rPr>
          <w:rFonts w:cstheme="minorHAnsi"/>
        </w:rPr>
        <w:t xml:space="preserve"> In most cases, these are weighted to one side and consumers are faced with “take it or leave it” option</w:t>
      </w:r>
      <w:r w:rsidRPr="004737C5">
        <w:rPr>
          <w:rFonts w:cstheme="minorHAnsi"/>
        </w:rPr>
        <w:t>s.</w:t>
      </w:r>
    </w:p>
    <w:p w14:paraId="5A292FCD" w14:textId="77777777" w:rsidR="00BE71E3" w:rsidRPr="004737C5" w:rsidRDefault="00767597" w:rsidP="002473E9">
      <w:pPr>
        <w:pStyle w:val="ListParagraph"/>
        <w:numPr>
          <w:ilvl w:val="0"/>
          <w:numId w:val="44"/>
        </w:numPr>
        <w:ind w:left="709" w:hanging="425"/>
        <w:contextualSpacing w:val="0"/>
        <w:rPr>
          <w:rFonts w:cstheme="minorHAnsi"/>
        </w:rPr>
      </w:pPr>
      <w:r w:rsidRPr="004737C5">
        <w:rPr>
          <w:rFonts w:cstheme="minorHAnsi"/>
        </w:rPr>
        <w:lastRenderedPageBreak/>
        <w:t>Privity of contract.</w:t>
      </w:r>
      <w:r w:rsidR="00BE71E3" w:rsidRPr="004737C5">
        <w:rPr>
          <w:rFonts w:cstheme="minorHAnsi"/>
        </w:rPr>
        <w:t xml:space="preserve"> This doctrine precludes third parties from suing under the contract. Members of the purchaser’s family, guests of the purchaser and bystanders may be excluded and thus have to seek their remedy u</w:t>
      </w:r>
      <w:r w:rsidRPr="004737C5">
        <w:rPr>
          <w:rFonts w:cstheme="minorHAnsi"/>
        </w:rPr>
        <w:t>nder the tort of negligence.</w:t>
      </w:r>
    </w:p>
    <w:p w14:paraId="791BBA97" w14:textId="77777777" w:rsidR="00BE71E3" w:rsidRPr="004737C5" w:rsidRDefault="00BE71E3" w:rsidP="002473E9">
      <w:pPr>
        <w:pStyle w:val="ListParagraph"/>
        <w:numPr>
          <w:ilvl w:val="0"/>
          <w:numId w:val="44"/>
        </w:numPr>
        <w:ind w:left="709" w:hanging="425"/>
        <w:rPr>
          <w:rFonts w:cstheme="minorHAnsi"/>
        </w:rPr>
      </w:pPr>
      <w:r w:rsidRPr="004737C5">
        <w:rPr>
          <w:rFonts w:cstheme="minorHAnsi"/>
        </w:rPr>
        <w:t>Evi</w:t>
      </w:r>
      <w:r w:rsidR="00767597" w:rsidRPr="004737C5">
        <w:rPr>
          <w:rFonts w:cstheme="minorHAnsi"/>
        </w:rPr>
        <w:t>dentiary rules.</w:t>
      </w:r>
      <w:r w:rsidRPr="004737C5">
        <w:rPr>
          <w:rFonts w:cstheme="minorHAnsi"/>
        </w:rPr>
        <w:t xml:space="preserve"> Rules of evidence may also limit consumers from claiming under a contract. As a general rule, oral evidence is not allowed to derogate from the terms of a written contract. Although all kinds of oral representations are made in most sales transactions, not all of these may form part of the written contract. </w:t>
      </w:r>
    </w:p>
    <w:p w14:paraId="37D21B02" w14:textId="77777777" w:rsidR="00BE71E3" w:rsidRPr="004737C5" w:rsidRDefault="00BE71E3" w:rsidP="00243547">
      <w:pPr>
        <w:pStyle w:val="Heading3"/>
        <w:spacing w:after="160" w:line="240" w:lineRule="auto"/>
        <w:rPr>
          <w:rFonts w:cstheme="minorHAnsi"/>
          <w:color w:val="auto"/>
        </w:rPr>
      </w:pPr>
      <w:bookmarkStart w:id="99" w:name="_Toc489950255"/>
      <w:bookmarkStart w:id="100" w:name="_Toc492650042"/>
      <w:r w:rsidRPr="004737C5">
        <w:rPr>
          <w:rFonts w:cstheme="minorHAnsi"/>
          <w:color w:val="auto"/>
        </w:rPr>
        <w:t>2</w:t>
      </w:r>
      <w:r w:rsidR="00767597" w:rsidRPr="004737C5">
        <w:rPr>
          <w:rFonts w:cstheme="minorHAnsi"/>
          <w:color w:val="auto"/>
        </w:rPr>
        <w:t>.</w:t>
      </w:r>
      <w:r w:rsidRPr="004737C5">
        <w:rPr>
          <w:rFonts w:cstheme="minorHAnsi"/>
          <w:color w:val="auto"/>
        </w:rPr>
        <w:t xml:space="preserve"> Tortious liability</w:t>
      </w:r>
      <w:bookmarkEnd w:id="99"/>
      <w:bookmarkEnd w:id="100"/>
    </w:p>
    <w:p w14:paraId="1262E1CA" w14:textId="1F2FFAD9" w:rsidR="00BE71E3" w:rsidRPr="004737C5" w:rsidRDefault="00BE71E3" w:rsidP="006D3BE8">
      <w:pPr>
        <w:pStyle w:val="BodyText"/>
        <w:spacing w:after="160"/>
        <w:rPr>
          <w:rFonts w:asciiTheme="minorHAnsi" w:hAnsiTheme="minorHAnsi" w:cstheme="minorHAnsi"/>
          <w:sz w:val="22"/>
        </w:rPr>
      </w:pPr>
      <w:r w:rsidRPr="004737C5">
        <w:rPr>
          <w:rFonts w:asciiTheme="minorHAnsi" w:hAnsiTheme="minorHAnsi" w:cstheme="minorHAnsi"/>
          <w:sz w:val="22"/>
        </w:rPr>
        <w:t>Tort law offers legal protection beyond the contractual framework. The tort of negligence allows consumers to seek compensation for loss suffered as a result of the supply of unsafe products. In countries that have inherited English common law, the landmark decision of the House of Lords in Donoughue v Stevenson (1932) has become the most famous breakthrough in favour of the co</w:t>
      </w:r>
      <w:r w:rsidR="00767597" w:rsidRPr="004737C5">
        <w:rPr>
          <w:rFonts w:asciiTheme="minorHAnsi" w:hAnsiTheme="minorHAnsi" w:cstheme="minorHAnsi"/>
          <w:sz w:val="22"/>
        </w:rPr>
        <w:t xml:space="preserve">nsumer. In this landmark case, </w:t>
      </w:r>
      <w:r w:rsidR="00243547" w:rsidRPr="004737C5">
        <w:rPr>
          <w:rFonts w:asciiTheme="minorHAnsi" w:hAnsiTheme="minorHAnsi" w:cstheme="minorHAnsi"/>
          <w:sz w:val="22"/>
        </w:rPr>
        <w:t xml:space="preserve">a </w:t>
      </w:r>
      <w:r w:rsidR="00767597" w:rsidRPr="004737C5">
        <w:rPr>
          <w:rFonts w:asciiTheme="minorHAnsi" w:hAnsiTheme="minorHAnsi" w:cstheme="minorHAnsi"/>
          <w:sz w:val="22"/>
        </w:rPr>
        <w:t>“new”</w:t>
      </w:r>
      <w:r w:rsidRPr="004737C5">
        <w:rPr>
          <w:rFonts w:asciiTheme="minorHAnsi" w:hAnsiTheme="minorHAnsi" w:cstheme="minorHAnsi"/>
          <w:sz w:val="22"/>
        </w:rPr>
        <w:t xml:space="preserve"> tortious liability of</w:t>
      </w:r>
      <w:r w:rsidR="00767597" w:rsidRPr="004737C5">
        <w:rPr>
          <w:rFonts w:asciiTheme="minorHAnsi" w:hAnsiTheme="minorHAnsi" w:cstheme="minorHAnsi"/>
          <w:sz w:val="22"/>
        </w:rPr>
        <w:t xml:space="preserve"> manufacturers was established,</w:t>
      </w:r>
      <w:r w:rsidRPr="004737C5">
        <w:rPr>
          <w:rFonts w:asciiTheme="minorHAnsi" w:hAnsiTheme="minorHAnsi" w:cstheme="minorHAnsi"/>
          <w:sz w:val="22"/>
        </w:rPr>
        <w:t xml:space="preserve"> </w:t>
      </w:r>
      <w:r w:rsidR="00243547" w:rsidRPr="004737C5">
        <w:rPr>
          <w:rFonts w:asciiTheme="minorHAnsi" w:hAnsiTheme="minorHAnsi" w:cstheme="minorHAnsi"/>
          <w:sz w:val="22"/>
        </w:rPr>
        <w:t>i.e.</w:t>
      </w:r>
      <w:r w:rsidR="00767597" w:rsidRPr="004737C5">
        <w:rPr>
          <w:rFonts w:asciiTheme="minorHAnsi" w:hAnsiTheme="minorHAnsi" w:cstheme="minorHAnsi"/>
          <w:sz w:val="22"/>
        </w:rPr>
        <w:t xml:space="preserve"> </w:t>
      </w:r>
      <w:r w:rsidRPr="004737C5">
        <w:rPr>
          <w:rFonts w:asciiTheme="minorHAnsi" w:hAnsiTheme="minorHAnsi" w:cstheme="minorHAnsi"/>
          <w:sz w:val="22"/>
        </w:rPr>
        <w:t>a co</w:t>
      </w:r>
      <w:r w:rsidR="00767597" w:rsidRPr="004737C5">
        <w:rPr>
          <w:rFonts w:asciiTheme="minorHAnsi" w:hAnsiTheme="minorHAnsi" w:cstheme="minorHAnsi"/>
          <w:sz w:val="22"/>
        </w:rPr>
        <w:t>nsumer could sue a manufacturer</w:t>
      </w:r>
      <w:r w:rsidRPr="004737C5">
        <w:rPr>
          <w:rFonts w:asciiTheme="minorHAnsi" w:hAnsiTheme="minorHAnsi" w:cstheme="minorHAnsi"/>
          <w:sz w:val="22"/>
        </w:rPr>
        <w:t xml:space="preserve"> with whom he or she had no contractual relationship. In this case, it was decided that a manufacturer owes a duty of care to the ultimate consumer or user. This decision paved the way for claims to be made directly against the manufacturer for defects in goods. </w:t>
      </w:r>
    </w:p>
    <w:p w14:paraId="767CAF7D" w14:textId="77777777" w:rsidR="00BE71E3" w:rsidRPr="004737C5" w:rsidRDefault="00BE71E3" w:rsidP="006D3BE8">
      <w:pPr>
        <w:pStyle w:val="BodyText"/>
        <w:spacing w:after="160"/>
        <w:rPr>
          <w:rFonts w:asciiTheme="minorHAnsi" w:hAnsiTheme="minorHAnsi" w:cstheme="minorHAnsi"/>
          <w:sz w:val="22"/>
        </w:rPr>
      </w:pPr>
      <w:r w:rsidRPr="004737C5">
        <w:rPr>
          <w:rFonts w:asciiTheme="minorHAnsi" w:hAnsiTheme="minorHAnsi" w:cstheme="minorHAnsi"/>
          <w:sz w:val="22"/>
        </w:rPr>
        <w:t xml:space="preserve">The claimant (i.e. consumer) has to prove: </w:t>
      </w:r>
    </w:p>
    <w:p w14:paraId="28653597" w14:textId="77777777" w:rsidR="00BE71E3" w:rsidRPr="004737C5" w:rsidRDefault="00BE71E3" w:rsidP="002473E9">
      <w:pPr>
        <w:pStyle w:val="ListParagraph"/>
        <w:numPr>
          <w:ilvl w:val="0"/>
          <w:numId w:val="45"/>
        </w:numPr>
        <w:tabs>
          <w:tab w:val="num" w:pos="709"/>
        </w:tabs>
        <w:ind w:left="709" w:hanging="425"/>
        <w:rPr>
          <w:rFonts w:cstheme="minorHAnsi"/>
        </w:rPr>
      </w:pPr>
      <w:r w:rsidRPr="004737C5">
        <w:rPr>
          <w:rFonts w:cstheme="minorHAnsi"/>
        </w:rPr>
        <w:t xml:space="preserve">A duty was owed </w:t>
      </w:r>
      <w:r w:rsidR="00767597" w:rsidRPr="004737C5">
        <w:rPr>
          <w:rFonts w:cstheme="minorHAnsi"/>
        </w:rPr>
        <w:t>by the producer to the consumer</w:t>
      </w:r>
    </w:p>
    <w:p w14:paraId="4DC599FA" w14:textId="77777777" w:rsidR="00BE71E3" w:rsidRPr="004737C5" w:rsidRDefault="00767597" w:rsidP="002473E9">
      <w:pPr>
        <w:pStyle w:val="ListParagraph"/>
        <w:numPr>
          <w:ilvl w:val="0"/>
          <w:numId w:val="45"/>
        </w:numPr>
        <w:tabs>
          <w:tab w:val="num" w:pos="709"/>
        </w:tabs>
        <w:ind w:left="709" w:hanging="425"/>
        <w:rPr>
          <w:rFonts w:cstheme="minorHAnsi"/>
        </w:rPr>
      </w:pPr>
      <w:r w:rsidRPr="004737C5">
        <w:rPr>
          <w:rFonts w:cstheme="minorHAnsi"/>
        </w:rPr>
        <w:t>The duty was breached</w:t>
      </w:r>
    </w:p>
    <w:p w14:paraId="30B0E789" w14:textId="77777777" w:rsidR="00BE71E3" w:rsidRPr="004737C5" w:rsidRDefault="00BE71E3" w:rsidP="002473E9">
      <w:pPr>
        <w:pStyle w:val="ListParagraph"/>
        <w:numPr>
          <w:ilvl w:val="0"/>
          <w:numId w:val="45"/>
        </w:numPr>
        <w:tabs>
          <w:tab w:val="num" w:pos="709"/>
        </w:tabs>
        <w:ind w:left="709" w:hanging="425"/>
        <w:rPr>
          <w:rFonts w:cstheme="minorHAnsi"/>
        </w:rPr>
      </w:pPr>
      <w:r w:rsidRPr="004737C5">
        <w:rPr>
          <w:rFonts w:cstheme="minorHAnsi"/>
        </w:rPr>
        <w:t>There was physical and/or mental injury to person or damage to pro</w:t>
      </w:r>
      <w:r w:rsidR="00767597" w:rsidRPr="004737C5">
        <w:rPr>
          <w:rFonts w:cstheme="minorHAnsi"/>
        </w:rPr>
        <w:t>perty as a result of the breach</w:t>
      </w:r>
    </w:p>
    <w:p w14:paraId="0DAF32D6" w14:textId="77777777" w:rsidR="00BE71E3" w:rsidRPr="004737C5" w:rsidRDefault="00BE71E3" w:rsidP="006D3BE8">
      <w:pPr>
        <w:pStyle w:val="BodyText"/>
        <w:spacing w:after="160"/>
        <w:rPr>
          <w:rFonts w:asciiTheme="minorHAnsi" w:hAnsiTheme="minorHAnsi" w:cstheme="minorHAnsi"/>
          <w:sz w:val="22"/>
        </w:rPr>
      </w:pPr>
      <w:r w:rsidRPr="004737C5">
        <w:rPr>
          <w:rFonts w:asciiTheme="minorHAnsi" w:hAnsiTheme="minorHAnsi" w:cstheme="minorHAnsi"/>
          <w:sz w:val="22"/>
        </w:rPr>
        <w:t>Although the tort of negligence is available to all persons injured by defective goods, it is nevertheless not easy to prove. To prove that the defendant breached the duty of care, the plaintiff must be fully informed about the defendant’s manufacturing processes. The task is complex and involves considerable expense. Since this is a fault-based liability, the plaintiff also</w:t>
      </w:r>
      <w:r w:rsidR="00767597" w:rsidRPr="004737C5">
        <w:rPr>
          <w:rFonts w:asciiTheme="minorHAnsi" w:hAnsiTheme="minorHAnsi" w:cstheme="minorHAnsi"/>
          <w:sz w:val="22"/>
        </w:rPr>
        <w:t xml:space="preserve"> has</w:t>
      </w:r>
      <w:r w:rsidRPr="004737C5">
        <w:rPr>
          <w:rFonts w:asciiTheme="minorHAnsi" w:hAnsiTheme="minorHAnsi" w:cstheme="minorHAnsi"/>
          <w:sz w:val="22"/>
        </w:rPr>
        <w:t xml:space="preserve"> to sue every possible person whose acts or omissions may have c</w:t>
      </w:r>
      <w:r w:rsidR="00767597" w:rsidRPr="004737C5">
        <w:rPr>
          <w:rFonts w:asciiTheme="minorHAnsi" w:hAnsiTheme="minorHAnsi" w:cstheme="minorHAnsi"/>
          <w:sz w:val="22"/>
        </w:rPr>
        <w:t>ontributed to the “defect”</w:t>
      </w:r>
      <w:r w:rsidRPr="004737C5">
        <w:rPr>
          <w:rFonts w:asciiTheme="minorHAnsi" w:hAnsiTheme="minorHAnsi" w:cstheme="minorHAnsi"/>
          <w:sz w:val="22"/>
        </w:rPr>
        <w:t xml:space="preserve"> that resulted in loss or damage</w:t>
      </w:r>
      <w:r w:rsidR="00767597" w:rsidRPr="004737C5">
        <w:rPr>
          <w:rFonts w:asciiTheme="minorHAnsi" w:hAnsiTheme="minorHAnsi" w:cstheme="minorHAnsi"/>
          <w:sz w:val="22"/>
        </w:rPr>
        <w:t>, for example</w:t>
      </w:r>
      <w:r w:rsidRPr="004737C5">
        <w:rPr>
          <w:rFonts w:asciiTheme="minorHAnsi" w:hAnsiTheme="minorHAnsi" w:cstheme="minorHAnsi"/>
          <w:sz w:val="22"/>
        </w:rPr>
        <w:t xml:space="preserve"> the manufacturer, designer of the goods, the component manufacturer or supplier of raw materials, the distributor and</w:t>
      </w:r>
      <w:r w:rsidR="00767597" w:rsidRPr="004737C5">
        <w:rPr>
          <w:rFonts w:asciiTheme="minorHAnsi" w:hAnsiTheme="minorHAnsi" w:cstheme="minorHAnsi"/>
          <w:sz w:val="22"/>
        </w:rPr>
        <w:t xml:space="preserve"> the</w:t>
      </w:r>
      <w:r w:rsidRPr="004737C5">
        <w:rPr>
          <w:rFonts w:asciiTheme="minorHAnsi" w:hAnsiTheme="minorHAnsi" w:cstheme="minorHAnsi"/>
          <w:sz w:val="22"/>
        </w:rPr>
        <w:t xml:space="preserve"> retailer. The plaintiff also runs the risk of having to pay the costs of any party not found to be negligent.</w:t>
      </w:r>
    </w:p>
    <w:p w14:paraId="153DFAD6" w14:textId="77777777" w:rsidR="00BE71E3" w:rsidRPr="004737C5" w:rsidRDefault="00BE71E3" w:rsidP="00243547">
      <w:pPr>
        <w:pStyle w:val="Heading3"/>
        <w:spacing w:after="160" w:line="240" w:lineRule="auto"/>
        <w:rPr>
          <w:rFonts w:cstheme="minorHAnsi"/>
          <w:color w:val="auto"/>
        </w:rPr>
      </w:pPr>
      <w:bookmarkStart w:id="101" w:name="_Toc489950256"/>
      <w:bookmarkStart w:id="102" w:name="_Toc492650043"/>
      <w:r w:rsidRPr="004737C5">
        <w:rPr>
          <w:rFonts w:cstheme="minorHAnsi"/>
          <w:color w:val="auto"/>
        </w:rPr>
        <w:t>3</w:t>
      </w:r>
      <w:r w:rsidR="00767597" w:rsidRPr="004737C5">
        <w:rPr>
          <w:rFonts w:cstheme="minorHAnsi"/>
          <w:color w:val="auto"/>
        </w:rPr>
        <w:t>.</w:t>
      </w:r>
      <w:r w:rsidRPr="004737C5">
        <w:rPr>
          <w:rFonts w:cstheme="minorHAnsi"/>
          <w:color w:val="auto"/>
        </w:rPr>
        <w:t xml:space="preserve"> Strict liability</w:t>
      </w:r>
      <w:bookmarkEnd w:id="101"/>
      <w:bookmarkEnd w:id="102"/>
      <w:r w:rsidRPr="004737C5">
        <w:rPr>
          <w:rFonts w:cstheme="minorHAnsi"/>
          <w:color w:val="auto"/>
        </w:rPr>
        <w:t xml:space="preserve"> </w:t>
      </w:r>
    </w:p>
    <w:p w14:paraId="05CC94F9" w14:textId="2382CA75" w:rsidR="00BE71E3" w:rsidRPr="004737C5" w:rsidRDefault="00BE71E3" w:rsidP="006D3BE8">
      <w:pPr>
        <w:pStyle w:val="BodyText"/>
        <w:spacing w:after="160"/>
        <w:rPr>
          <w:rFonts w:asciiTheme="minorHAnsi" w:hAnsiTheme="minorHAnsi" w:cstheme="minorHAnsi"/>
          <w:sz w:val="22"/>
        </w:rPr>
      </w:pPr>
      <w:r w:rsidRPr="004737C5">
        <w:rPr>
          <w:rFonts w:asciiTheme="minorHAnsi" w:hAnsiTheme="minorHAnsi" w:cstheme="minorHAnsi"/>
          <w:sz w:val="22"/>
        </w:rPr>
        <w:t xml:space="preserve">Strict liability refers to liability of any or all parties along the </w:t>
      </w:r>
      <w:r w:rsidR="00767597" w:rsidRPr="004737C5">
        <w:rPr>
          <w:rFonts w:asciiTheme="minorHAnsi" w:hAnsiTheme="minorHAnsi" w:cstheme="minorHAnsi"/>
          <w:sz w:val="22"/>
        </w:rPr>
        <w:t xml:space="preserve">manufacturing </w:t>
      </w:r>
      <w:r w:rsidR="00243547" w:rsidRPr="004737C5">
        <w:rPr>
          <w:rFonts w:asciiTheme="minorHAnsi" w:hAnsiTheme="minorHAnsi" w:cstheme="minorHAnsi"/>
          <w:sz w:val="22"/>
        </w:rPr>
        <w:t>chain (</w:t>
      </w:r>
      <w:r w:rsidRPr="004737C5">
        <w:rPr>
          <w:rFonts w:asciiTheme="minorHAnsi" w:hAnsiTheme="minorHAnsi" w:cstheme="minorHAnsi"/>
          <w:sz w:val="22"/>
        </w:rPr>
        <w:t xml:space="preserve">manufacturer of component parts, manufacturer who assembles the parts, wholesaler and retailer) for the whole damage caused by the product, without prejudice to the recovery action among responsible parties. Strict liability standards emerged in the second half of the </w:t>
      </w:r>
      <w:r w:rsidR="006A5496" w:rsidRPr="004737C5">
        <w:rPr>
          <w:rFonts w:asciiTheme="minorHAnsi" w:hAnsiTheme="minorHAnsi" w:cstheme="minorHAnsi"/>
          <w:sz w:val="22"/>
        </w:rPr>
        <w:t>twentieth</w:t>
      </w:r>
      <w:r w:rsidRPr="004737C5">
        <w:rPr>
          <w:rFonts w:asciiTheme="minorHAnsi" w:hAnsiTheme="minorHAnsi" w:cstheme="minorHAnsi"/>
          <w:sz w:val="22"/>
        </w:rPr>
        <w:t xml:space="preserve"> century </w:t>
      </w:r>
      <w:r w:rsidR="00767597" w:rsidRPr="004737C5">
        <w:rPr>
          <w:rFonts w:asciiTheme="minorHAnsi" w:hAnsiTheme="minorHAnsi" w:cstheme="minorHAnsi"/>
          <w:sz w:val="22"/>
        </w:rPr>
        <w:t>and make</w:t>
      </w:r>
      <w:r w:rsidRPr="004737C5">
        <w:rPr>
          <w:rFonts w:asciiTheme="minorHAnsi" w:hAnsiTheme="minorHAnsi" w:cstheme="minorHAnsi"/>
          <w:sz w:val="22"/>
        </w:rPr>
        <w:t xml:space="preserve"> a party legally responsible for damages, regardless of culpability and without need to prove fault, negligence or intention. Strict liability was introduced into the European Union’s </w:t>
      </w:r>
      <w:r w:rsidRPr="004737C5">
        <w:rPr>
          <w:rFonts w:asciiTheme="minorHAnsi" w:hAnsiTheme="minorHAnsi" w:cstheme="minorHAnsi"/>
          <w:i/>
          <w:sz w:val="22"/>
        </w:rPr>
        <w:t>acquis communautaire</w:t>
      </w:r>
      <w:r w:rsidRPr="004737C5">
        <w:rPr>
          <w:rFonts w:asciiTheme="minorHAnsi" w:hAnsiTheme="minorHAnsi" w:cstheme="minorHAnsi"/>
          <w:sz w:val="22"/>
        </w:rPr>
        <w:t xml:space="preserve"> (body of law) in 1985 through the Product Liabilit</w:t>
      </w:r>
      <w:r w:rsidR="00767597" w:rsidRPr="004737C5">
        <w:rPr>
          <w:rFonts w:asciiTheme="minorHAnsi" w:hAnsiTheme="minorHAnsi" w:cstheme="minorHAnsi"/>
          <w:sz w:val="22"/>
        </w:rPr>
        <w:t>y Directive. Although the term “strict liability”</w:t>
      </w:r>
      <w:r w:rsidRPr="004737C5">
        <w:rPr>
          <w:rFonts w:asciiTheme="minorHAnsi" w:hAnsiTheme="minorHAnsi" w:cstheme="minorHAnsi"/>
          <w:sz w:val="22"/>
        </w:rPr>
        <w:t xml:space="preserve"> is used, it does not suggest absolute liability. It evolved largely to avoid the privity restriction and other restrictions</w:t>
      </w:r>
      <w:r w:rsidR="00767597" w:rsidRPr="004737C5">
        <w:rPr>
          <w:rFonts w:asciiTheme="minorHAnsi" w:hAnsiTheme="minorHAnsi" w:cstheme="minorHAnsi"/>
          <w:sz w:val="22"/>
        </w:rPr>
        <w:t xml:space="preserve"> imposed by warranty standards.</w:t>
      </w:r>
      <w:r w:rsidRPr="004737C5">
        <w:rPr>
          <w:rFonts w:asciiTheme="minorHAnsi" w:hAnsiTheme="minorHAnsi" w:cstheme="minorHAnsi"/>
          <w:sz w:val="22"/>
        </w:rPr>
        <w:t xml:space="preserve"> The concept of strict liability for defective products is now a widely accepted part of the legal regime for consumer protection and covers a range of liability systems with different degrees of strictness. The practical application of strict l</w:t>
      </w:r>
      <w:r w:rsidR="00767597" w:rsidRPr="004737C5">
        <w:rPr>
          <w:rFonts w:asciiTheme="minorHAnsi" w:hAnsiTheme="minorHAnsi" w:cstheme="minorHAnsi"/>
          <w:sz w:val="22"/>
        </w:rPr>
        <w:t>iability can be limited by the “state of the art defence”</w:t>
      </w:r>
      <w:r w:rsidRPr="004737C5">
        <w:rPr>
          <w:rFonts w:asciiTheme="minorHAnsi" w:hAnsiTheme="minorHAnsi" w:cstheme="minorHAnsi"/>
          <w:sz w:val="22"/>
        </w:rPr>
        <w:t xml:space="preserve"> (see below).</w:t>
      </w:r>
    </w:p>
    <w:p w14:paraId="147BD4E6" w14:textId="77777777" w:rsidR="00BE71E3" w:rsidRPr="004737C5" w:rsidRDefault="00BE71E3" w:rsidP="00243547">
      <w:pPr>
        <w:pStyle w:val="BodyText"/>
        <w:spacing w:after="160"/>
        <w:rPr>
          <w:rFonts w:asciiTheme="minorHAnsi" w:hAnsiTheme="minorHAnsi" w:cstheme="minorHAnsi"/>
          <w:sz w:val="22"/>
        </w:rPr>
      </w:pPr>
      <w:r w:rsidRPr="004737C5">
        <w:rPr>
          <w:rFonts w:asciiTheme="minorHAnsi" w:hAnsiTheme="minorHAnsi" w:cstheme="minorHAnsi"/>
          <w:sz w:val="22"/>
        </w:rPr>
        <w:t>Generally, a defendant will be liable under the doctrine of strict liability, regardless of fault, if it can be established that:</w:t>
      </w:r>
    </w:p>
    <w:p w14:paraId="6DA3371F" w14:textId="77777777" w:rsidR="00BE71E3" w:rsidRPr="004737C5" w:rsidRDefault="00767597" w:rsidP="002473E9">
      <w:pPr>
        <w:pStyle w:val="ListParagraph"/>
        <w:numPr>
          <w:ilvl w:val="0"/>
          <w:numId w:val="46"/>
        </w:numPr>
        <w:tabs>
          <w:tab w:val="clear" w:pos="1080"/>
          <w:tab w:val="num" w:pos="709"/>
        </w:tabs>
        <w:ind w:left="709" w:hanging="425"/>
        <w:rPr>
          <w:rFonts w:cstheme="minorHAnsi"/>
        </w:rPr>
      </w:pPr>
      <w:r w:rsidRPr="004737C5">
        <w:rPr>
          <w:rFonts w:cstheme="minorHAnsi"/>
        </w:rPr>
        <w:t>The product is defective</w:t>
      </w:r>
    </w:p>
    <w:p w14:paraId="2986899D" w14:textId="77777777" w:rsidR="00BE71E3" w:rsidRPr="004737C5" w:rsidRDefault="00BE71E3" w:rsidP="002473E9">
      <w:pPr>
        <w:pStyle w:val="ListParagraph"/>
        <w:numPr>
          <w:ilvl w:val="0"/>
          <w:numId w:val="46"/>
        </w:numPr>
        <w:tabs>
          <w:tab w:val="clear" w:pos="1080"/>
          <w:tab w:val="num" w:pos="709"/>
        </w:tabs>
        <w:ind w:left="709" w:hanging="425"/>
        <w:rPr>
          <w:rFonts w:cstheme="minorHAnsi"/>
        </w:rPr>
      </w:pPr>
      <w:r w:rsidRPr="004737C5">
        <w:rPr>
          <w:rFonts w:cstheme="minorHAnsi"/>
        </w:rPr>
        <w:lastRenderedPageBreak/>
        <w:t>There was a causal link between t</w:t>
      </w:r>
      <w:r w:rsidR="00767597" w:rsidRPr="004737C5">
        <w:rPr>
          <w:rFonts w:cstheme="minorHAnsi"/>
        </w:rPr>
        <w:t>hat defect and the injuries</w:t>
      </w:r>
    </w:p>
    <w:p w14:paraId="295A0E80" w14:textId="77777777" w:rsidR="00BE71E3" w:rsidRPr="004737C5" w:rsidRDefault="00BE71E3" w:rsidP="002473E9">
      <w:pPr>
        <w:pStyle w:val="ListParagraph"/>
        <w:numPr>
          <w:ilvl w:val="0"/>
          <w:numId w:val="46"/>
        </w:numPr>
        <w:tabs>
          <w:tab w:val="clear" w:pos="1080"/>
          <w:tab w:val="num" w:pos="709"/>
        </w:tabs>
        <w:ind w:left="709" w:hanging="425"/>
        <w:rPr>
          <w:rFonts w:cstheme="minorHAnsi"/>
        </w:rPr>
      </w:pPr>
      <w:r w:rsidRPr="004737C5">
        <w:rPr>
          <w:rFonts w:cstheme="minorHAnsi"/>
        </w:rPr>
        <w:t>There are no defences availab</w:t>
      </w:r>
      <w:r w:rsidR="00767597" w:rsidRPr="004737C5">
        <w:rPr>
          <w:rFonts w:cstheme="minorHAnsi"/>
        </w:rPr>
        <w:t>le to the defendant (see below)</w:t>
      </w:r>
      <w:r w:rsidRPr="004737C5">
        <w:rPr>
          <w:rFonts w:cstheme="minorHAnsi"/>
        </w:rPr>
        <w:t xml:space="preserve"> </w:t>
      </w:r>
    </w:p>
    <w:p w14:paraId="7EEAFC65" w14:textId="77777777" w:rsidR="00BE71E3" w:rsidRPr="004737C5" w:rsidRDefault="00BE71E3" w:rsidP="00243547">
      <w:pPr>
        <w:pStyle w:val="BodyText"/>
        <w:spacing w:after="160"/>
        <w:rPr>
          <w:rFonts w:asciiTheme="minorHAnsi" w:hAnsiTheme="minorHAnsi" w:cstheme="minorHAnsi"/>
          <w:sz w:val="22"/>
        </w:rPr>
      </w:pPr>
      <w:r w:rsidRPr="004737C5">
        <w:rPr>
          <w:rFonts w:asciiTheme="minorHAnsi" w:hAnsiTheme="minorHAnsi" w:cstheme="minorHAnsi"/>
          <w:sz w:val="22"/>
        </w:rPr>
        <w:t xml:space="preserve">It is irrelevant that the manufacturer or supplier exercised sufficient care. Liability will arise if the defect in the product causes harm to the user. Some characteristics of strict liability are as follows: </w:t>
      </w:r>
    </w:p>
    <w:p w14:paraId="17E19BDD" w14:textId="77777777" w:rsidR="00BE71E3" w:rsidRPr="004737C5" w:rsidRDefault="00BE71E3" w:rsidP="002473E9">
      <w:pPr>
        <w:pStyle w:val="ListParagraph"/>
        <w:numPr>
          <w:ilvl w:val="0"/>
          <w:numId w:val="47"/>
        </w:numPr>
        <w:tabs>
          <w:tab w:val="clear" w:pos="1080"/>
          <w:tab w:val="num" w:pos="709"/>
        </w:tabs>
        <w:ind w:left="709" w:hanging="425"/>
        <w:rPr>
          <w:rFonts w:cstheme="minorHAnsi"/>
        </w:rPr>
      </w:pPr>
      <w:r w:rsidRPr="004737C5">
        <w:rPr>
          <w:rFonts w:cstheme="minorHAnsi"/>
        </w:rPr>
        <w:t>Most strict liability tests are based upon a standard of defectiveness that places some of the r</w:t>
      </w:r>
      <w:r w:rsidR="00767597" w:rsidRPr="004737C5">
        <w:rPr>
          <w:rFonts w:cstheme="minorHAnsi"/>
        </w:rPr>
        <w:t>isks on the user of the product</w:t>
      </w:r>
      <w:r w:rsidRPr="004737C5">
        <w:rPr>
          <w:rFonts w:cstheme="minorHAnsi"/>
        </w:rPr>
        <w:t xml:space="preserve"> </w:t>
      </w:r>
    </w:p>
    <w:p w14:paraId="452539C9" w14:textId="6F28C1CA" w:rsidR="00BE71E3" w:rsidRPr="004737C5" w:rsidRDefault="00BE71E3" w:rsidP="002473E9">
      <w:pPr>
        <w:pStyle w:val="ListParagraph"/>
        <w:numPr>
          <w:ilvl w:val="0"/>
          <w:numId w:val="47"/>
        </w:numPr>
        <w:tabs>
          <w:tab w:val="clear" w:pos="1080"/>
          <w:tab w:val="num" w:pos="709"/>
        </w:tabs>
        <w:ind w:left="709" w:hanging="425"/>
        <w:rPr>
          <w:rFonts w:cstheme="minorHAnsi"/>
        </w:rPr>
      </w:pPr>
      <w:r w:rsidRPr="004737C5">
        <w:rPr>
          <w:rFonts w:cstheme="minorHAnsi"/>
        </w:rPr>
        <w:t>The objective criteria are usually base</w:t>
      </w:r>
      <w:r w:rsidR="00243547" w:rsidRPr="004737C5">
        <w:rPr>
          <w:rFonts w:cstheme="minorHAnsi"/>
        </w:rPr>
        <w:t xml:space="preserve">d on </w:t>
      </w:r>
      <w:r w:rsidR="00767597" w:rsidRPr="004737C5">
        <w:rPr>
          <w:rFonts w:cstheme="minorHAnsi"/>
        </w:rPr>
        <w:t>consumer expectation</w:t>
      </w:r>
    </w:p>
    <w:p w14:paraId="4026BF51" w14:textId="77777777" w:rsidR="00BE71E3" w:rsidRPr="004737C5" w:rsidRDefault="00BE71E3" w:rsidP="002473E9">
      <w:pPr>
        <w:pStyle w:val="ListParagraph"/>
        <w:numPr>
          <w:ilvl w:val="0"/>
          <w:numId w:val="47"/>
        </w:numPr>
        <w:tabs>
          <w:tab w:val="clear" w:pos="1080"/>
          <w:tab w:val="num" w:pos="709"/>
        </w:tabs>
        <w:ind w:left="709" w:hanging="425"/>
        <w:rPr>
          <w:rFonts w:cstheme="minorHAnsi"/>
        </w:rPr>
      </w:pPr>
      <w:r w:rsidRPr="004737C5">
        <w:rPr>
          <w:rFonts w:cstheme="minorHAnsi"/>
        </w:rPr>
        <w:t>Strict liability regimes tend to channel liability towards the person best placed to control the product and insure the ris</w:t>
      </w:r>
      <w:r w:rsidR="00767597" w:rsidRPr="004737C5">
        <w:rPr>
          <w:rFonts w:cstheme="minorHAnsi"/>
        </w:rPr>
        <w:t>k involved</w:t>
      </w:r>
    </w:p>
    <w:p w14:paraId="29866476" w14:textId="77777777" w:rsidR="00BE71E3" w:rsidRPr="004737C5" w:rsidRDefault="00BE71E3" w:rsidP="00243547">
      <w:pPr>
        <w:pStyle w:val="Heading3"/>
        <w:spacing w:after="160" w:line="240" w:lineRule="auto"/>
        <w:rPr>
          <w:rFonts w:cstheme="minorHAnsi"/>
          <w:color w:val="auto"/>
        </w:rPr>
      </w:pPr>
      <w:bookmarkStart w:id="103" w:name="_Toc489950257"/>
      <w:bookmarkStart w:id="104" w:name="_Toc492650044"/>
      <w:r w:rsidRPr="004737C5">
        <w:rPr>
          <w:rFonts w:cstheme="minorHAnsi"/>
          <w:color w:val="auto"/>
        </w:rPr>
        <w:t>4</w:t>
      </w:r>
      <w:r w:rsidR="00767597" w:rsidRPr="004737C5">
        <w:rPr>
          <w:rFonts w:cstheme="minorHAnsi"/>
          <w:color w:val="auto"/>
        </w:rPr>
        <w:t>.</w:t>
      </w:r>
      <w:r w:rsidRPr="004737C5">
        <w:rPr>
          <w:rFonts w:cstheme="minorHAnsi"/>
          <w:color w:val="auto"/>
        </w:rPr>
        <w:t xml:space="preserve"> Rationale for strict liability</w:t>
      </w:r>
      <w:bookmarkEnd w:id="103"/>
      <w:bookmarkEnd w:id="104"/>
      <w:r w:rsidRPr="004737C5">
        <w:rPr>
          <w:rFonts w:cstheme="minorHAnsi"/>
          <w:color w:val="auto"/>
        </w:rPr>
        <w:t xml:space="preserve"> </w:t>
      </w:r>
    </w:p>
    <w:p w14:paraId="23C8DB22" w14:textId="77777777" w:rsidR="00BE71E3" w:rsidRPr="004737C5" w:rsidRDefault="00BE71E3" w:rsidP="00243547">
      <w:pPr>
        <w:rPr>
          <w:rFonts w:cstheme="minorHAnsi"/>
        </w:rPr>
      </w:pPr>
      <w:r w:rsidRPr="004737C5">
        <w:rPr>
          <w:rFonts w:cstheme="minorHAnsi"/>
        </w:rPr>
        <w:t xml:space="preserve">The rationale for strict liability is: </w:t>
      </w:r>
    </w:p>
    <w:p w14:paraId="6B8B8024" w14:textId="77777777" w:rsidR="00BE71E3" w:rsidRPr="004737C5" w:rsidRDefault="00BE71E3" w:rsidP="002473E9">
      <w:pPr>
        <w:pStyle w:val="ListParagraph"/>
        <w:numPr>
          <w:ilvl w:val="0"/>
          <w:numId w:val="48"/>
        </w:numPr>
        <w:tabs>
          <w:tab w:val="clear" w:pos="1080"/>
          <w:tab w:val="num" w:pos="709"/>
        </w:tabs>
        <w:ind w:left="709" w:hanging="425"/>
        <w:rPr>
          <w:rFonts w:cstheme="minorHAnsi"/>
        </w:rPr>
      </w:pPr>
      <w:r w:rsidRPr="004737C5">
        <w:rPr>
          <w:rFonts w:cstheme="minorHAnsi"/>
        </w:rPr>
        <w:t>It is a means for spreading the risks attached to the use of a product across all those responsible for bringing goods and services to the market, rather than letting the risk be assumed by the unfortunate victims. In certain sectors, this may be done through a compulsory insurance, with the prem</w:t>
      </w:r>
      <w:r w:rsidR="00767597" w:rsidRPr="004737C5">
        <w:rPr>
          <w:rFonts w:cstheme="minorHAnsi"/>
        </w:rPr>
        <w:t>ium being borne by the producer.</w:t>
      </w:r>
    </w:p>
    <w:p w14:paraId="61BFC848" w14:textId="77777777" w:rsidR="00BE71E3" w:rsidRPr="004737C5" w:rsidRDefault="00BE71E3" w:rsidP="002473E9">
      <w:pPr>
        <w:pStyle w:val="ListParagraph"/>
        <w:numPr>
          <w:ilvl w:val="0"/>
          <w:numId w:val="48"/>
        </w:numPr>
        <w:tabs>
          <w:tab w:val="clear" w:pos="1080"/>
          <w:tab w:val="num" w:pos="709"/>
        </w:tabs>
        <w:ind w:left="709" w:hanging="425"/>
        <w:rPr>
          <w:rFonts w:cstheme="minorHAnsi"/>
        </w:rPr>
      </w:pPr>
      <w:r w:rsidRPr="004737C5">
        <w:rPr>
          <w:rFonts w:cstheme="minorHAnsi"/>
        </w:rPr>
        <w:t xml:space="preserve">It reflects an assumption that the producer should be able to reflect the cost of liability, actual or potential (including the cost of insurance), in the price of the product. Even in the absence of fault, this places responsibility where it </w:t>
      </w:r>
      <w:r w:rsidR="00767597" w:rsidRPr="004737C5">
        <w:rPr>
          <w:rFonts w:cstheme="minorHAnsi"/>
        </w:rPr>
        <w:t>can be more readily assumed.</w:t>
      </w:r>
    </w:p>
    <w:p w14:paraId="15735EE1" w14:textId="77777777" w:rsidR="00BE71E3" w:rsidRPr="004737C5" w:rsidRDefault="00BE71E3" w:rsidP="00243547">
      <w:pPr>
        <w:pStyle w:val="ListParagraph"/>
        <w:numPr>
          <w:ilvl w:val="0"/>
          <w:numId w:val="48"/>
        </w:numPr>
        <w:tabs>
          <w:tab w:val="clear" w:pos="1080"/>
          <w:tab w:val="num" w:pos="709"/>
        </w:tabs>
        <w:ind w:left="709" w:hanging="425"/>
        <w:rPr>
          <w:rFonts w:cstheme="minorHAnsi"/>
        </w:rPr>
      </w:pPr>
      <w:r w:rsidRPr="004737C5">
        <w:rPr>
          <w:rFonts w:cstheme="minorHAnsi"/>
        </w:rPr>
        <w:t>The producer is the person best placed to obtain insurance. Few individuals are likely voluntarily to take out first-party insurance.</w:t>
      </w:r>
    </w:p>
    <w:p w14:paraId="060BA6B9" w14:textId="77777777" w:rsidR="00BE71E3" w:rsidRPr="004737C5" w:rsidRDefault="00BE71E3" w:rsidP="00243547">
      <w:pPr>
        <w:pStyle w:val="Heading3"/>
        <w:spacing w:after="160" w:line="240" w:lineRule="auto"/>
        <w:rPr>
          <w:rFonts w:cstheme="minorHAnsi"/>
          <w:color w:val="auto"/>
        </w:rPr>
      </w:pPr>
      <w:bookmarkStart w:id="105" w:name="_Toc489950258"/>
      <w:bookmarkStart w:id="106" w:name="_Toc492650045"/>
      <w:r w:rsidRPr="004737C5">
        <w:rPr>
          <w:rFonts w:cstheme="minorHAnsi"/>
          <w:color w:val="auto"/>
        </w:rPr>
        <w:t>5</w:t>
      </w:r>
      <w:r w:rsidR="00767597" w:rsidRPr="004737C5">
        <w:rPr>
          <w:rFonts w:cstheme="minorHAnsi"/>
          <w:color w:val="auto"/>
        </w:rPr>
        <w:t>.</w:t>
      </w:r>
      <w:r w:rsidRPr="004737C5">
        <w:rPr>
          <w:rFonts w:cstheme="minorHAnsi"/>
          <w:color w:val="auto"/>
        </w:rPr>
        <w:t xml:space="preserve"> What is a defect?</w:t>
      </w:r>
      <w:bookmarkEnd w:id="105"/>
      <w:bookmarkEnd w:id="106"/>
    </w:p>
    <w:p w14:paraId="0807B78A" w14:textId="77777777" w:rsidR="00BE71E3" w:rsidRPr="004737C5" w:rsidRDefault="00BE71E3" w:rsidP="006D3BE8">
      <w:pPr>
        <w:pStyle w:val="BodyText2"/>
        <w:spacing w:after="160"/>
        <w:rPr>
          <w:rFonts w:asciiTheme="minorHAnsi" w:hAnsiTheme="minorHAnsi" w:cstheme="minorHAnsi"/>
          <w:color w:val="auto"/>
        </w:rPr>
      </w:pPr>
      <w:r w:rsidRPr="004737C5">
        <w:rPr>
          <w:rFonts w:asciiTheme="minorHAnsi" w:hAnsiTheme="minorHAnsi" w:cstheme="minorHAnsi"/>
          <w:color w:val="auto"/>
        </w:rPr>
        <w:t xml:space="preserve">Generally, a product is defective if it does not provide the level of suitability that the consumer is entitled to expect. Liability is imposed against a supplier of a product if the product is supplied in a defective condition and results in injuries. Determining defectiveness is one of the more difficult problems in product liability litigation. </w:t>
      </w:r>
    </w:p>
    <w:p w14:paraId="2B18E2AE" w14:textId="77777777" w:rsidR="00BE71E3" w:rsidRPr="004737C5" w:rsidRDefault="00BE71E3" w:rsidP="00243547">
      <w:pPr>
        <w:pStyle w:val="BodyText2"/>
        <w:spacing w:after="160"/>
        <w:rPr>
          <w:rFonts w:asciiTheme="minorHAnsi" w:hAnsiTheme="minorHAnsi" w:cstheme="minorHAnsi"/>
          <w:color w:val="auto"/>
        </w:rPr>
      </w:pPr>
      <w:r w:rsidRPr="004737C5">
        <w:rPr>
          <w:rFonts w:asciiTheme="minorHAnsi" w:hAnsiTheme="minorHAnsi" w:cstheme="minorHAnsi"/>
          <w:color w:val="auto"/>
        </w:rPr>
        <w:t>Generally</w:t>
      </w:r>
      <w:r w:rsidR="00767597" w:rsidRPr="004737C5">
        <w:rPr>
          <w:rFonts w:asciiTheme="minorHAnsi" w:hAnsiTheme="minorHAnsi" w:cstheme="minorHAnsi"/>
          <w:color w:val="auto"/>
        </w:rPr>
        <w:t>,</w:t>
      </w:r>
      <w:r w:rsidRPr="004737C5">
        <w:rPr>
          <w:rFonts w:asciiTheme="minorHAnsi" w:hAnsiTheme="minorHAnsi" w:cstheme="minorHAnsi"/>
          <w:color w:val="auto"/>
        </w:rPr>
        <w:t xml:space="preserve"> there are a number of factors that the courts will take into account</w:t>
      </w:r>
      <w:r w:rsidR="00767597" w:rsidRPr="004737C5">
        <w:rPr>
          <w:rFonts w:asciiTheme="minorHAnsi" w:hAnsiTheme="minorHAnsi" w:cstheme="minorHAnsi"/>
          <w:color w:val="auto"/>
        </w:rPr>
        <w:t xml:space="preserve"> when deciding on the issue of “defectiveness”</w:t>
      </w:r>
      <w:r w:rsidRPr="004737C5">
        <w:rPr>
          <w:rFonts w:asciiTheme="minorHAnsi" w:hAnsiTheme="minorHAnsi" w:cstheme="minorHAnsi"/>
          <w:color w:val="auto"/>
        </w:rPr>
        <w:t>. These include the following:</w:t>
      </w:r>
    </w:p>
    <w:p w14:paraId="74BCF3DE" w14:textId="77777777" w:rsidR="00BE71E3" w:rsidRPr="004737C5" w:rsidRDefault="00BE71E3" w:rsidP="002473E9">
      <w:pPr>
        <w:pStyle w:val="ListParagraph"/>
        <w:numPr>
          <w:ilvl w:val="0"/>
          <w:numId w:val="49"/>
        </w:numPr>
        <w:tabs>
          <w:tab w:val="clear" w:pos="1080"/>
          <w:tab w:val="num" w:pos="709"/>
        </w:tabs>
        <w:ind w:left="709" w:hanging="425"/>
        <w:rPr>
          <w:rFonts w:cstheme="minorHAnsi"/>
        </w:rPr>
      </w:pPr>
      <w:r w:rsidRPr="004737C5">
        <w:rPr>
          <w:rFonts w:cstheme="minorHAnsi"/>
        </w:rPr>
        <w:t>The manner in which, and the purposes for w</w:t>
      </w:r>
      <w:r w:rsidR="00767597" w:rsidRPr="004737C5">
        <w:rPr>
          <w:rFonts w:cstheme="minorHAnsi"/>
        </w:rPr>
        <w:t>hich, the product was marketed</w:t>
      </w:r>
    </w:p>
    <w:p w14:paraId="0FE47081" w14:textId="77777777" w:rsidR="00BE71E3" w:rsidRPr="004737C5" w:rsidRDefault="00767597" w:rsidP="002473E9">
      <w:pPr>
        <w:pStyle w:val="ListParagraph"/>
        <w:numPr>
          <w:ilvl w:val="0"/>
          <w:numId w:val="49"/>
        </w:numPr>
        <w:tabs>
          <w:tab w:val="clear" w:pos="1080"/>
          <w:tab w:val="num" w:pos="709"/>
        </w:tabs>
        <w:ind w:left="709" w:hanging="425"/>
        <w:rPr>
          <w:rFonts w:cstheme="minorHAnsi"/>
        </w:rPr>
      </w:pPr>
      <w:r w:rsidRPr="004737C5">
        <w:rPr>
          <w:rFonts w:cstheme="minorHAnsi"/>
        </w:rPr>
        <w:t>The packaging of the product</w:t>
      </w:r>
    </w:p>
    <w:p w14:paraId="49BCCB38" w14:textId="77777777" w:rsidR="00BE71E3" w:rsidRPr="004737C5" w:rsidRDefault="00BE71E3" w:rsidP="002473E9">
      <w:pPr>
        <w:pStyle w:val="ListParagraph"/>
        <w:numPr>
          <w:ilvl w:val="0"/>
          <w:numId w:val="49"/>
        </w:numPr>
        <w:tabs>
          <w:tab w:val="clear" w:pos="1080"/>
          <w:tab w:val="num" w:pos="709"/>
        </w:tabs>
        <w:ind w:left="709" w:hanging="425"/>
        <w:rPr>
          <w:rFonts w:cstheme="minorHAnsi"/>
        </w:rPr>
      </w:pPr>
      <w:r w:rsidRPr="004737C5">
        <w:rPr>
          <w:rFonts w:cstheme="minorHAnsi"/>
        </w:rPr>
        <w:t>The use of any mark</w:t>
      </w:r>
      <w:r w:rsidR="00767597" w:rsidRPr="004737C5">
        <w:rPr>
          <w:rFonts w:cstheme="minorHAnsi"/>
        </w:rPr>
        <w:t xml:space="preserve"> in relation to the product</w:t>
      </w:r>
    </w:p>
    <w:p w14:paraId="6ACD12AF" w14:textId="77777777" w:rsidR="00BE71E3" w:rsidRPr="004737C5" w:rsidRDefault="00BE71E3" w:rsidP="002473E9">
      <w:pPr>
        <w:pStyle w:val="ListParagraph"/>
        <w:numPr>
          <w:ilvl w:val="0"/>
          <w:numId w:val="49"/>
        </w:numPr>
        <w:tabs>
          <w:tab w:val="clear" w:pos="1080"/>
          <w:tab w:val="num" w:pos="709"/>
        </w:tabs>
        <w:ind w:left="709" w:hanging="425"/>
        <w:rPr>
          <w:rFonts w:cstheme="minorHAnsi"/>
        </w:rPr>
      </w:pPr>
      <w:r w:rsidRPr="004737C5">
        <w:rPr>
          <w:rFonts w:cstheme="minorHAnsi"/>
        </w:rPr>
        <w:t>Instructions or warnings in respect of the keeping, us</w:t>
      </w:r>
      <w:r w:rsidR="00767597" w:rsidRPr="004737C5">
        <w:rPr>
          <w:rFonts w:cstheme="minorHAnsi"/>
        </w:rPr>
        <w:t>e or consumption of the product</w:t>
      </w:r>
    </w:p>
    <w:p w14:paraId="5852C0A1" w14:textId="77777777" w:rsidR="00BE71E3" w:rsidRPr="004737C5" w:rsidRDefault="00BE71E3" w:rsidP="006D3BE8">
      <w:pPr>
        <w:rPr>
          <w:rFonts w:cstheme="minorHAnsi"/>
        </w:rPr>
      </w:pPr>
      <w:r w:rsidRPr="004737C5">
        <w:rPr>
          <w:rFonts w:cstheme="minorHAnsi"/>
        </w:rPr>
        <w:t>There are many possible types of defects, eight of which are listed below (in some cases there may be overlaps between these categories):</w:t>
      </w:r>
    </w:p>
    <w:p w14:paraId="79B4C078" w14:textId="77777777" w:rsidR="00BE71E3" w:rsidRPr="004737C5" w:rsidRDefault="00767597" w:rsidP="002473E9">
      <w:pPr>
        <w:numPr>
          <w:ilvl w:val="0"/>
          <w:numId w:val="16"/>
        </w:numPr>
        <w:ind w:left="709" w:hanging="425"/>
        <w:rPr>
          <w:rFonts w:cstheme="minorHAnsi"/>
        </w:rPr>
      </w:pPr>
      <w:r w:rsidRPr="004737C5">
        <w:rPr>
          <w:rFonts w:cstheme="minorHAnsi"/>
          <w:bCs/>
        </w:rPr>
        <w:t>A</w:t>
      </w:r>
      <w:r w:rsidRPr="004737C5">
        <w:rPr>
          <w:rFonts w:cstheme="minorHAnsi"/>
          <w:b/>
          <w:bCs/>
        </w:rPr>
        <w:t xml:space="preserve"> m</w:t>
      </w:r>
      <w:r w:rsidR="00BE71E3" w:rsidRPr="004737C5">
        <w:rPr>
          <w:rFonts w:cstheme="minorHAnsi"/>
          <w:b/>
          <w:bCs/>
        </w:rPr>
        <w:t>anufacturing defect</w:t>
      </w:r>
      <w:r w:rsidR="00BE71E3" w:rsidRPr="004737C5">
        <w:rPr>
          <w:rFonts w:cstheme="minorHAnsi"/>
        </w:rPr>
        <w:t xml:space="preserve"> is caused by an error in the manufacturing process or by the use of defective raw material. This type of defect occurs when a product is designed well but because of a flaw in the manufacturing process, or a sampling error in the testing process, it does not meet the specifications </w:t>
      </w:r>
      <w:r w:rsidRPr="004737C5">
        <w:rPr>
          <w:rFonts w:cstheme="minorHAnsi"/>
        </w:rPr>
        <w:t>includ</w:t>
      </w:r>
      <w:r w:rsidR="00BE71E3" w:rsidRPr="004737C5">
        <w:rPr>
          <w:rFonts w:cstheme="minorHAnsi"/>
        </w:rPr>
        <w:t>ed in the design of the product. If the finished product is substandard by comparison to identical products in that product line, the producer may be held liable for causing the irregularity and failing to discover the defect before it was sold to the consumer. I</w:t>
      </w:r>
      <w:r w:rsidRPr="004737C5">
        <w:rPr>
          <w:rFonts w:cstheme="minorHAnsi"/>
        </w:rPr>
        <w:t>n such cases the definition of “producer”</w:t>
      </w:r>
      <w:r w:rsidR="00BE71E3" w:rsidRPr="004737C5">
        <w:rPr>
          <w:rFonts w:cstheme="minorHAnsi"/>
        </w:rPr>
        <w:t xml:space="preserve"> of the defective product would also extend along the production chain from the manufacturer to the supplier of the product even when not directly involved in the manufacturing process.</w:t>
      </w:r>
    </w:p>
    <w:p w14:paraId="2648AF96" w14:textId="77777777" w:rsidR="00BE71E3" w:rsidRPr="004737C5" w:rsidRDefault="00767597" w:rsidP="002473E9">
      <w:pPr>
        <w:numPr>
          <w:ilvl w:val="0"/>
          <w:numId w:val="17"/>
        </w:numPr>
        <w:ind w:left="709" w:hanging="425"/>
        <w:rPr>
          <w:rFonts w:cstheme="minorHAnsi"/>
        </w:rPr>
      </w:pPr>
      <w:r w:rsidRPr="004737C5">
        <w:rPr>
          <w:rFonts w:cstheme="minorHAnsi"/>
          <w:bCs/>
        </w:rPr>
        <w:lastRenderedPageBreak/>
        <w:t xml:space="preserve">A </w:t>
      </w:r>
      <w:r w:rsidRPr="004737C5">
        <w:rPr>
          <w:rFonts w:cstheme="minorHAnsi"/>
          <w:b/>
          <w:bCs/>
        </w:rPr>
        <w:t>d</w:t>
      </w:r>
      <w:r w:rsidR="00BE71E3" w:rsidRPr="004737C5">
        <w:rPr>
          <w:rFonts w:cstheme="minorHAnsi"/>
          <w:b/>
          <w:bCs/>
        </w:rPr>
        <w:t>esign defect</w:t>
      </w:r>
      <w:r w:rsidR="00BE71E3" w:rsidRPr="004737C5">
        <w:rPr>
          <w:rFonts w:cstheme="minorHAnsi"/>
        </w:rPr>
        <w:t xml:space="preserve"> occurs when a whole product line or every product of a particular model is dangerously deficient. A product is defectively designed if the product is more dangerous than an ordinary consumer would expect or if the benefits of the product’s design do not outweigh its risks. A manufacturer may be held liable if </w:t>
      </w:r>
      <w:r w:rsidR="00DE6BD3" w:rsidRPr="004737C5">
        <w:rPr>
          <w:rFonts w:cstheme="minorHAnsi"/>
        </w:rPr>
        <w:t xml:space="preserve">it </w:t>
      </w:r>
      <w:r w:rsidR="00BE71E3" w:rsidRPr="004737C5">
        <w:rPr>
          <w:rFonts w:cstheme="minorHAnsi"/>
        </w:rPr>
        <w:t>fail</w:t>
      </w:r>
      <w:r w:rsidR="00DE6BD3" w:rsidRPr="004737C5">
        <w:rPr>
          <w:rFonts w:cstheme="minorHAnsi"/>
        </w:rPr>
        <w:t xml:space="preserve">s </w:t>
      </w:r>
      <w:r w:rsidR="00BE71E3" w:rsidRPr="004737C5">
        <w:rPr>
          <w:rFonts w:cstheme="minorHAnsi"/>
        </w:rPr>
        <w:t>to take reasonable care to ensure that a product is designed to perform safely. Manufacturers must not only ensure that their products are safe when they are used in the intended way, but also in unintended, though foreseeable, ways. In determining product liability, the courts apply the “unreasonably dangerous” test or a combination of the consumer expectations and “risk-benefit” test to determine if the design is defective.</w:t>
      </w:r>
    </w:p>
    <w:p w14:paraId="4D84C7DC" w14:textId="77777777" w:rsidR="00BE71E3" w:rsidRPr="004737C5" w:rsidRDefault="00BE71E3" w:rsidP="002473E9">
      <w:pPr>
        <w:numPr>
          <w:ilvl w:val="0"/>
          <w:numId w:val="21"/>
        </w:numPr>
        <w:ind w:left="709" w:hanging="425"/>
        <w:rPr>
          <w:rFonts w:cstheme="minorHAnsi"/>
        </w:rPr>
      </w:pPr>
      <w:r w:rsidRPr="004737C5">
        <w:rPr>
          <w:rFonts w:cstheme="minorHAnsi"/>
          <w:b/>
          <w:bCs/>
        </w:rPr>
        <w:t>Warning defect</w:t>
      </w:r>
      <w:r w:rsidR="00DE6BD3" w:rsidRPr="004737C5">
        <w:rPr>
          <w:rFonts w:cstheme="minorHAnsi"/>
        </w:rPr>
        <w:t>. A</w:t>
      </w:r>
      <w:r w:rsidRPr="004737C5">
        <w:rPr>
          <w:rFonts w:cstheme="minorHAnsi"/>
        </w:rPr>
        <w:t xml:space="preserve"> manufacturer has a duty to provide adequate instructions concerning the safe use of its product and must warn buyers of any dangers associated with the product. While the product design itself may not be inherently defective, the product can be rendered defective by the lack of such a warning. If such warnings are not present, the manufacturer may be liable for injuries caused by the product. Manufacturers have a duty to perform safety tests to determine what warning labels need to be put on a product. These tests should simulate conditions under which the products would ordinarily (or even plausibly) be used. The warning given must not only cover the likely uses and misuses of products but must also be clear and capa</w:t>
      </w:r>
      <w:r w:rsidR="00DE6BD3" w:rsidRPr="004737C5">
        <w:rPr>
          <w:rFonts w:cstheme="minorHAnsi"/>
        </w:rPr>
        <w:t>ble of being easily understood, through</w:t>
      </w:r>
      <w:r w:rsidRPr="004737C5">
        <w:rPr>
          <w:rFonts w:cstheme="minorHAnsi"/>
        </w:rPr>
        <w:t xml:space="preserve"> use of symbols, pictures or multilingual warnings.</w:t>
      </w:r>
    </w:p>
    <w:p w14:paraId="79F42FDD" w14:textId="77777777" w:rsidR="00BE71E3" w:rsidRPr="004737C5" w:rsidRDefault="00DE6BD3" w:rsidP="002473E9">
      <w:pPr>
        <w:numPr>
          <w:ilvl w:val="0"/>
          <w:numId w:val="22"/>
        </w:numPr>
        <w:ind w:left="709" w:hanging="425"/>
        <w:rPr>
          <w:rFonts w:cstheme="minorHAnsi"/>
        </w:rPr>
      </w:pPr>
      <w:r w:rsidRPr="004737C5">
        <w:rPr>
          <w:rFonts w:cstheme="minorHAnsi"/>
          <w:bCs/>
        </w:rPr>
        <w:t xml:space="preserve">An </w:t>
      </w:r>
      <w:r w:rsidRPr="004737C5">
        <w:rPr>
          <w:rFonts w:cstheme="minorHAnsi"/>
          <w:b/>
          <w:bCs/>
        </w:rPr>
        <w:t>i</w:t>
      </w:r>
      <w:r w:rsidR="00BE71E3" w:rsidRPr="004737C5">
        <w:rPr>
          <w:rFonts w:cstheme="minorHAnsi"/>
          <w:b/>
          <w:bCs/>
        </w:rPr>
        <w:t>nstruction defect</w:t>
      </w:r>
      <w:r w:rsidR="00BE71E3" w:rsidRPr="004737C5">
        <w:rPr>
          <w:rFonts w:cstheme="minorHAnsi"/>
        </w:rPr>
        <w:t xml:space="preserve"> is similar to a warning defect as it concerns the information provided to the consumer. However, it differs from a warning defect in that the defect is not a failure to warn of an inherent danger in the product. Here the defect involves the creation of danger by the failure to warn the consumer of how to use the product safely. What is required of the manufacturer is to provide instructions on how to use the product and a warning of the dangers involved if instructions are not strictly complied with.  </w:t>
      </w:r>
    </w:p>
    <w:p w14:paraId="27DD3589" w14:textId="77777777" w:rsidR="00BE71E3" w:rsidRPr="004737C5" w:rsidRDefault="00DE6BD3" w:rsidP="002473E9">
      <w:pPr>
        <w:numPr>
          <w:ilvl w:val="0"/>
          <w:numId w:val="18"/>
        </w:numPr>
        <w:ind w:left="709" w:hanging="425"/>
        <w:rPr>
          <w:rFonts w:cstheme="minorHAnsi"/>
        </w:rPr>
      </w:pPr>
      <w:r w:rsidRPr="004737C5">
        <w:rPr>
          <w:rFonts w:cstheme="minorHAnsi"/>
          <w:bCs/>
        </w:rPr>
        <w:t xml:space="preserve">A </w:t>
      </w:r>
      <w:r w:rsidRPr="004737C5">
        <w:rPr>
          <w:rFonts w:cstheme="minorHAnsi"/>
          <w:b/>
          <w:bCs/>
        </w:rPr>
        <w:t>d</w:t>
      </w:r>
      <w:r w:rsidR="00BE71E3" w:rsidRPr="004737C5">
        <w:rPr>
          <w:rFonts w:cstheme="minorHAnsi"/>
          <w:b/>
          <w:bCs/>
        </w:rPr>
        <w:t>evelopment risk defect</w:t>
      </w:r>
      <w:r w:rsidR="00BE71E3" w:rsidRPr="004737C5">
        <w:rPr>
          <w:rFonts w:cstheme="minorHAnsi"/>
        </w:rPr>
        <w:t xml:space="preserve"> is one that only comes to light after the product has been marketed. The risks associated with this cate</w:t>
      </w:r>
      <w:r w:rsidRPr="004737C5">
        <w:rPr>
          <w:rFonts w:cstheme="minorHAnsi"/>
        </w:rPr>
        <w:t>gory of defect were not known</w:t>
      </w:r>
      <w:r w:rsidR="00BE71E3" w:rsidRPr="004737C5">
        <w:rPr>
          <w:rFonts w:cstheme="minorHAnsi"/>
        </w:rPr>
        <w:t xml:space="preserve"> at the time of marketing but if they had been known they would have prevented the product from being marketed according to the standards of safety current at the time of marketing. This c</w:t>
      </w:r>
      <w:r w:rsidRPr="004737C5">
        <w:rPr>
          <w:rFonts w:cstheme="minorHAnsi"/>
        </w:rPr>
        <w:t>ategory overlaps with that of “state of the art”</w:t>
      </w:r>
      <w:r w:rsidR="00BE71E3" w:rsidRPr="004737C5">
        <w:rPr>
          <w:rFonts w:cstheme="minorHAnsi"/>
        </w:rPr>
        <w:t xml:space="preserve"> defects (below).  </w:t>
      </w:r>
    </w:p>
    <w:p w14:paraId="6C5B932C" w14:textId="77777777" w:rsidR="00BE71E3" w:rsidRPr="004737C5" w:rsidRDefault="00BE71E3" w:rsidP="002473E9">
      <w:pPr>
        <w:numPr>
          <w:ilvl w:val="0"/>
          <w:numId w:val="19"/>
        </w:numPr>
        <w:ind w:left="709" w:hanging="425"/>
        <w:rPr>
          <w:rFonts w:cstheme="minorHAnsi"/>
        </w:rPr>
      </w:pPr>
      <w:r w:rsidRPr="004737C5">
        <w:rPr>
          <w:rFonts w:cstheme="minorHAnsi"/>
          <w:b/>
          <w:bCs/>
        </w:rPr>
        <w:t>State of the art defects</w:t>
      </w:r>
      <w:r w:rsidR="00DE6BD3" w:rsidRPr="004737C5">
        <w:rPr>
          <w:rFonts w:cstheme="minorHAnsi"/>
        </w:rPr>
        <w:t xml:space="preserve"> are “</w:t>
      </w:r>
      <w:r w:rsidRPr="004737C5">
        <w:rPr>
          <w:rFonts w:cstheme="minorHAnsi"/>
        </w:rPr>
        <w:t>accept</w:t>
      </w:r>
      <w:r w:rsidR="00DE6BD3" w:rsidRPr="004737C5">
        <w:rPr>
          <w:rFonts w:cstheme="minorHAnsi"/>
        </w:rPr>
        <w:t>ed”</w:t>
      </w:r>
      <w:r w:rsidRPr="004737C5">
        <w:rPr>
          <w:rFonts w:cstheme="minorHAnsi"/>
        </w:rPr>
        <w:t xml:space="preserve"> (in retrospective legal terms) when products are placed on the market because the defects were unknown at the time within the giv</w:t>
      </w:r>
      <w:r w:rsidR="00DE6BD3" w:rsidRPr="004737C5">
        <w:rPr>
          <w:rFonts w:cstheme="minorHAnsi"/>
        </w:rPr>
        <w:t>en sector. However, the defects</w:t>
      </w:r>
      <w:r w:rsidRPr="004737C5">
        <w:rPr>
          <w:rFonts w:cstheme="minorHAnsi"/>
        </w:rPr>
        <w:t xml:space="preserve"> subsequently become less acceptable as general in</w:t>
      </w:r>
      <w:r w:rsidR="00DE6BD3" w:rsidRPr="004737C5">
        <w:rPr>
          <w:rFonts w:cstheme="minorHAnsi"/>
        </w:rPr>
        <w:t xml:space="preserve">dustry practice improves. Such </w:t>
      </w:r>
      <w:r w:rsidRPr="004737C5">
        <w:rPr>
          <w:rFonts w:cstheme="minorHAnsi"/>
        </w:rPr>
        <w:t xml:space="preserve">products </w:t>
      </w:r>
      <w:r w:rsidR="00DE6BD3" w:rsidRPr="004737C5">
        <w:rPr>
          <w:rFonts w:cstheme="minorHAnsi"/>
        </w:rPr>
        <w:t>are therefore termed “defective”</w:t>
      </w:r>
      <w:r w:rsidRPr="004737C5">
        <w:rPr>
          <w:rFonts w:cstheme="minorHAnsi"/>
        </w:rPr>
        <w:t xml:space="preserve"> as safer alternatives or replacements have</w:t>
      </w:r>
      <w:r w:rsidR="00DE6BD3" w:rsidRPr="004737C5">
        <w:rPr>
          <w:rFonts w:cstheme="minorHAnsi"/>
        </w:rPr>
        <w:t xml:space="preserve"> subsequently</w:t>
      </w:r>
      <w:r w:rsidRPr="004737C5">
        <w:rPr>
          <w:rFonts w:cstheme="minorHAnsi"/>
        </w:rPr>
        <w:t xml:space="preserve"> emerged.  </w:t>
      </w:r>
    </w:p>
    <w:p w14:paraId="1029E6FD" w14:textId="77777777" w:rsidR="00BE71E3" w:rsidRPr="004737C5" w:rsidRDefault="00DE6BD3" w:rsidP="0028499C">
      <w:pPr>
        <w:numPr>
          <w:ilvl w:val="0"/>
          <w:numId w:val="20"/>
        </w:numPr>
        <w:ind w:left="709" w:hanging="425"/>
        <w:rPr>
          <w:rFonts w:cstheme="minorHAnsi"/>
        </w:rPr>
      </w:pPr>
      <w:r w:rsidRPr="004737C5">
        <w:rPr>
          <w:rFonts w:cstheme="minorHAnsi"/>
          <w:bCs/>
        </w:rPr>
        <w:t xml:space="preserve">A </w:t>
      </w:r>
      <w:r w:rsidRPr="004737C5">
        <w:rPr>
          <w:rFonts w:cstheme="minorHAnsi"/>
          <w:b/>
          <w:bCs/>
        </w:rPr>
        <w:t>p</w:t>
      </w:r>
      <w:r w:rsidR="00BE71E3" w:rsidRPr="004737C5">
        <w:rPr>
          <w:rFonts w:cstheme="minorHAnsi"/>
          <w:b/>
          <w:bCs/>
        </w:rPr>
        <w:t>ost-marketing defect</w:t>
      </w:r>
      <w:r w:rsidR="00BE71E3" w:rsidRPr="004737C5">
        <w:rPr>
          <w:rFonts w:cstheme="minorHAnsi"/>
        </w:rPr>
        <w:t xml:space="preserve"> concerns the failure to warn of dangers, to recall products or to take other remedial action after a danger has been detected. Manufacturers must seriously consider the nature and extent of warnings that must be issued when they become aware of dangers in the product after it has been sold. These involve hazards t</w:t>
      </w:r>
      <w:r w:rsidRPr="004737C5">
        <w:rPr>
          <w:rFonts w:cstheme="minorHAnsi"/>
        </w:rPr>
        <w:t>hat are discovered after a sale</w:t>
      </w:r>
      <w:r w:rsidR="00BE71E3" w:rsidRPr="004737C5">
        <w:rPr>
          <w:rFonts w:cstheme="minorHAnsi"/>
        </w:rPr>
        <w:t xml:space="preserve"> which the manufacturer did not know of or would not have reasona</w:t>
      </w:r>
      <w:r w:rsidRPr="004737C5">
        <w:rPr>
          <w:rFonts w:cstheme="minorHAnsi"/>
        </w:rPr>
        <w:t>bly been expected to know of</w:t>
      </w:r>
      <w:r w:rsidR="00BE71E3" w:rsidRPr="004737C5">
        <w:rPr>
          <w:rFonts w:cstheme="minorHAnsi"/>
        </w:rPr>
        <w:t xml:space="preserve"> before it sold the product.  </w:t>
      </w:r>
    </w:p>
    <w:p w14:paraId="328F2FE2" w14:textId="77777777" w:rsidR="00BE71E3" w:rsidRPr="004737C5" w:rsidRDefault="00BE71E3" w:rsidP="0028499C">
      <w:pPr>
        <w:pStyle w:val="Heading3"/>
        <w:spacing w:after="160" w:line="240" w:lineRule="auto"/>
        <w:rPr>
          <w:rFonts w:cstheme="minorHAnsi"/>
          <w:color w:val="auto"/>
        </w:rPr>
      </w:pPr>
      <w:bookmarkStart w:id="107" w:name="_Toc489950259"/>
      <w:bookmarkStart w:id="108" w:name="_Toc492650046"/>
      <w:r w:rsidRPr="004737C5">
        <w:rPr>
          <w:rFonts w:cstheme="minorHAnsi"/>
          <w:color w:val="auto"/>
        </w:rPr>
        <w:t>6</w:t>
      </w:r>
      <w:r w:rsidR="00DE6BD3" w:rsidRPr="004737C5">
        <w:rPr>
          <w:rFonts w:cstheme="minorHAnsi"/>
          <w:color w:val="auto"/>
        </w:rPr>
        <w:t>.</w:t>
      </w:r>
      <w:r w:rsidRPr="004737C5">
        <w:rPr>
          <w:rFonts w:cstheme="minorHAnsi"/>
          <w:color w:val="auto"/>
        </w:rPr>
        <w:t xml:space="preserve"> Standards for determining defectiveness</w:t>
      </w:r>
      <w:bookmarkEnd w:id="107"/>
      <w:bookmarkEnd w:id="108"/>
    </w:p>
    <w:p w14:paraId="3A2CBEE1" w14:textId="77777777" w:rsidR="00BE71E3" w:rsidRPr="004737C5" w:rsidRDefault="00BE71E3" w:rsidP="0028499C">
      <w:pPr>
        <w:pStyle w:val="BodyText"/>
        <w:spacing w:after="160"/>
        <w:rPr>
          <w:rFonts w:asciiTheme="minorHAnsi" w:hAnsiTheme="minorHAnsi" w:cstheme="minorHAnsi"/>
          <w:sz w:val="22"/>
        </w:rPr>
      </w:pPr>
      <w:r w:rsidRPr="004737C5">
        <w:rPr>
          <w:rFonts w:asciiTheme="minorHAnsi" w:hAnsiTheme="minorHAnsi" w:cstheme="minorHAnsi"/>
          <w:sz w:val="22"/>
        </w:rPr>
        <w:t>There are several standards for determining defectiveness. These are as follows:</w:t>
      </w:r>
    </w:p>
    <w:p w14:paraId="61A3860B" w14:textId="3B2BAD03" w:rsidR="00BE71E3" w:rsidRPr="004737C5" w:rsidRDefault="00BE71E3" w:rsidP="0028499C">
      <w:pPr>
        <w:pStyle w:val="BodyText"/>
        <w:numPr>
          <w:ilvl w:val="0"/>
          <w:numId w:val="93"/>
        </w:numPr>
        <w:spacing w:after="160"/>
        <w:ind w:left="709" w:hanging="425"/>
        <w:rPr>
          <w:rFonts w:asciiTheme="minorHAnsi" w:hAnsiTheme="minorHAnsi" w:cstheme="minorHAnsi"/>
          <w:b/>
          <w:bCs/>
          <w:sz w:val="22"/>
        </w:rPr>
      </w:pPr>
      <w:r w:rsidRPr="004737C5">
        <w:rPr>
          <w:rFonts w:asciiTheme="minorHAnsi" w:hAnsiTheme="minorHAnsi" w:cstheme="minorHAnsi"/>
          <w:b/>
          <w:bCs/>
          <w:sz w:val="22"/>
        </w:rPr>
        <w:t>Consumer expectations</w:t>
      </w:r>
      <w:r w:rsidR="00DE6BD3" w:rsidRPr="004737C5">
        <w:rPr>
          <w:rFonts w:asciiTheme="minorHAnsi" w:hAnsiTheme="minorHAnsi" w:cstheme="minorHAnsi"/>
          <w:sz w:val="22"/>
        </w:rPr>
        <w:t>. This standard</w:t>
      </w:r>
      <w:r w:rsidRPr="004737C5">
        <w:rPr>
          <w:rFonts w:asciiTheme="minorHAnsi" w:hAnsiTheme="minorHAnsi" w:cstheme="minorHAnsi"/>
          <w:sz w:val="22"/>
        </w:rPr>
        <w:t xml:space="preserve"> requires that the element of danger in a product must not extend beyond that which is contemplated by the ord</w:t>
      </w:r>
      <w:r w:rsidR="00DE6BD3" w:rsidRPr="004737C5">
        <w:rPr>
          <w:rFonts w:asciiTheme="minorHAnsi" w:hAnsiTheme="minorHAnsi" w:cstheme="minorHAnsi"/>
          <w:sz w:val="22"/>
        </w:rPr>
        <w:t xml:space="preserve">inary consumer who </w:t>
      </w:r>
      <w:r w:rsidR="00DE6BD3" w:rsidRPr="004737C5">
        <w:rPr>
          <w:rFonts w:asciiTheme="minorHAnsi" w:hAnsiTheme="minorHAnsi" w:cstheme="minorHAnsi"/>
          <w:sz w:val="22"/>
        </w:rPr>
        <w:lastRenderedPageBreak/>
        <w:t>purchases,</w:t>
      </w:r>
      <w:r w:rsidRPr="004737C5">
        <w:rPr>
          <w:rFonts w:asciiTheme="minorHAnsi" w:hAnsiTheme="minorHAnsi" w:cstheme="minorHAnsi"/>
          <w:sz w:val="22"/>
        </w:rPr>
        <w:t xml:space="preserve"> uses or comes into contact with the product (including children</w:t>
      </w:r>
      <w:r w:rsidR="0028499C" w:rsidRPr="004737C5">
        <w:rPr>
          <w:rFonts w:asciiTheme="minorHAnsi" w:hAnsiTheme="minorHAnsi" w:cstheme="minorHAnsi"/>
          <w:sz w:val="22"/>
        </w:rPr>
        <w:t>,</w:t>
      </w:r>
      <w:r w:rsidRPr="004737C5">
        <w:rPr>
          <w:rFonts w:asciiTheme="minorHAnsi" w:hAnsiTheme="minorHAnsi" w:cstheme="minorHAnsi"/>
          <w:sz w:val="22"/>
        </w:rPr>
        <w:t xml:space="preserve"> for example). It is crucial that the product must be fit for the ordinary purposes for which it</w:t>
      </w:r>
      <w:r w:rsidR="0028499C" w:rsidRPr="004737C5">
        <w:rPr>
          <w:rFonts w:asciiTheme="minorHAnsi" w:hAnsiTheme="minorHAnsi" w:cstheme="minorHAnsi"/>
          <w:sz w:val="22"/>
        </w:rPr>
        <w:t xml:space="preserve"> </w:t>
      </w:r>
      <w:r w:rsidRPr="004737C5">
        <w:rPr>
          <w:rFonts w:asciiTheme="minorHAnsi" w:hAnsiTheme="minorHAnsi" w:cstheme="minorHAnsi"/>
          <w:sz w:val="22"/>
        </w:rPr>
        <w:t xml:space="preserve">is used. </w:t>
      </w:r>
    </w:p>
    <w:p w14:paraId="595A38B3" w14:textId="77777777" w:rsidR="00BE71E3" w:rsidRPr="004737C5" w:rsidRDefault="00BE71E3" w:rsidP="002473E9">
      <w:pPr>
        <w:pStyle w:val="BodyText"/>
        <w:numPr>
          <w:ilvl w:val="0"/>
          <w:numId w:val="93"/>
        </w:numPr>
        <w:spacing w:after="160"/>
        <w:ind w:left="709" w:hanging="425"/>
        <w:rPr>
          <w:rFonts w:asciiTheme="minorHAnsi" w:hAnsiTheme="minorHAnsi" w:cstheme="minorHAnsi"/>
          <w:sz w:val="22"/>
        </w:rPr>
      </w:pPr>
      <w:r w:rsidRPr="004737C5">
        <w:rPr>
          <w:rFonts w:asciiTheme="minorHAnsi" w:hAnsiTheme="minorHAnsi" w:cstheme="minorHAnsi"/>
          <w:b/>
          <w:bCs/>
          <w:sz w:val="22"/>
        </w:rPr>
        <w:t>Presumed seller knowledge</w:t>
      </w:r>
      <w:r w:rsidR="00DE6BD3" w:rsidRPr="004737C5">
        <w:rPr>
          <w:rFonts w:asciiTheme="minorHAnsi" w:hAnsiTheme="minorHAnsi" w:cstheme="minorHAnsi"/>
          <w:sz w:val="22"/>
        </w:rPr>
        <w:t>. This</w:t>
      </w:r>
      <w:r w:rsidRPr="004737C5">
        <w:rPr>
          <w:rFonts w:asciiTheme="minorHAnsi" w:hAnsiTheme="minorHAnsi" w:cstheme="minorHAnsi"/>
          <w:sz w:val="22"/>
        </w:rPr>
        <w:t xml:space="preserve"> raises the question of whether sellers would be negligent in placing a product on the market if they had knowledge of its harmful or dangerous condition. This standard imputes general knowledge, rather than specifi</w:t>
      </w:r>
      <w:r w:rsidR="00DE6BD3" w:rsidRPr="004737C5">
        <w:rPr>
          <w:rFonts w:asciiTheme="minorHAnsi" w:hAnsiTheme="minorHAnsi" w:cstheme="minorHAnsi"/>
          <w:sz w:val="22"/>
        </w:rPr>
        <w:t>c knowledge about each product.</w:t>
      </w:r>
      <w:r w:rsidR="00A80CAC" w:rsidRPr="004737C5">
        <w:rPr>
          <w:rFonts w:asciiTheme="minorHAnsi" w:hAnsiTheme="minorHAnsi" w:cstheme="minorHAnsi"/>
          <w:sz w:val="22"/>
        </w:rPr>
        <w:t xml:space="preserve"> UNGCP g</w:t>
      </w:r>
      <w:r w:rsidRPr="004737C5">
        <w:rPr>
          <w:rFonts w:asciiTheme="minorHAnsi" w:hAnsiTheme="minorHAnsi" w:cstheme="minorHAnsi"/>
          <w:sz w:val="22"/>
        </w:rPr>
        <w:t xml:space="preserve">uidelines 17 and 18 are relevant here in terms of ensuring continuing safety while goods are in storage, and notification of any hazards. </w:t>
      </w:r>
    </w:p>
    <w:p w14:paraId="753E09A9" w14:textId="77777777" w:rsidR="00BE71E3" w:rsidRPr="004737C5" w:rsidRDefault="00BE71E3" w:rsidP="002473E9">
      <w:pPr>
        <w:pStyle w:val="BodyText"/>
        <w:numPr>
          <w:ilvl w:val="0"/>
          <w:numId w:val="93"/>
        </w:numPr>
        <w:spacing w:after="160"/>
        <w:ind w:left="709" w:hanging="425"/>
        <w:rPr>
          <w:rFonts w:asciiTheme="minorHAnsi" w:hAnsiTheme="minorHAnsi" w:cstheme="minorHAnsi"/>
          <w:sz w:val="22"/>
        </w:rPr>
      </w:pPr>
      <w:r w:rsidRPr="004737C5">
        <w:rPr>
          <w:rFonts w:asciiTheme="minorHAnsi" w:hAnsiTheme="minorHAnsi" w:cstheme="minorHAnsi"/>
          <w:b/>
          <w:bCs/>
          <w:sz w:val="22"/>
        </w:rPr>
        <w:t>Risk-benefit balancing</w:t>
      </w:r>
      <w:r w:rsidRPr="004737C5">
        <w:rPr>
          <w:rFonts w:asciiTheme="minorHAnsi" w:hAnsiTheme="minorHAnsi" w:cstheme="minorHAnsi"/>
          <w:sz w:val="22"/>
        </w:rPr>
        <w:t xml:space="preserve"> (or risk-utility)</w:t>
      </w:r>
      <w:r w:rsidR="00DE6BD3" w:rsidRPr="004737C5">
        <w:rPr>
          <w:rFonts w:asciiTheme="minorHAnsi" w:hAnsiTheme="minorHAnsi" w:cstheme="minorHAnsi"/>
          <w:sz w:val="22"/>
        </w:rPr>
        <w:t>.</w:t>
      </w:r>
      <w:r w:rsidRPr="004737C5">
        <w:rPr>
          <w:rFonts w:asciiTheme="minorHAnsi" w:hAnsiTheme="minorHAnsi" w:cstheme="minorHAnsi"/>
          <w:sz w:val="22"/>
        </w:rPr>
        <w:t xml:space="preserve"> </w:t>
      </w:r>
      <w:r w:rsidR="00DE6BD3" w:rsidRPr="004737C5">
        <w:rPr>
          <w:rFonts w:asciiTheme="minorHAnsi" w:hAnsiTheme="minorHAnsi" w:cstheme="minorHAnsi"/>
          <w:sz w:val="22"/>
        </w:rPr>
        <w:t xml:space="preserve">This </w:t>
      </w:r>
      <w:r w:rsidRPr="004737C5">
        <w:rPr>
          <w:rFonts w:asciiTheme="minorHAnsi" w:hAnsiTheme="minorHAnsi" w:cstheme="minorHAnsi"/>
          <w:sz w:val="22"/>
        </w:rPr>
        <w:t>involves the issue of whether the cost of making a safer product is greater or less than the risk or danger from the product in its present condition. In cases where the cost of making the change is deemed to be greater than the risk created by not making the change, then the benefit or utility of keeping the product outweighs the risk and the product is not defective. However, if the cost is deemed to be less than the risk, then the benefit or utility of not making the change is outweighed by the risk and the product is deemed defective in its unchanged condition.</w:t>
      </w:r>
    </w:p>
    <w:p w14:paraId="6805820B" w14:textId="77777777" w:rsidR="00BE71E3" w:rsidRPr="004737C5" w:rsidRDefault="00BE71E3" w:rsidP="00DE6BD3">
      <w:pPr>
        <w:pStyle w:val="BodyText"/>
        <w:spacing w:after="160"/>
        <w:ind w:left="709"/>
        <w:rPr>
          <w:rFonts w:asciiTheme="minorHAnsi" w:hAnsiTheme="minorHAnsi" w:cstheme="minorHAnsi"/>
          <w:sz w:val="22"/>
        </w:rPr>
      </w:pPr>
      <w:r w:rsidRPr="004737C5">
        <w:rPr>
          <w:rFonts w:asciiTheme="minorHAnsi" w:hAnsiTheme="minorHAnsi" w:cstheme="minorHAnsi"/>
          <w:sz w:val="22"/>
        </w:rPr>
        <w:t>In determining risk-benefit the following factors are taken into account:</w:t>
      </w:r>
    </w:p>
    <w:p w14:paraId="365ABE55" w14:textId="77777777" w:rsidR="00BE71E3" w:rsidRPr="004737C5" w:rsidRDefault="00BE71E3" w:rsidP="002473E9">
      <w:pPr>
        <w:pStyle w:val="ListParagraph"/>
        <w:numPr>
          <w:ilvl w:val="0"/>
          <w:numId w:val="50"/>
        </w:numPr>
        <w:ind w:left="1134" w:hanging="425"/>
        <w:rPr>
          <w:rFonts w:cstheme="minorHAnsi"/>
        </w:rPr>
      </w:pPr>
      <w:r w:rsidRPr="004737C5">
        <w:rPr>
          <w:rFonts w:cstheme="minorHAnsi"/>
        </w:rPr>
        <w:t xml:space="preserve">The usefulness </w:t>
      </w:r>
      <w:r w:rsidR="00DE6BD3" w:rsidRPr="004737C5">
        <w:rPr>
          <w:rFonts w:cstheme="minorHAnsi"/>
        </w:rPr>
        <w:t>and desirability of the product</w:t>
      </w:r>
    </w:p>
    <w:p w14:paraId="524490A7" w14:textId="77777777" w:rsidR="00BE71E3" w:rsidRPr="004737C5" w:rsidRDefault="00BE71E3" w:rsidP="002473E9">
      <w:pPr>
        <w:pStyle w:val="ListParagraph"/>
        <w:numPr>
          <w:ilvl w:val="0"/>
          <w:numId w:val="50"/>
        </w:numPr>
        <w:ind w:left="1134" w:hanging="425"/>
        <w:rPr>
          <w:rFonts w:cstheme="minorHAnsi"/>
        </w:rPr>
      </w:pPr>
      <w:r w:rsidRPr="004737C5">
        <w:rPr>
          <w:rFonts w:cstheme="minorHAnsi"/>
        </w:rPr>
        <w:t>The likelihood and probable serious</w:t>
      </w:r>
      <w:r w:rsidR="00DE6BD3" w:rsidRPr="004737C5">
        <w:rPr>
          <w:rFonts w:cstheme="minorHAnsi"/>
        </w:rPr>
        <w:t>ness of injury from the product</w:t>
      </w:r>
    </w:p>
    <w:p w14:paraId="2B6E4557" w14:textId="77777777" w:rsidR="00BE71E3" w:rsidRPr="004737C5" w:rsidRDefault="00BE71E3" w:rsidP="002473E9">
      <w:pPr>
        <w:pStyle w:val="ListParagraph"/>
        <w:numPr>
          <w:ilvl w:val="0"/>
          <w:numId w:val="50"/>
        </w:numPr>
        <w:ind w:left="1134" w:hanging="425"/>
        <w:rPr>
          <w:rFonts w:cstheme="minorHAnsi"/>
        </w:rPr>
      </w:pPr>
      <w:r w:rsidRPr="004737C5">
        <w:rPr>
          <w:rFonts w:cstheme="minorHAnsi"/>
        </w:rPr>
        <w:t>The availability of a substitute product that would meet the</w:t>
      </w:r>
      <w:r w:rsidR="00DE6BD3" w:rsidRPr="004737C5">
        <w:rPr>
          <w:rFonts w:cstheme="minorHAnsi"/>
        </w:rPr>
        <w:t xml:space="preserve"> same need and not be as unsafe</w:t>
      </w:r>
    </w:p>
    <w:p w14:paraId="4066D8F2" w14:textId="77777777" w:rsidR="00BE71E3" w:rsidRPr="004737C5" w:rsidRDefault="00BE71E3" w:rsidP="002473E9">
      <w:pPr>
        <w:pStyle w:val="ListParagraph"/>
        <w:numPr>
          <w:ilvl w:val="0"/>
          <w:numId w:val="50"/>
        </w:numPr>
        <w:ind w:left="1134" w:hanging="425"/>
        <w:rPr>
          <w:rFonts w:cstheme="minorHAnsi"/>
        </w:rPr>
      </w:pPr>
      <w:r w:rsidRPr="004737C5">
        <w:rPr>
          <w:rFonts w:cstheme="minorHAnsi"/>
        </w:rPr>
        <w:t>The manufacturer’s ability to eliminate the danger without impairing usefulness or m</w:t>
      </w:r>
      <w:r w:rsidR="00DE6BD3" w:rsidRPr="004737C5">
        <w:rPr>
          <w:rFonts w:cstheme="minorHAnsi"/>
        </w:rPr>
        <w:t>aking the product too expensive</w:t>
      </w:r>
    </w:p>
    <w:p w14:paraId="449D9A8C" w14:textId="77777777" w:rsidR="00BE71E3" w:rsidRPr="004737C5" w:rsidRDefault="00BE71E3" w:rsidP="002473E9">
      <w:pPr>
        <w:pStyle w:val="ListParagraph"/>
        <w:numPr>
          <w:ilvl w:val="0"/>
          <w:numId w:val="50"/>
        </w:numPr>
        <w:ind w:left="1134" w:hanging="425"/>
        <w:rPr>
          <w:rFonts w:cstheme="minorHAnsi"/>
        </w:rPr>
      </w:pPr>
      <w:r w:rsidRPr="004737C5">
        <w:rPr>
          <w:rFonts w:cstheme="minorHAnsi"/>
        </w:rPr>
        <w:t>The use</w:t>
      </w:r>
      <w:r w:rsidR="00DE6BD3" w:rsidRPr="004737C5">
        <w:rPr>
          <w:rFonts w:cstheme="minorHAnsi"/>
        </w:rPr>
        <w:t>r’s ability to avoid the danger</w:t>
      </w:r>
    </w:p>
    <w:p w14:paraId="6D3ED681" w14:textId="77777777" w:rsidR="00BE71E3" w:rsidRPr="004737C5" w:rsidRDefault="00BE71E3" w:rsidP="002473E9">
      <w:pPr>
        <w:pStyle w:val="ListParagraph"/>
        <w:numPr>
          <w:ilvl w:val="0"/>
          <w:numId w:val="50"/>
        </w:numPr>
        <w:ind w:left="1134" w:hanging="425"/>
        <w:rPr>
          <w:rFonts w:cstheme="minorHAnsi"/>
        </w:rPr>
      </w:pPr>
      <w:r w:rsidRPr="004737C5">
        <w:rPr>
          <w:rFonts w:cstheme="minorHAnsi"/>
        </w:rPr>
        <w:t>The user’s anticipated aware</w:t>
      </w:r>
      <w:r w:rsidR="00DE6BD3" w:rsidRPr="004737C5">
        <w:rPr>
          <w:rFonts w:cstheme="minorHAnsi"/>
        </w:rPr>
        <w:t>ness of the danger</w:t>
      </w:r>
    </w:p>
    <w:p w14:paraId="1EB8176A" w14:textId="77777777" w:rsidR="00BE71E3" w:rsidRPr="004737C5" w:rsidRDefault="00BE71E3" w:rsidP="002473E9">
      <w:pPr>
        <w:pStyle w:val="ListParagraph"/>
        <w:numPr>
          <w:ilvl w:val="0"/>
          <w:numId w:val="50"/>
        </w:numPr>
        <w:ind w:left="1134" w:hanging="425"/>
        <w:rPr>
          <w:rFonts w:cstheme="minorHAnsi"/>
        </w:rPr>
      </w:pPr>
      <w:r w:rsidRPr="004737C5">
        <w:rPr>
          <w:rFonts w:cstheme="minorHAnsi"/>
        </w:rPr>
        <w:t xml:space="preserve">The feasibility on the part of the manufacturer of spreading the risk </w:t>
      </w:r>
      <w:r w:rsidR="00DE6BD3" w:rsidRPr="004737C5">
        <w:rPr>
          <w:rFonts w:cstheme="minorHAnsi"/>
        </w:rPr>
        <w:t>of loss by pricing or insurance</w:t>
      </w:r>
    </w:p>
    <w:p w14:paraId="1766FD6D" w14:textId="27277C95" w:rsidR="00BE71E3" w:rsidRPr="004737C5" w:rsidRDefault="00BE71E3" w:rsidP="00DE6BD3">
      <w:pPr>
        <w:pStyle w:val="BodyText"/>
        <w:spacing w:after="160"/>
        <w:ind w:left="709"/>
        <w:rPr>
          <w:rFonts w:asciiTheme="minorHAnsi" w:hAnsiTheme="minorHAnsi" w:cstheme="minorHAnsi"/>
          <w:sz w:val="22"/>
        </w:rPr>
      </w:pPr>
      <w:r w:rsidRPr="004737C5">
        <w:rPr>
          <w:rFonts w:asciiTheme="minorHAnsi" w:hAnsiTheme="minorHAnsi" w:cstheme="minorHAnsi"/>
          <w:sz w:val="22"/>
        </w:rPr>
        <w:t>The theory of risk-benefit can be very academic. The practice inevitably requires finer judgment than is suggested by the theoretical balancing of cos</w:t>
      </w:r>
      <w:r w:rsidR="00DE6BD3" w:rsidRPr="004737C5">
        <w:rPr>
          <w:rFonts w:asciiTheme="minorHAnsi" w:hAnsiTheme="minorHAnsi" w:cstheme="minorHAnsi"/>
          <w:sz w:val="22"/>
        </w:rPr>
        <w:t>t and risk, for there is not a “common currency”</w:t>
      </w:r>
      <w:r w:rsidRPr="004737C5">
        <w:rPr>
          <w:rFonts w:asciiTheme="minorHAnsi" w:hAnsiTheme="minorHAnsi" w:cstheme="minorHAnsi"/>
          <w:sz w:val="22"/>
        </w:rPr>
        <w:t xml:space="preserve"> by which to measure</w:t>
      </w:r>
      <w:r w:rsidR="0028499C" w:rsidRPr="004737C5">
        <w:rPr>
          <w:rFonts w:asciiTheme="minorHAnsi" w:hAnsiTheme="minorHAnsi" w:cstheme="minorHAnsi"/>
          <w:sz w:val="22"/>
        </w:rPr>
        <w:t xml:space="preserve"> this</w:t>
      </w:r>
      <w:r w:rsidRPr="004737C5">
        <w:rPr>
          <w:rFonts w:asciiTheme="minorHAnsi" w:hAnsiTheme="minorHAnsi" w:cstheme="minorHAnsi"/>
          <w:sz w:val="22"/>
        </w:rPr>
        <w:t>. This is the case particularly when the effects of preventive m</w:t>
      </w:r>
      <w:r w:rsidR="0028499C" w:rsidRPr="004737C5">
        <w:rPr>
          <w:rFonts w:asciiTheme="minorHAnsi" w:hAnsiTheme="minorHAnsi" w:cstheme="minorHAnsi"/>
          <w:sz w:val="22"/>
        </w:rPr>
        <w:t>easures are discussed at the policy</w:t>
      </w:r>
      <w:r w:rsidRPr="004737C5">
        <w:rPr>
          <w:rFonts w:asciiTheme="minorHAnsi" w:hAnsiTheme="minorHAnsi" w:cstheme="minorHAnsi"/>
          <w:sz w:val="22"/>
        </w:rPr>
        <w:t xml:space="preserve">making level. This is discussed in the section below.  </w:t>
      </w:r>
    </w:p>
    <w:p w14:paraId="6514EFC0" w14:textId="7D9A040A" w:rsidR="00BE71E3" w:rsidRPr="004737C5" w:rsidRDefault="0028499C" w:rsidP="002473E9">
      <w:pPr>
        <w:pStyle w:val="BodyText"/>
        <w:numPr>
          <w:ilvl w:val="0"/>
          <w:numId w:val="25"/>
        </w:numPr>
        <w:spacing w:after="160"/>
        <w:ind w:left="709" w:hanging="425"/>
        <w:rPr>
          <w:rFonts w:asciiTheme="minorHAnsi" w:hAnsiTheme="minorHAnsi" w:cstheme="minorHAnsi"/>
          <w:b/>
          <w:bCs/>
          <w:sz w:val="22"/>
        </w:rPr>
      </w:pPr>
      <w:r w:rsidRPr="004737C5">
        <w:rPr>
          <w:rFonts w:asciiTheme="minorHAnsi" w:hAnsiTheme="minorHAnsi" w:cstheme="minorHAnsi"/>
          <w:b/>
          <w:bCs/>
          <w:sz w:val="22"/>
        </w:rPr>
        <w:t>Unavoidably unsafe p</w:t>
      </w:r>
      <w:r w:rsidR="00BE71E3" w:rsidRPr="004737C5">
        <w:rPr>
          <w:rFonts w:asciiTheme="minorHAnsi" w:hAnsiTheme="minorHAnsi" w:cstheme="minorHAnsi"/>
          <w:b/>
          <w:bCs/>
          <w:sz w:val="22"/>
        </w:rPr>
        <w:t>roducts</w:t>
      </w:r>
      <w:r w:rsidR="00DE6BD3" w:rsidRPr="004737C5">
        <w:rPr>
          <w:rFonts w:asciiTheme="minorHAnsi" w:hAnsiTheme="minorHAnsi" w:cstheme="minorHAnsi"/>
          <w:sz w:val="22"/>
        </w:rPr>
        <w:t>. This</w:t>
      </w:r>
      <w:r w:rsidR="00BE71E3" w:rsidRPr="004737C5">
        <w:rPr>
          <w:rFonts w:asciiTheme="minorHAnsi" w:hAnsiTheme="minorHAnsi" w:cstheme="minorHAnsi"/>
          <w:sz w:val="22"/>
        </w:rPr>
        <w:t xml:space="preserve"> operates on the </w:t>
      </w:r>
      <w:r w:rsidR="00DE6BD3" w:rsidRPr="004737C5">
        <w:rPr>
          <w:rFonts w:asciiTheme="minorHAnsi" w:hAnsiTheme="minorHAnsi" w:cstheme="minorHAnsi"/>
          <w:sz w:val="22"/>
        </w:rPr>
        <w:t>ground</w:t>
      </w:r>
      <w:r w:rsidR="00BE71E3" w:rsidRPr="004737C5">
        <w:rPr>
          <w:rFonts w:asciiTheme="minorHAnsi" w:hAnsiTheme="minorHAnsi" w:cstheme="minorHAnsi"/>
          <w:sz w:val="22"/>
        </w:rPr>
        <w:t xml:space="preserve">s </w:t>
      </w:r>
      <w:r w:rsidR="00DE6BD3" w:rsidRPr="004737C5">
        <w:rPr>
          <w:rFonts w:asciiTheme="minorHAnsi" w:hAnsiTheme="minorHAnsi" w:cstheme="minorHAnsi"/>
          <w:sz w:val="22"/>
        </w:rPr>
        <w:t>that there are certain products</w:t>
      </w:r>
      <w:r w:rsidR="00BE71E3" w:rsidRPr="004737C5">
        <w:rPr>
          <w:rFonts w:asciiTheme="minorHAnsi" w:hAnsiTheme="minorHAnsi" w:cstheme="minorHAnsi"/>
          <w:sz w:val="22"/>
        </w:rPr>
        <w:t xml:space="preserve"> which</w:t>
      </w:r>
      <w:r w:rsidR="00DE6BD3" w:rsidRPr="004737C5">
        <w:rPr>
          <w:rFonts w:asciiTheme="minorHAnsi" w:hAnsiTheme="minorHAnsi" w:cstheme="minorHAnsi"/>
          <w:sz w:val="22"/>
        </w:rPr>
        <w:t>,</w:t>
      </w:r>
      <w:r w:rsidR="00BE71E3" w:rsidRPr="004737C5">
        <w:rPr>
          <w:rFonts w:asciiTheme="minorHAnsi" w:hAnsiTheme="minorHAnsi" w:cstheme="minorHAnsi"/>
          <w:sz w:val="22"/>
        </w:rPr>
        <w:t xml:space="preserve"> due to </w:t>
      </w:r>
      <w:r w:rsidR="00DE6BD3" w:rsidRPr="004737C5">
        <w:rPr>
          <w:rFonts w:asciiTheme="minorHAnsi" w:hAnsiTheme="minorHAnsi" w:cstheme="minorHAnsi"/>
          <w:sz w:val="22"/>
        </w:rPr>
        <w:t xml:space="preserve">the </w:t>
      </w:r>
      <w:r w:rsidR="00BE71E3" w:rsidRPr="004737C5">
        <w:rPr>
          <w:rFonts w:asciiTheme="minorHAnsi" w:hAnsiTheme="minorHAnsi" w:cstheme="minorHAnsi"/>
          <w:sz w:val="22"/>
        </w:rPr>
        <w:t xml:space="preserve">current state of human knowledge, are quite incapable of being made safe for their intended and ordinary use. This standard is generally used in the field of medicine where, due to the lack of opportunity for sufficient medical experience, the absolute assurance of safety is lacking but the marketing and use of drugs is considered to be justified notwithstanding a medically recognizable risk. </w:t>
      </w:r>
    </w:p>
    <w:p w14:paraId="6F3E7895" w14:textId="77777777" w:rsidR="00BE71E3" w:rsidRPr="004737C5" w:rsidRDefault="00BE71E3" w:rsidP="0028499C">
      <w:pPr>
        <w:pStyle w:val="Heading3"/>
        <w:spacing w:after="160" w:line="240" w:lineRule="auto"/>
        <w:rPr>
          <w:rFonts w:cstheme="minorHAnsi"/>
          <w:color w:val="auto"/>
        </w:rPr>
      </w:pPr>
      <w:bookmarkStart w:id="109" w:name="_Toc489950260"/>
      <w:bookmarkStart w:id="110" w:name="_Toc492650047"/>
      <w:r w:rsidRPr="004737C5">
        <w:rPr>
          <w:rFonts w:cstheme="minorHAnsi"/>
          <w:color w:val="auto"/>
        </w:rPr>
        <w:t>7</w:t>
      </w:r>
      <w:r w:rsidR="00DE6BD3" w:rsidRPr="004737C5">
        <w:rPr>
          <w:rFonts w:cstheme="minorHAnsi"/>
          <w:color w:val="auto"/>
        </w:rPr>
        <w:t>.</w:t>
      </w:r>
      <w:r w:rsidRPr="004737C5">
        <w:rPr>
          <w:rFonts w:cstheme="minorHAnsi"/>
          <w:color w:val="auto"/>
        </w:rPr>
        <w:t xml:space="preserve"> Defences against product liability</w:t>
      </w:r>
      <w:bookmarkEnd w:id="109"/>
      <w:bookmarkEnd w:id="110"/>
    </w:p>
    <w:p w14:paraId="4AA4D22E" w14:textId="77777777" w:rsidR="00BE71E3" w:rsidRPr="004737C5" w:rsidRDefault="00BE71E3" w:rsidP="0028499C">
      <w:pPr>
        <w:pStyle w:val="BodyText"/>
        <w:spacing w:after="160"/>
        <w:rPr>
          <w:rFonts w:asciiTheme="minorHAnsi" w:hAnsiTheme="minorHAnsi" w:cstheme="minorHAnsi"/>
          <w:sz w:val="22"/>
        </w:rPr>
      </w:pPr>
      <w:r w:rsidRPr="004737C5">
        <w:rPr>
          <w:rFonts w:asciiTheme="minorHAnsi" w:hAnsiTheme="minorHAnsi" w:cstheme="minorHAnsi"/>
          <w:sz w:val="22"/>
        </w:rPr>
        <w:t>In theory, the doctrine of strict liability does not permit defences. However, in practice, there are several recognized defences available to the product manufacturer. Some of these are as follows:</w:t>
      </w:r>
    </w:p>
    <w:p w14:paraId="302017D6" w14:textId="745EBAAA" w:rsidR="00BE71E3" w:rsidRPr="004737C5" w:rsidRDefault="00DE6BD3" w:rsidP="0028499C">
      <w:pPr>
        <w:pStyle w:val="BodyText"/>
        <w:numPr>
          <w:ilvl w:val="0"/>
          <w:numId w:val="26"/>
        </w:numPr>
        <w:spacing w:after="160"/>
        <w:ind w:left="709" w:hanging="425"/>
        <w:rPr>
          <w:rFonts w:asciiTheme="minorHAnsi" w:hAnsiTheme="minorHAnsi" w:cstheme="minorHAnsi"/>
          <w:sz w:val="22"/>
        </w:rPr>
      </w:pPr>
      <w:r w:rsidRPr="004737C5">
        <w:rPr>
          <w:rFonts w:asciiTheme="minorHAnsi" w:hAnsiTheme="minorHAnsi" w:cstheme="minorHAnsi"/>
          <w:b/>
          <w:bCs/>
          <w:sz w:val="22"/>
        </w:rPr>
        <w:t>State of the a</w:t>
      </w:r>
      <w:r w:rsidR="00BE71E3" w:rsidRPr="004737C5">
        <w:rPr>
          <w:rFonts w:asciiTheme="minorHAnsi" w:hAnsiTheme="minorHAnsi" w:cstheme="minorHAnsi"/>
          <w:b/>
          <w:bCs/>
          <w:sz w:val="22"/>
        </w:rPr>
        <w:t>rt</w:t>
      </w:r>
      <w:r w:rsidRPr="004737C5">
        <w:rPr>
          <w:rFonts w:asciiTheme="minorHAnsi" w:hAnsiTheme="minorHAnsi" w:cstheme="minorHAnsi"/>
          <w:sz w:val="22"/>
        </w:rPr>
        <w:t>.</w:t>
      </w:r>
      <w:r w:rsidR="00BE71E3" w:rsidRPr="004737C5">
        <w:rPr>
          <w:rFonts w:asciiTheme="minorHAnsi" w:hAnsiTheme="minorHAnsi" w:cstheme="minorHAnsi"/>
          <w:sz w:val="22"/>
        </w:rPr>
        <w:t xml:space="preserve"> </w:t>
      </w:r>
      <w:r w:rsidRPr="004737C5">
        <w:rPr>
          <w:rFonts w:asciiTheme="minorHAnsi" w:hAnsiTheme="minorHAnsi" w:cstheme="minorHAnsi"/>
          <w:sz w:val="22"/>
        </w:rPr>
        <w:t xml:space="preserve">This </w:t>
      </w:r>
      <w:r w:rsidR="00BE71E3" w:rsidRPr="004737C5">
        <w:rPr>
          <w:rFonts w:asciiTheme="minorHAnsi" w:hAnsiTheme="minorHAnsi" w:cstheme="minorHAnsi"/>
          <w:sz w:val="22"/>
        </w:rPr>
        <w:t>may be defined as the level of pertinent scientific and technological knowledge existing at the time the injury-producing product was designed and/or manufactured. It may t</w:t>
      </w:r>
      <w:r w:rsidRPr="004737C5">
        <w:rPr>
          <w:rFonts w:asciiTheme="minorHAnsi" w:hAnsiTheme="minorHAnsi" w:cstheme="minorHAnsi"/>
          <w:sz w:val="22"/>
        </w:rPr>
        <w:t xml:space="preserve">herefore exclude </w:t>
      </w:r>
      <w:r w:rsidR="00BE71E3" w:rsidRPr="004737C5">
        <w:rPr>
          <w:rFonts w:asciiTheme="minorHAnsi" w:hAnsiTheme="minorHAnsi" w:cstheme="minorHAnsi"/>
          <w:sz w:val="22"/>
        </w:rPr>
        <w:t>injuries from older goods</w:t>
      </w:r>
      <w:r w:rsidRPr="004737C5">
        <w:rPr>
          <w:rFonts w:asciiTheme="minorHAnsi" w:hAnsiTheme="minorHAnsi" w:cstheme="minorHAnsi"/>
          <w:sz w:val="22"/>
        </w:rPr>
        <w:t xml:space="preserve"> from liability.</w:t>
      </w:r>
      <w:r w:rsidR="00BE71E3" w:rsidRPr="004737C5">
        <w:rPr>
          <w:rFonts w:asciiTheme="minorHAnsi" w:hAnsiTheme="minorHAnsi" w:cstheme="minorHAnsi"/>
          <w:sz w:val="22"/>
        </w:rPr>
        <w:t xml:space="preserve"> </w:t>
      </w:r>
      <w:r w:rsidRPr="004737C5">
        <w:rPr>
          <w:rFonts w:asciiTheme="minorHAnsi" w:hAnsiTheme="minorHAnsi" w:cstheme="minorHAnsi"/>
          <w:sz w:val="22"/>
        </w:rPr>
        <w:t xml:space="preserve">It </w:t>
      </w:r>
      <w:r w:rsidR="00BE71E3" w:rsidRPr="004737C5">
        <w:rPr>
          <w:rFonts w:asciiTheme="minorHAnsi" w:hAnsiTheme="minorHAnsi" w:cstheme="minorHAnsi"/>
          <w:sz w:val="22"/>
        </w:rPr>
        <w:t xml:space="preserve">relies on the argument that the manufacturer complied with the standard that was operative at the date of the manufacture. The defence was made available in the European Union under the </w:t>
      </w:r>
      <w:r w:rsidR="00BE71E3" w:rsidRPr="004737C5">
        <w:rPr>
          <w:rFonts w:asciiTheme="minorHAnsi" w:hAnsiTheme="minorHAnsi" w:cstheme="minorHAnsi"/>
          <w:sz w:val="22"/>
        </w:rPr>
        <w:lastRenderedPageBreak/>
        <w:t xml:space="preserve">1985 </w:t>
      </w:r>
      <w:r w:rsidR="00BE71E3" w:rsidRPr="004737C5">
        <w:rPr>
          <w:rFonts w:asciiTheme="minorHAnsi" w:hAnsiTheme="minorHAnsi" w:cstheme="minorHAnsi"/>
          <w:sz w:val="22"/>
          <w:szCs w:val="22"/>
        </w:rPr>
        <w:t>Product Liability Directive,</w:t>
      </w:r>
      <w:r w:rsidR="00BE71E3" w:rsidRPr="004737C5">
        <w:rPr>
          <w:rStyle w:val="FootnoteReference"/>
          <w:rFonts w:asciiTheme="minorHAnsi" w:hAnsiTheme="minorHAnsi" w:cstheme="minorHAnsi"/>
          <w:sz w:val="22"/>
          <w:szCs w:val="22"/>
        </w:rPr>
        <w:footnoteReference w:id="144"/>
      </w:r>
      <w:r w:rsidRPr="004737C5">
        <w:rPr>
          <w:rFonts w:asciiTheme="minorHAnsi" w:hAnsiTheme="minorHAnsi" w:cstheme="minorHAnsi"/>
          <w:sz w:val="22"/>
          <w:szCs w:val="22"/>
        </w:rPr>
        <w:t xml:space="preserve"> which</w:t>
      </w:r>
      <w:r w:rsidR="00BE71E3" w:rsidRPr="004737C5">
        <w:rPr>
          <w:rFonts w:asciiTheme="minorHAnsi" w:hAnsiTheme="minorHAnsi" w:cstheme="minorHAnsi"/>
          <w:sz w:val="22"/>
          <w:szCs w:val="22"/>
        </w:rPr>
        <w:t xml:space="preserve"> allowed a defendant to be absolved of liability if he</w:t>
      </w:r>
      <w:r w:rsidRPr="004737C5">
        <w:rPr>
          <w:rFonts w:asciiTheme="minorHAnsi" w:hAnsiTheme="minorHAnsi" w:cstheme="minorHAnsi"/>
          <w:sz w:val="22"/>
          <w:szCs w:val="22"/>
        </w:rPr>
        <w:t xml:space="preserve"> or she</w:t>
      </w:r>
      <w:r w:rsidR="00BE71E3" w:rsidRPr="004737C5">
        <w:rPr>
          <w:rFonts w:asciiTheme="minorHAnsi" w:hAnsiTheme="minorHAnsi" w:cstheme="minorHAnsi"/>
          <w:sz w:val="22"/>
          <w:szCs w:val="22"/>
        </w:rPr>
        <w:t xml:space="preserve"> could prove </w:t>
      </w:r>
      <w:r w:rsidRPr="004737C5">
        <w:rPr>
          <w:rFonts w:asciiTheme="minorHAnsi" w:hAnsiTheme="minorHAnsi" w:cstheme="minorHAnsi"/>
          <w:sz w:val="22"/>
          <w:szCs w:val="22"/>
        </w:rPr>
        <w:t>that “</w:t>
      </w:r>
      <w:r w:rsidR="00BE71E3" w:rsidRPr="004737C5">
        <w:rPr>
          <w:rFonts w:asciiTheme="minorHAnsi" w:hAnsiTheme="minorHAnsi" w:cstheme="minorHAnsi"/>
          <w:sz w:val="22"/>
          <w:szCs w:val="22"/>
        </w:rPr>
        <w:t>the state of technical and scientific knowledge, at the time when he put the product into circulation, was not such as to enable the existence</w:t>
      </w:r>
      <w:r w:rsidRPr="004737C5">
        <w:rPr>
          <w:rFonts w:asciiTheme="minorHAnsi" w:hAnsiTheme="minorHAnsi" w:cstheme="minorHAnsi"/>
          <w:sz w:val="22"/>
          <w:szCs w:val="22"/>
        </w:rPr>
        <w:t xml:space="preserve"> of the defect to be discovered”</w:t>
      </w:r>
      <w:r w:rsidR="0028499C" w:rsidRPr="004737C5">
        <w:rPr>
          <w:rFonts w:asciiTheme="minorHAnsi" w:hAnsiTheme="minorHAnsi" w:cstheme="minorHAnsi"/>
          <w:sz w:val="22"/>
          <w:szCs w:val="22"/>
        </w:rPr>
        <w:t>. The d</w:t>
      </w:r>
      <w:r w:rsidR="00BE71E3" w:rsidRPr="004737C5">
        <w:rPr>
          <w:rFonts w:asciiTheme="minorHAnsi" w:hAnsiTheme="minorHAnsi" w:cstheme="minorHAnsi"/>
          <w:sz w:val="22"/>
          <w:szCs w:val="22"/>
        </w:rPr>
        <w:t xml:space="preserve">irective allowed </w:t>
      </w:r>
      <w:r w:rsidRPr="004737C5">
        <w:rPr>
          <w:rFonts w:asciiTheme="minorHAnsi" w:hAnsiTheme="minorHAnsi" w:cstheme="minorHAnsi"/>
          <w:sz w:val="22"/>
          <w:szCs w:val="22"/>
        </w:rPr>
        <w:t>European Union member s</w:t>
      </w:r>
      <w:r w:rsidR="00BE71E3" w:rsidRPr="004737C5">
        <w:rPr>
          <w:rFonts w:asciiTheme="minorHAnsi" w:hAnsiTheme="minorHAnsi" w:cstheme="minorHAnsi"/>
          <w:sz w:val="22"/>
          <w:szCs w:val="22"/>
        </w:rPr>
        <w:t xml:space="preserve">tates </w:t>
      </w:r>
      <w:r w:rsidRPr="004737C5">
        <w:rPr>
          <w:rFonts w:asciiTheme="minorHAnsi" w:hAnsiTheme="minorHAnsi" w:cstheme="minorHAnsi"/>
          <w:sz w:val="22"/>
          <w:szCs w:val="22"/>
        </w:rPr>
        <w:t>to derogate from the “</w:t>
      </w:r>
      <w:r w:rsidR="00BE71E3" w:rsidRPr="004737C5">
        <w:rPr>
          <w:rFonts w:asciiTheme="minorHAnsi" w:hAnsiTheme="minorHAnsi" w:cstheme="minorHAnsi"/>
          <w:sz w:val="22"/>
          <w:szCs w:val="22"/>
        </w:rPr>
        <w:t>state of the ar</w:t>
      </w:r>
      <w:r w:rsidRPr="004737C5">
        <w:rPr>
          <w:rFonts w:asciiTheme="minorHAnsi" w:hAnsiTheme="minorHAnsi" w:cstheme="minorHAnsi"/>
          <w:sz w:val="22"/>
          <w:szCs w:val="22"/>
        </w:rPr>
        <w:t>t”</w:t>
      </w:r>
      <w:r w:rsidR="00BE71E3" w:rsidRPr="004737C5">
        <w:rPr>
          <w:rFonts w:asciiTheme="minorHAnsi" w:hAnsiTheme="minorHAnsi" w:cstheme="minorHAnsi"/>
          <w:sz w:val="22"/>
          <w:szCs w:val="22"/>
        </w:rPr>
        <w:t xml:space="preserve"> defence, but in practice few chose to do so. One significant exception to the possibility of derog</w:t>
      </w:r>
      <w:r w:rsidR="0028499C" w:rsidRPr="004737C5">
        <w:rPr>
          <w:rFonts w:asciiTheme="minorHAnsi" w:hAnsiTheme="minorHAnsi" w:cstheme="minorHAnsi"/>
          <w:sz w:val="22"/>
          <w:szCs w:val="22"/>
        </w:rPr>
        <w:t>ation followed the outbreak of b</w:t>
      </w:r>
      <w:r w:rsidR="00BE71E3" w:rsidRPr="004737C5">
        <w:rPr>
          <w:rFonts w:asciiTheme="minorHAnsi" w:hAnsiTheme="minorHAnsi" w:cstheme="minorHAnsi"/>
          <w:sz w:val="22"/>
          <w:szCs w:val="22"/>
        </w:rPr>
        <w:t>ovine</w:t>
      </w:r>
      <w:r w:rsidR="0028499C" w:rsidRPr="004737C5">
        <w:rPr>
          <w:rFonts w:asciiTheme="minorHAnsi" w:hAnsiTheme="minorHAnsi" w:cstheme="minorHAnsi"/>
          <w:sz w:val="22"/>
          <w:szCs w:val="22"/>
        </w:rPr>
        <w:t xml:space="preserve"> spongiform e</w:t>
      </w:r>
      <w:r w:rsidRPr="004737C5">
        <w:rPr>
          <w:rFonts w:asciiTheme="minorHAnsi" w:hAnsiTheme="minorHAnsi" w:cstheme="minorHAnsi"/>
          <w:sz w:val="22"/>
          <w:szCs w:val="22"/>
        </w:rPr>
        <w:t>ncephalopathy (BSE, also known as “mad cow disease”</w:t>
      </w:r>
      <w:r w:rsidR="00BE71E3" w:rsidRPr="004737C5">
        <w:rPr>
          <w:rFonts w:asciiTheme="minorHAnsi" w:hAnsiTheme="minorHAnsi" w:cstheme="minorHAnsi"/>
          <w:sz w:val="22"/>
          <w:szCs w:val="22"/>
        </w:rPr>
        <w:t>) in the United Kingdom</w:t>
      </w:r>
      <w:r w:rsidRPr="004737C5">
        <w:rPr>
          <w:rFonts w:asciiTheme="minorHAnsi" w:hAnsiTheme="minorHAnsi" w:cstheme="minorHAnsi"/>
          <w:sz w:val="22"/>
          <w:szCs w:val="22"/>
        </w:rPr>
        <w:t xml:space="preserve"> of Great Britain and Northern Ireland (see b</w:t>
      </w:r>
      <w:r w:rsidR="00BE71E3" w:rsidRPr="004737C5">
        <w:rPr>
          <w:rFonts w:asciiTheme="minorHAnsi" w:hAnsiTheme="minorHAnsi" w:cstheme="minorHAnsi"/>
          <w:sz w:val="22"/>
          <w:szCs w:val="22"/>
        </w:rPr>
        <w:t>ox 7</w:t>
      </w:r>
      <w:r w:rsidRPr="004737C5">
        <w:rPr>
          <w:rFonts w:asciiTheme="minorHAnsi" w:hAnsiTheme="minorHAnsi" w:cstheme="minorHAnsi"/>
          <w:sz w:val="22"/>
          <w:szCs w:val="22"/>
        </w:rPr>
        <w:t>)</w:t>
      </w:r>
      <w:r w:rsidR="0028499C" w:rsidRPr="004737C5">
        <w:rPr>
          <w:rFonts w:asciiTheme="minorHAnsi" w:hAnsiTheme="minorHAnsi" w:cstheme="minorHAnsi"/>
          <w:sz w:val="22"/>
          <w:szCs w:val="22"/>
        </w:rPr>
        <w:t>. The d</w:t>
      </w:r>
      <w:r w:rsidR="00BE71E3" w:rsidRPr="004737C5">
        <w:rPr>
          <w:rFonts w:asciiTheme="minorHAnsi" w:hAnsiTheme="minorHAnsi" w:cstheme="minorHAnsi"/>
          <w:sz w:val="22"/>
          <w:szCs w:val="22"/>
        </w:rPr>
        <w:t>irective did not previously apply to agricultural produce but that exemption was repealed in 1993.</w:t>
      </w:r>
      <w:r w:rsidR="00BE71E3" w:rsidRPr="004737C5">
        <w:rPr>
          <w:rStyle w:val="FootnoteReference"/>
          <w:rFonts w:asciiTheme="minorHAnsi" w:hAnsiTheme="minorHAnsi" w:cstheme="minorHAnsi"/>
          <w:sz w:val="22"/>
          <w:szCs w:val="22"/>
        </w:rPr>
        <w:footnoteReference w:id="145"/>
      </w:r>
      <w:r w:rsidR="00BE71E3" w:rsidRPr="004737C5">
        <w:rPr>
          <w:rFonts w:asciiTheme="minorHAnsi" w:hAnsiTheme="minorHAnsi" w:cstheme="minorHAnsi"/>
          <w:sz w:val="22"/>
          <w:szCs w:val="22"/>
        </w:rPr>
        <w:t xml:space="preserve"> </w:t>
      </w:r>
    </w:p>
    <w:p w14:paraId="5A3F4083" w14:textId="19370C69" w:rsidR="00BE71E3" w:rsidRPr="004737C5" w:rsidRDefault="00BE71E3" w:rsidP="002473E9">
      <w:pPr>
        <w:pStyle w:val="BodyText"/>
        <w:numPr>
          <w:ilvl w:val="0"/>
          <w:numId w:val="26"/>
        </w:numPr>
        <w:spacing w:after="160"/>
        <w:ind w:left="709" w:hanging="425"/>
        <w:rPr>
          <w:rFonts w:asciiTheme="minorHAnsi" w:hAnsiTheme="minorHAnsi" w:cstheme="minorHAnsi"/>
          <w:sz w:val="22"/>
        </w:rPr>
      </w:pPr>
      <w:r w:rsidRPr="004737C5">
        <w:rPr>
          <w:rFonts w:asciiTheme="minorHAnsi" w:hAnsiTheme="minorHAnsi" w:cstheme="minorHAnsi"/>
          <w:b/>
          <w:bCs/>
          <w:sz w:val="22"/>
        </w:rPr>
        <w:t>Disclaimer of liability</w:t>
      </w:r>
      <w:r w:rsidR="00DE6BD3" w:rsidRPr="004737C5">
        <w:rPr>
          <w:rFonts w:asciiTheme="minorHAnsi" w:hAnsiTheme="minorHAnsi" w:cstheme="minorHAnsi"/>
          <w:sz w:val="22"/>
        </w:rPr>
        <w:t>.</w:t>
      </w:r>
      <w:r w:rsidRPr="004737C5">
        <w:rPr>
          <w:rFonts w:asciiTheme="minorHAnsi" w:hAnsiTheme="minorHAnsi" w:cstheme="minorHAnsi"/>
          <w:sz w:val="22"/>
        </w:rPr>
        <w:t xml:space="preserve"> </w:t>
      </w:r>
      <w:r w:rsidR="00DE6BD3" w:rsidRPr="004737C5">
        <w:rPr>
          <w:rFonts w:asciiTheme="minorHAnsi" w:hAnsiTheme="minorHAnsi" w:cstheme="minorHAnsi"/>
          <w:sz w:val="22"/>
        </w:rPr>
        <w:t xml:space="preserve">This </w:t>
      </w:r>
      <w:r w:rsidRPr="004737C5">
        <w:rPr>
          <w:rFonts w:asciiTheme="minorHAnsi" w:hAnsiTheme="minorHAnsi" w:cstheme="minorHAnsi"/>
          <w:sz w:val="22"/>
        </w:rPr>
        <w:t xml:space="preserve">is not </w:t>
      </w:r>
      <w:r w:rsidRPr="004737C5">
        <w:rPr>
          <w:rFonts w:asciiTheme="minorHAnsi" w:hAnsiTheme="minorHAnsi" w:cstheme="minorHAnsi"/>
          <w:sz w:val="22"/>
          <w:szCs w:val="22"/>
        </w:rPr>
        <w:t xml:space="preserve">available to manufacturers. Either there is a clear prohibition included </w:t>
      </w:r>
      <w:r w:rsidR="00DE6BD3" w:rsidRPr="004737C5">
        <w:rPr>
          <w:rFonts w:asciiTheme="minorHAnsi" w:hAnsiTheme="minorHAnsi" w:cstheme="minorHAnsi"/>
          <w:sz w:val="22"/>
          <w:szCs w:val="22"/>
        </w:rPr>
        <w:t>in the product liability itself</w:t>
      </w:r>
      <w:r w:rsidRPr="004737C5">
        <w:rPr>
          <w:rFonts w:asciiTheme="minorHAnsi" w:hAnsiTheme="minorHAnsi" w:cstheme="minorHAnsi"/>
          <w:sz w:val="22"/>
          <w:szCs w:val="22"/>
        </w:rPr>
        <w:t xml:space="preserve"> or such disclaimers are held as unfair contract terms in consumer contracts. In attempting to limit liability, a producer may provid</w:t>
      </w:r>
      <w:r w:rsidR="00DE6BD3" w:rsidRPr="004737C5">
        <w:rPr>
          <w:rFonts w:asciiTheme="minorHAnsi" w:hAnsiTheme="minorHAnsi" w:cstheme="minorHAnsi"/>
          <w:sz w:val="22"/>
          <w:szCs w:val="22"/>
        </w:rPr>
        <w:t>e for warnings, notices for use and</w:t>
      </w:r>
      <w:r w:rsidRPr="004737C5">
        <w:rPr>
          <w:rFonts w:asciiTheme="minorHAnsi" w:hAnsiTheme="minorHAnsi" w:cstheme="minorHAnsi"/>
          <w:sz w:val="22"/>
          <w:szCs w:val="22"/>
        </w:rPr>
        <w:t xml:space="preserve"> instructions</w:t>
      </w:r>
      <w:r w:rsidR="00DE6BD3" w:rsidRPr="004737C5">
        <w:rPr>
          <w:rFonts w:asciiTheme="minorHAnsi" w:hAnsiTheme="minorHAnsi" w:cstheme="minorHAnsi"/>
          <w:sz w:val="22"/>
          <w:szCs w:val="22"/>
        </w:rPr>
        <w:t xml:space="preserve"> </w:t>
      </w:r>
      <w:r w:rsidRPr="004737C5">
        <w:rPr>
          <w:rFonts w:asciiTheme="minorHAnsi" w:hAnsiTheme="minorHAnsi" w:cstheme="minorHAnsi"/>
          <w:sz w:val="22"/>
          <w:szCs w:val="22"/>
        </w:rPr>
        <w:t>on labels but this will not automatically allow avoidance of liability. As a result, the consumer might be found to h</w:t>
      </w:r>
      <w:r w:rsidR="00DE6BD3" w:rsidRPr="004737C5">
        <w:rPr>
          <w:rFonts w:asciiTheme="minorHAnsi" w:hAnsiTheme="minorHAnsi" w:cstheme="minorHAnsi"/>
          <w:sz w:val="22"/>
          <w:szCs w:val="22"/>
        </w:rPr>
        <w:t>ave been negligent (see “contributory negligence”</w:t>
      </w:r>
      <w:r w:rsidRPr="004737C5">
        <w:rPr>
          <w:rFonts w:asciiTheme="minorHAnsi" w:hAnsiTheme="minorHAnsi" w:cstheme="minorHAnsi"/>
          <w:sz w:val="22"/>
          <w:szCs w:val="22"/>
        </w:rPr>
        <w:t xml:space="preserve"> belo</w:t>
      </w:r>
      <w:r w:rsidR="00DE6BD3" w:rsidRPr="004737C5">
        <w:rPr>
          <w:rFonts w:asciiTheme="minorHAnsi" w:hAnsiTheme="minorHAnsi" w:cstheme="minorHAnsi"/>
          <w:sz w:val="22"/>
          <w:szCs w:val="22"/>
        </w:rPr>
        <w:t>w) and the producer’</w:t>
      </w:r>
      <w:r w:rsidRPr="004737C5">
        <w:rPr>
          <w:rFonts w:asciiTheme="minorHAnsi" w:hAnsiTheme="minorHAnsi" w:cstheme="minorHAnsi"/>
          <w:sz w:val="22"/>
          <w:szCs w:val="22"/>
        </w:rPr>
        <w:t>s liability could be shar</w:t>
      </w:r>
      <w:r w:rsidR="00DE6BD3" w:rsidRPr="004737C5">
        <w:rPr>
          <w:rFonts w:asciiTheme="minorHAnsi" w:hAnsiTheme="minorHAnsi" w:cstheme="minorHAnsi"/>
          <w:sz w:val="22"/>
          <w:szCs w:val="22"/>
        </w:rPr>
        <w:t>ed or even eventually excluded.</w:t>
      </w:r>
      <w:r w:rsidRPr="004737C5">
        <w:rPr>
          <w:rFonts w:asciiTheme="minorHAnsi" w:hAnsiTheme="minorHAnsi" w:cstheme="minorHAnsi"/>
          <w:sz w:val="22"/>
          <w:szCs w:val="22"/>
        </w:rPr>
        <w:t xml:space="preserve"> However, this defence will not be valid in situations where the manufacturer attaches a broad standard disclaimer with the intention of limiting legal responsibility for defects in the products. This is pa</w:t>
      </w:r>
      <w:r w:rsidR="00DE6BD3" w:rsidRPr="004737C5">
        <w:rPr>
          <w:rFonts w:asciiTheme="minorHAnsi" w:hAnsiTheme="minorHAnsi" w:cstheme="minorHAnsi"/>
          <w:sz w:val="22"/>
          <w:szCs w:val="22"/>
        </w:rPr>
        <w:t>rticularly so as courts recogniz</w:t>
      </w:r>
      <w:r w:rsidRPr="004737C5">
        <w:rPr>
          <w:rFonts w:asciiTheme="minorHAnsi" w:hAnsiTheme="minorHAnsi" w:cstheme="minorHAnsi"/>
          <w:sz w:val="22"/>
          <w:szCs w:val="22"/>
        </w:rPr>
        <w:t>e that this may amount to a violation of public policy as the buyer of the product would not have a choice to negotiate such te</w:t>
      </w:r>
      <w:r w:rsidR="0028499C" w:rsidRPr="004737C5">
        <w:rPr>
          <w:rFonts w:asciiTheme="minorHAnsi" w:hAnsiTheme="minorHAnsi" w:cstheme="minorHAnsi"/>
          <w:sz w:val="22"/>
          <w:szCs w:val="22"/>
        </w:rPr>
        <w:t>rms in an ordinary retail sale.</w:t>
      </w:r>
      <w:r w:rsidRPr="004737C5">
        <w:rPr>
          <w:rFonts w:asciiTheme="minorHAnsi" w:hAnsiTheme="minorHAnsi" w:cstheme="minorHAnsi"/>
          <w:sz w:val="22"/>
          <w:szCs w:val="22"/>
        </w:rPr>
        <w:t xml:space="preserve"> In such cases, the disclaimer will be declared null and void.</w:t>
      </w:r>
    </w:p>
    <w:p w14:paraId="479ABE47" w14:textId="77777777" w:rsidR="00BE71E3" w:rsidRPr="004737C5" w:rsidRDefault="00BE71E3" w:rsidP="002473E9">
      <w:pPr>
        <w:pStyle w:val="BodyText"/>
        <w:numPr>
          <w:ilvl w:val="0"/>
          <w:numId w:val="26"/>
        </w:numPr>
        <w:tabs>
          <w:tab w:val="num" w:pos="1821"/>
        </w:tabs>
        <w:spacing w:after="160"/>
        <w:ind w:left="709" w:hanging="425"/>
        <w:rPr>
          <w:rFonts w:asciiTheme="minorHAnsi" w:hAnsiTheme="minorHAnsi" w:cstheme="minorHAnsi"/>
          <w:sz w:val="22"/>
          <w:szCs w:val="22"/>
        </w:rPr>
      </w:pPr>
      <w:r w:rsidRPr="004737C5">
        <w:rPr>
          <w:rFonts w:asciiTheme="minorHAnsi" w:hAnsiTheme="minorHAnsi" w:cstheme="minorHAnsi"/>
          <w:b/>
          <w:sz w:val="22"/>
          <w:szCs w:val="22"/>
        </w:rPr>
        <w:t>Statutes of limitations</w:t>
      </w:r>
      <w:r w:rsidR="00DE6BD3" w:rsidRPr="004737C5">
        <w:rPr>
          <w:rFonts w:asciiTheme="minorHAnsi" w:hAnsiTheme="minorHAnsi" w:cstheme="minorHAnsi"/>
          <w:b/>
          <w:sz w:val="22"/>
        </w:rPr>
        <w:t>.</w:t>
      </w:r>
      <w:r w:rsidRPr="004737C5">
        <w:rPr>
          <w:rFonts w:asciiTheme="minorHAnsi" w:hAnsiTheme="minorHAnsi" w:cstheme="minorHAnsi"/>
          <w:b/>
          <w:sz w:val="22"/>
          <w:szCs w:val="22"/>
        </w:rPr>
        <w:t xml:space="preserve"> </w:t>
      </w:r>
      <w:r w:rsidRPr="004737C5">
        <w:rPr>
          <w:rFonts w:asciiTheme="minorHAnsi" w:hAnsiTheme="minorHAnsi" w:cstheme="minorHAnsi"/>
          <w:sz w:val="22"/>
          <w:szCs w:val="22"/>
        </w:rPr>
        <w:t>Old claims may be eliminated with the use of a statute of limitations. This will benefit a manufacturer of products who may find it difficult to track old records and mount a defence. An injured person is thus required to commence an action within a certain number of years after a personal injury. However, in some cases, this defence may pose a problem as to when the personal injury occurred</w:t>
      </w:r>
      <w:r w:rsidR="00DE6BD3" w:rsidRPr="004737C5">
        <w:rPr>
          <w:rFonts w:asciiTheme="minorHAnsi" w:hAnsiTheme="minorHAnsi" w:cstheme="minorHAnsi"/>
          <w:sz w:val="22"/>
          <w:szCs w:val="22"/>
        </w:rPr>
        <w:t xml:space="preserve">, that is </w:t>
      </w:r>
      <w:r w:rsidRPr="004737C5">
        <w:rPr>
          <w:rFonts w:asciiTheme="minorHAnsi" w:hAnsiTheme="minorHAnsi" w:cstheme="minorHAnsi"/>
          <w:sz w:val="22"/>
          <w:szCs w:val="22"/>
        </w:rPr>
        <w:t>the date of exposure and the manifestation of the injury. This is so in situations where there is a lapse of time between the victim’s exposure to the product and the manifestation of the injury. For example</w:t>
      </w:r>
      <w:r w:rsidR="00DE6BD3" w:rsidRPr="004737C5">
        <w:rPr>
          <w:rFonts w:asciiTheme="minorHAnsi" w:hAnsiTheme="minorHAnsi" w:cstheme="minorHAnsi"/>
          <w:sz w:val="22"/>
          <w:szCs w:val="22"/>
        </w:rPr>
        <w:t xml:space="preserve">, very long </w:t>
      </w:r>
      <w:r w:rsidRPr="004737C5">
        <w:rPr>
          <w:rFonts w:asciiTheme="minorHAnsi" w:hAnsiTheme="minorHAnsi" w:cstheme="minorHAnsi"/>
          <w:sz w:val="22"/>
          <w:szCs w:val="22"/>
        </w:rPr>
        <w:t xml:space="preserve">lapses </w:t>
      </w:r>
      <w:r w:rsidR="0045112B" w:rsidRPr="004737C5">
        <w:rPr>
          <w:rFonts w:asciiTheme="minorHAnsi" w:hAnsiTheme="minorHAnsi" w:cstheme="minorHAnsi"/>
          <w:sz w:val="22"/>
          <w:szCs w:val="22"/>
        </w:rPr>
        <w:t xml:space="preserve">of time </w:t>
      </w:r>
      <w:r w:rsidRPr="004737C5">
        <w:rPr>
          <w:rFonts w:asciiTheme="minorHAnsi" w:hAnsiTheme="minorHAnsi" w:cstheme="minorHAnsi"/>
          <w:sz w:val="22"/>
          <w:szCs w:val="22"/>
        </w:rPr>
        <w:t>occur in cases of asbestosis.</w:t>
      </w:r>
    </w:p>
    <w:p w14:paraId="168277B9" w14:textId="77777777" w:rsidR="00BE71E3" w:rsidRPr="004737C5" w:rsidRDefault="0045112B" w:rsidP="002473E9">
      <w:pPr>
        <w:pStyle w:val="BodyText"/>
        <w:numPr>
          <w:ilvl w:val="0"/>
          <w:numId w:val="90"/>
        </w:numPr>
        <w:spacing w:after="160"/>
        <w:ind w:left="709" w:hanging="425"/>
        <w:rPr>
          <w:rFonts w:asciiTheme="minorHAnsi" w:hAnsiTheme="minorHAnsi" w:cstheme="minorHAnsi"/>
        </w:rPr>
      </w:pPr>
      <w:r w:rsidRPr="004737C5">
        <w:rPr>
          <w:rFonts w:asciiTheme="minorHAnsi" w:hAnsiTheme="minorHAnsi" w:cstheme="minorHAnsi"/>
          <w:b/>
          <w:sz w:val="22"/>
        </w:rPr>
        <w:t>Product recall.</w:t>
      </w:r>
      <w:r w:rsidR="00BE71E3" w:rsidRPr="004737C5">
        <w:rPr>
          <w:rFonts w:asciiTheme="minorHAnsi" w:hAnsiTheme="minorHAnsi" w:cstheme="minorHAnsi"/>
          <w:sz w:val="22"/>
        </w:rPr>
        <w:t xml:space="preserve"> </w:t>
      </w:r>
      <w:r w:rsidRPr="004737C5">
        <w:rPr>
          <w:rFonts w:asciiTheme="minorHAnsi" w:hAnsiTheme="minorHAnsi" w:cstheme="minorHAnsi"/>
          <w:sz w:val="22"/>
        </w:rPr>
        <w:t xml:space="preserve">This </w:t>
      </w:r>
      <w:r w:rsidR="00BE71E3" w:rsidRPr="004737C5">
        <w:rPr>
          <w:rFonts w:asciiTheme="minorHAnsi" w:hAnsiTheme="minorHAnsi" w:cstheme="minorHAnsi"/>
          <w:sz w:val="22"/>
        </w:rPr>
        <w:t>should occur where a product appears unreasonably dangerous or involves unexpected dangers or had an inadequate warning label. In simple terms, a defect would warrant a recall if there was a lack of something that is considered essential to the completeness of the product. The defect may involve a physical characteristic or a functional matter and can arise from design,</w:t>
      </w:r>
      <w:r w:rsidRPr="004737C5">
        <w:rPr>
          <w:rFonts w:asciiTheme="minorHAnsi" w:hAnsiTheme="minorHAnsi" w:cstheme="minorHAnsi"/>
          <w:sz w:val="22"/>
        </w:rPr>
        <w:t xml:space="preserve"> faulty manufacture or assembly</w:t>
      </w:r>
      <w:r w:rsidR="00BE71E3" w:rsidRPr="004737C5">
        <w:rPr>
          <w:rFonts w:asciiTheme="minorHAnsi" w:hAnsiTheme="minorHAnsi" w:cstheme="minorHAnsi"/>
          <w:sz w:val="22"/>
        </w:rPr>
        <w:t xml:space="preserve"> or inadequate or improper ma</w:t>
      </w:r>
      <w:r w:rsidRPr="004737C5">
        <w:rPr>
          <w:rFonts w:asciiTheme="minorHAnsi" w:hAnsiTheme="minorHAnsi" w:cstheme="minorHAnsi"/>
          <w:sz w:val="22"/>
        </w:rPr>
        <w:t>intenance and repair. There may</w:t>
      </w:r>
      <w:r w:rsidR="00BE71E3" w:rsidRPr="004737C5">
        <w:rPr>
          <w:rFonts w:asciiTheme="minorHAnsi" w:hAnsiTheme="minorHAnsi" w:cstheme="minorHAnsi"/>
          <w:sz w:val="22"/>
        </w:rPr>
        <w:t xml:space="preserve"> be </w:t>
      </w:r>
      <w:r w:rsidRPr="004737C5">
        <w:rPr>
          <w:rFonts w:asciiTheme="minorHAnsi" w:hAnsiTheme="minorHAnsi" w:cstheme="minorHAnsi"/>
          <w:sz w:val="22"/>
        </w:rPr>
        <w:t xml:space="preserve">a </w:t>
      </w:r>
      <w:r w:rsidR="00BE71E3" w:rsidRPr="004737C5">
        <w:rPr>
          <w:rFonts w:asciiTheme="minorHAnsi" w:hAnsiTheme="minorHAnsi" w:cstheme="minorHAnsi"/>
          <w:sz w:val="22"/>
        </w:rPr>
        <w:t>voluntary withdrawal of the allegedly defectiv</w:t>
      </w:r>
      <w:r w:rsidRPr="004737C5">
        <w:rPr>
          <w:rFonts w:asciiTheme="minorHAnsi" w:hAnsiTheme="minorHAnsi" w:cstheme="minorHAnsi"/>
          <w:sz w:val="22"/>
        </w:rPr>
        <w:t>e product from the marketplace.</w:t>
      </w:r>
      <w:r w:rsidR="00BE71E3" w:rsidRPr="004737C5">
        <w:rPr>
          <w:rFonts w:asciiTheme="minorHAnsi" w:hAnsiTheme="minorHAnsi" w:cstheme="minorHAnsi"/>
          <w:sz w:val="22"/>
        </w:rPr>
        <w:t xml:space="preserve"> </w:t>
      </w:r>
      <w:r w:rsidR="00BE71E3" w:rsidRPr="004737C5">
        <w:rPr>
          <w:rFonts w:asciiTheme="minorHAnsi" w:hAnsiTheme="minorHAnsi" w:cstheme="minorHAnsi"/>
          <w:sz w:val="22"/>
          <w:szCs w:val="22"/>
        </w:rPr>
        <w:t>However, product recalls, whether voluntary or mandatory, cannot, in law, lead to a disclaimer of liability.</w:t>
      </w:r>
      <w:r w:rsidR="00BE71E3" w:rsidRPr="004737C5">
        <w:rPr>
          <w:rFonts w:asciiTheme="minorHAnsi" w:hAnsiTheme="minorHAnsi" w:cstheme="minorHAnsi"/>
          <w:sz w:val="22"/>
        </w:rPr>
        <w:t xml:space="preserve"> They may limit liability in the long term if the product manufacturer takes the right steps to prevent further risk</w:t>
      </w:r>
      <w:r w:rsidR="00BE71E3" w:rsidRPr="004737C5">
        <w:rPr>
          <w:rFonts w:asciiTheme="minorHAnsi" w:hAnsiTheme="minorHAnsi" w:cstheme="minorHAnsi"/>
          <w:sz w:val="22"/>
          <w:szCs w:val="22"/>
        </w:rPr>
        <w:t>, but liability for defects existing at the time of placing the product on the market remains full.</w:t>
      </w:r>
    </w:p>
    <w:p w14:paraId="2637A417" w14:textId="77777777" w:rsidR="00BE71E3" w:rsidRPr="004737C5" w:rsidRDefault="00BE71E3" w:rsidP="002473E9">
      <w:pPr>
        <w:pStyle w:val="BodyText"/>
        <w:numPr>
          <w:ilvl w:val="0"/>
          <w:numId w:val="90"/>
        </w:numPr>
        <w:spacing w:after="160"/>
        <w:ind w:left="709" w:hanging="425"/>
        <w:rPr>
          <w:rFonts w:asciiTheme="minorHAnsi" w:hAnsiTheme="minorHAnsi" w:cstheme="minorHAnsi"/>
          <w:sz w:val="22"/>
        </w:rPr>
      </w:pPr>
      <w:r w:rsidRPr="004737C5">
        <w:rPr>
          <w:rFonts w:asciiTheme="minorHAnsi" w:hAnsiTheme="minorHAnsi" w:cstheme="minorHAnsi"/>
          <w:b/>
          <w:bCs/>
          <w:sz w:val="22"/>
        </w:rPr>
        <w:t xml:space="preserve">Assumption of </w:t>
      </w:r>
      <w:r w:rsidR="0045112B" w:rsidRPr="004737C5">
        <w:rPr>
          <w:rFonts w:asciiTheme="minorHAnsi" w:hAnsiTheme="minorHAnsi" w:cstheme="minorHAnsi"/>
          <w:b/>
          <w:bCs/>
          <w:sz w:val="22"/>
        </w:rPr>
        <w:t>risk, contributory negligence</w:t>
      </w:r>
      <w:r w:rsidRPr="004737C5">
        <w:rPr>
          <w:rFonts w:asciiTheme="minorHAnsi" w:hAnsiTheme="minorHAnsi" w:cstheme="minorHAnsi"/>
          <w:b/>
          <w:bCs/>
          <w:sz w:val="22"/>
        </w:rPr>
        <w:t xml:space="preserve"> and misuse</w:t>
      </w:r>
      <w:r w:rsidR="0045112B" w:rsidRPr="004737C5">
        <w:rPr>
          <w:rFonts w:asciiTheme="minorHAnsi" w:hAnsiTheme="minorHAnsi" w:cstheme="minorHAnsi"/>
          <w:sz w:val="22"/>
        </w:rPr>
        <w:t>. G</w:t>
      </w:r>
      <w:r w:rsidRPr="004737C5">
        <w:rPr>
          <w:rFonts w:asciiTheme="minorHAnsi" w:hAnsiTheme="minorHAnsi" w:cstheme="minorHAnsi"/>
          <w:sz w:val="22"/>
        </w:rPr>
        <w:t>enerally, strict liability does not permit the legal defence of assumption of risk by the consumer together with contributory negligence</w:t>
      </w:r>
      <w:r w:rsidR="0045112B" w:rsidRPr="004737C5">
        <w:rPr>
          <w:rFonts w:asciiTheme="minorHAnsi" w:hAnsiTheme="minorHAnsi" w:cstheme="minorHAnsi"/>
          <w:sz w:val="22"/>
        </w:rPr>
        <w:t>.</w:t>
      </w:r>
      <w:r w:rsidRPr="004737C5">
        <w:rPr>
          <w:rFonts w:asciiTheme="minorHAnsi" w:hAnsiTheme="minorHAnsi" w:cstheme="minorHAnsi"/>
          <w:sz w:val="22"/>
        </w:rPr>
        <w:t xml:space="preserve"> Under the doctrine of strict liability, fault is irrelevant. However, in certain situations, defences based upon the consumer’s conduct are recognized. These are as follows:</w:t>
      </w:r>
    </w:p>
    <w:p w14:paraId="3F9EBC74" w14:textId="77777777" w:rsidR="00BE71E3" w:rsidRPr="004737C5" w:rsidRDefault="00BE71E3" w:rsidP="002473E9">
      <w:pPr>
        <w:pStyle w:val="ListParagraph"/>
        <w:numPr>
          <w:ilvl w:val="0"/>
          <w:numId w:val="56"/>
        </w:numPr>
        <w:ind w:left="1134" w:hanging="425"/>
        <w:rPr>
          <w:rFonts w:cstheme="minorHAnsi"/>
        </w:rPr>
      </w:pPr>
      <w:r w:rsidRPr="004737C5">
        <w:rPr>
          <w:rFonts w:cstheme="minorHAnsi"/>
        </w:rPr>
        <w:lastRenderedPageBreak/>
        <w:t>Negligent failure on the part of the consumer to d</w:t>
      </w:r>
      <w:r w:rsidR="0045112B" w:rsidRPr="004737C5">
        <w:rPr>
          <w:rFonts w:cstheme="minorHAnsi"/>
        </w:rPr>
        <w:t>iscover the defective condition</w:t>
      </w:r>
    </w:p>
    <w:p w14:paraId="47B08D86" w14:textId="77777777" w:rsidR="00BE71E3" w:rsidRPr="004737C5" w:rsidRDefault="00BE71E3" w:rsidP="002473E9">
      <w:pPr>
        <w:pStyle w:val="ListParagraph"/>
        <w:numPr>
          <w:ilvl w:val="0"/>
          <w:numId w:val="56"/>
        </w:numPr>
        <w:spacing w:after="0"/>
        <w:ind w:left="1134" w:hanging="425"/>
        <w:rPr>
          <w:rFonts w:cstheme="minorHAnsi"/>
        </w:rPr>
      </w:pPr>
      <w:r w:rsidRPr="004737C5">
        <w:rPr>
          <w:rFonts w:cstheme="minorHAnsi"/>
        </w:rPr>
        <w:t>Continued use of the product af</w:t>
      </w:r>
      <w:r w:rsidR="0045112B" w:rsidRPr="004737C5">
        <w:rPr>
          <w:rFonts w:cstheme="minorHAnsi"/>
        </w:rPr>
        <w:t>ter discovery of the defect</w:t>
      </w:r>
    </w:p>
    <w:p w14:paraId="2F733BDC" w14:textId="04171EF5" w:rsidR="0045112B" w:rsidRPr="004737C5" w:rsidRDefault="00BE71E3" w:rsidP="0028499C">
      <w:pPr>
        <w:pStyle w:val="ListParagraph"/>
        <w:numPr>
          <w:ilvl w:val="0"/>
          <w:numId w:val="56"/>
        </w:numPr>
        <w:ind w:left="1134" w:hanging="425"/>
        <w:contextualSpacing w:val="0"/>
        <w:rPr>
          <w:rFonts w:cstheme="minorHAnsi"/>
        </w:rPr>
      </w:pPr>
      <w:r w:rsidRPr="004737C5">
        <w:rPr>
          <w:rFonts w:cstheme="minorHAnsi"/>
        </w:rPr>
        <w:t>Use of the product in a manner that could not reasonably have been foreseen by the producer, for example using a metal fork to extract</w:t>
      </w:r>
      <w:r w:rsidR="0045112B" w:rsidRPr="004737C5">
        <w:rPr>
          <w:rFonts w:cstheme="minorHAnsi"/>
        </w:rPr>
        <w:t xml:space="preserve"> toast from an electric toaster</w:t>
      </w:r>
    </w:p>
    <w:tbl>
      <w:tblPr>
        <w:tblStyle w:val="TableGrid"/>
        <w:tblW w:w="0" w:type="auto"/>
        <w:tblLook w:val="04A0" w:firstRow="1" w:lastRow="0" w:firstColumn="1" w:lastColumn="0" w:noHBand="0" w:noVBand="1"/>
      </w:tblPr>
      <w:tblGrid>
        <w:gridCol w:w="9243"/>
      </w:tblGrid>
      <w:tr w:rsidR="0045112B" w:rsidRPr="004737C5" w14:paraId="4A7596CA" w14:textId="77777777" w:rsidTr="0045112B">
        <w:tc>
          <w:tcPr>
            <w:tcW w:w="9628" w:type="dxa"/>
          </w:tcPr>
          <w:p w14:paraId="72CC2A81" w14:textId="77777777" w:rsidR="0045112B" w:rsidRPr="004737C5" w:rsidRDefault="0045112B" w:rsidP="0045112B">
            <w:pPr>
              <w:pStyle w:val="ListParagraph"/>
              <w:ind w:left="0"/>
              <w:rPr>
                <w:rFonts w:cstheme="minorHAnsi"/>
                <w:b/>
              </w:rPr>
            </w:pPr>
            <w:r w:rsidRPr="004737C5">
              <w:rPr>
                <w:rFonts w:cstheme="minorHAnsi"/>
                <w:b/>
              </w:rPr>
              <w:t>Box 7. The case of BSE (“mad cow disease”) in the United Kingdom of Great Britain and Northern Ireland</w:t>
            </w:r>
          </w:p>
          <w:p w14:paraId="1D8790ED" w14:textId="22739432" w:rsidR="0045112B" w:rsidRPr="004737C5" w:rsidRDefault="0045112B" w:rsidP="0028499C">
            <w:pPr>
              <w:pStyle w:val="ListParagraph"/>
              <w:spacing w:before="160"/>
              <w:ind w:left="0"/>
              <w:contextualSpacing w:val="0"/>
              <w:rPr>
                <w:rFonts w:cstheme="minorHAnsi"/>
              </w:rPr>
            </w:pPr>
            <w:r w:rsidRPr="004737C5">
              <w:rPr>
                <w:rFonts w:cstheme="minorHAnsi"/>
              </w:rPr>
              <w:t>Bovine spongiform encephalopathy (BSE), commonly known as “mad cow disease”</w:t>
            </w:r>
            <w:r w:rsidR="0028499C" w:rsidRPr="004737C5">
              <w:rPr>
                <w:rFonts w:cstheme="minorHAnsi"/>
              </w:rPr>
              <w:t>,</w:t>
            </w:r>
            <w:r w:rsidRPr="004737C5">
              <w:rPr>
                <w:rFonts w:cstheme="minorHAnsi"/>
              </w:rPr>
              <w:t xml:space="preserve"> was found among the British beef herd during the 1980s. Initially there was uncertainty about the risk that the disease posed to humans but in March 1996 a ban on British beef exports was imposed by the European Union following diagnoses that indicated that the disease had probably been transmitted to human beings by eating food contaminated by unsafe bovine materials. By June 2014 the human variant was estimated to have killed 177 people in the United Kingdom</w:t>
            </w:r>
            <w:r w:rsidR="0028499C" w:rsidRPr="004737C5">
              <w:rPr>
                <w:rFonts w:cstheme="minorHAnsi"/>
              </w:rPr>
              <w:t xml:space="preserve"> of Great Britain and Northern Ireland</w:t>
            </w:r>
            <w:r w:rsidRPr="004737C5">
              <w:rPr>
                <w:rFonts w:cstheme="minorHAnsi"/>
              </w:rPr>
              <w:t>, and 52 elsewhere, although the rate of infection appears to have slowed and is around five per year at the time of writing.</w:t>
            </w:r>
          </w:p>
          <w:p w14:paraId="74CF8386" w14:textId="77777777" w:rsidR="0045112B" w:rsidRPr="004737C5" w:rsidRDefault="0045112B" w:rsidP="0028499C">
            <w:pPr>
              <w:pStyle w:val="ListParagraph"/>
              <w:spacing w:before="160"/>
              <w:ind w:left="0"/>
              <w:contextualSpacing w:val="0"/>
              <w:rPr>
                <w:rFonts w:cstheme="minorHAnsi"/>
              </w:rPr>
            </w:pPr>
            <w:r w:rsidRPr="004737C5">
              <w:rPr>
                <w:rFonts w:cstheme="minorHAnsi"/>
              </w:rPr>
              <w:t>An official British and Irish inquiry into BSE concluded that the outbreak was caused by cattle, which are normally herbivores, being fed the remains of other cattle in the form of meat and bone meal (MBM), which caused the infectious agent to spread. The origin of the disease itself remains unknown.</w:t>
            </w:r>
          </w:p>
          <w:p w14:paraId="57F5AB0F" w14:textId="77777777" w:rsidR="00C92F44" w:rsidRPr="004737C5" w:rsidRDefault="0045112B" w:rsidP="0028499C">
            <w:pPr>
              <w:spacing w:before="160"/>
              <w:rPr>
                <w:rFonts w:cstheme="minorHAnsi"/>
                <w:b/>
              </w:rPr>
            </w:pPr>
            <w:r w:rsidRPr="004737C5">
              <w:rPr>
                <w:rFonts w:cstheme="minorHAnsi"/>
                <w:b/>
              </w:rPr>
              <w:t>Lessons learnt</w:t>
            </w:r>
            <w:r w:rsidRPr="004737C5">
              <w:rPr>
                <w:rFonts w:cstheme="minorHAnsi"/>
                <w:b/>
              </w:rPr>
              <w:tab/>
            </w:r>
          </w:p>
          <w:p w14:paraId="06B03033" w14:textId="77777777" w:rsidR="0045112B" w:rsidRPr="004737C5" w:rsidRDefault="0045112B" w:rsidP="0028499C">
            <w:pPr>
              <w:spacing w:before="160"/>
              <w:rPr>
                <w:rFonts w:cstheme="minorHAnsi"/>
              </w:rPr>
            </w:pPr>
            <w:r w:rsidRPr="004737C5">
              <w:rPr>
                <w:rFonts w:cstheme="minorHAnsi"/>
              </w:rPr>
              <w:t xml:space="preserve">One finding reached by the official enquiry was that gathering of data about the extent of the spread of BSE was impeded in the first half of 1987 (i.e. early during the outbreak) by “an embargo within the State Veterinary Service on making information about the new disease public”. The report concluded that “this should not have occurred”. If information is withheld, then that becomes a further cause for concern upon eventual exposure. </w:t>
            </w:r>
          </w:p>
          <w:p w14:paraId="3035CE86" w14:textId="5DC08EC9" w:rsidR="0045112B" w:rsidRPr="004737C5" w:rsidRDefault="0045112B" w:rsidP="0028499C">
            <w:pPr>
              <w:spacing w:before="160"/>
              <w:rPr>
                <w:rFonts w:cstheme="minorHAnsi"/>
              </w:rPr>
            </w:pPr>
            <w:r w:rsidRPr="004737C5">
              <w:rPr>
                <w:rFonts w:cstheme="minorHAnsi"/>
              </w:rPr>
              <w:t>Such episodes easily become trade disputes and can spread beyond the original “theatre”, in this case beyond the United Kingdom of Great Britain and Northern Ireland and the European Union. For example, after the discovery of the first case of BSE in the United States of America in 2003, Japan halted beef imports</w:t>
            </w:r>
            <w:r w:rsidR="0028499C" w:rsidRPr="004737C5">
              <w:rPr>
                <w:rFonts w:cstheme="minorHAnsi"/>
              </w:rPr>
              <w:t xml:space="preserve"> from the United States of America</w:t>
            </w:r>
            <w:r w:rsidRPr="004737C5">
              <w:rPr>
                <w:rFonts w:cstheme="minorHAnsi"/>
              </w:rPr>
              <w:t>. In 2005, Japan once again allowed imports of beef</w:t>
            </w:r>
            <w:r w:rsidR="0028499C" w:rsidRPr="004737C5">
              <w:rPr>
                <w:rFonts w:cstheme="minorHAnsi"/>
              </w:rPr>
              <w:t xml:space="preserve"> from the United States of America</w:t>
            </w:r>
            <w:r w:rsidRPr="004737C5">
              <w:rPr>
                <w:rFonts w:cstheme="minorHAnsi"/>
              </w:rPr>
              <w:t>, but reinstated its ban in January 2006 after a violation of the technical terms of the beef import agreement.</w:t>
            </w:r>
          </w:p>
          <w:p w14:paraId="1B40B4C9" w14:textId="77777777" w:rsidR="00C92F44" w:rsidRPr="004737C5" w:rsidRDefault="0045112B" w:rsidP="0028499C">
            <w:pPr>
              <w:pStyle w:val="ListParagraph"/>
              <w:spacing w:before="160"/>
              <w:ind w:left="0"/>
              <w:contextualSpacing w:val="0"/>
              <w:rPr>
                <w:rFonts w:cstheme="minorHAnsi"/>
              </w:rPr>
            </w:pPr>
            <w:r w:rsidRPr="004737C5">
              <w:rPr>
                <w:rFonts w:cstheme="minorHAnsi"/>
              </w:rPr>
              <w:t>Faced with such uncertainties, the “precautionary principle” (</w:t>
            </w:r>
            <w:r w:rsidR="00C92F44" w:rsidRPr="004737C5">
              <w:rPr>
                <w:rFonts w:cstheme="minorHAnsi"/>
              </w:rPr>
              <w:t xml:space="preserve">that </w:t>
            </w:r>
            <w:r w:rsidRPr="004737C5">
              <w:rPr>
                <w:rFonts w:cstheme="minorHAnsi"/>
              </w:rPr>
              <w:t xml:space="preserve">it is better to take preventative measures even before precise causality is established) was widely invoked, even though it was not challenged by the </w:t>
            </w:r>
            <w:r w:rsidR="00C92F44" w:rsidRPr="004737C5">
              <w:rPr>
                <w:rFonts w:cstheme="minorHAnsi"/>
              </w:rPr>
              <w:t xml:space="preserve">Government of the </w:t>
            </w:r>
            <w:r w:rsidRPr="004737C5">
              <w:rPr>
                <w:rFonts w:cstheme="minorHAnsi"/>
              </w:rPr>
              <w:t xml:space="preserve">United Kingdom </w:t>
            </w:r>
            <w:r w:rsidR="00C92F44" w:rsidRPr="004737C5">
              <w:rPr>
                <w:rFonts w:cstheme="minorHAnsi"/>
              </w:rPr>
              <w:t xml:space="preserve">of Great Britain and Northern Ireland </w:t>
            </w:r>
            <w:r w:rsidRPr="004737C5">
              <w:rPr>
                <w:rFonts w:cstheme="minorHAnsi"/>
              </w:rPr>
              <w:t xml:space="preserve">in legal terms (although some challenges were discussed at the time).  </w:t>
            </w:r>
          </w:p>
          <w:p w14:paraId="1C644F26" w14:textId="77777777" w:rsidR="00C92F44" w:rsidRPr="004737C5" w:rsidRDefault="00C92F44" w:rsidP="00837A52">
            <w:pPr>
              <w:pStyle w:val="ListParagraph"/>
              <w:spacing w:before="160"/>
              <w:ind w:left="0"/>
              <w:contextualSpacing w:val="0"/>
              <w:rPr>
                <w:rFonts w:cstheme="minorHAnsi"/>
                <w:b/>
              </w:rPr>
            </w:pPr>
            <w:r w:rsidRPr="004737C5">
              <w:rPr>
                <w:rFonts w:cstheme="minorHAnsi"/>
                <w:b/>
              </w:rPr>
              <w:t>Legacy</w:t>
            </w:r>
          </w:p>
          <w:p w14:paraId="4F3D2D42" w14:textId="77777777" w:rsidR="00C92F44" w:rsidRPr="004737C5" w:rsidRDefault="00C92F44" w:rsidP="00837A52">
            <w:pPr>
              <w:pStyle w:val="ListParagraph"/>
              <w:spacing w:before="160"/>
              <w:ind w:left="0"/>
              <w:contextualSpacing w:val="0"/>
              <w:rPr>
                <w:rFonts w:cstheme="minorHAnsi"/>
              </w:rPr>
            </w:pPr>
            <w:r w:rsidRPr="004737C5">
              <w:rPr>
                <w:rFonts w:cstheme="minorHAnsi"/>
              </w:rPr>
              <w:t>The episode left a legacy of suspicion, both of regulatory bodies and the meat supply industry itself. This resurfaced in the case of adulteration of meat products by horsemeat in several European Union countries in 2014, which was not primarily a food safety scare, but a matter of labelling and traceability. It also raised cultural issues with some practices involving pork. Strong testing measures were taken by the European Union, which prepared recommendations on labelling of processed meat.</w:t>
            </w:r>
          </w:p>
          <w:p w14:paraId="78FE2F9D" w14:textId="175D4CE7" w:rsidR="00C92F44" w:rsidRPr="004737C5" w:rsidRDefault="00C92F44" w:rsidP="00837A52">
            <w:pPr>
              <w:pStyle w:val="ListParagraph"/>
              <w:spacing w:before="160"/>
              <w:ind w:left="0"/>
              <w:contextualSpacing w:val="0"/>
              <w:jc w:val="left"/>
              <w:rPr>
                <w:rFonts w:cstheme="minorHAnsi"/>
                <w:sz w:val="20"/>
                <w:szCs w:val="20"/>
              </w:rPr>
            </w:pPr>
            <w:r w:rsidRPr="004737C5">
              <w:rPr>
                <w:rFonts w:cstheme="minorHAnsi"/>
                <w:i/>
                <w:sz w:val="20"/>
                <w:szCs w:val="20"/>
              </w:rPr>
              <w:t>Source</w:t>
            </w:r>
            <w:r w:rsidRPr="004737C5">
              <w:rPr>
                <w:rFonts w:cstheme="minorHAnsi"/>
                <w:sz w:val="20"/>
                <w:szCs w:val="20"/>
              </w:rPr>
              <w:t xml:space="preserve">: Robin Simpson, responsible for the BSE dossier while working at the National Consumer Council of the United Kingdom </w:t>
            </w:r>
            <w:r w:rsidR="00837A52" w:rsidRPr="004737C5">
              <w:rPr>
                <w:rFonts w:cstheme="minorHAnsi"/>
                <w:sz w:val="20"/>
                <w:szCs w:val="20"/>
              </w:rPr>
              <w:t xml:space="preserve">of Great Britain and Northern Ireland </w:t>
            </w:r>
            <w:r w:rsidRPr="004737C5">
              <w:rPr>
                <w:rFonts w:cstheme="minorHAnsi"/>
                <w:sz w:val="20"/>
                <w:szCs w:val="20"/>
              </w:rPr>
              <w:t>during the crisis of the 1990s.</w:t>
            </w:r>
          </w:p>
        </w:tc>
      </w:tr>
    </w:tbl>
    <w:p w14:paraId="1C26ADDC" w14:textId="77777777" w:rsidR="00BE71E3" w:rsidRPr="004737C5" w:rsidRDefault="00C92F44" w:rsidP="00837A52">
      <w:pPr>
        <w:pStyle w:val="Heading2"/>
        <w:spacing w:after="160"/>
        <w:rPr>
          <w:rFonts w:cstheme="minorHAnsi"/>
          <w:color w:val="auto"/>
          <w:sz w:val="24"/>
          <w:szCs w:val="24"/>
        </w:rPr>
      </w:pPr>
      <w:bookmarkStart w:id="111" w:name="_Toc489950261"/>
      <w:bookmarkStart w:id="112" w:name="_Toc492650048"/>
      <w:r w:rsidRPr="004737C5">
        <w:rPr>
          <w:rFonts w:cstheme="minorHAnsi"/>
          <w:color w:val="auto"/>
          <w:sz w:val="24"/>
          <w:szCs w:val="24"/>
        </w:rPr>
        <w:lastRenderedPageBreak/>
        <w:t>D.</w:t>
      </w:r>
      <w:r w:rsidR="00BE71E3" w:rsidRPr="004737C5">
        <w:rPr>
          <w:rFonts w:cstheme="minorHAnsi"/>
          <w:color w:val="auto"/>
          <w:sz w:val="24"/>
          <w:szCs w:val="24"/>
        </w:rPr>
        <w:t xml:space="preserve"> Services as dangerous products</w:t>
      </w:r>
      <w:bookmarkEnd w:id="111"/>
      <w:bookmarkEnd w:id="112"/>
    </w:p>
    <w:p w14:paraId="12E888AC" w14:textId="6A4FF157" w:rsidR="00BE71E3" w:rsidRPr="004737C5" w:rsidRDefault="00BE71E3" w:rsidP="006D3BE8">
      <w:pPr>
        <w:rPr>
          <w:rFonts w:cstheme="minorHAnsi"/>
          <w:b/>
          <w:color w:val="FF0000"/>
        </w:rPr>
      </w:pPr>
      <w:r w:rsidRPr="004737C5">
        <w:rPr>
          <w:rFonts w:cstheme="minorHAnsi"/>
        </w:rPr>
        <w:t>The UNGCP deal with safety in terms of physical safety and this chapter has accordingly</w:t>
      </w:r>
      <w:r w:rsidR="00C92F44" w:rsidRPr="004737C5">
        <w:rPr>
          <w:rFonts w:cstheme="minorHAnsi"/>
        </w:rPr>
        <w:t xml:space="preserve"> concentrated on this</w:t>
      </w:r>
      <w:r w:rsidRPr="004737C5">
        <w:rPr>
          <w:rFonts w:cstheme="minorHAnsi"/>
        </w:rPr>
        <w:t>. Many services, such as medical serv</w:t>
      </w:r>
      <w:r w:rsidR="00C92F44" w:rsidRPr="004737C5">
        <w:rPr>
          <w:rFonts w:cstheme="minorHAnsi"/>
        </w:rPr>
        <w:t>ices, electricians, gas-fitting and taxis,</w:t>
      </w:r>
      <w:r w:rsidRPr="004737C5">
        <w:rPr>
          <w:rFonts w:cstheme="minorHAnsi"/>
        </w:rPr>
        <w:t xml:space="preserve"> have an element of physical danger, which is frequently dealt with at the level of licensing and insurance, self-regulation and private litigation, rather than through product liability law. It should</w:t>
      </w:r>
      <w:r w:rsidR="00C92F44" w:rsidRPr="004737C5">
        <w:rPr>
          <w:rFonts w:cstheme="minorHAnsi"/>
        </w:rPr>
        <w:t>, however,</w:t>
      </w:r>
      <w:r w:rsidRPr="004737C5">
        <w:rPr>
          <w:rFonts w:cstheme="minorHAnsi"/>
        </w:rPr>
        <w:t xml:space="preserve"> be noted </w:t>
      </w:r>
      <w:r w:rsidR="00C92F44" w:rsidRPr="004737C5">
        <w:rPr>
          <w:rFonts w:cstheme="minorHAnsi"/>
        </w:rPr>
        <w:t>that</w:t>
      </w:r>
      <w:r w:rsidRPr="004737C5">
        <w:rPr>
          <w:rFonts w:cstheme="minorHAnsi"/>
        </w:rPr>
        <w:t xml:space="preserve"> in terms of regulatory intervention, the onset of the financial crisis saw much discussion on whether the concept of dangerou</w:t>
      </w:r>
      <w:r w:rsidR="00C92F44" w:rsidRPr="004737C5">
        <w:rPr>
          <w:rFonts w:cstheme="minorHAnsi"/>
        </w:rPr>
        <w:t>s products and their regulation</w:t>
      </w:r>
      <w:r w:rsidRPr="004737C5">
        <w:rPr>
          <w:rFonts w:cstheme="minorHAnsi"/>
        </w:rPr>
        <w:t xml:space="preserve"> should be applied to services in terms of a wider range of dangers. Certain financial produc</w:t>
      </w:r>
      <w:r w:rsidR="00C92F44" w:rsidRPr="004737C5">
        <w:rPr>
          <w:rFonts w:cstheme="minorHAnsi"/>
        </w:rPr>
        <w:t>ts were routinely described as “toxic”</w:t>
      </w:r>
      <w:r w:rsidRPr="004737C5">
        <w:rPr>
          <w:rFonts w:cstheme="minorHAnsi"/>
        </w:rPr>
        <w:t xml:space="preserve"> and EC Commissioner </w:t>
      </w:r>
      <w:r w:rsidR="00C92F44" w:rsidRPr="004737C5">
        <w:t xml:space="preserve">Meglena </w:t>
      </w:r>
      <w:r w:rsidRPr="004737C5">
        <w:rPr>
          <w:rFonts w:cstheme="minorHAnsi"/>
        </w:rPr>
        <w:t>Kuneva called for a product safety approach to be applied, drawing an explicit parallel with the trade in physical goods: “we do not rely on t</w:t>
      </w:r>
      <w:r w:rsidR="00E07C0D" w:rsidRPr="004737C5">
        <w:rPr>
          <w:rFonts w:cstheme="minorHAnsi"/>
        </w:rPr>
        <w:t>he good faith of</w:t>
      </w:r>
      <w:r w:rsidRPr="004737C5">
        <w:rPr>
          <w:rFonts w:cstheme="minorHAnsi"/>
        </w:rPr>
        <w:t xml:space="preserve"> traders and the alleged vigilance of consumers but require</w:t>
      </w:r>
      <w:r w:rsidRPr="004737C5">
        <w:rPr>
          <w:rFonts w:cstheme="minorHAnsi"/>
          <w:b/>
          <w:color w:val="FF0000"/>
        </w:rPr>
        <w:t xml:space="preserve"> </w:t>
      </w:r>
      <w:r w:rsidRPr="004737C5">
        <w:rPr>
          <w:rFonts w:cstheme="minorHAnsi"/>
        </w:rPr>
        <w:t>that a regulator guarantees a satisfactory degree of safety. Doesn't the regulator have similar</w:t>
      </w:r>
      <w:r w:rsidRPr="004737C5">
        <w:rPr>
          <w:rFonts w:cstheme="minorHAnsi"/>
          <w:b/>
          <w:color w:val="FF0000"/>
        </w:rPr>
        <w:t xml:space="preserve"> </w:t>
      </w:r>
      <w:r w:rsidRPr="004737C5">
        <w:rPr>
          <w:rFonts w:cstheme="minorHAnsi"/>
        </w:rPr>
        <w:t>responsibilities in the market of retail financial services? I believe we must limit the risk in retail</w:t>
      </w:r>
      <w:r w:rsidRPr="004737C5">
        <w:rPr>
          <w:rFonts w:cstheme="minorHAnsi"/>
          <w:b/>
          <w:color w:val="FF0000"/>
        </w:rPr>
        <w:t xml:space="preserve"> </w:t>
      </w:r>
      <w:r w:rsidRPr="004737C5">
        <w:rPr>
          <w:rFonts w:cstheme="minorHAnsi"/>
        </w:rPr>
        <w:t>financi</w:t>
      </w:r>
      <w:r w:rsidR="00E07C0D" w:rsidRPr="004737C5">
        <w:rPr>
          <w:rFonts w:cstheme="minorHAnsi"/>
        </w:rPr>
        <w:t>al markets and exclude certain ‘toxic’</w:t>
      </w:r>
      <w:r w:rsidRPr="004737C5">
        <w:rPr>
          <w:rFonts w:cstheme="minorHAnsi"/>
        </w:rPr>
        <w:t xml:space="preserve"> credit products from its retail shelves”.</w:t>
      </w:r>
      <w:r w:rsidRPr="004737C5">
        <w:rPr>
          <w:rStyle w:val="FootnoteReference"/>
          <w:rFonts w:cstheme="minorHAnsi"/>
        </w:rPr>
        <w:footnoteReference w:id="146"/>
      </w:r>
      <w:r w:rsidRPr="004737C5">
        <w:rPr>
          <w:rFonts w:cstheme="minorHAnsi"/>
        </w:rPr>
        <w:t xml:space="preserve"> For similar</w:t>
      </w:r>
      <w:r w:rsidRPr="004737C5">
        <w:rPr>
          <w:rFonts w:cstheme="minorHAnsi"/>
          <w:b/>
          <w:color w:val="FF0000"/>
        </w:rPr>
        <w:t xml:space="preserve"> </w:t>
      </w:r>
      <w:r w:rsidRPr="004737C5">
        <w:rPr>
          <w:rFonts w:cstheme="minorHAnsi"/>
        </w:rPr>
        <w:t>reasons, Elizabeth Warren, then acting Head of the Consumer Finance Protection Bureau of the</w:t>
      </w:r>
      <w:r w:rsidRPr="004737C5">
        <w:rPr>
          <w:rFonts w:cstheme="minorHAnsi"/>
          <w:b/>
          <w:color w:val="FF0000"/>
        </w:rPr>
        <w:t xml:space="preserve"> </w:t>
      </w:r>
      <w:r w:rsidRPr="004737C5">
        <w:rPr>
          <w:rFonts w:cstheme="minorHAnsi"/>
        </w:rPr>
        <w:t>United States</w:t>
      </w:r>
      <w:r w:rsidR="00E07C0D" w:rsidRPr="004737C5">
        <w:rPr>
          <w:rFonts w:cstheme="minorHAnsi"/>
        </w:rPr>
        <w:t xml:space="preserve"> of America, called for a f</w:t>
      </w:r>
      <w:r w:rsidRPr="004737C5">
        <w:rPr>
          <w:rFonts w:cstheme="minorHAnsi"/>
        </w:rPr>
        <w:t>inanc</w:t>
      </w:r>
      <w:r w:rsidR="00E07C0D" w:rsidRPr="004737C5">
        <w:rPr>
          <w:rFonts w:cstheme="minorHAnsi"/>
        </w:rPr>
        <w:t>ial p</w:t>
      </w:r>
      <w:r w:rsidRPr="004737C5">
        <w:rPr>
          <w:rFonts w:cstheme="minorHAnsi"/>
        </w:rPr>
        <w:t xml:space="preserve">roduct </w:t>
      </w:r>
      <w:r w:rsidR="00E07C0D" w:rsidRPr="004737C5">
        <w:rPr>
          <w:rFonts w:cstheme="minorHAnsi"/>
        </w:rPr>
        <w:t>safety c</w:t>
      </w:r>
      <w:r w:rsidRPr="004737C5">
        <w:rPr>
          <w:rFonts w:cstheme="minorHAnsi"/>
        </w:rPr>
        <w:t>ommission.</w:t>
      </w:r>
      <w:r w:rsidRPr="004737C5">
        <w:rPr>
          <w:rStyle w:val="FootnoteReference"/>
          <w:rFonts w:cstheme="minorHAnsi"/>
        </w:rPr>
        <w:footnoteReference w:id="147"/>
      </w:r>
      <w:r w:rsidRPr="004737C5">
        <w:rPr>
          <w:rFonts w:cstheme="minorHAnsi"/>
        </w:rPr>
        <w:t xml:space="preserve"> The main consequence of this debate would therefore </w:t>
      </w:r>
      <w:r w:rsidR="00E07C0D" w:rsidRPr="004737C5">
        <w:rPr>
          <w:rFonts w:cstheme="minorHAnsi"/>
        </w:rPr>
        <w:t xml:space="preserve">seem </w:t>
      </w:r>
      <w:r w:rsidRPr="004737C5">
        <w:rPr>
          <w:rFonts w:cstheme="minorHAnsi"/>
        </w:rPr>
        <w:t xml:space="preserve">to be a tilt back towards regulatory intervention rather than inter-party litigation. </w:t>
      </w:r>
    </w:p>
    <w:p w14:paraId="7DCFE75A" w14:textId="77777777" w:rsidR="00BE71E3" w:rsidRPr="004737C5" w:rsidRDefault="00E07C0D" w:rsidP="00837A52">
      <w:pPr>
        <w:pStyle w:val="Heading2"/>
        <w:spacing w:after="160"/>
        <w:rPr>
          <w:rFonts w:cstheme="minorHAnsi"/>
          <w:color w:val="auto"/>
          <w:sz w:val="24"/>
          <w:szCs w:val="24"/>
        </w:rPr>
      </w:pPr>
      <w:bookmarkStart w:id="113" w:name="_Toc489950262"/>
      <w:bookmarkStart w:id="114" w:name="_Toc492650049"/>
      <w:r w:rsidRPr="004737C5">
        <w:rPr>
          <w:rFonts w:cstheme="minorHAnsi"/>
          <w:color w:val="auto"/>
          <w:sz w:val="24"/>
          <w:szCs w:val="24"/>
        </w:rPr>
        <w:t>E.</w:t>
      </w:r>
      <w:r w:rsidR="00BE71E3" w:rsidRPr="004737C5">
        <w:rPr>
          <w:rFonts w:cstheme="minorHAnsi"/>
          <w:color w:val="auto"/>
          <w:sz w:val="24"/>
          <w:szCs w:val="24"/>
        </w:rPr>
        <w:t xml:space="preserve"> Product safety in international law and policy</w:t>
      </w:r>
      <w:bookmarkEnd w:id="113"/>
      <w:bookmarkEnd w:id="114"/>
    </w:p>
    <w:p w14:paraId="2BEB62BB" w14:textId="77777777" w:rsidR="00BE71E3" w:rsidRPr="004737C5" w:rsidRDefault="004240DC" w:rsidP="006D3BE8">
      <w:pPr>
        <w:rPr>
          <w:rFonts w:cstheme="minorHAnsi"/>
        </w:rPr>
      </w:pPr>
      <w:r w:rsidRPr="004737C5">
        <w:rPr>
          <w:rFonts w:cstheme="minorHAnsi"/>
        </w:rPr>
        <w:t>Chapter V</w:t>
      </w:r>
      <w:r w:rsidR="00BE71E3" w:rsidRPr="004737C5">
        <w:rPr>
          <w:rFonts w:cstheme="minorHAnsi"/>
        </w:rPr>
        <w:t xml:space="preserve"> outlined that consumer protection legislation should not be in conflict with international trade law, as is sometimes alleged on the grounds that consumer protection measures taken against imports are disall</w:t>
      </w:r>
      <w:r w:rsidR="00E07C0D" w:rsidRPr="004737C5">
        <w:rPr>
          <w:rFonts w:cstheme="minorHAnsi"/>
        </w:rPr>
        <w:t>owed as barriers to trade. The “exceptions clause”</w:t>
      </w:r>
      <w:r w:rsidR="003F4B7F" w:rsidRPr="004737C5">
        <w:rPr>
          <w:rFonts w:cstheme="minorHAnsi"/>
        </w:rPr>
        <w:t xml:space="preserve"> (a</w:t>
      </w:r>
      <w:r w:rsidR="00BE71E3" w:rsidRPr="004737C5">
        <w:rPr>
          <w:rFonts w:cstheme="minorHAnsi"/>
        </w:rPr>
        <w:t>rticle 20 of GATT) stipulates that, in the event of a product posing a risk to human animal or plant health, import restrictions or barriers are allowable,</w:t>
      </w:r>
      <w:r w:rsidR="00BE71E3" w:rsidRPr="004737C5">
        <w:rPr>
          <w:rFonts w:cstheme="minorHAnsi"/>
          <w:b/>
          <w:color w:val="FF0000"/>
        </w:rPr>
        <w:t xml:space="preserve"> </w:t>
      </w:r>
      <w:r w:rsidR="00E07C0D" w:rsidRPr="004737C5">
        <w:rPr>
          <w:rFonts w:cstheme="minorHAnsi"/>
        </w:rPr>
        <w:t>“</w:t>
      </w:r>
      <w:r w:rsidR="00BE71E3" w:rsidRPr="004737C5">
        <w:rPr>
          <w:rFonts w:cstheme="minorHAnsi"/>
        </w:rPr>
        <w:t>provided they are not used as a means of arbitrary or unjustifiable discrimination between countries or as disguised rest</w:t>
      </w:r>
      <w:r w:rsidR="00E07C0D" w:rsidRPr="004737C5">
        <w:rPr>
          <w:rFonts w:cstheme="minorHAnsi"/>
        </w:rPr>
        <w:t>rictions on international trade”</w:t>
      </w:r>
      <w:r w:rsidR="00BE71E3" w:rsidRPr="004737C5">
        <w:rPr>
          <w:rFonts w:cstheme="minorHAnsi"/>
        </w:rPr>
        <w:t xml:space="preserve">. </w:t>
      </w:r>
    </w:p>
    <w:p w14:paraId="00375D4E" w14:textId="77777777" w:rsidR="00BE71E3" w:rsidRPr="004737C5" w:rsidRDefault="00BE71E3" w:rsidP="006D3BE8">
      <w:pPr>
        <w:autoSpaceDE w:val="0"/>
        <w:autoSpaceDN w:val="0"/>
        <w:adjustRightInd w:val="0"/>
        <w:rPr>
          <w:rFonts w:cstheme="minorHAnsi"/>
        </w:rPr>
      </w:pPr>
      <w:r w:rsidRPr="004737C5">
        <w:rPr>
          <w:rFonts w:cstheme="minorHAnsi"/>
          <w:color w:val="000000"/>
        </w:rPr>
        <w:t>Furthermore, the Sanitary and Phytosanitary (SPS) Agreement, whose status was upgraded by the World Trade Organization treaty in 1995 having previou</w:t>
      </w:r>
      <w:r w:rsidR="003F4B7F" w:rsidRPr="004737C5">
        <w:rPr>
          <w:rFonts w:cstheme="minorHAnsi"/>
          <w:color w:val="000000"/>
        </w:rPr>
        <w:t>sly been a code, recognizes in a</w:t>
      </w:r>
      <w:r w:rsidRPr="004737C5">
        <w:rPr>
          <w:rFonts w:cstheme="minorHAnsi"/>
          <w:color w:val="000000"/>
        </w:rPr>
        <w:t>rticle 5.7 that the state of scientific knowledge may be insufficient to make a definitive judgment</w:t>
      </w:r>
      <w:r w:rsidR="00E07C0D" w:rsidRPr="004737C5">
        <w:rPr>
          <w:rFonts w:cstheme="minorHAnsi"/>
          <w:color w:val="000000"/>
        </w:rPr>
        <w:t xml:space="preserve"> on</w:t>
      </w:r>
      <w:r w:rsidRPr="004737C5">
        <w:rPr>
          <w:rFonts w:cstheme="minorHAnsi"/>
          <w:color w:val="000000"/>
        </w:rPr>
        <w:t xml:space="preserve"> whether or not to block a product, but that a precautionary approach can</w:t>
      </w:r>
      <w:r w:rsidR="00E07C0D" w:rsidRPr="004737C5">
        <w:rPr>
          <w:rFonts w:cstheme="minorHAnsi"/>
          <w:color w:val="000000"/>
        </w:rPr>
        <w:t xml:space="preserve"> be taken in the meantime. The a</w:t>
      </w:r>
      <w:r w:rsidRPr="004737C5">
        <w:rPr>
          <w:rFonts w:cstheme="minorHAnsi"/>
          <w:color w:val="000000"/>
        </w:rPr>
        <w:t xml:space="preserve">rticle </w:t>
      </w:r>
      <w:r w:rsidR="00E07C0D" w:rsidRPr="004737C5">
        <w:rPr>
          <w:rFonts w:cstheme="minorHAnsi"/>
          <w:color w:val="000000"/>
        </w:rPr>
        <w:t xml:space="preserve">states that </w:t>
      </w:r>
      <w:r w:rsidR="00E07C0D" w:rsidRPr="004737C5">
        <w:rPr>
          <w:rFonts w:cstheme="minorHAnsi"/>
        </w:rPr>
        <w:t>“i</w:t>
      </w:r>
      <w:r w:rsidRPr="004737C5">
        <w:rPr>
          <w:rFonts w:cstheme="minorHAnsi"/>
        </w:rPr>
        <w:t>n cases where relevant scientific evidence is insufficient, a Member may provisionally adopt sanitary or phytosanitary measures on the basis of available pertinent information …</w:t>
      </w:r>
      <w:r w:rsidR="00E07C0D" w:rsidRPr="004737C5">
        <w:rPr>
          <w:rFonts w:cstheme="minorHAnsi"/>
        </w:rPr>
        <w:t xml:space="preserve"> </w:t>
      </w:r>
      <w:r w:rsidRPr="004737C5">
        <w:rPr>
          <w:rFonts w:cstheme="minorHAnsi"/>
        </w:rPr>
        <w:t>[but]</w:t>
      </w:r>
      <w:r w:rsidR="00E07C0D" w:rsidRPr="004737C5">
        <w:rPr>
          <w:rFonts w:cstheme="minorHAnsi"/>
        </w:rPr>
        <w:t xml:space="preserve"> </w:t>
      </w:r>
      <w:r w:rsidRPr="004737C5">
        <w:rPr>
          <w:rFonts w:cstheme="minorHAnsi"/>
        </w:rPr>
        <w:t>… shall seek to obtain the additional information necessary for a more objective assessment of risk and review the sanitary or ph</w:t>
      </w:r>
      <w:r w:rsidR="00E07C0D" w:rsidRPr="004737C5">
        <w:rPr>
          <w:rFonts w:cstheme="minorHAnsi"/>
        </w:rPr>
        <w:t>ytosanitary measure accordingly”</w:t>
      </w:r>
      <w:r w:rsidRPr="004737C5">
        <w:rPr>
          <w:rFonts w:cstheme="minorHAnsi"/>
        </w:rPr>
        <w:t>. Th</w:t>
      </w:r>
      <w:r w:rsidR="00E07C0D" w:rsidRPr="004737C5">
        <w:rPr>
          <w:rFonts w:cstheme="minorHAnsi"/>
        </w:rPr>
        <w:t>is has come to be known as the “precautionary principle” in some jurisdictions and the “precautionary approach”</w:t>
      </w:r>
      <w:r w:rsidRPr="004737C5">
        <w:rPr>
          <w:rFonts w:cstheme="minorHAnsi"/>
        </w:rPr>
        <w:t xml:space="preserve"> in others. Either way</w:t>
      </w:r>
      <w:r w:rsidR="00E07C0D" w:rsidRPr="004737C5">
        <w:rPr>
          <w:rFonts w:cstheme="minorHAnsi"/>
        </w:rPr>
        <w:t>,</w:t>
      </w:r>
      <w:r w:rsidRPr="004737C5">
        <w:rPr>
          <w:rFonts w:cstheme="minorHAnsi"/>
        </w:rPr>
        <w:t xml:space="preserve"> the wording suggests that one should not be precautionary forever in a particular case. Efforts have to be made for the risk level to be clarified. </w:t>
      </w:r>
    </w:p>
    <w:p w14:paraId="670323BE" w14:textId="77777777" w:rsidR="00BE71E3" w:rsidRPr="004737C5" w:rsidRDefault="00BE71E3" w:rsidP="006D3BE8">
      <w:pPr>
        <w:autoSpaceDE w:val="0"/>
        <w:autoSpaceDN w:val="0"/>
        <w:adjustRightInd w:val="0"/>
        <w:rPr>
          <w:rFonts w:cstheme="minorHAnsi"/>
        </w:rPr>
      </w:pPr>
      <w:r w:rsidRPr="004737C5">
        <w:rPr>
          <w:rFonts w:cstheme="minorHAnsi"/>
        </w:rPr>
        <w:t xml:space="preserve">Can the recognition of international standards provide a way forward? The difficulties in obtaining agreement about the intentions of a trade measure are in principle eased by the WTO’s promotion of the recognition of international standards which would </w:t>
      </w:r>
      <w:r w:rsidR="00E07C0D" w:rsidRPr="004737C5">
        <w:rPr>
          <w:rFonts w:cstheme="minorHAnsi"/>
        </w:rPr>
        <w:t>thus be safe from challenge as “disguised barriers to trade”</w:t>
      </w:r>
      <w:r w:rsidRPr="004737C5">
        <w:rPr>
          <w:rFonts w:cstheme="minorHAnsi"/>
        </w:rPr>
        <w:t xml:space="preserve">. The Technical Barriers to Trade Agreement sets out the principle </w:t>
      </w:r>
      <w:r w:rsidR="00E07C0D" w:rsidRPr="004737C5">
        <w:rPr>
          <w:rFonts w:cstheme="minorHAnsi"/>
        </w:rPr>
        <w:t>of adopting the standards of a “recognized body”</w:t>
      </w:r>
      <w:r w:rsidRPr="004737C5">
        <w:rPr>
          <w:rFonts w:cstheme="minorHAnsi"/>
        </w:rPr>
        <w:t xml:space="preserve"> (certainly includin</w:t>
      </w:r>
      <w:r w:rsidR="00E07C0D" w:rsidRPr="004737C5">
        <w:rPr>
          <w:rFonts w:cstheme="minorHAnsi"/>
        </w:rPr>
        <w:t>g ISO for example)</w:t>
      </w:r>
      <w:r w:rsidRPr="004737C5">
        <w:rPr>
          <w:rFonts w:cstheme="minorHAnsi"/>
        </w:rPr>
        <w:t xml:space="preserve">, while the SPS Agreement clearly identifies in Annex A the three organizations that are considered to write international standards for the purposes of the agreement. These are the </w:t>
      </w:r>
      <w:r w:rsidRPr="004737C5">
        <w:rPr>
          <w:rFonts w:cstheme="minorHAnsi"/>
          <w:i/>
          <w:iCs/>
        </w:rPr>
        <w:t>Codex Alimentarius</w:t>
      </w:r>
      <w:r w:rsidRPr="004737C5">
        <w:rPr>
          <w:rFonts w:cstheme="minorHAnsi"/>
        </w:rPr>
        <w:t xml:space="preserve"> Commission, the International Office of Epizootics and the International Plant Protection Convention.</w:t>
      </w:r>
    </w:p>
    <w:p w14:paraId="7E7F28E1" w14:textId="77777777" w:rsidR="00BE71E3" w:rsidRPr="004737C5" w:rsidRDefault="00BE71E3" w:rsidP="006D3BE8">
      <w:pPr>
        <w:autoSpaceDE w:val="0"/>
        <w:autoSpaceDN w:val="0"/>
        <w:adjustRightInd w:val="0"/>
        <w:rPr>
          <w:rFonts w:cstheme="minorHAnsi"/>
        </w:rPr>
      </w:pPr>
      <w:r w:rsidRPr="004737C5">
        <w:rPr>
          <w:rFonts w:cstheme="minorHAnsi"/>
        </w:rPr>
        <w:lastRenderedPageBreak/>
        <w:t>Governments can choose to go beyo</w:t>
      </w:r>
      <w:r w:rsidR="00E07C0D" w:rsidRPr="004737C5">
        <w:rPr>
          <w:rFonts w:cstheme="minorHAnsi"/>
        </w:rPr>
        <w:t>nd international standards when</w:t>
      </w:r>
      <w:r w:rsidRPr="004737C5">
        <w:rPr>
          <w:rFonts w:cstheme="minorHAnsi"/>
        </w:rPr>
        <w:t xml:space="preserve"> they can argue that a valid public policy objective can be served. In practice this is extremely difficult to determine as illustrated by the trade dispute regarding the introduction of the European Union aflatoxin standard</w:t>
      </w:r>
      <w:r w:rsidR="00E07C0D" w:rsidRPr="004737C5">
        <w:rPr>
          <w:rFonts w:cstheme="minorHAnsi"/>
        </w:rPr>
        <w:t xml:space="preserve"> in </w:t>
      </w:r>
      <w:r w:rsidRPr="004737C5">
        <w:rPr>
          <w:rFonts w:cstheme="minorHAnsi"/>
        </w:rPr>
        <w:t>the early years of the present century.</w:t>
      </w:r>
      <w:r w:rsidRPr="004737C5">
        <w:rPr>
          <w:rStyle w:val="FootnoteReference"/>
          <w:rFonts w:cstheme="minorHAnsi"/>
        </w:rPr>
        <w:footnoteReference w:id="148"/>
      </w:r>
      <w:r w:rsidRPr="004737C5">
        <w:rPr>
          <w:rFonts w:cstheme="minorHAnsi"/>
        </w:rPr>
        <w:t xml:space="preserve"> Aflatoxins are especially prevale</w:t>
      </w:r>
      <w:r w:rsidR="00E07C0D" w:rsidRPr="004737C5">
        <w:rPr>
          <w:rFonts w:cstheme="minorHAnsi"/>
        </w:rPr>
        <w:t>nt in stored agricultural crops</w:t>
      </w:r>
      <w:r w:rsidRPr="004737C5">
        <w:rPr>
          <w:rFonts w:cstheme="minorHAnsi"/>
        </w:rPr>
        <w:t xml:space="preserve"> and can cause liver cancer. International standards to raise and maintain the standard of storage conditions and other standards were already applied, borrowing from </w:t>
      </w:r>
      <w:r w:rsidRPr="004737C5">
        <w:rPr>
          <w:rFonts w:cstheme="minorHAnsi"/>
          <w:i/>
          <w:iCs/>
        </w:rPr>
        <w:t>Codex Alimentarius</w:t>
      </w:r>
      <w:r w:rsidRPr="004737C5">
        <w:rPr>
          <w:rFonts w:cstheme="minorHAnsi"/>
        </w:rPr>
        <w:t xml:space="preserve"> or national standards.  </w:t>
      </w:r>
    </w:p>
    <w:p w14:paraId="6F504DCD" w14:textId="77777777" w:rsidR="00BE71E3" w:rsidRPr="004737C5" w:rsidRDefault="00BE71E3" w:rsidP="006D3BE8">
      <w:pPr>
        <w:pStyle w:val="BodyText"/>
        <w:spacing w:after="160"/>
        <w:rPr>
          <w:rFonts w:asciiTheme="minorHAnsi" w:hAnsiTheme="minorHAnsi" w:cstheme="minorHAnsi"/>
          <w:sz w:val="22"/>
          <w:szCs w:val="22"/>
        </w:rPr>
      </w:pPr>
      <w:r w:rsidRPr="004737C5">
        <w:rPr>
          <w:rFonts w:asciiTheme="minorHAnsi" w:hAnsiTheme="minorHAnsi" w:cstheme="minorHAnsi"/>
          <w:sz w:val="22"/>
          <w:szCs w:val="22"/>
        </w:rPr>
        <w:t>An analysis by the World Bank of trade and regulatory data for 15 European Union member states and nine African countries suggested that the implementation of the new standard in the European Union, instead of the existing international standards, would reduce health risks by 1.4 deaths per billion people per year, a margin so small as to be almost impossible to verify. However, the effect was to decrease African exports of cereals,</w:t>
      </w:r>
      <w:r w:rsidR="00E07C0D" w:rsidRPr="004737C5">
        <w:rPr>
          <w:rFonts w:asciiTheme="minorHAnsi" w:hAnsiTheme="minorHAnsi" w:cstheme="minorHAnsi"/>
          <w:sz w:val="22"/>
          <w:szCs w:val="22"/>
        </w:rPr>
        <w:t xml:space="preserve"> dried fruit and nuts by 64 per</w:t>
      </w:r>
      <w:r w:rsidRPr="004737C5">
        <w:rPr>
          <w:rFonts w:asciiTheme="minorHAnsi" w:hAnsiTheme="minorHAnsi" w:cstheme="minorHAnsi"/>
          <w:sz w:val="22"/>
          <w:szCs w:val="22"/>
        </w:rPr>
        <w:t xml:space="preserve">cent. The debate spilled over into, and disrupted, the negotiations over market access. </w:t>
      </w:r>
    </w:p>
    <w:tbl>
      <w:tblPr>
        <w:tblStyle w:val="TableGrid"/>
        <w:tblW w:w="0" w:type="auto"/>
        <w:tblLook w:val="04A0" w:firstRow="1" w:lastRow="0" w:firstColumn="1" w:lastColumn="0" w:noHBand="0" w:noVBand="1"/>
      </w:tblPr>
      <w:tblGrid>
        <w:gridCol w:w="9243"/>
      </w:tblGrid>
      <w:tr w:rsidR="00E07C0D" w:rsidRPr="004737C5" w14:paraId="11B7667B" w14:textId="77777777" w:rsidTr="00E07C0D">
        <w:tc>
          <w:tcPr>
            <w:tcW w:w="9628" w:type="dxa"/>
          </w:tcPr>
          <w:p w14:paraId="76C59A4B" w14:textId="77777777" w:rsidR="00E07C0D" w:rsidRPr="004737C5" w:rsidRDefault="00E07C0D" w:rsidP="00837A52">
            <w:pPr>
              <w:pStyle w:val="BodyText"/>
              <w:spacing w:after="160"/>
              <w:rPr>
                <w:rFonts w:asciiTheme="minorHAnsi" w:hAnsiTheme="minorHAnsi" w:cstheme="minorHAnsi"/>
                <w:b/>
                <w:sz w:val="22"/>
                <w:szCs w:val="22"/>
              </w:rPr>
            </w:pPr>
            <w:r w:rsidRPr="004737C5">
              <w:rPr>
                <w:rFonts w:asciiTheme="minorHAnsi" w:hAnsiTheme="minorHAnsi" w:cstheme="minorHAnsi"/>
                <w:b/>
                <w:sz w:val="22"/>
                <w:szCs w:val="22"/>
              </w:rPr>
              <w:t>Box 8. Are the highest standards always the best?</w:t>
            </w:r>
          </w:p>
          <w:p w14:paraId="15BD33F2" w14:textId="77777777" w:rsidR="00E07C0D" w:rsidRPr="004737C5" w:rsidRDefault="00E07C0D" w:rsidP="00837A52">
            <w:pPr>
              <w:pStyle w:val="BodyText"/>
              <w:spacing w:after="160"/>
              <w:rPr>
                <w:rFonts w:asciiTheme="minorHAnsi" w:hAnsiTheme="minorHAnsi" w:cstheme="minorHAnsi"/>
                <w:sz w:val="22"/>
                <w:szCs w:val="22"/>
              </w:rPr>
            </w:pPr>
            <w:r w:rsidRPr="004737C5">
              <w:rPr>
                <w:rFonts w:asciiTheme="minorHAnsi" w:hAnsiTheme="minorHAnsi" w:cstheme="minorHAnsi"/>
                <w:sz w:val="22"/>
                <w:szCs w:val="22"/>
              </w:rPr>
              <w:t>The question seems astonishing and the answer self-evident. The assumption that the strictest standards are</w:t>
            </w:r>
            <w:r w:rsidR="00A80CAC" w:rsidRPr="004737C5">
              <w:rPr>
                <w:rFonts w:asciiTheme="minorHAnsi" w:hAnsiTheme="minorHAnsi" w:cstheme="minorHAnsi"/>
                <w:sz w:val="22"/>
                <w:szCs w:val="22"/>
              </w:rPr>
              <w:t xml:space="preserve"> always the best is assumed by g</w:t>
            </w:r>
            <w:r w:rsidRPr="004737C5">
              <w:rPr>
                <w:rFonts w:asciiTheme="minorHAnsi" w:hAnsiTheme="minorHAnsi" w:cstheme="minorHAnsi"/>
                <w:sz w:val="22"/>
                <w:szCs w:val="22"/>
              </w:rPr>
              <w:t xml:space="preserve">uideline 34, but high standards can be a very blunt instrument and may have a perverse effect, not including the trade effects mentioned above. Standards may cost a lot to implement and this “opportunity cost” may be at the expense of other goals. For example, the EC Water Directives (which are generally considered to have been a success) set very high standards for drinking water. The standard on trace pesticides in drinking water was referred to by the United Kingdom of Great Britain and Northern Ireland’s Director General of the Office of Water Services (OFWAT) as “rather like dropping an aspirin into an Olympic swimming pool”, and he pointed out that the standard was thousands of times more stringent than for pesticides for vegetables. The point was not only the cost to consumers but also that the cost of implementing to such a high level was such as to detract from other expensive operations that also had an impact on human health, such as leakage repair (as much contamination results from leakage). To take an example from the same sector in a developing country, the Philippines had standards for water distribution that insisted on rigid metal pipes of fixed diameter. In practice this was almost physically impossible to operate in the slums of Manila, where flexible thin rubber pipes were in general use. The illegal rubber pipes allowed for water distribution to people who did not have any, while strict application of the legal standard made such progress impossible.  </w:t>
            </w:r>
          </w:p>
          <w:p w14:paraId="167E98C4" w14:textId="7C781860" w:rsidR="00E07C0D" w:rsidRPr="004737C5" w:rsidRDefault="00E07C0D" w:rsidP="00E07C0D">
            <w:pPr>
              <w:pStyle w:val="BodyText"/>
              <w:rPr>
                <w:rFonts w:asciiTheme="minorHAnsi" w:hAnsiTheme="minorHAnsi" w:cstheme="minorHAnsi"/>
                <w:sz w:val="20"/>
              </w:rPr>
            </w:pPr>
            <w:r w:rsidRPr="004737C5">
              <w:rPr>
                <w:rFonts w:asciiTheme="minorHAnsi" w:hAnsiTheme="minorHAnsi" w:cstheme="minorHAnsi"/>
                <w:i/>
                <w:sz w:val="20"/>
              </w:rPr>
              <w:t>Source</w:t>
            </w:r>
            <w:r w:rsidRPr="004737C5">
              <w:rPr>
                <w:rFonts w:asciiTheme="minorHAnsi" w:hAnsiTheme="minorHAnsi" w:cstheme="minorHAnsi"/>
                <w:sz w:val="20"/>
              </w:rPr>
              <w:t>: UNCTAD</w:t>
            </w:r>
            <w:r w:rsidR="005B6DC6" w:rsidRPr="004737C5">
              <w:rPr>
                <w:rFonts w:asciiTheme="minorHAnsi" w:hAnsiTheme="minorHAnsi" w:cstheme="minorHAnsi"/>
                <w:sz w:val="20"/>
              </w:rPr>
              <w:t>.</w:t>
            </w:r>
          </w:p>
        </w:tc>
      </w:tr>
    </w:tbl>
    <w:p w14:paraId="43E336E7" w14:textId="77777777" w:rsidR="00BE71E3" w:rsidRPr="004737C5" w:rsidRDefault="00BE71E3" w:rsidP="00837A52">
      <w:pPr>
        <w:spacing w:before="160"/>
        <w:rPr>
          <w:rFonts w:cstheme="minorHAnsi"/>
        </w:rPr>
      </w:pPr>
      <w:r w:rsidRPr="004737C5">
        <w:rPr>
          <w:rFonts w:cstheme="minorHAnsi"/>
        </w:rPr>
        <w:t>This is emphatically not to say that safety standards are not urgent. For example, the WHO status report on Road Safety for 20</w:t>
      </w:r>
      <w:r w:rsidR="00E21A80" w:rsidRPr="004737C5">
        <w:rPr>
          <w:rFonts w:cstheme="minorHAnsi"/>
        </w:rPr>
        <w:t>15 found that only 46 countries (</w:t>
      </w:r>
      <w:r w:rsidRPr="004737C5">
        <w:rPr>
          <w:rFonts w:cstheme="minorHAnsi"/>
        </w:rPr>
        <w:t>the majority</w:t>
      </w:r>
      <w:r w:rsidR="00E21A80" w:rsidRPr="004737C5">
        <w:rPr>
          <w:rFonts w:cstheme="minorHAnsi"/>
        </w:rPr>
        <w:t xml:space="preserve"> of which</w:t>
      </w:r>
      <w:r w:rsidRPr="004737C5">
        <w:rPr>
          <w:rFonts w:cstheme="minorHAnsi"/>
        </w:rPr>
        <w:t xml:space="preserve"> are hig</w:t>
      </w:r>
      <w:r w:rsidR="00E21A80" w:rsidRPr="004737C5">
        <w:rPr>
          <w:rFonts w:cstheme="minorHAnsi"/>
        </w:rPr>
        <w:t>h income countries)</w:t>
      </w:r>
      <w:r w:rsidRPr="004737C5">
        <w:rPr>
          <w:rFonts w:cstheme="minorHAnsi"/>
        </w:rPr>
        <w:t xml:space="preserve"> adhere to the United Nations regulations on electronic stability control.</w:t>
      </w:r>
      <w:r w:rsidRPr="004737C5">
        <w:rPr>
          <w:rStyle w:val="FootnoteReference"/>
          <w:rFonts w:cstheme="minorHAnsi"/>
        </w:rPr>
        <w:footnoteReference w:id="149"/>
      </w:r>
      <w:r w:rsidRPr="004737C5">
        <w:rPr>
          <w:rFonts w:cstheme="minorHAnsi"/>
        </w:rPr>
        <w:t xml:space="preserve"> Major efforts are needed to raise car safety standards to reduce the 1.2</w:t>
      </w:r>
      <w:r w:rsidR="00E21A80" w:rsidRPr="004737C5">
        <w:rPr>
          <w:rFonts w:cstheme="minorHAnsi"/>
        </w:rPr>
        <w:t xml:space="preserve"> </w:t>
      </w:r>
      <w:r w:rsidRPr="004737C5">
        <w:rPr>
          <w:rFonts w:cstheme="minorHAnsi"/>
        </w:rPr>
        <w:t>million deaths (and more injuries) sustained every year.</w:t>
      </w:r>
      <w:r w:rsidRPr="004737C5">
        <w:rPr>
          <w:rStyle w:val="FootnoteReference"/>
          <w:rFonts w:cstheme="minorHAnsi"/>
        </w:rPr>
        <w:footnoteReference w:id="150"/>
      </w:r>
      <w:r w:rsidRPr="004737C5">
        <w:rPr>
          <w:rFonts w:cstheme="minorHAnsi"/>
        </w:rPr>
        <w:t xml:space="preserve"> The point is rather that, in a </w:t>
      </w:r>
      <w:r w:rsidR="00E21A80" w:rsidRPr="004737C5">
        <w:rPr>
          <w:rFonts w:cstheme="minorHAnsi"/>
        </w:rPr>
        <w:t>world in which “absolute safety”</w:t>
      </w:r>
      <w:r w:rsidRPr="004737C5">
        <w:rPr>
          <w:rFonts w:cstheme="minorHAnsi"/>
        </w:rPr>
        <w:t xml:space="preserve"> is not possible, there needs to be a probability of demonstrably positive net effects arising from such interventions.</w:t>
      </w:r>
    </w:p>
    <w:p w14:paraId="7EBE1AEC" w14:textId="77777777" w:rsidR="00BE71E3" w:rsidRPr="004737C5" w:rsidRDefault="00E21A80" w:rsidP="00837A52">
      <w:pPr>
        <w:pStyle w:val="Heading2"/>
        <w:spacing w:after="160"/>
        <w:rPr>
          <w:rFonts w:cstheme="minorHAnsi"/>
          <w:color w:val="auto"/>
          <w:sz w:val="24"/>
          <w:szCs w:val="24"/>
        </w:rPr>
      </w:pPr>
      <w:bookmarkStart w:id="115" w:name="_Toc489950263"/>
      <w:bookmarkStart w:id="116" w:name="_Toc492650050"/>
      <w:r w:rsidRPr="004737C5">
        <w:rPr>
          <w:rFonts w:cstheme="minorHAnsi"/>
          <w:color w:val="auto"/>
          <w:sz w:val="24"/>
          <w:szCs w:val="24"/>
        </w:rPr>
        <w:lastRenderedPageBreak/>
        <w:t>F. Second-</w:t>
      </w:r>
      <w:r w:rsidR="00BE71E3" w:rsidRPr="004737C5">
        <w:rPr>
          <w:rFonts w:cstheme="minorHAnsi"/>
          <w:color w:val="auto"/>
          <w:sz w:val="24"/>
          <w:szCs w:val="24"/>
        </w:rPr>
        <w:t>hand goods</w:t>
      </w:r>
      <w:bookmarkEnd w:id="115"/>
      <w:bookmarkEnd w:id="116"/>
    </w:p>
    <w:p w14:paraId="5E1BDC39" w14:textId="77777777" w:rsidR="00BE71E3" w:rsidRPr="004737C5" w:rsidRDefault="00BE71E3" w:rsidP="006D3BE8">
      <w:pPr>
        <w:rPr>
          <w:rFonts w:cstheme="minorHAnsi"/>
        </w:rPr>
      </w:pPr>
      <w:r w:rsidRPr="004737C5">
        <w:rPr>
          <w:rFonts w:cstheme="minorHAnsi"/>
        </w:rPr>
        <w:t xml:space="preserve">During the last </w:t>
      </w:r>
      <w:r w:rsidR="00E21A80" w:rsidRPr="004737C5">
        <w:rPr>
          <w:rFonts w:cstheme="minorHAnsi"/>
        </w:rPr>
        <w:t>generation, the issue of second-</w:t>
      </w:r>
      <w:r w:rsidRPr="004737C5">
        <w:rPr>
          <w:rFonts w:cstheme="minorHAnsi"/>
        </w:rPr>
        <w:t xml:space="preserve">hand goods has come to the fore, </w:t>
      </w:r>
      <w:r w:rsidR="00E21A80" w:rsidRPr="004737C5">
        <w:rPr>
          <w:rFonts w:cstheme="minorHAnsi"/>
        </w:rPr>
        <w:t>demonstrating</w:t>
      </w:r>
      <w:r w:rsidRPr="004737C5">
        <w:rPr>
          <w:rFonts w:cstheme="minorHAnsi"/>
        </w:rPr>
        <w:t xml:space="preserve"> the possibility that major principles of public policy may conflict</w:t>
      </w:r>
      <w:r w:rsidR="00E21A80" w:rsidRPr="004737C5">
        <w:rPr>
          <w:rFonts w:cstheme="minorHAnsi"/>
        </w:rPr>
        <w:t>. As the ISO standard on second-hand goods indicates, “</w:t>
      </w:r>
      <w:r w:rsidRPr="004737C5">
        <w:rPr>
          <w:rFonts w:cstheme="minorHAnsi"/>
          <w:color w:val="000000"/>
        </w:rPr>
        <w:t>the cross-border movement of second-hand goods (SHG) has been in practice for many years and trade activity has increased exponentially. Most (traded) second-hand goods are sold or donated by developed countries to developing ones and the value of this market is estimated at billions of dollars. Consumers welcome havi</w:t>
      </w:r>
      <w:r w:rsidR="00E21A80" w:rsidRPr="004737C5">
        <w:rPr>
          <w:rFonts w:cstheme="minorHAnsi"/>
          <w:color w:val="000000"/>
        </w:rPr>
        <w:t>ng the choice of purchasing low-cost, durable</w:t>
      </w:r>
      <w:r w:rsidRPr="004737C5">
        <w:rPr>
          <w:rFonts w:cstheme="minorHAnsi"/>
          <w:color w:val="000000"/>
        </w:rPr>
        <w:t xml:space="preserve"> and safe SHG as an alternative to higher priced new goods, and the </w:t>
      </w:r>
      <w:r w:rsidRPr="004737C5">
        <w:rPr>
          <w:rFonts w:cstheme="minorHAnsi"/>
        </w:rPr>
        <w:t>dema</w:t>
      </w:r>
      <w:r w:rsidR="00E21A80" w:rsidRPr="004737C5">
        <w:rPr>
          <w:rFonts w:cstheme="minorHAnsi"/>
        </w:rPr>
        <w:t>nd for these products is robust”.</w:t>
      </w:r>
      <w:r w:rsidRPr="004737C5">
        <w:rPr>
          <w:rStyle w:val="FootnoteReference"/>
          <w:rFonts w:cstheme="minorHAnsi"/>
        </w:rPr>
        <w:footnoteReference w:id="151"/>
      </w:r>
      <w:r w:rsidR="00E21A80" w:rsidRPr="004737C5">
        <w:rPr>
          <w:rFonts w:cstheme="minorHAnsi"/>
        </w:rPr>
        <w:t xml:space="preserve"> Re</w:t>
      </w:r>
      <w:r w:rsidRPr="004737C5">
        <w:rPr>
          <w:rFonts w:cstheme="minorHAnsi"/>
        </w:rPr>
        <w:t>use can reduce resort to landfill or other forms of disposal in the countries of export,</w:t>
      </w:r>
      <w:r w:rsidRPr="004737C5">
        <w:rPr>
          <w:rStyle w:val="FootnoteReference"/>
          <w:rFonts w:cstheme="minorHAnsi"/>
        </w:rPr>
        <w:footnoteReference w:id="152"/>
      </w:r>
      <w:r w:rsidRPr="004737C5">
        <w:rPr>
          <w:rFonts w:cstheme="minorHAnsi"/>
        </w:rPr>
        <w:t xml:space="preserve"> but there are also dangers that products might be dangerous for consumers in use and safety standards may clash. One form of sustainability (reuse) can conflict with another (safety or even pollution in the country of destination) and even relatively non-toxic goods, such as clothing, raise issues. A majority of cl</w:t>
      </w:r>
      <w:r w:rsidR="00E21A80" w:rsidRPr="004737C5">
        <w:rPr>
          <w:rFonts w:cstheme="minorHAnsi"/>
        </w:rPr>
        <w:t>othing imports are second-</w:t>
      </w:r>
      <w:r w:rsidRPr="004737C5">
        <w:rPr>
          <w:rFonts w:cstheme="minorHAnsi"/>
        </w:rPr>
        <w:t>hand in several African countr</w:t>
      </w:r>
      <w:r w:rsidR="00E21A80" w:rsidRPr="004737C5">
        <w:rPr>
          <w:rFonts w:cstheme="minorHAnsi"/>
        </w:rPr>
        <w:t>ies and this raises questions about</w:t>
      </w:r>
      <w:r w:rsidRPr="004737C5">
        <w:rPr>
          <w:rFonts w:cstheme="minorHAnsi"/>
        </w:rPr>
        <w:t xml:space="preserve"> the development of a domestic clothing industry and diminished customs revenue. In response, many African countries have in</w:t>
      </w:r>
      <w:r w:rsidR="00E21A80" w:rsidRPr="004737C5">
        <w:rPr>
          <w:rFonts w:cstheme="minorHAnsi"/>
        </w:rPr>
        <w:t>troduced restrictions on second-</w:t>
      </w:r>
      <w:r w:rsidRPr="004737C5">
        <w:rPr>
          <w:rFonts w:cstheme="minorHAnsi"/>
        </w:rPr>
        <w:t>hand imports, such as bans on vehicles over three years old in Algeria and Tunisia, undergarments and mattresses in Ghana, all clothes in South Africa save</w:t>
      </w:r>
      <w:r w:rsidR="00E21A80" w:rsidRPr="004737C5">
        <w:rPr>
          <w:rFonts w:cstheme="minorHAnsi"/>
        </w:rPr>
        <w:t xml:space="preserve"> for humanitarian interventions</w:t>
      </w:r>
      <w:r w:rsidRPr="004737C5">
        <w:rPr>
          <w:rFonts w:cstheme="minorHAnsi"/>
        </w:rPr>
        <w:t xml:space="preserve"> and tyres in Kenya and Mozambique.</w:t>
      </w:r>
      <w:r w:rsidRPr="004737C5">
        <w:rPr>
          <w:rStyle w:val="FootnoteReference"/>
          <w:rFonts w:cstheme="minorHAnsi"/>
        </w:rPr>
        <w:footnoteReference w:id="153"/>
      </w:r>
      <w:r w:rsidRPr="004737C5">
        <w:rPr>
          <w:rFonts w:cstheme="minorHAnsi"/>
        </w:rPr>
        <w:t xml:space="preserve">  </w:t>
      </w:r>
    </w:p>
    <w:p w14:paraId="6DDC66B9" w14:textId="5B61372D" w:rsidR="00BE71E3" w:rsidRPr="004737C5" w:rsidRDefault="00BE71E3" w:rsidP="006D3BE8">
      <w:pPr>
        <w:pStyle w:val="NormalWeb"/>
        <w:spacing w:after="160"/>
        <w:rPr>
          <w:rFonts w:asciiTheme="minorHAnsi" w:hAnsiTheme="minorHAnsi" w:cstheme="minorHAnsi"/>
          <w:sz w:val="22"/>
          <w:szCs w:val="22"/>
        </w:rPr>
      </w:pPr>
      <w:r w:rsidRPr="004737C5">
        <w:rPr>
          <w:rFonts w:asciiTheme="minorHAnsi" w:hAnsiTheme="minorHAnsi" w:cstheme="minorHAnsi"/>
          <w:sz w:val="22"/>
          <w:szCs w:val="22"/>
        </w:rPr>
        <w:t xml:space="preserve">The ISO standard was established as a result of surveys of ISO’s Consumer Policy Committee (COPOLCO) and Developing Country Committee (DEVCO) members, which revealed significant concerns about trade in </w:t>
      </w:r>
      <w:r w:rsidR="00E21A80" w:rsidRPr="004737C5">
        <w:rPr>
          <w:rFonts w:asciiTheme="minorHAnsi" w:hAnsiTheme="minorHAnsi" w:cstheme="minorHAnsi"/>
          <w:sz w:val="22"/>
          <w:szCs w:val="22"/>
        </w:rPr>
        <w:t>second-</w:t>
      </w:r>
      <w:r w:rsidRPr="004737C5">
        <w:rPr>
          <w:rFonts w:asciiTheme="minorHAnsi" w:hAnsiTheme="minorHAnsi" w:cstheme="minorHAnsi"/>
          <w:sz w:val="22"/>
          <w:szCs w:val="22"/>
        </w:rPr>
        <w:t>hand goods. It attempts to respond to the above conce</w:t>
      </w:r>
      <w:r w:rsidR="0009026B" w:rsidRPr="004737C5">
        <w:rPr>
          <w:rFonts w:asciiTheme="minorHAnsi" w:hAnsiTheme="minorHAnsi" w:cstheme="minorHAnsi"/>
          <w:sz w:val="22"/>
          <w:szCs w:val="22"/>
        </w:rPr>
        <w:t>rns by providing a basis for in-</w:t>
      </w:r>
      <w:r w:rsidRPr="004737C5">
        <w:rPr>
          <w:rFonts w:asciiTheme="minorHAnsi" w:hAnsiTheme="minorHAnsi" w:cstheme="minorHAnsi"/>
          <w:sz w:val="22"/>
          <w:szCs w:val="22"/>
        </w:rPr>
        <w:t>tran</w:t>
      </w:r>
      <w:r w:rsidR="00E21A80" w:rsidRPr="004737C5">
        <w:rPr>
          <w:rFonts w:asciiTheme="minorHAnsi" w:hAnsiTheme="minorHAnsi" w:cstheme="minorHAnsi"/>
          <w:sz w:val="22"/>
          <w:szCs w:val="22"/>
        </w:rPr>
        <w:t>sit and port-of-</w:t>
      </w:r>
      <w:r w:rsidRPr="004737C5">
        <w:rPr>
          <w:rFonts w:asciiTheme="minorHAnsi" w:hAnsiTheme="minorHAnsi" w:cstheme="minorHAnsi"/>
          <w:sz w:val="22"/>
          <w:szCs w:val="22"/>
        </w:rPr>
        <w:t>entry screening and establishes measurabl</w:t>
      </w:r>
      <w:r w:rsidR="00E21A80" w:rsidRPr="004737C5">
        <w:rPr>
          <w:rFonts w:asciiTheme="minorHAnsi" w:hAnsiTheme="minorHAnsi" w:cstheme="minorHAnsi"/>
          <w:sz w:val="22"/>
          <w:szCs w:val="22"/>
        </w:rPr>
        <w:t>e criteria against which second-</w:t>
      </w:r>
      <w:r w:rsidRPr="004737C5">
        <w:rPr>
          <w:rFonts w:asciiTheme="minorHAnsi" w:hAnsiTheme="minorHAnsi" w:cstheme="minorHAnsi"/>
          <w:sz w:val="22"/>
          <w:szCs w:val="22"/>
        </w:rPr>
        <w:t>hand goods can be evaluated with the objective of protecting consumers and the environment. The standard may be used by i</w:t>
      </w:r>
      <w:r w:rsidR="00E21A80" w:rsidRPr="004737C5">
        <w:rPr>
          <w:rFonts w:asciiTheme="minorHAnsi" w:hAnsiTheme="minorHAnsi" w:cstheme="minorHAnsi"/>
          <w:sz w:val="22"/>
          <w:szCs w:val="22"/>
        </w:rPr>
        <w:t>mporting or exporting parties or g</w:t>
      </w:r>
      <w:r w:rsidRPr="004737C5">
        <w:rPr>
          <w:rFonts w:asciiTheme="minorHAnsi" w:hAnsiTheme="minorHAnsi" w:cstheme="minorHAnsi"/>
          <w:sz w:val="22"/>
          <w:szCs w:val="22"/>
        </w:rPr>
        <w:t xml:space="preserve">overnments as a means to establish confidence in the goods that are being traded or donated. </w:t>
      </w:r>
    </w:p>
    <w:p w14:paraId="3B5DB640" w14:textId="77777777" w:rsidR="00BE71E3" w:rsidRPr="004737C5" w:rsidRDefault="00E21A80" w:rsidP="0009026B">
      <w:pPr>
        <w:pStyle w:val="Heading2"/>
        <w:spacing w:after="160"/>
        <w:rPr>
          <w:rFonts w:cstheme="minorHAnsi"/>
          <w:color w:val="auto"/>
          <w:sz w:val="24"/>
          <w:szCs w:val="24"/>
        </w:rPr>
      </w:pPr>
      <w:bookmarkStart w:id="117" w:name="_Toc489950264"/>
      <w:bookmarkStart w:id="118" w:name="_Toc492650051"/>
      <w:r w:rsidRPr="004737C5">
        <w:rPr>
          <w:rFonts w:cstheme="minorHAnsi"/>
          <w:color w:val="auto"/>
          <w:sz w:val="24"/>
          <w:szCs w:val="24"/>
        </w:rPr>
        <w:t>G.</w:t>
      </w:r>
      <w:r w:rsidR="00BE71E3" w:rsidRPr="004737C5">
        <w:rPr>
          <w:rFonts w:cstheme="minorHAnsi"/>
          <w:color w:val="auto"/>
          <w:sz w:val="24"/>
          <w:szCs w:val="24"/>
        </w:rPr>
        <w:t xml:space="preserve"> Conclusion</w:t>
      </w:r>
      <w:bookmarkEnd w:id="117"/>
      <w:bookmarkEnd w:id="118"/>
    </w:p>
    <w:p w14:paraId="15259696" w14:textId="77777777" w:rsidR="00BE71E3" w:rsidRPr="004737C5" w:rsidRDefault="00BE71E3" w:rsidP="006D3BE8">
      <w:pPr>
        <w:rPr>
          <w:rFonts w:cstheme="minorHAnsi"/>
        </w:rPr>
      </w:pPr>
      <w:r w:rsidRPr="004737C5">
        <w:rPr>
          <w:rFonts w:cstheme="minorHAnsi"/>
        </w:rPr>
        <w:t>The underlying legal framework on product safety is one of the more constant elem</w:t>
      </w:r>
      <w:r w:rsidR="00E21A80" w:rsidRPr="004737C5">
        <w:rPr>
          <w:rFonts w:cstheme="minorHAnsi"/>
        </w:rPr>
        <w:t>ents of consumer protection,</w:t>
      </w:r>
      <w:r w:rsidRPr="004737C5">
        <w:rPr>
          <w:rFonts w:cstheme="minorHAnsi"/>
        </w:rPr>
        <w:t xml:space="preserve"> yet, as noted above, certain new issues have emerged during the period since the 1999 revision of the UNGCP.</w:t>
      </w:r>
    </w:p>
    <w:p w14:paraId="5E0EAA18" w14:textId="77777777" w:rsidR="00BE71E3" w:rsidRPr="004737C5" w:rsidRDefault="00BE71E3" w:rsidP="006D3BE8">
      <w:pPr>
        <w:rPr>
          <w:rFonts w:cstheme="minorHAnsi"/>
        </w:rPr>
      </w:pPr>
      <w:r w:rsidRPr="004737C5">
        <w:rPr>
          <w:rFonts w:cstheme="minorHAnsi"/>
        </w:rPr>
        <w:t>Public agencies are needed to protect consumers, as judicial redress for consumers in such cases is handicapped by the cost of litigation (time and money), which is usually (not always) disproportionate to the cost of the item and to most costs associated with harm. In other areas of consumer protection this dilemma lies behind the development of alternative dispute resolution (ADR) systems, but ADR is more difficult</w:t>
      </w:r>
      <w:r w:rsidR="00E21A80" w:rsidRPr="004737C5">
        <w:rPr>
          <w:rFonts w:cstheme="minorHAnsi"/>
        </w:rPr>
        <w:t xml:space="preserve"> in relation to product safety</w:t>
      </w:r>
      <w:r w:rsidRPr="004737C5">
        <w:rPr>
          <w:rFonts w:cstheme="minorHAnsi"/>
        </w:rPr>
        <w:t xml:space="preserve"> because of the need for technical assessments. Fu</w:t>
      </w:r>
      <w:r w:rsidR="00E21A80" w:rsidRPr="004737C5">
        <w:rPr>
          <w:rFonts w:cstheme="minorHAnsi"/>
        </w:rPr>
        <w:t>rthermore, given the nature of “batches”</w:t>
      </w:r>
      <w:r w:rsidRPr="004737C5">
        <w:rPr>
          <w:rFonts w:cstheme="minorHAnsi"/>
        </w:rPr>
        <w:t xml:space="preserve"> of pr</w:t>
      </w:r>
      <w:r w:rsidR="00E21A80" w:rsidRPr="004737C5">
        <w:rPr>
          <w:rFonts w:cstheme="minorHAnsi"/>
        </w:rPr>
        <w:t>oducts carrying the same defect</w:t>
      </w:r>
      <w:r w:rsidRPr="004737C5">
        <w:rPr>
          <w:rFonts w:cstheme="minorHAnsi"/>
        </w:rPr>
        <w:t xml:space="preserve"> and the consequent risk of multiple harms, the need for a public policy input is clear. By the same token, relying on legal protections only at the level of the final consumer is a less efficient mechanism than </w:t>
      </w:r>
      <w:r w:rsidR="00E21A80" w:rsidRPr="004737C5">
        <w:rPr>
          <w:rFonts w:cstheme="minorHAnsi"/>
        </w:rPr>
        <w:t xml:space="preserve">also </w:t>
      </w:r>
      <w:r w:rsidRPr="004737C5">
        <w:rPr>
          <w:rFonts w:cstheme="minorHAnsi"/>
        </w:rPr>
        <w:t xml:space="preserve">incorporating </w:t>
      </w:r>
      <w:r w:rsidR="00E21A80" w:rsidRPr="004737C5">
        <w:rPr>
          <w:rFonts w:cstheme="minorHAnsi"/>
        </w:rPr>
        <w:t xml:space="preserve">the development of </w:t>
      </w:r>
      <w:r w:rsidRPr="004737C5">
        <w:rPr>
          <w:rFonts w:cstheme="minorHAnsi"/>
        </w:rPr>
        <w:t xml:space="preserve">good </w:t>
      </w:r>
      <w:r w:rsidR="00E21A80" w:rsidRPr="004737C5">
        <w:rPr>
          <w:rFonts w:cstheme="minorHAnsi"/>
        </w:rPr>
        <w:t>production practices with built-</w:t>
      </w:r>
      <w:r w:rsidRPr="004737C5">
        <w:rPr>
          <w:rFonts w:cstheme="minorHAnsi"/>
        </w:rPr>
        <w:t xml:space="preserve">in supervisions in place before products are released onto the markets. </w:t>
      </w:r>
    </w:p>
    <w:p w14:paraId="73A03DFF" w14:textId="77777777" w:rsidR="00BE71E3" w:rsidRPr="004737C5" w:rsidRDefault="00BE71E3" w:rsidP="006D3BE8">
      <w:pPr>
        <w:rPr>
          <w:rFonts w:cstheme="minorHAnsi"/>
          <w:b/>
          <w:i/>
          <w:color w:val="FF0000"/>
        </w:rPr>
      </w:pPr>
    </w:p>
    <w:p w14:paraId="65775353" w14:textId="77777777" w:rsidR="00BE71E3" w:rsidRPr="004737C5" w:rsidRDefault="00BE71E3" w:rsidP="0009026B">
      <w:pPr>
        <w:rPr>
          <w:b/>
          <w:sz w:val="28"/>
          <w:szCs w:val="28"/>
        </w:rPr>
      </w:pPr>
      <w:bookmarkStart w:id="119" w:name="_Toc183930632"/>
      <w:bookmarkStart w:id="120" w:name="_Toc67071764"/>
      <w:bookmarkStart w:id="121" w:name="_Toc66786370"/>
      <w:bookmarkStart w:id="122" w:name="_Toc66786356"/>
      <w:bookmarkStart w:id="123" w:name="_Toc67071750"/>
      <w:bookmarkStart w:id="124" w:name="_Toc183930618"/>
      <w:bookmarkStart w:id="125" w:name="_Toc183930619"/>
      <w:bookmarkStart w:id="126" w:name="_Toc183930620"/>
      <w:bookmarkStart w:id="127" w:name="_Toc183930633"/>
      <w:bookmarkStart w:id="128" w:name="_Toc183930635"/>
      <w:bookmarkStart w:id="129" w:name="_Toc66786361"/>
      <w:bookmarkStart w:id="130" w:name="_Toc67071755"/>
      <w:bookmarkStart w:id="131" w:name="_Toc183930623"/>
      <w:bookmarkStart w:id="132" w:name="_Toc183930624"/>
      <w:bookmarkStart w:id="133" w:name="_Toc183930626"/>
      <w:bookmarkStart w:id="134" w:name="_Toc183930627"/>
      <w:bookmarkStart w:id="135" w:name="_Toc67071759"/>
      <w:bookmarkStart w:id="136" w:name="_Toc66786365"/>
      <w:bookmarkStart w:id="137" w:name="_Toc183930628"/>
      <w:bookmarkStart w:id="138" w:name="_Toc1839306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737C5">
        <w:br w:type="page"/>
      </w:r>
      <w:bookmarkStart w:id="139" w:name="_Toc183930650"/>
      <w:bookmarkStart w:id="140" w:name="_Toc454293829"/>
      <w:bookmarkStart w:id="141" w:name="_Toc489950265"/>
      <w:bookmarkStart w:id="142" w:name="_Toc492650052"/>
      <w:r w:rsidR="00E21A80" w:rsidRPr="004737C5">
        <w:rPr>
          <w:b/>
          <w:sz w:val="28"/>
          <w:szCs w:val="28"/>
        </w:rPr>
        <w:lastRenderedPageBreak/>
        <w:t xml:space="preserve">X. </w:t>
      </w:r>
      <w:r w:rsidRPr="004737C5">
        <w:rPr>
          <w:b/>
          <w:sz w:val="28"/>
          <w:szCs w:val="28"/>
        </w:rPr>
        <w:t>Consumer</w:t>
      </w:r>
      <w:r w:rsidR="00E21A80" w:rsidRPr="004737C5">
        <w:rPr>
          <w:b/>
          <w:sz w:val="28"/>
          <w:szCs w:val="28"/>
        </w:rPr>
        <w:t xml:space="preserve"> i</w:t>
      </w:r>
      <w:r w:rsidRPr="004737C5">
        <w:rPr>
          <w:b/>
          <w:sz w:val="28"/>
          <w:szCs w:val="28"/>
        </w:rPr>
        <w:t>nformation</w:t>
      </w:r>
      <w:bookmarkEnd w:id="139"/>
      <w:r w:rsidR="00E21A80" w:rsidRPr="004737C5">
        <w:rPr>
          <w:b/>
          <w:sz w:val="28"/>
          <w:szCs w:val="28"/>
        </w:rPr>
        <w:t xml:space="preserve"> and e</w:t>
      </w:r>
      <w:r w:rsidRPr="004737C5">
        <w:rPr>
          <w:b/>
          <w:sz w:val="28"/>
          <w:szCs w:val="28"/>
        </w:rPr>
        <w:t>ducation</w:t>
      </w:r>
      <w:bookmarkEnd w:id="140"/>
      <w:bookmarkEnd w:id="141"/>
      <w:bookmarkEnd w:id="142"/>
    </w:p>
    <w:p w14:paraId="2DC48260" w14:textId="77777777" w:rsidR="00BE71E3" w:rsidRPr="004737C5" w:rsidRDefault="00061E48" w:rsidP="009771AD">
      <w:pPr>
        <w:pStyle w:val="Heading2"/>
        <w:spacing w:before="0" w:after="160"/>
        <w:rPr>
          <w:rFonts w:cstheme="minorHAnsi"/>
          <w:color w:val="auto"/>
          <w:sz w:val="24"/>
          <w:szCs w:val="24"/>
        </w:rPr>
      </w:pPr>
      <w:bookmarkStart w:id="143" w:name="_Toc454293830"/>
      <w:bookmarkStart w:id="144" w:name="_Toc489950266"/>
      <w:bookmarkStart w:id="145" w:name="_Toc492650053"/>
      <w:r w:rsidRPr="004737C5">
        <w:rPr>
          <w:rFonts w:cstheme="minorHAnsi"/>
          <w:color w:val="auto"/>
          <w:sz w:val="24"/>
          <w:szCs w:val="24"/>
        </w:rPr>
        <w:t>A</w:t>
      </w:r>
      <w:r w:rsidR="0063599C" w:rsidRPr="004737C5">
        <w:rPr>
          <w:rFonts w:cstheme="minorHAnsi"/>
          <w:color w:val="auto"/>
          <w:sz w:val="24"/>
          <w:szCs w:val="24"/>
        </w:rPr>
        <w:t>.</w:t>
      </w:r>
      <w:r w:rsidR="00BE71E3" w:rsidRPr="004737C5">
        <w:rPr>
          <w:rFonts w:cstheme="minorHAnsi"/>
          <w:color w:val="auto"/>
          <w:sz w:val="24"/>
          <w:szCs w:val="24"/>
        </w:rPr>
        <w:t xml:space="preserve"> Consumer information and education</w:t>
      </w:r>
      <w:bookmarkEnd w:id="143"/>
      <w:bookmarkEnd w:id="144"/>
      <w:bookmarkEnd w:id="145"/>
    </w:p>
    <w:p w14:paraId="66CA73F1" w14:textId="77777777" w:rsidR="00BE71E3" w:rsidRPr="004737C5" w:rsidRDefault="00BE71E3" w:rsidP="006D3BE8">
      <w:pPr>
        <w:rPr>
          <w:rFonts w:cstheme="minorHAnsi"/>
        </w:rPr>
      </w:pPr>
      <w:r w:rsidRPr="004737C5">
        <w:rPr>
          <w:rFonts w:cstheme="minorHAnsi"/>
        </w:rPr>
        <w:t>In this chapter information and education are studied together, as they form a continuum in the panoply of devices for consumer protection. The two terms are often confused or even used synonymously. In fact, they have quite different meanings. Consumer education refers to the process of gaining the knowledge and skills to manage consumer resources and taking steps to increase the competence of consumer decision-making. It focuses on the developm</w:t>
      </w:r>
      <w:r w:rsidR="0063599C" w:rsidRPr="004737C5">
        <w:rPr>
          <w:rFonts w:cstheme="minorHAnsi"/>
        </w:rPr>
        <w:t>ent of understanding and skills</w:t>
      </w:r>
      <w:r w:rsidRPr="004737C5">
        <w:rPr>
          <w:rFonts w:cstheme="minorHAnsi"/>
        </w:rPr>
        <w:t xml:space="preserve"> and the gaining of knowledge. Consumer information</w:t>
      </w:r>
      <w:r w:rsidR="0063599C" w:rsidRPr="004737C5">
        <w:rPr>
          <w:rFonts w:cstheme="minorHAnsi"/>
        </w:rPr>
        <w:t>,</w:t>
      </w:r>
      <w:r w:rsidRPr="004737C5">
        <w:rPr>
          <w:rFonts w:cstheme="minorHAnsi"/>
        </w:rPr>
        <w:t xml:space="preserve"> on the other hand, refers to the provision of data relating to particular products or transactions so as to enab</w:t>
      </w:r>
      <w:r w:rsidR="0063599C" w:rsidRPr="004737C5">
        <w:rPr>
          <w:rFonts w:cstheme="minorHAnsi"/>
        </w:rPr>
        <w:t>le decision-</w:t>
      </w:r>
      <w:r w:rsidRPr="004737C5">
        <w:rPr>
          <w:rFonts w:cstheme="minorHAnsi"/>
        </w:rPr>
        <w:t>making in relation to a purchase. It can further relate to data about applicable law or the agency charged with regulating a particular industry</w:t>
      </w:r>
      <w:r w:rsidR="0063599C" w:rsidRPr="004737C5">
        <w:rPr>
          <w:rFonts w:cstheme="minorHAnsi"/>
        </w:rPr>
        <w:t>. Consumer information is thus “situation-bound”</w:t>
      </w:r>
      <w:r w:rsidRPr="004737C5">
        <w:rPr>
          <w:rFonts w:cstheme="minorHAnsi"/>
        </w:rPr>
        <w:t xml:space="preserve"> wh</w:t>
      </w:r>
      <w:r w:rsidR="0063599C" w:rsidRPr="004737C5">
        <w:rPr>
          <w:rFonts w:cstheme="minorHAnsi"/>
        </w:rPr>
        <w:t>ile consumer education is a pre</w:t>
      </w:r>
      <w:r w:rsidRPr="004737C5">
        <w:rPr>
          <w:rFonts w:cstheme="minorHAnsi"/>
        </w:rPr>
        <w:t xml:space="preserve">requisite for the effective use of consumer information. </w:t>
      </w:r>
    </w:p>
    <w:p w14:paraId="7FCEC0EF" w14:textId="77777777" w:rsidR="00BE71E3" w:rsidRPr="004737C5" w:rsidRDefault="00BE71E3" w:rsidP="006D3BE8">
      <w:pPr>
        <w:rPr>
          <w:rFonts w:cstheme="minorHAnsi"/>
        </w:rPr>
      </w:pPr>
      <w:r w:rsidRPr="004737C5">
        <w:rPr>
          <w:rFonts w:cstheme="minorHAnsi"/>
        </w:rPr>
        <w:t>In analysing the twin concepts and their application, we are fortunate in having to hand two relatively recent worldwide surveys of consumer protection, both</w:t>
      </w:r>
      <w:r w:rsidR="00061E48" w:rsidRPr="004737C5">
        <w:rPr>
          <w:rFonts w:cstheme="minorHAnsi"/>
        </w:rPr>
        <w:t xml:space="preserve"> of which took place in 2012‒13 and show</w:t>
      </w:r>
      <w:r w:rsidRPr="004737C5">
        <w:rPr>
          <w:rFonts w:cstheme="minorHAnsi"/>
        </w:rPr>
        <w:t xml:space="preserve"> results from similar numbers of countries. The 2013 UNCTAD survey was designed to feed into the UNGCP revision and received 5</w:t>
      </w:r>
      <w:r w:rsidR="00061E48" w:rsidRPr="004737C5">
        <w:rPr>
          <w:rFonts w:cstheme="minorHAnsi"/>
        </w:rPr>
        <w:t>8 sets of results, mainly from g</w:t>
      </w:r>
      <w:r w:rsidRPr="004737C5">
        <w:rPr>
          <w:rFonts w:cstheme="minorHAnsi"/>
        </w:rPr>
        <w:t>overnments.</w:t>
      </w:r>
      <w:r w:rsidRPr="004737C5">
        <w:rPr>
          <w:rStyle w:val="FootnoteReference"/>
          <w:rFonts w:cstheme="minorHAnsi"/>
        </w:rPr>
        <w:footnoteReference w:id="154"/>
      </w:r>
      <w:r w:rsidRPr="004737C5">
        <w:rPr>
          <w:rFonts w:cstheme="minorHAnsi"/>
        </w:rPr>
        <w:t xml:space="preserve"> Simultaneously, Consumers International surveyed its members worldwide and received responses from 72 consumer associations in 60 countries.</w:t>
      </w:r>
      <w:r w:rsidRPr="004737C5">
        <w:rPr>
          <w:rStyle w:val="FootnoteReference"/>
          <w:rFonts w:cstheme="minorHAnsi"/>
        </w:rPr>
        <w:footnoteReference w:id="155"/>
      </w:r>
      <w:r w:rsidRPr="004737C5">
        <w:rPr>
          <w:rFonts w:cstheme="minorHAnsi"/>
        </w:rPr>
        <w:t xml:space="preserve"> Each survey has its own natural tendency: go</w:t>
      </w:r>
      <w:r w:rsidR="00061E48" w:rsidRPr="004737C5">
        <w:rPr>
          <w:rFonts w:cstheme="minorHAnsi"/>
        </w:rPr>
        <w:t>vernment responses tend to be</w:t>
      </w:r>
      <w:r w:rsidRPr="004737C5">
        <w:rPr>
          <w:rFonts w:cstheme="minorHAnsi"/>
        </w:rPr>
        <w:t xml:space="preserve"> optimistic in terms of application of the UNGCP, while CI member responses tend to be more critical. </w:t>
      </w:r>
    </w:p>
    <w:p w14:paraId="39CC8F9B" w14:textId="77777777" w:rsidR="00BE71E3" w:rsidRPr="004737C5" w:rsidRDefault="00061E48" w:rsidP="00BD2919">
      <w:pPr>
        <w:pStyle w:val="Heading2"/>
        <w:spacing w:after="160"/>
        <w:jc w:val="left"/>
        <w:rPr>
          <w:rFonts w:cstheme="minorHAnsi"/>
          <w:color w:val="auto"/>
          <w:sz w:val="24"/>
          <w:szCs w:val="24"/>
        </w:rPr>
      </w:pPr>
      <w:bookmarkStart w:id="146" w:name="_Toc454293831"/>
      <w:bookmarkStart w:id="147" w:name="_Toc489950267"/>
      <w:bookmarkStart w:id="148" w:name="_Toc492650054"/>
      <w:r w:rsidRPr="004737C5">
        <w:rPr>
          <w:rFonts w:cstheme="minorHAnsi"/>
          <w:color w:val="auto"/>
          <w:sz w:val="24"/>
          <w:szCs w:val="24"/>
        </w:rPr>
        <w:t>B.</w:t>
      </w:r>
      <w:r w:rsidR="00BE71E3" w:rsidRPr="004737C5">
        <w:rPr>
          <w:rFonts w:cstheme="minorHAnsi"/>
          <w:color w:val="auto"/>
          <w:sz w:val="24"/>
          <w:szCs w:val="24"/>
        </w:rPr>
        <w:t xml:space="preserve"> Consumer information and education in the United Nations Guidelines for Consumer Protection</w:t>
      </w:r>
      <w:bookmarkEnd w:id="146"/>
      <w:bookmarkEnd w:id="147"/>
      <w:bookmarkEnd w:id="148"/>
      <w:r w:rsidR="00BE71E3" w:rsidRPr="004737C5">
        <w:rPr>
          <w:rFonts w:cstheme="minorHAnsi"/>
          <w:color w:val="auto"/>
          <w:sz w:val="24"/>
          <w:szCs w:val="24"/>
        </w:rPr>
        <w:t xml:space="preserve"> </w:t>
      </w:r>
    </w:p>
    <w:p w14:paraId="77ADEDAB" w14:textId="06C8156A" w:rsidR="00BE71E3" w:rsidRPr="004737C5" w:rsidRDefault="00BE71E3" w:rsidP="006D3BE8">
      <w:pPr>
        <w:rPr>
          <w:rFonts w:cstheme="minorHAnsi"/>
        </w:rPr>
      </w:pPr>
      <w:r w:rsidRPr="004737C5">
        <w:rPr>
          <w:rFonts w:cstheme="minorHAnsi"/>
        </w:rPr>
        <w:t>In the revised UNGC</w:t>
      </w:r>
      <w:r w:rsidR="00061E48" w:rsidRPr="004737C5">
        <w:rPr>
          <w:rFonts w:cstheme="minorHAnsi"/>
        </w:rPr>
        <w:t>P, as in the previous version, “</w:t>
      </w:r>
      <w:r w:rsidRPr="004737C5">
        <w:rPr>
          <w:rFonts w:cstheme="minorHAnsi"/>
          <w:bCs/>
        </w:rPr>
        <w:t>educa</w:t>
      </w:r>
      <w:r w:rsidR="00061E48" w:rsidRPr="004737C5">
        <w:rPr>
          <w:rFonts w:cstheme="minorHAnsi"/>
          <w:bCs/>
        </w:rPr>
        <w:t>tion and information programmes”</w:t>
      </w:r>
      <w:r w:rsidRPr="004737C5">
        <w:rPr>
          <w:rFonts w:cstheme="minorHAnsi"/>
          <w:bCs/>
        </w:rPr>
        <w:t xml:space="preserve"> </w:t>
      </w:r>
      <w:r w:rsidRPr="004737C5">
        <w:rPr>
          <w:rFonts w:cstheme="minorHAnsi"/>
        </w:rPr>
        <w:t>form a single section (V.</w:t>
      </w:r>
      <w:r w:rsidR="00061E48" w:rsidRPr="004737C5">
        <w:rPr>
          <w:rFonts w:cstheme="minorHAnsi"/>
        </w:rPr>
        <w:t xml:space="preserve">G). Information appears </w:t>
      </w:r>
      <w:r w:rsidR="00BB2D3B" w:rsidRPr="004737C5">
        <w:rPr>
          <w:rFonts w:cstheme="minorHAnsi"/>
        </w:rPr>
        <w:t>under</w:t>
      </w:r>
      <w:r w:rsidR="00061E48" w:rsidRPr="004737C5">
        <w:rPr>
          <w:rFonts w:cstheme="minorHAnsi"/>
        </w:rPr>
        <w:t xml:space="preserve"> the “legitimate needs” </w:t>
      </w:r>
      <w:r w:rsidR="00BB2D3B" w:rsidRPr="004737C5">
        <w:rPr>
          <w:rFonts w:cstheme="minorHAnsi"/>
        </w:rPr>
        <w:t>g</w:t>
      </w:r>
      <w:r w:rsidRPr="004737C5">
        <w:rPr>
          <w:rFonts w:cstheme="minorHAnsi"/>
        </w:rPr>
        <w:t xml:space="preserve">uideline </w:t>
      </w:r>
      <w:r w:rsidR="00A80CAC" w:rsidRPr="004737C5">
        <w:rPr>
          <w:rFonts w:cstheme="minorHAnsi"/>
        </w:rPr>
        <w:t>(</w:t>
      </w:r>
      <w:r w:rsidR="00061E48" w:rsidRPr="004737C5">
        <w:rPr>
          <w:rFonts w:cstheme="minorHAnsi"/>
        </w:rPr>
        <w:t>5e</w:t>
      </w:r>
      <w:r w:rsidRPr="004737C5">
        <w:rPr>
          <w:rFonts w:cstheme="minorHAnsi"/>
        </w:rPr>
        <w:t>)</w:t>
      </w:r>
      <w:r w:rsidR="00061E48" w:rsidRPr="004737C5">
        <w:rPr>
          <w:rFonts w:cstheme="minorHAnsi"/>
        </w:rPr>
        <w:t>,</w:t>
      </w:r>
      <w:r w:rsidRPr="004737C5">
        <w:rPr>
          <w:rFonts w:cstheme="minorHAnsi"/>
        </w:rPr>
        <w:t xml:space="preserve"> where it is l</w:t>
      </w:r>
      <w:r w:rsidR="00C9662F" w:rsidRPr="004737C5">
        <w:rPr>
          <w:rFonts w:cstheme="minorHAnsi"/>
        </w:rPr>
        <w:t xml:space="preserve">inked to </w:t>
      </w:r>
      <w:r w:rsidR="00BB2D3B" w:rsidRPr="004737C5">
        <w:rPr>
          <w:rFonts w:cstheme="minorHAnsi"/>
        </w:rPr>
        <w:t>“</w:t>
      </w:r>
      <w:r w:rsidR="00C9662F" w:rsidRPr="004737C5">
        <w:rPr>
          <w:rFonts w:cstheme="minorHAnsi"/>
        </w:rPr>
        <w:t>choice</w:t>
      </w:r>
      <w:r w:rsidR="00BB2D3B" w:rsidRPr="004737C5">
        <w:rPr>
          <w:rFonts w:cstheme="minorHAnsi"/>
        </w:rPr>
        <w:t>”</w:t>
      </w:r>
      <w:r w:rsidR="00A80CAC" w:rsidRPr="004737C5">
        <w:rPr>
          <w:rFonts w:cstheme="minorHAnsi"/>
        </w:rPr>
        <w:t>, in s</w:t>
      </w:r>
      <w:r w:rsidR="00C9662F" w:rsidRPr="004737C5">
        <w:rPr>
          <w:rFonts w:cstheme="minorHAnsi"/>
        </w:rPr>
        <w:t>ection IV</w:t>
      </w:r>
      <w:r w:rsidR="0009026B" w:rsidRPr="004737C5">
        <w:rPr>
          <w:rFonts w:cstheme="minorHAnsi"/>
        </w:rPr>
        <w:t>,</w:t>
      </w:r>
      <w:r w:rsidR="00C9662F" w:rsidRPr="004737C5">
        <w:rPr>
          <w:rFonts w:cstheme="minorHAnsi"/>
        </w:rPr>
        <w:t xml:space="preserve"> “</w:t>
      </w:r>
      <w:r w:rsidR="00A80CAC" w:rsidRPr="004737C5">
        <w:rPr>
          <w:rFonts w:cstheme="minorHAnsi"/>
        </w:rPr>
        <w:t>p</w:t>
      </w:r>
      <w:r w:rsidRPr="004737C5">
        <w:rPr>
          <w:rFonts w:cstheme="minorHAnsi"/>
        </w:rPr>
        <w:t>rincip</w:t>
      </w:r>
      <w:r w:rsidR="00C9662F" w:rsidRPr="004737C5">
        <w:rPr>
          <w:rFonts w:cstheme="minorHAnsi"/>
        </w:rPr>
        <w:t>les for good business practices”</w:t>
      </w:r>
      <w:r w:rsidR="00BB2D3B" w:rsidRPr="004737C5">
        <w:rPr>
          <w:rFonts w:cstheme="minorHAnsi"/>
        </w:rPr>
        <w:t xml:space="preserve"> under “disclosure and transparency”</w:t>
      </w:r>
      <w:r w:rsidR="00A80CAC" w:rsidRPr="004737C5">
        <w:rPr>
          <w:rFonts w:cstheme="minorHAnsi"/>
        </w:rPr>
        <w:t xml:space="preserve"> (g</w:t>
      </w:r>
      <w:r w:rsidRPr="004737C5">
        <w:rPr>
          <w:rFonts w:cstheme="minorHAnsi"/>
        </w:rPr>
        <w:t>uide</w:t>
      </w:r>
      <w:r w:rsidR="00291489" w:rsidRPr="004737C5">
        <w:rPr>
          <w:rFonts w:cstheme="minorHAnsi"/>
        </w:rPr>
        <w:t>line 11c), in s</w:t>
      </w:r>
      <w:r w:rsidR="00BB2D3B" w:rsidRPr="004737C5">
        <w:rPr>
          <w:rFonts w:cstheme="minorHAnsi"/>
        </w:rPr>
        <w:t>ection V.A on “</w:t>
      </w:r>
      <w:r w:rsidRPr="004737C5">
        <w:rPr>
          <w:rFonts w:cstheme="minorHAnsi"/>
        </w:rPr>
        <w:t>national p</w:t>
      </w:r>
      <w:r w:rsidR="00BB2D3B" w:rsidRPr="004737C5">
        <w:rPr>
          <w:rFonts w:cstheme="minorHAnsi"/>
        </w:rPr>
        <w:t>oli</w:t>
      </w:r>
      <w:r w:rsidR="00A80CAC" w:rsidRPr="004737C5">
        <w:rPr>
          <w:rFonts w:cstheme="minorHAnsi"/>
        </w:rPr>
        <w:t>cies for consumer protection” (g</w:t>
      </w:r>
      <w:r w:rsidR="00BB2D3B" w:rsidRPr="004737C5">
        <w:rPr>
          <w:rFonts w:cstheme="minorHAnsi"/>
        </w:rPr>
        <w:t>uidelines 14b and 14c) as “</w:t>
      </w:r>
      <w:r w:rsidRPr="004737C5">
        <w:rPr>
          <w:rFonts w:cstheme="minorHAnsi"/>
        </w:rPr>
        <w:t>clear and timely inf</w:t>
      </w:r>
      <w:r w:rsidR="00A80CAC" w:rsidRPr="004737C5">
        <w:rPr>
          <w:rFonts w:cstheme="minorHAnsi"/>
        </w:rPr>
        <w:t>ormation”, g</w:t>
      </w:r>
      <w:r w:rsidR="00BB2D3B" w:rsidRPr="004737C5">
        <w:rPr>
          <w:rFonts w:cstheme="minorHAnsi"/>
        </w:rPr>
        <w:t>uideline 27 under “</w:t>
      </w:r>
      <w:r w:rsidRPr="004737C5">
        <w:rPr>
          <w:rFonts w:cstheme="minorHAnsi"/>
        </w:rPr>
        <w:t>promotion</w:t>
      </w:r>
      <w:r w:rsidR="00BB2D3B" w:rsidRPr="004737C5">
        <w:rPr>
          <w:rFonts w:cstheme="minorHAnsi"/>
        </w:rPr>
        <w:t>al marketing and sales practice”</w:t>
      </w:r>
      <w:r w:rsidR="00A80CAC" w:rsidRPr="004737C5">
        <w:rPr>
          <w:rFonts w:cstheme="minorHAnsi"/>
        </w:rPr>
        <w:t xml:space="preserve"> and g</w:t>
      </w:r>
      <w:r w:rsidRPr="004737C5">
        <w:rPr>
          <w:rFonts w:cstheme="minorHAnsi"/>
        </w:rPr>
        <w:t>uideline</w:t>
      </w:r>
      <w:r w:rsidRPr="004737C5" w:rsidDel="00104D92">
        <w:rPr>
          <w:rFonts w:cstheme="minorHAnsi"/>
        </w:rPr>
        <w:t xml:space="preserve"> </w:t>
      </w:r>
      <w:r w:rsidR="00BB2D3B" w:rsidRPr="004737C5">
        <w:rPr>
          <w:rFonts w:cstheme="minorHAnsi"/>
        </w:rPr>
        <w:t>28 on “</w:t>
      </w:r>
      <w:r w:rsidRPr="004737C5">
        <w:rPr>
          <w:rFonts w:cstheme="minorHAnsi"/>
        </w:rPr>
        <w:t>the free flow of accurate information on a</w:t>
      </w:r>
      <w:r w:rsidR="00BB2D3B" w:rsidRPr="004737C5">
        <w:rPr>
          <w:rFonts w:cstheme="minorHAnsi"/>
        </w:rPr>
        <w:t>ll aspects of consumer products”</w:t>
      </w:r>
      <w:r w:rsidRPr="004737C5">
        <w:rPr>
          <w:rFonts w:cstheme="minorHAnsi"/>
        </w:rPr>
        <w:t>. Guidelines 29 and 30 deal with enviro</w:t>
      </w:r>
      <w:r w:rsidR="00BB2D3B" w:rsidRPr="004737C5">
        <w:rPr>
          <w:rFonts w:cstheme="minorHAnsi"/>
        </w:rPr>
        <w:t xml:space="preserve">nmental information. It is also mentioned in related to specific sectors: </w:t>
      </w:r>
      <w:r w:rsidR="00291489" w:rsidRPr="004737C5">
        <w:rPr>
          <w:rFonts w:cstheme="minorHAnsi"/>
        </w:rPr>
        <w:t>under s</w:t>
      </w:r>
      <w:r w:rsidRPr="004737C5">
        <w:rPr>
          <w:rFonts w:cstheme="minorHAnsi"/>
        </w:rPr>
        <w:t>e</w:t>
      </w:r>
      <w:r w:rsidR="00BB2D3B" w:rsidRPr="004737C5">
        <w:rPr>
          <w:rFonts w:cstheme="minorHAnsi"/>
        </w:rPr>
        <w:t>ction V.J on financial services</w:t>
      </w:r>
      <w:r w:rsidR="00A80CAC" w:rsidRPr="004737C5">
        <w:rPr>
          <w:rFonts w:cstheme="minorHAnsi"/>
        </w:rPr>
        <w:t xml:space="preserve"> (g</w:t>
      </w:r>
      <w:r w:rsidRPr="004737C5">
        <w:rPr>
          <w:rFonts w:cstheme="minorHAnsi"/>
        </w:rPr>
        <w:t>uideline</w:t>
      </w:r>
      <w:r w:rsidRPr="004737C5" w:rsidDel="00104D92">
        <w:rPr>
          <w:rFonts w:cstheme="minorHAnsi"/>
        </w:rPr>
        <w:t xml:space="preserve"> </w:t>
      </w:r>
      <w:r w:rsidRPr="004737C5">
        <w:rPr>
          <w:rFonts w:cstheme="minorHAnsi"/>
        </w:rPr>
        <w:t xml:space="preserve">66e) relating to disclosure of </w:t>
      </w:r>
      <w:r w:rsidR="00BB2D3B" w:rsidRPr="004737C5">
        <w:rPr>
          <w:rFonts w:cstheme="minorHAnsi"/>
        </w:rPr>
        <w:t>po</w:t>
      </w:r>
      <w:r w:rsidR="00A80CAC" w:rsidRPr="004737C5">
        <w:rPr>
          <w:rFonts w:cstheme="minorHAnsi"/>
        </w:rPr>
        <w:t>tential conflicts of interest, g</w:t>
      </w:r>
      <w:r w:rsidR="00BB2D3B" w:rsidRPr="004737C5">
        <w:rPr>
          <w:rFonts w:cstheme="minorHAnsi"/>
        </w:rPr>
        <w:t>uideline 66h relating to remittances</w:t>
      </w:r>
      <w:r w:rsidR="00A80CAC" w:rsidRPr="004737C5">
        <w:rPr>
          <w:rFonts w:cstheme="minorHAnsi"/>
        </w:rPr>
        <w:t xml:space="preserve"> and g</w:t>
      </w:r>
      <w:r w:rsidRPr="004737C5">
        <w:rPr>
          <w:rFonts w:cstheme="minorHAnsi"/>
        </w:rPr>
        <w:t xml:space="preserve">uideline 77 on public utilities. </w:t>
      </w:r>
    </w:p>
    <w:p w14:paraId="6683BA72" w14:textId="5AF340C3" w:rsidR="00BE71E3" w:rsidRPr="004737C5" w:rsidRDefault="00BB2D3B" w:rsidP="006D3BE8">
      <w:pPr>
        <w:rPr>
          <w:rFonts w:cstheme="minorHAnsi"/>
        </w:rPr>
      </w:pPr>
      <w:r w:rsidRPr="004737C5">
        <w:rPr>
          <w:rFonts w:cstheme="minorHAnsi"/>
        </w:rPr>
        <w:t>For</w:t>
      </w:r>
      <w:r w:rsidR="00BE71E3" w:rsidRPr="004737C5">
        <w:rPr>
          <w:rFonts w:cstheme="minorHAnsi"/>
        </w:rPr>
        <w:t xml:space="preserve"> education, </w:t>
      </w:r>
      <w:r w:rsidRPr="004737C5">
        <w:rPr>
          <w:rFonts w:cstheme="minorHAnsi"/>
        </w:rPr>
        <w:t xml:space="preserve">references </w:t>
      </w:r>
      <w:r w:rsidR="00BE71E3" w:rsidRPr="004737C5">
        <w:rPr>
          <w:rFonts w:cstheme="minorHAnsi"/>
        </w:rPr>
        <w:t xml:space="preserve">are largely </w:t>
      </w:r>
      <w:r w:rsidRPr="004737C5">
        <w:rPr>
          <w:rFonts w:cstheme="minorHAnsi"/>
        </w:rPr>
        <w:t>the same, appearing under “legitimate needs”</w:t>
      </w:r>
      <w:r w:rsidR="00BE71E3" w:rsidRPr="004737C5">
        <w:rPr>
          <w:rFonts w:cstheme="minorHAnsi"/>
        </w:rPr>
        <w:t xml:space="preserve"> </w:t>
      </w:r>
      <w:r w:rsidRPr="004737C5">
        <w:rPr>
          <w:rFonts w:cstheme="minorHAnsi"/>
        </w:rPr>
        <w:t>(</w:t>
      </w:r>
      <w:r w:rsidR="00A80CAC" w:rsidRPr="004737C5">
        <w:rPr>
          <w:rFonts w:cstheme="minorHAnsi"/>
        </w:rPr>
        <w:t>g</w:t>
      </w:r>
      <w:r w:rsidR="00BE71E3" w:rsidRPr="004737C5">
        <w:rPr>
          <w:rFonts w:cstheme="minorHAnsi"/>
        </w:rPr>
        <w:t>uideline</w:t>
      </w:r>
      <w:r w:rsidR="00BE71E3" w:rsidRPr="004737C5" w:rsidDel="00104D92">
        <w:rPr>
          <w:rFonts w:cstheme="minorHAnsi"/>
        </w:rPr>
        <w:t xml:space="preserve"> </w:t>
      </w:r>
      <w:r w:rsidRPr="004737C5">
        <w:rPr>
          <w:rFonts w:cstheme="minorHAnsi"/>
        </w:rPr>
        <w:t>5</w:t>
      </w:r>
      <w:r w:rsidR="00A80CAC" w:rsidRPr="004737C5">
        <w:rPr>
          <w:rFonts w:cstheme="minorHAnsi"/>
        </w:rPr>
        <w:t>f), sections IV.G (g</w:t>
      </w:r>
      <w:r w:rsidR="00BE71E3" w:rsidRPr="004737C5">
        <w:rPr>
          <w:rFonts w:cstheme="minorHAnsi"/>
        </w:rPr>
        <w:t>uideline</w:t>
      </w:r>
      <w:r w:rsidR="00BE71E3" w:rsidRPr="004737C5" w:rsidDel="00104D92">
        <w:rPr>
          <w:rFonts w:cstheme="minorHAnsi"/>
        </w:rPr>
        <w:t xml:space="preserve"> </w:t>
      </w:r>
      <w:r w:rsidR="004B1DCC" w:rsidRPr="004737C5">
        <w:rPr>
          <w:rFonts w:cstheme="minorHAnsi"/>
        </w:rPr>
        <w:t>11d</w:t>
      </w:r>
      <w:r w:rsidR="00A80CAC" w:rsidRPr="004737C5">
        <w:rPr>
          <w:rFonts w:cstheme="minorHAnsi"/>
        </w:rPr>
        <w:t>), V (g</w:t>
      </w:r>
      <w:r w:rsidR="00BE71E3" w:rsidRPr="004737C5">
        <w:rPr>
          <w:rFonts w:cstheme="minorHAnsi"/>
        </w:rPr>
        <w:t>uideline</w:t>
      </w:r>
      <w:r w:rsidR="00BE71E3" w:rsidRPr="004737C5" w:rsidDel="00104D92">
        <w:rPr>
          <w:rFonts w:cstheme="minorHAnsi"/>
        </w:rPr>
        <w:t xml:space="preserve"> </w:t>
      </w:r>
      <w:r w:rsidR="004B1DCC" w:rsidRPr="004737C5">
        <w:rPr>
          <w:rFonts w:cstheme="minorHAnsi"/>
        </w:rPr>
        <w:t>14i</w:t>
      </w:r>
      <w:r w:rsidR="00BE71E3" w:rsidRPr="004737C5">
        <w:rPr>
          <w:rFonts w:cstheme="minorHAnsi"/>
        </w:rPr>
        <w:t xml:space="preserve">), new section V.J on financial services in rather greater detail than for information, covering </w:t>
      </w:r>
      <w:r w:rsidR="004B1DCC" w:rsidRPr="004737C5">
        <w:rPr>
          <w:rFonts w:cstheme="minorHAnsi"/>
          <w:bCs/>
        </w:rPr>
        <w:t>financial literacy</w:t>
      </w:r>
      <w:r w:rsidR="00BE71E3" w:rsidRPr="004737C5">
        <w:rPr>
          <w:rFonts w:cstheme="minorHAnsi"/>
          <w:b/>
          <w:bCs/>
          <w:sz w:val="23"/>
          <w:szCs w:val="23"/>
        </w:rPr>
        <w:t xml:space="preserve"> </w:t>
      </w:r>
      <w:r w:rsidR="00BE71E3" w:rsidRPr="004737C5">
        <w:rPr>
          <w:rFonts w:cstheme="minorHAnsi"/>
          <w:bCs/>
        </w:rPr>
        <w:t>(</w:t>
      </w:r>
      <w:r w:rsidR="00A80CAC" w:rsidRPr="004737C5">
        <w:rPr>
          <w:rFonts w:cstheme="minorHAnsi"/>
        </w:rPr>
        <w:t>g</w:t>
      </w:r>
      <w:r w:rsidR="00BE71E3" w:rsidRPr="004737C5">
        <w:rPr>
          <w:rFonts w:cstheme="minorHAnsi"/>
        </w:rPr>
        <w:t>uideline</w:t>
      </w:r>
      <w:r w:rsidR="00BE71E3" w:rsidRPr="004737C5">
        <w:rPr>
          <w:rFonts w:cstheme="minorHAnsi"/>
          <w:bCs/>
        </w:rPr>
        <w:t xml:space="preserve"> 66d),</w:t>
      </w:r>
      <w:r w:rsidR="00BE71E3" w:rsidRPr="004737C5">
        <w:rPr>
          <w:rFonts w:cstheme="minorHAnsi"/>
          <w:b/>
          <w:bCs/>
          <w:sz w:val="23"/>
          <w:szCs w:val="23"/>
        </w:rPr>
        <w:t xml:space="preserve"> </w:t>
      </w:r>
      <w:r w:rsidR="00BE71E3" w:rsidRPr="004737C5">
        <w:rPr>
          <w:rFonts w:cstheme="minorHAnsi"/>
          <w:bCs/>
        </w:rPr>
        <w:t>financial education (</w:t>
      </w:r>
      <w:r w:rsidR="00A80CAC" w:rsidRPr="004737C5">
        <w:rPr>
          <w:rFonts w:cstheme="minorHAnsi"/>
        </w:rPr>
        <w:t>g</w:t>
      </w:r>
      <w:r w:rsidR="00BE71E3" w:rsidRPr="004737C5">
        <w:rPr>
          <w:rFonts w:cstheme="minorHAnsi"/>
        </w:rPr>
        <w:t>uideline</w:t>
      </w:r>
      <w:r w:rsidR="0009026B" w:rsidRPr="004737C5">
        <w:rPr>
          <w:rFonts w:cstheme="minorHAnsi"/>
          <w:bCs/>
        </w:rPr>
        <w:t xml:space="preserve"> 67) and</w:t>
      </w:r>
      <w:r w:rsidR="00BE71E3" w:rsidRPr="004737C5">
        <w:rPr>
          <w:rFonts w:cstheme="minorHAnsi"/>
          <w:bCs/>
        </w:rPr>
        <w:t xml:space="preserve"> section V.K, </w:t>
      </w:r>
      <w:r w:rsidR="00A80CAC" w:rsidRPr="004737C5">
        <w:rPr>
          <w:rFonts w:cstheme="minorHAnsi"/>
        </w:rPr>
        <w:t>g</w:t>
      </w:r>
      <w:r w:rsidR="00BE71E3" w:rsidRPr="004737C5">
        <w:rPr>
          <w:rFonts w:cstheme="minorHAnsi"/>
        </w:rPr>
        <w:t>uideline</w:t>
      </w:r>
      <w:r w:rsidR="00BE71E3" w:rsidRPr="004737C5">
        <w:rPr>
          <w:rFonts w:cstheme="minorHAnsi"/>
          <w:bCs/>
        </w:rPr>
        <w:t xml:space="preserve"> 69 covering a range of specific sectors. </w:t>
      </w:r>
    </w:p>
    <w:p w14:paraId="66949508" w14:textId="77777777" w:rsidR="00BE71E3" w:rsidRPr="004737C5" w:rsidRDefault="00BE71E3" w:rsidP="006D3BE8">
      <w:pPr>
        <w:rPr>
          <w:rFonts w:cstheme="minorHAnsi"/>
        </w:rPr>
      </w:pPr>
      <w:r w:rsidRPr="004737C5">
        <w:rPr>
          <w:rFonts w:cstheme="minorHAnsi"/>
        </w:rPr>
        <w:t xml:space="preserve">Information and education are </w:t>
      </w:r>
      <w:r w:rsidR="004B1DCC" w:rsidRPr="004737C5">
        <w:rPr>
          <w:rFonts w:cstheme="minorHAnsi"/>
        </w:rPr>
        <w:t xml:space="preserve">thus </w:t>
      </w:r>
      <w:r w:rsidRPr="004737C5">
        <w:rPr>
          <w:rFonts w:cstheme="minorHAnsi"/>
        </w:rPr>
        <w:t>major features</w:t>
      </w:r>
      <w:r w:rsidR="004B1DCC" w:rsidRPr="004737C5">
        <w:rPr>
          <w:rFonts w:cstheme="minorHAnsi"/>
        </w:rPr>
        <w:t xml:space="preserve"> of the UNGCP</w:t>
      </w:r>
      <w:r w:rsidRPr="004737C5">
        <w:rPr>
          <w:rFonts w:cstheme="minorHAnsi"/>
        </w:rPr>
        <w:t xml:space="preserve"> and their prominence was reinforced during the 2015 revision. This reflects their underlying importance and also the importance attached durin</w:t>
      </w:r>
      <w:r w:rsidR="004B1DCC" w:rsidRPr="004737C5">
        <w:rPr>
          <w:rFonts w:cstheme="minorHAnsi"/>
        </w:rPr>
        <w:t>g the course of the last decade</w:t>
      </w:r>
      <w:r w:rsidRPr="004737C5">
        <w:rPr>
          <w:rFonts w:cstheme="minorHAnsi"/>
        </w:rPr>
        <w:t xml:space="preserve"> to matters of disclosure and consumer interpretation of disclosed information. </w:t>
      </w:r>
    </w:p>
    <w:p w14:paraId="6D264A24" w14:textId="77777777" w:rsidR="00BE71E3" w:rsidRPr="004737C5" w:rsidRDefault="004B1DCC" w:rsidP="0009026B">
      <w:pPr>
        <w:pStyle w:val="Heading2"/>
        <w:spacing w:after="160"/>
        <w:rPr>
          <w:rFonts w:cstheme="minorHAnsi"/>
          <w:color w:val="auto"/>
          <w:sz w:val="24"/>
          <w:szCs w:val="24"/>
        </w:rPr>
      </w:pPr>
      <w:bookmarkStart w:id="149" w:name="_Toc454293832"/>
      <w:bookmarkStart w:id="150" w:name="_Toc489950268"/>
      <w:bookmarkStart w:id="151" w:name="_Toc492650055"/>
      <w:r w:rsidRPr="004737C5">
        <w:rPr>
          <w:rFonts w:cstheme="minorHAnsi"/>
          <w:color w:val="auto"/>
          <w:sz w:val="24"/>
          <w:szCs w:val="24"/>
        </w:rPr>
        <w:lastRenderedPageBreak/>
        <w:t>C.</w:t>
      </w:r>
      <w:r w:rsidR="00BE71E3" w:rsidRPr="004737C5">
        <w:rPr>
          <w:rFonts w:cstheme="minorHAnsi"/>
          <w:color w:val="auto"/>
          <w:sz w:val="24"/>
          <w:szCs w:val="24"/>
        </w:rPr>
        <w:t xml:space="preserve"> The transfer of risk</w:t>
      </w:r>
      <w:bookmarkEnd w:id="149"/>
      <w:bookmarkEnd w:id="150"/>
      <w:bookmarkEnd w:id="151"/>
    </w:p>
    <w:p w14:paraId="70F7390B" w14:textId="77777777" w:rsidR="00BE71E3" w:rsidRPr="004737C5" w:rsidRDefault="00BE71E3" w:rsidP="006D3BE8">
      <w:pPr>
        <w:rPr>
          <w:rFonts w:cstheme="minorHAnsi"/>
        </w:rPr>
      </w:pPr>
      <w:r w:rsidRPr="004737C5">
        <w:rPr>
          <w:rFonts w:cstheme="minorHAnsi"/>
        </w:rPr>
        <w:t xml:space="preserve">In devising an appropriate consumer information policy, one needs to consider consumer information needs, consumer information-seeking behaviour and the competence of consumers to assess the information in the context of purchasing decisions. The appropriate course of action to address these aspects varies depending on consumer </w:t>
      </w:r>
      <w:r w:rsidR="004B1DCC" w:rsidRPr="004737C5">
        <w:rPr>
          <w:rFonts w:cstheme="minorHAnsi"/>
        </w:rPr>
        <w:t>characteristic</w:t>
      </w:r>
      <w:r w:rsidRPr="004737C5">
        <w:rPr>
          <w:rFonts w:cstheme="minorHAnsi"/>
        </w:rPr>
        <w:t xml:space="preserve">s (for example, </w:t>
      </w:r>
      <w:r w:rsidR="004B1DCC" w:rsidRPr="004737C5">
        <w:rPr>
          <w:rFonts w:cstheme="minorHAnsi"/>
        </w:rPr>
        <w:t xml:space="preserve">relating to </w:t>
      </w:r>
      <w:r w:rsidRPr="004737C5">
        <w:rPr>
          <w:rFonts w:cstheme="minorHAnsi"/>
        </w:rPr>
        <w:t>incom</w:t>
      </w:r>
      <w:r w:rsidR="004B1DCC" w:rsidRPr="004737C5">
        <w:rPr>
          <w:rFonts w:cstheme="minorHAnsi"/>
        </w:rPr>
        <w:t>e, education, age, sex and culture</w:t>
      </w:r>
      <w:r w:rsidRPr="004737C5">
        <w:rPr>
          <w:rFonts w:cstheme="minorHAnsi"/>
        </w:rPr>
        <w:t>) and even among individuals within these categories.</w:t>
      </w:r>
    </w:p>
    <w:p w14:paraId="57543F79" w14:textId="77777777" w:rsidR="00BE71E3" w:rsidRPr="004737C5" w:rsidRDefault="00BE71E3" w:rsidP="006D3BE8">
      <w:pPr>
        <w:rPr>
          <w:rFonts w:cstheme="minorHAnsi"/>
        </w:rPr>
      </w:pPr>
      <w:r w:rsidRPr="004737C5">
        <w:rPr>
          <w:rFonts w:cstheme="minorHAnsi"/>
        </w:rPr>
        <w:t>No matter what information or how much information is made available, there is no guarantee that the consumer will ultimately make a choice that is based on a full and rational assessment</w:t>
      </w:r>
      <w:r w:rsidR="004B1DCC" w:rsidRPr="004737C5">
        <w:rPr>
          <w:rFonts w:cstheme="minorHAnsi"/>
        </w:rPr>
        <w:t xml:space="preserve"> of it</w:t>
      </w:r>
      <w:r w:rsidRPr="004737C5">
        <w:rPr>
          <w:rFonts w:cstheme="minorHAnsi"/>
        </w:rPr>
        <w:t xml:space="preserve">. Consumer education is often thought to increase consumer ability </w:t>
      </w:r>
      <w:r w:rsidR="004B1DCC" w:rsidRPr="004737C5">
        <w:rPr>
          <w:rFonts w:cstheme="minorHAnsi"/>
        </w:rPr>
        <w:t xml:space="preserve">to </w:t>
      </w:r>
      <w:r w:rsidRPr="004737C5">
        <w:rPr>
          <w:rFonts w:cstheme="minorHAnsi"/>
        </w:rPr>
        <w:t>obtain</w:t>
      </w:r>
      <w:r w:rsidR="004B1DCC" w:rsidRPr="004737C5">
        <w:rPr>
          <w:rFonts w:cstheme="minorHAnsi"/>
        </w:rPr>
        <w:t xml:space="preserve"> and assess</w:t>
      </w:r>
      <w:r w:rsidRPr="004737C5">
        <w:rPr>
          <w:rFonts w:cstheme="minorHAnsi"/>
        </w:rPr>
        <w:t xml:space="preserve"> information about goods and services</w:t>
      </w:r>
      <w:r w:rsidR="004B1DCC" w:rsidRPr="004737C5">
        <w:rPr>
          <w:rFonts w:cstheme="minorHAnsi"/>
        </w:rPr>
        <w:t>.</w:t>
      </w:r>
      <w:r w:rsidRPr="004737C5">
        <w:rPr>
          <w:rStyle w:val="FootnoteReference"/>
          <w:rFonts w:cstheme="minorHAnsi"/>
        </w:rPr>
        <w:footnoteReference w:id="156"/>
      </w:r>
      <w:r w:rsidRPr="004737C5">
        <w:rPr>
          <w:rFonts w:cstheme="minorHAnsi"/>
        </w:rPr>
        <w:t xml:space="preserve"> However, product variety is increasing not just as incomes have risen, but also as markets have come to embrace domai</w:t>
      </w:r>
      <w:r w:rsidR="004B1DCC" w:rsidRPr="004737C5">
        <w:rPr>
          <w:rFonts w:cstheme="minorHAnsi"/>
        </w:rPr>
        <w:t>ns previously characterized by s</w:t>
      </w:r>
      <w:r w:rsidRPr="004737C5">
        <w:rPr>
          <w:rFonts w:cstheme="minorHAnsi"/>
        </w:rPr>
        <w:t>tate-directed provision such as telecommunications, electricity, insurance and pensions. In parallel with the increasing extent of the market, information is mi</w:t>
      </w:r>
      <w:r w:rsidR="004B1DCC" w:rsidRPr="004737C5">
        <w:rPr>
          <w:rFonts w:cstheme="minorHAnsi"/>
        </w:rPr>
        <w:t>grating from that provided face-to-</w:t>
      </w:r>
      <w:r w:rsidRPr="004737C5">
        <w:rPr>
          <w:rFonts w:cstheme="minorHAnsi"/>
        </w:rPr>
        <w:t>face</w:t>
      </w:r>
      <w:r w:rsidR="004B1DCC" w:rsidRPr="004737C5">
        <w:rPr>
          <w:rFonts w:cstheme="minorHAnsi"/>
        </w:rPr>
        <w:t xml:space="preserve"> to </w:t>
      </w:r>
      <w:r w:rsidRPr="004737C5">
        <w:rPr>
          <w:rFonts w:cstheme="minorHAnsi"/>
        </w:rPr>
        <w:t>that which is made available o</w:t>
      </w:r>
      <w:r w:rsidR="004240DC" w:rsidRPr="004737C5">
        <w:rPr>
          <w:rFonts w:cstheme="minorHAnsi"/>
        </w:rPr>
        <w:t>nline. As discussed in chapter III</w:t>
      </w:r>
      <w:r w:rsidRPr="004737C5">
        <w:rPr>
          <w:rFonts w:cstheme="minorHAnsi"/>
        </w:rPr>
        <w:t xml:space="preserve"> on cons</w:t>
      </w:r>
      <w:r w:rsidR="004B1DCC" w:rsidRPr="004737C5">
        <w:rPr>
          <w:rFonts w:cstheme="minorHAnsi"/>
        </w:rPr>
        <w:t>umer law, the response of many s</w:t>
      </w:r>
      <w:r w:rsidRPr="004737C5">
        <w:rPr>
          <w:rFonts w:cstheme="minorHAnsi"/>
        </w:rPr>
        <w:t>tates has been to try to build consumer expertise so that the market is bal</w:t>
      </w:r>
      <w:r w:rsidR="004B1DCC" w:rsidRPr="004737C5">
        <w:rPr>
          <w:rFonts w:cstheme="minorHAnsi"/>
        </w:rPr>
        <w:t>anced by the competence of the “</w:t>
      </w:r>
      <w:r w:rsidRPr="004737C5">
        <w:rPr>
          <w:rFonts w:cstheme="minorHAnsi"/>
        </w:rPr>
        <w:t>empowered consumer</w:t>
      </w:r>
      <w:r w:rsidR="004B1DCC" w:rsidRPr="004737C5">
        <w:rPr>
          <w:rFonts w:cstheme="minorHAnsi"/>
        </w:rPr>
        <w:t>”.</w:t>
      </w:r>
    </w:p>
    <w:p w14:paraId="5613F520" w14:textId="3F1684BD" w:rsidR="00BE71E3" w:rsidRPr="004737C5" w:rsidRDefault="00BE71E3" w:rsidP="006D3BE8">
      <w:pPr>
        <w:rPr>
          <w:rFonts w:cstheme="minorHAnsi"/>
        </w:rPr>
      </w:pPr>
      <w:r w:rsidRPr="004737C5">
        <w:rPr>
          <w:rFonts w:cstheme="minorHAnsi"/>
        </w:rPr>
        <w:t>The OECD Toolkit on Consumer Policy sets o</w:t>
      </w:r>
      <w:r w:rsidR="004B1DCC" w:rsidRPr="004737C5">
        <w:rPr>
          <w:rFonts w:cstheme="minorHAnsi"/>
        </w:rPr>
        <w:t>ut a range of interventions by g</w:t>
      </w:r>
      <w:r w:rsidRPr="004737C5">
        <w:rPr>
          <w:rFonts w:cstheme="minorHAnsi"/>
        </w:rPr>
        <w:t>overnments and s</w:t>
      </w:r>
      <w:r w:rsidR="004B1DCC" w:rsidRPr="004737C5">
        <w:rPr>
          <w:rFonts w:cstheme="minorHAnsi"/>
        </w:rPr>
        <w:t>takeholders to improve decision-</w:t>
      </w:r>
      <w:r w:rsidRPr="004737C5">
        <w:rPr>
          <w:rFonts w:cstheme="minorHAnsi"/>
        </w:rPr>
        <w:t>making by consumers.</w:t>
      </w:r>
      <w:r w:rsidRPr="004737C5">
        <w:rPr>
          <w:rStyle w:val="FootnoteReference"/>
          <w:rFonts w:cstheme="minorHAnsi"/>
        </w:rPr>
        <w:footnoteReference w:id="157"/>
      </w:r>
      <w:r w:rsidRPr="004737C5">
        <w:rPr>
          <w:rFonts w:cstheme="minorHAnsi"/>
        </w:rPr>
        <w:t xml:space="preserve"> These include Austral</w:t>
      </w:r>
      <w:r w:rsidR="004B1DCC" w:rsidRPr="004737C5">
        <w:rPr>
          <w:rFonts w:cstheme="minorHAnsi"/>
        </w:rPr>
        <w:t>ian telephone charges, Chilean i</w:t>
      </w:r>
      <w:r w:rsidRPr="004737C5">
        <w:rPr>
          <w:rFonts w:cstheme="minorHAnsi"/>
        </w:rPr>
        <w:t>nternet and</w:t>
      </w:r>
      <w:r w:rsidR="004B1DCC" w:rsidRPr="004737C5">
        <w:rPr>
          <w:rFonts w:cstheme="minorHAnsi"/>
        </w:rPr>
        <w:t xml:space="preserve"> TV services, French fuel bills</w:t>
      </w:r>
      <w:r w:rsidRPr="004737C5">
        <w:rPr>
          <w:rFonts w:cstheme="minorHAnsi"/>
        </w:rPr>
        <w:t xml:space="preserve"> and credit card informa</w:t>
      </w:r>
      <w:r w:rsidR="004B1DCC" w:rsidRPr="004737C5">
        <w:rPr>
          <w:rFonts w:cstheme="minorHAnsi"/>
        </w:rPr>
        <w:t xml:space="preserve">tion </w:t>
      </w:r>
      <w:r w:rsidR="005B6DC6" w:rsidRPr="004737C5">
        <w:rPr>
          <w:rFonts w:cstheme="minorHAnsi"/>
        </w:rPr>
        <w:t xml:space="preserve">in the United Kingdom of Great Britain and Northern Ireland, </w:t>
      </w:r>
      <w:r w:rsidR="004B1DCC" w:rsidRPr="004737C5">
        <w:rPr>
          <w:rFonts w:cstheme="minorHAnsi"/>
        </w:rPr>
        <w:t>which in turn borrows the “summary box”</w:t>
      </w:r>
      <w:r w:rsidRPr="004737C5">
        <w:rPr>
          <w:rFonts w:cstheme="minorHAnsi"/>
        </w:rPr>
        <w:t xml:space="preserve"> idea from the Truth in Lending legislation</w:t>
      </w:r>
      <w:r w:rsidR="004B1DCC" w:rsidRPr="004737C5">
        <w:rPr>
          <w:rFonts w:cstheme="minorHAnsi"/>
        </w:rPr>
        <w:t xml:space="preserve"> in the United States of America</w:t>
      </w:r>
      <w:r w:rsidRPr="004737C5">
        <w:rPr>
          <w:rFonts w:cstheme="minorHAnsi"/>
        </w:rPr>
        <w:t>. The more examples that are given, the more the question arises: can all consumers be experts on all of these domains, all of the time? The tentative a</w:t>
      </w:r>
      <w:r w:rsidR="004B1DCC" w:rsidRPr="004737C5">
        <w:rPr>
          <w:rFonts w:cstheme="minorHAnsi"/>
        </w:rPr>
        <w:t>nswer which is reached below is</w:t>
      </w:r>
      <w:r w:rsidRPr="004737C5">
        <w:rPr>
          <w:rFonts w:cstheme="minorHAnsi"/>
        </w:rPr>
        <w:t xml:space="preserve"> </w:t>
      </w:r>
      <w:r w:rsidR="004B1DCC" w:rsidRPr="004737C5">
        <w:rPr>
          <w:rFonts w:cstheme="minorHAnsi"/>
        </w:rPr>
        <w:t>“</w:t>
      </w:r>
      <w:r w:rsidRPr="004737C5">
        <w:rPr>
          <w:rFonts w:cstheme="minorHAnsi"/>
        </w:rPr>
        <w:t>no</w:t>
      </w:r>
      <w:r w:rsidR="004B1DCC" w:rsidRPr="004737C5">
        <w:rPr>
          <w:rFonts w:cstheme="minorHAnsi"/>
        </w:rPr>
        <w:t>”</w:t>
      </w:r>
      <w:r w:rsidRPr="004737C5">
        <w:rPr>
          <w:rFonts w:cstheme="minorHAnsi"/>
        </w:rPr>
        <w:t>, although many can become reasonably familiar when they need to be. However, such familiarity is likely to be of limited duration and, for some products, unlikely ever to be sufficient.</w:t>
      </w:r>
    </w:p>
    <w:p w14:paraId="56AFA33E" w14:textId="77777777" w:rsidR="00BE71E3" w:rsidRPr="004737C5" w:rsidRDefault="00BE71E3" w:rsidP="006D3BE8">
      <w:pPr>
        <w:rPr>
          <w:rFonts w:cstheme="minorHAnsi"/>
        </w:rPr>
      </w:pPr>
      <w:r w:rsidRPr="004737C5">
        <w:rPr>
          <w:rFonts w:cstheme="minorHAnsi"/>
        </w:rPr>
        <w:t>The policy of reliance on disclosure as a consumer protection principle has come under heavy criticism during the last decade</w:t>
      </w:r>
      <w:r w:rsidR="004B1DCC" w:rsidRPr="004737C5">
        <w:rPr>
          <w:rFonts w:cstheme="minorHAnsi"/>
        </w:rPr>
        <w:t>,</w:t>
      </w:r>
      <w:r w:rsidRPr="004737C5">
        <w:rPr>
          <w:rFonts w:cstheme="minorHAnsi"/>
        </w:rPr>
        <w:t xml:space="preserve"> partly as a result of the financial crisis, when it became clear that consumers had little understanding of the often significant financial commitments they had entered into when purchasing financial products. In the</w:t>
      </w:r>
      <w:r w:rsidR="004B1DCC" w:rsidRPr="004737C5">
        <w:rPr>
          <w:rFonts w:cstheme="minorHAnsi"/>
        </w:rPr>
        <w:t xml:space="preserve"> words of an OECD paper in 2009, “</w:t>
      </w:r>
      <w:r w:rsidRPr="004737C5">
        <w:rPr>
          <w:rFonts w:cstheme="minorHAnsi"/>
        </w:rPr>
        <w:t>the growing complexity of financial products over the past decade, coupled with financial innovations and the increasing transfer of financial risk to households have put enormous pressure and responsibilities on the shoulders of financ</w:t>
      </w:r>
      <w:r w:rsidR="004B1DCC" w:rsidRPr="004737C5">
        <w:rPr>
          <w:rFonts w:cstheme="minorHAnsi"/>
        </w:rPr>
        <w:t>ial consumers in recent decades”</w:t>
      </w:r>
      <w:r w:rsidRPr="004737C5">
        <w:rPr>
          <w:rFonts w:cstheme="minorHAnsi"/>
        </w:rPr>
        <w:t>.</w:t>
      </w:r>
      <w:r w:rsidRPr="004737C5">
        <w:rPr>
          <w:rStyle w:val="FootnoteReference"/>
          <w:rFonts w:cstheme="minorHAnsi"/>
        </w:rPr>
        <w:footnoteReference w:id="158"/>
      </w:r>
      <w:r w:rsidR="004B1DCC" w:rsidRPr="004737C5">
        <w:rPr>
          <w:rFonts w:cstheme="minorHAnsi"/>
        </w:rPr>
        <w:t xml:space="preserve"> The same study concluded that “financial literacy …</w:t>
      </w:r>
      <w:r w:rsidRPr="004737C5">
        <w:rPr>
          <w:rFonts w:cstheme="minorHAnsi"/>
        </w:rPr>
        <w:t xml:space="preserve"> does not substitute for financial consumer protection and regulatory frameworks. In particular the importance of ‘market conduct’ supervision has been further exposed in light of the recent financial crisis, where uninformed consumers became easy targets for mis-selling and purchased credit products that were</w:t>
      </w:r>
      <w:r w:rsidR="004B1DCC" w:rsidRPr="004737C5">
        <w:rPr>
          <w:rFonts w:cstheme="minorHAnsi"/>
        </w:rPr>
        <w:t xml:space="preserve"> clearly inappropriate for them”</w:t>
      </w:r>
      <w:r w:rsidRPr="004737C5">
        <w:rPr>
          <w:rFonts w:cstheme="minorHAnsi"/>
        </w:rPr>
        <w:t xml:space="preserve">.  </w:t>
      </w:r>
    </w:p>
    <w:p w14:paraId="2B165A77" w14:textId="77777777" w:rsidR="00BE71E3" w:rsidRPr="004737C5" w:rsidRDefault="004B1DCC" w:rsidP="0009026B">
      <w:pPr>
        <w:pStyle w:val="Heading2"/>
        <w:spacing w:after="160"/>
        <w:rPr>
          <w:rFonts w:cstheme="minorHAnsi"/>
          <w:color w:val="auto"/>
          <w:sz w:val="24"/>
          <w:szCs w:val="24"/>
        </w:rPr>
      </w:pPr>
      <w:bookmarkStart w:id="152" w:name="_Toc183930651"/>
      <w:bookmarkStart w:id="153" w:name="_Toc454293833"/>
      <w:bookmarkStart w:id="154" w:name="_Toc489950269"/>
      <w:bookmarkStart w:id="155" w:name="_Toc492650056"/>
      <w:r w:rsidRPr="004737C5">
        <w:rPr>
          <w:rFonts w:cstheme="minorHAnsi"/>
          <w:color w:val="auto"/>
          <w:sz w:val="24"/>
          <w:szCs w:val="24"/>
        </w:rPr>
        <w:t>D.</w:t>
      </w:r>
      <w:r w:rsidR="00BE71E3" w:rsidRPr="004737C5">
        <w:rPr>
          <w:rFonts w:cstheme="minorHAnsi"/>
          <w:color w:val="auto"/>
          <w:sz w:val="24"/>
          <w:szCs w:val="24"/>
        </w:rPr>
        <w:t xml:space="preserve"> Consumer information</w:t>
      </w:r>
      <w:bookmarkEnd w:id="152"/>
      <w:bookmarkEnd w:id="153"/>
      <w:bookmarkEnd w:id="154"/>
      <w:bookmarkEnd w:id="155"/>
    </w:p>
    <w:p w14:paraId="13995203" w14:textId="77777777" w:rsidR="00BE71E3" w:rsidRPr="004737C5" w:rsidRDefault="00BE71E3" w:rsidP="006D3BE8">
      <w:pPr>
        <w:rPr>
          <w:rFonts w:cstheme="minorHAnsi"/>
        </w:rPr>
      </w:pPr>
      <w:r w:rsidRPr="004737C5">
        <w:rPr>
          <w:rFonts w:cstheme="minorHAnsi"/>
        </w:rPr>
        <w:t xml:space="preserve">Consumer information is meant to provide objective and impartial information to consumers at the point of purchase, in order for them to decide which of the many branded products and services </w:t>
      </w:r>
      <w:r w:rsidRPr="004737C5">
        <w:rPr>
          <w:rFonts w:cstheme="minorHAnsi"/>
        </w:rPr>
        <w:lastRenderedPageBreak/>
        <w:t>ava</w:t>
      </w:r>
      <w:r w:rsidR="004B1DCC" w:rsidRPr="004737C5">
        <w:rPr>
          <w:rFonts w:cstheme="minorHAnsi"/>
        </w:rPr>
        <w:t xml:space="preserve">ilable will best suit their </w:t>
      </w:r>
      <w:r w:rsidRPr="004737C5">
        <w:rPr>
          <w:rFonts w:cstheme="minorHAnsi"/>
        </w:rPr>
        <w:t xml:space="preserve">needs. As more and more purchases take place online with less personal interaction, and even less scope to examine physical goods, the quality of information provided becomes more important. </w:t>
      </w:r>
    </w:p>
    <w:p w14:paraId="7BEBFB34" w14:textId="77777777" w:rsidR="00BE71E3" w:rsidRPr="004737C5" w:rsidRDefault="00BE71E3" w:rsidP="006D3BE8">
      <w:pPr>
        <w:rPr>
          <w:rFonts w:cstheme="minorHAnsi"/>
        </w:rPr>
      </w:pPr>
      <w:r w:rsidRPr="004737C5">
        <w:rPr>
          <w:rFonts w:cstheme="minorHAnsi"/>
        </w:rPr>
        <w:t>The following are some of the forms in which information is made available to consumers:</w:t>
      </w:r>
    </w:p>
    <w:p w14:paraId="2710E9FC" w14:textId="77777777" w:rsidR="00BE71E3" w:rsidRPr="004737C5" w:rsidRDefault="00BE71E3" w:rsidP="002473E9">
      <w:pPr>
        <w:pStyle w:val="ListParagraph"/>
        <w:numPr>
          <w:ilvl w:val="0"/>
          <w:numId w:val="67"/>
        </w:numPr>
        <w:ind w:left="709" w:hanging="425"/>
        <w:rPr>
          <w:rFonts w:cstheme="minorHAnsi"/>
        </w:rPr>
      </w:pPr>
      <w:r w:rsidRPr="004737C5">
        <w:rPr>
          <w:rFonts w:cstheme="minorHAnsi"/>
        </w:rPr>
        <w:t>Personal experience with products and services or word o</w:t>
      </w:r>
      <w:r w:rsidR="004B1DCC" w:rsidRPr="004737C5">
        <w:rPr>
          <w:rFonts w:cstheme="minorHAnsi"/>
        </w:rPr>
        <w:t>f mouth from family and friends.</w:t>
      </w:r>
    </w:p>
    <w:p w14:paraId="4EED3832" w14:textId="77777777" w:rsidR="00BE71E3" w:rsidRPr="004737C5" w:rsidRDefault="00BE71E3" w:rsidP="002473E9">
      <w:pPr>
        <w:pStyle w:val="ListParagraph"/>
        <w:numPr>
          <w:ilvl w:val="0"/>
          <w:numId w:val="67"/>
        </w:numPr>
        <w:ind w:left="709" w:hanging="425"/>
        <w:rPr>
          <w:rFonts w:cstheme="minorHAnsi"/>
        </w:rPr>
      </w:pPr>
      <w:r w:rsidRPr="004737C5">
        <w:rPr>
          <w:rFonts w:cstheme="minorHAnsi"/>
        </w:rPr>
        <w:t>Reports in the media (as opposed to paid advertising). Some of this information may be planted by public relations efforts of commercial companies and in consequence there is an ambiguity in distinguishing marketing from education or information. Some information will</w:t>
      </w:r>
      <w:r w:rsidR="004B1DCC" w:rsidRPr="004737C5">
        <w:rPr>
          <w:rFonts w:cstheme="minorHAnsi"/>
        </w:rPr>
        <w:t xml:space="preserve"> be independently generated by g</w:t>
      </w:r>
      <w:r w:rsidRPr="004737C5">
        <w:rPr>
          <w:rFonts w:cstheme="minorHAnsi"/>
        </w:rPr>
        <w:t>overnment reports, consumer groups, journalists,</w:t>
      </w:r>
      <w:r w:rsidR="004B1DCC" w:rsidRPr="004737C5">
        <w:rPr>
          <w:rFonts w:cstheme="minorHAnsi"/>
        </w:rPr>
        <w:t xml:space="preserve"> specialist consumer broadcasts</w:t>
      </w:r>
      <w:r w:rsidRPr="004737C5">
        <w:rPr>
          <w:rFonts w:cstheme="minorHAnsi"/>
        </w:rPr>
        <w:t xml:space="preserve"> an</w:t>
      </w:r>
      <w:r w:rsidR="004B1DCC" w:rsidRPr="004737C5">
        <w:rPr>
          <w:rFonts w:cstheme="minorHAnsi"/>
        </w:rPr>
        <w:t>d other non-commercial entities.</w:t>
      </w:r>
    </w:p>
    <w:p w14:paraId="7D91B339" w14:textId="77777777" w:rsidR="00BE71E3" w:rsidRPr="004737C5" w:rsidRDefault="00BE71E3" w:rsidP="002473E9">
      <w:pPr>
        <w:pStyle w:val="ListParagraph"/>
        <w:numPr>
          <w:ilvl w:val="0"/>
          <w:numId w:val="67"/>
        </w:numPr>
        <w:ind w:left="709" w:hanging="425"/>
        <w:rPr>
          <w:rFonts w:cstheme="minorHAnsi"/>
        </w:rPr>
      </w:pPr>
      <w:r w:rsidRPr="004737C5">
        <w:rPr>
          <w:rFonts w:cstheme="minorHAnsi"/>
        </w:rPr>
        <w:t>Labels that are mandatory requirements such as those on food products, pesticides, toba</w:t>
      </w:r>
      <w:r w:rsidR="004B1DCC" w:rsidRPr="004737C5">
        <w:rPr>
          <w:rFonts w:cstheme="minorHAnsi"/>
        </w:rPr>
        <w:t>cco products, therapeutic drugs</w:t>
      </w:r>
      <w:r w:rsidRPr="004737C5">
        <w:rPr>
          <w:rFonts w:cstheme="minorHAnsi"/>
        </w:rPr>
        <w:t xml:space="preserve"> and, more rec</w:t>
      </w:r>
      <w:r w:rsidR="004B1DCC" w:rsidRPr="004737C5">
        <w:rPr>
          <w:rFonts w:cstheme="minorHAnsi"/>
        </w:rPr>
        <w:t>ently, energy efficiency labels.</w:t>
      </w:r>
    </w:p>
    <w:p w14:paraId="59958279" w14:textId="77777777" w:rsidR="00BE71E3" w:rsidRPr="004737C5" w:rsidRDefault="00BE71E3" w:rsidP="002473E9">
      <w:pPr>
        <w:pStyle w:val="ListParagraph"/>
        <w:numPr>
          <w:ilvl w:val="0"/>
          <w:numId w:val="67"/>
        </w:numPr>
        <w:ind w:left="709" w:hanging="425"/>
        <w:rPr>
          <w:rFonts w:cstheme="minorHAnsi"/>
        </w:rPr>
      </w:pPr>
      <w:r w:rsidRPr="004737C5">
        <w:rPr>
          <w:rFonts w:cstheme="minorHAnsi"/>
        </w:rPr>
        <w:t>Voluntary labelling schemes devised by independent bodies for particular products or for particular purpose</w:t>
      </w:r>
      <w:r w:rsidR="004B1DCC" w:rsidRPr="004737C5">
        <w:rPr>
          <w:rFonts w:cstheme="minorHAnsi"/>
        </w:rPr>
        <w:t>s such as eco-labelling schemes.</w:t>
      </w:r>
    </w:p>
    <w:p w14:paraId="57BB4408" w14:textId="77777777" w:rsidR="00BE71E3" w:rsidRPr="004737C5" w:rsidRDefault="00BE71E3" w:rsidP="002473E9">
      <w:pPr>
        <w:pStyle w:val="ListParagraph"/>
        <w:numPr>
          <w:ilvl w:val="0"/>
          <w:numId w:val="67"/>
        </w:numPr>
        <w:ind w:left="709" w:hanging="425"/>
        <w:rPr>
          <w:rFonts w:cstheme="minorHAnsi"/>
        </w:rPr>
      </w:pPr>
      <w:r w:rsidRPr="004737C5">
        <w:rPr>
          <w:rFonts w:cstheme="minorHAnsi"/>
        </w:rPr>
        <w:t>Advertisements and promotional campaigns that may or may not be regulated by laws</w:t>
      </w:r>
      <w:r w:rsidR="004B1DCC" w:rsidRPr="004737C5">
        <w:rPr>
          <w:rFonts w:cstheme="minorHAnsi"/>
        </w:rPr>
        <w:t xml:space="preserve"> or voluntary codes of practice.</w:t>
      </w:r>
    </w:p>
    <w:p w14:paraId="462DCC36" w14:textId="77777777" w:rsidR="00BE71E3" w:rsidRPr="004737C5" w:rsidRDefault="004B1DCC" w:rsidP="002473E9">
      <w:pPr>
        <w:pStyle w:val="ListParagraph"/>
        <w:numPr>
          <w:ilvl w:val="0"/>
          <w:numId w:val="67"/>
        </w:numPr>
        <w:ind w:left="709" w:hanging="425"/>
        <w:rPr>
          <w:rFonts w:cstheme="minorHAnsi"/>
        </w:rPr>
      </w:pPr>
      <w:r w:rsidRPr="004737C5">
        <w:rPr>
          <w:rFonts w:cstheme="minorHAnsi"/>
        </w:rPr>
        <w:t>Information provided on the i</w:t>
      </w:r>
      <w:r w:rsidR="00BE71E3" w:rsidRPr="004737C5">
        <w:rPr>
          <w:rFonts w:cstheme="minorHAnsi"/>
        </w:rPr>
        <w:t>nternet by companies</w:t>
      </w:r>
      <w:r w:rsidRPr="004737C5">
        <w:rPr>
          <w:rFonts w:cstheme="minorHAnsi"/>
        </w:rPr>
        <w:t xml:space="preserve"> engaged in e-commerce.</w:t>
      </w:r>
    </w:p>
    <w:p w14:paraId="65FFFD45" w14:textId="77777777" w:rsidR="00BE71E3" w:rsidRPr="004737C5" w:rsidRDefault="00BE71E3" w:rsidP="002473E9">
      <w:pPr>
        <w:pStyle w:val="ListParagraph"/>
        <w:numPr>
          <w:ilvl w:val="0"/>
          <w:numId w:val="67"/>
        </w:numPr>
        <w:ind w:left="709" w:hanging="425"/>
        <w:rPr>
          <w:rFonts w:cstheme="minorHAnsi"/>
        </w:rPr>
      </w:pPr>
      <w:r w:rsidRPr="004737C5">
        <w:rPr>
          <w:rFonts w:cstheme="minorHAnsi"/>
        </w:rPr>
        <w:t>Comparative information provided by independent consumer associations in p</w:t>
      </w:r>
      <w:r w:rsidR="004B1DCC" w:rsidRPr="004737C5">
        <w:rPr>
          <w:rFonts w:cstheme="minorHAnsi"/>
        </w:rPr>
        <w:t>ublications for their members (t</w:t>
      </w:r>
      <w:r w:rsidRPr="004737C5">
        <w:rPr>
          <w:rFonts w:cstheme="minorHAnsi"/>
        </w:rPr>
        <w:t>his has become far more prevalent during the last decade as areas of consumer choice have been expanded, for example to the retail energy sector and financial services). To command confidence, such information and advice should be independent and objective and should be pre</w:t>
      </w:r>
      <w:r w:rsidR="004B1DCC" w:rsidRPr="004737C5">
        <w:rPr>
          <w:rFonts w:cstheme="minorHAnsi"/>
        </w:rPr>
        <w:t>sented in the consumer interest.</w:t>
      </w:r>
      <w:r w:rsidRPr="004737C5">
        <w:rPr>
          <w:rFonts w:cstheme="minorHAnsi"/>
        </w:rPr>
        <w:t xml:space="preserve"> </w:t>
      </w:r>
    </w:p>
    <w:p w14:paraId="28A42F1D" w14:textId="77777777" w:rsidR="00BE71E3" w:rsidRPr="004737C5" w:rsidRDefault="00BE71E3" w:rsidP="002473E9">
      <w:pPr>
        <w:pStyle w:val="ListParagraph"/>
        <w:numPr>
          <w:ilvl w:val="0"/>
          <w:numId w:val="67"/>
        </w:numPr>
        <w:ind w:left="709" w:hanging="425"/>
        <w:rPr>
          <w:rFonts w:cstheme="minorHAnsi"/>
        </w:rPr>
      </w:pPr>
      <w:r w:rsidRPr="004737C5">
        <w:rPr>
          <w:rFonts w:cstheme="minorHAnsi"/>
        </w:rPr>
        <w:t>Peer-to</w:t>
      </w:r>
      <w:r w:rsidR="004B1DCC" w:rsidRPr="004737C5">
        <w:rPr>
          <w:rFonts w:cstheme="minorHAnsi"/>
        </w:rPr>
        <w:t>-peer reviews, comparison sites and</w:t>
      </w:r>
      <w:r w:rsidRPr="004737C5">
        <w:rPr>
          <w:rFonts w:cstheme="minorHAnsi"/>
        </w:rPr>
        <w:t xml:space="preserve"> customer reviews</w:t>
      </w:r>
      <w:r w:rsidR="004B1DCC" w:rsidRPr="004737C5">
        <w:rPr>
          <w:rFonts w:cstheme="minorHAnsi"/>
        </w:rPr>
        <w:t>,</w:t>
      </w:r>
      <w:r w:rsidRPr="004737C5">
        <w:rPr>
          <w:rFonts w:cstheme="minorHAnsi"/>
        </w:rPr>
        <w:t xml:space="preserve"> all </w:t>
      </w:r>
      <w:r w:rsidR="004B1DCC" w:rsidRPr="004737C5">
        <w:rPr>
          <w:rFonts w:cstheme="minorHAnsi"/>
        </w:rPr>
        <w:t>of which have expanded recently</w:t>
      </w:r>
      <w:r w:rsidRPr="004737C5">
        <w:rPr>
          <w:rFonts w:cstheme="minorHAnsi"/>
        </w:rPr>
        <w:t xml:space="preserve"> due to ease o</w:t>
      </w:r>
      <w:r w:rsidR="004B1DCC" w:rsidRPr="004737C5">
        <w:rPr>
          <w:rFonts w:cstheme="minorHAnsi"/>
        </w:rPr>
        <w:t>f access through the i</w:t>
      </w:r>
      <w:r w:rsidRPr="004737C5">
        <w:rPr>
          <w:rFonts w:cstheme="minorHAnsi"/>
        </w:rPr>
        <w:t xml:space="preserve">nternet. </w:t>
      </w:r>
    </w:p>
    <w:p w14:paraId="3DB0265B" w14:textId="77777777" w:rsidR="00BE71E3" w:rsidRPr="004737C5" w:rsidRDefault="00BE71E3" w:rsidP="006D3BE8">
      <w:pPr>
        <w:rPr>
          <w:rFonts w:cstheme="minorHAnsi"/>
        </w:rPr>
      </w:pPr>
      <w:r w:rsidRPr="004737C5">
        <w:rPr>
          <w:rFonts w:cstheme="minorHAnsi"/>
        </w:rPr>
        <w:t>Consumer information is especially needed where:</w:t>
      </w:r>
    </w:p>
    <w:p w14:paraId="29BC3B17" w14:textId="77777777" w:rsidR="00BE71E3" w:rsidRPr="004737C5" w:rsidRDefault="00BE71E3" w:rsidP="002473E9">
      <w:pPr>
        <w:pStyle w:val="ListParagraph"/>
        <w:numPr>
          <w:ilvl w:val="0"/>
          <w:numId w:val="68"/>
        </w:numPr>
        <w:ind w:left="709" w:hanging="425"/>
        <w:rPr>
          <w:rFonts w:cstheme="minorHAnsi"/>
        </w:rPr>
      </w:pPr>
      <w:r w:rsidRPr="004737C5">
        <w:rPr>
          <w:rFonts w:cstheme="minorHAnsi"/>
        </w:rPr>
        <w:t>The products take up a relatively high pro</w:t>
      </w:r>
      <w:r w:rsidR="00282072" w:rsidRPr="004737C5">
        <w:rPr>
          <w:rFonts w:cstheme="minorHAnsi"/>
        </w:rPr>
        <w:t>portion of consumer expenditure</w:t>
      </w:r>
    </w:p>
    <w:p w14:paraId="3533A684" w14:textId="77777777" w:rsidR="00BE71E3" w:rsidRPr="004737C5" w:rsidRDefault="00BE71E3" w:rsidP="002473E9">
      <w:pPr>
        <w:pStyle w:val="ListParagraph"/>
        <w:numPr>
          <w:ilvl w:val="0"/>
          <w:numId w:val="68"/>
        </w:numPr>
        <w:ind w:left="709" w:hanging="425"/>
        <w:rPr>
          <w:rFonts w:cstheme="minorHAnsi"/>
        </w:rPr>
      </w:pPr>
      <w:r w:rsidRPr="004737C5">
        <w:rPr>
          <w:rFonts w:cstheme="minorHAnsi"/>
        </w:rPr>
        <w:t>The p</w:t>
      </w:r>
      <w:r w:rsidR="00282072" w:rsidRPr="004737C5">
        <w:rPr>
          <w:rFonts w:cstheme="minorHAnsi"/>
        </w:rPr>
        <w:t>roducts are technically complex</w:t>
      </w:r>
    </w:p>
    <w:p w14:paraId="1987E288" w14:textId="77777777" w:rsidR="00BE71E3" w:rsidRPr="004737C5" w:rsidRDefault="00BE71E3" w:rsidP="002473E9">
      <w:pPr>
        <w:pStyle w:val="ListParagraph"/>
        <w:numPr>
          <w:ilvl w:val="0"/>
          <w:numId w:val="68"/>
        </w:numPr>
        <w:ind w:left="709" w:hanging="425"/>
        <w:rPr>
          <w:rFonts w:cstheme="minorHAnsi"/>
        </w:rPr>
      </w:pPr>
      <w:r w:rsidRPr="004737C5">
        <w:rPr>
          <w:rFonts w:cstheme="minorHAnsi"/>
        </w:rPr>
        <w:t>There is no basis for consumer assessment at the point of sale</w:t>
      </w:r>
    </w:p>
    <w:p w14:paraId="0D0A4750" w14:textId="77777777" w:rsidR="00BE71E3" w:rsidRPr="004737C5" w:rsidRDefault="00BE71E3" w:rsidP="002473E9">
      <w:pPr>
        <w:pStyle w:val="ListParagraph"/>
        <w:numPr>
          <w:ilvl w:val="0"/>
          <w:numId w:val="68"/>
        </w:numPr>
        <w:ind w:left="709" w:hanging="425"/>
        <w:rPr>
          <w:rFonts w:cstheme="minorHAnsi"/>
        </w:rPr>
      </w:pPr>
      <w:r w:rsidRPr="004737C5">
        <w:rPr>
          <w:rFonts w:cstheme="minorHAnsi"/>
        </w:rPr>
        <w:t>There is little advance consumer knowle</w:t>
      </w:r>
      <w:r w:rsidR="00282072" w:rsidRPr="004737C5">
        <w:rPr>
          <w:rFonts w:cstheme="minorHAnsi"/>
        </w:rPr>
        <w:t>dge of required performance</w:t>
      </w:r>
    </w:p>
    <w:p w14:paraId="5E5E7B9D" w14:textId="58EF23BD" w:rsidR="00BE71E3" w:rsidRPr="004737C5" w:rsidRDefault="00BE71E3" w:rsidP="002473E9">
      <w:pPr>
        <w:pStyle w:val="ListParagraph"/>
        <w:numPr>
          <w:ilvl w:val="0"/>
          <w:numId w:val="68"/>
        </w:numPr>
        <w:ind w:left="709" w:hanging="425"/>
        <w:rPr>
          <w:rFonts w:cstheme="minorHAnsi"/>
        </w:rPr>
      </w:pPr>
      <w:r w:rsidRPr="004737C5">
        <w:rPr>
          <w:rFonts w:cstheme="minorHAnsi"/>
        </w:rPr>
        <w:t>Consumers seek to exercise ethical choices relating</w:t>
      </w:r>
      <w:r w:rsidR="0009026B" w:rsidRPr="004737C5">
        <w:rPr>
          <w:rFonts w:cstheme="minorHAnsi"/>
        </w:rPr>
        <w:t>,</w:t>
      </w:r>
      <w:r w:rsidRPr="004737C5">
        <w:rPr>
          <w:rFonts w:cstheme="minorHAnsi"/>
        </w:rPr>
        <w:t xml:space="preserve"> for example</w:t>
      </w:r>
      <w:r w:rsidR="0009026B" w:rsidRPr="004737C5">
        <w:rPr>
          <w:rFonts w:cstheme="minorHAnsi"/>
        </w:rPr>
        <w:t>,</w:t>
      </w:r>
      <w:r w:rsidRPr="004737C5">
        <w:rPr>
          <w:rFonts w:cstheme="minorHAnsi"/>
        </w:rPr>
        <w:t xml:space="preserve"> to environmental or </w:t>
      </w:r>
      <w:r w:rsidR="00282072" w:rsidRPr="004737C5">
        <w:rPr>
          <w:rFonts w:cstheme="minorHAnsi"/>
        </w:rPr>
        <w:t>social dimensions of production</w:t>
      </w:r>
    </w:p>
    <w:p w14:paraId="69B90EAC" w14:textId="77777777" w:rsidR="00BE71E3" w:rsidRPr="004737C5" w:rsidRDefault="00BE71E3" w:rsidP="006D3BE8">
      <w:pPr>
        <w:rPr>
          <w:rFonts w:cstheme="minorHAnsi"/>
        </w:rPr>
      </w:pPr>
      <w:r w:rsidRPr="004737C5">
        <w:rPr>
          <w:rFonts w:cstheme="minorHAnsi"/>
        </w:rPr>
        <w:t>With the expansion of international trade and e</w:t>
      </w:r>
      <w:r w:rsidR="00282072" w:rsidRPr="004737C5">
        <w:rPr>
          <w:rFonts w:cstheme="minorHAnsi"/>
        </w:rPr>
        <w:t>-</w:t>
      </w:r>
      <w:r w:rsidRPr="004737C5">
        <w:rPr>
          <w:rFonts w:cstheme="minorHAnsi"/>
        </w:rPr>
        <w:t>commerce, an issue of growing importance is the consistency of applicable law with respect to information attached to physically imported products and information pr</w:t>
      </w:r>
      <w:r w:rsidR="00282072" w:rsidRPr="004737C5">
        <w:rPr>
          <w:rFonts w:cstheme="minorHAnsi"/>
        </w:rPr>
        <w:t>ovided electronically over the i</w:t>
      </w:r>
      <w:r w:rsidRPr="004737C5">
        <w:rPr>
          <w:rFonts w:cstheme="minorHAnsi"/>
        </w:rPr>
        <w:t>nternet. The differing sources of information are not treated cons</w:t>
      </w:r>
      <w:r w:rsidR="00282072" w:rsidRPr="004737C5">
        <w:rPr>
          <w:rFonts w:cstheme="minorHAnsi"/>
        </w:rPr>
        <w:t>istently within and between states.</w:t>
      </w:r>
      <w:r w:rsidRPr="004737C5">
        <w:rPr>
          <w:rFonts w:cstheme="minorHAnsi"/>
        </w:rPr>
        <w:t xml:space="preserve"> </w:t>
      </w:r>
      <w:r w:rsidR="00282072" w:rsidRPr="004737C5">
        <w:rPr>
          <w:rFonts w:cstheme="minorHAnsi"/>
        </w:rPr>
        <w:t>T</w:t>
      </w:r>
      <w:r w:rsidRPr="004737C5">
        <w:rPr>
          <w:rFonts w:cstheme="minorHAnsi"/>
        </w:rPr>
        <w:t>his i</w:t>
      </w:r>
      <w:r w:rsidR="00282072" w:rsidRPr="004737C5">
        <w:rPr>
          <w:rFonts w:cstheme="minorHAnsi"/>
        </w:rPr>
        <w:t xml:space="preserve">llustrates </w:t>
      </w:r>
      <w:r w:rsidRPr="004737C5">
        <w:rPr>
          <w:rFonts w:cstheme="minorHAnsi"/>
        </w:rPr>
        <w:t>the im</w:t>
      </w:r>
      <w:r w:rsidR="00282072" w:rsidRPr="004737C5">
        <w:rPr>
          <w:rFonts w:cstheme="minorHAnsi"/>
        </w:rPr>
        <w:t>portance of the newly inserted “</w:t>
      </w:r>
      <w:r w:rsidRPr="004737C5">
        <w:rPr>
          <w:rFonts w:cstheme="minorHAnsi"/>
        </w:rPr>
        <w:t>legitimate need</w:t>
      </w:r>
      <w:r w:rsidR="00282072" w:rsidRPr="004737C5">
        <w:rPr>
          <w:rFonts w:cstheme="minorHAnsi"/>
        </w:rPr>
        <w:t>”</w:t>
      </w:r>
      <w:r w:rsidR="00A80CAC" w:rsidRPr="004737C5">
        <w:rPr>
          <w:rFonts w:cstheme="minorHAnsi"/>
        </w:rPr>
        <w:t xml:space="preserve"> in g</w:t>
      </w:r>
      <w:r w:rsidR="00282072" w:rsidRPr="004737C5">
        <w:rPr>
          <w:rFonts w:cstheme="minorHAnsi"/>
        </w:rPr>
        <w:t>uideline 5j which lists “</w:t>
      </w:r>
      <w:r w:rsidRPr="004737C5">
        <w:rPr>
          <w:rFonts w:cstheme="minorHAnsi"/>
          <w:bCs/>
        </w:rPr>
        <w:t xml:space="preserve">a level of protection for consumers using electronic commerce that is not less than that afforded in other forms of </w:t>
      </w:r>
      <w:r w:rsidR="00282072" w:rsidRPr="004737C5">
        <w:rPr>
          <w:rFonts w:cstheme="minorHAnsi"/>
        </w:rPr>
        <w:t>commerce”</w:t>
      </w:r>
      <w:r w:rsidRPr="004737C5">
        <w:rPr>
          <w:rFonts w:cstheme="minorHAnsi"/>
        </w:rPr>
        <w:t xml:space="preserve">. Generally, mandatory labelling laws are applicable to imported and domestically produced goods alike.  </w:t>
      </w:r>
    </w:p>
    <w:p w14:paraId="7B74D81D" w14:textId="77777777" w:rsidR="00BE71E3" w:rsidRPr="004737C5" w:rsidRDefault="00BE71E3" w:rsidP="006D3BE8">
      <w:pPr>
        <w:rPr>
          <w:rFonts w:cstheme="minorHAnsi"/>
        </w:rPr>
      </w:pPr>
      <w:r w:rsidRPr="004737C5">
        <w:rPr>
          <w:rFonts w:cstheme="minorHAnsi"/>
        </w:rPr>
        <w:t>While efforts to improve disclosure have taken effect, there ha</w:t>
      </w:r>
      <w:r w:rsidR="00282072" w:rsidRPr="004737C5">
        <w:rPr>
          <w:rFonts w:cstheme="minorHAnsi"/>
        </w:rPr>
        <w:t>s emerged what the French call “</w:t>
      </w:r>
      <w:r w:rsidRPr="004737C5">
        <w:rPr>
          <w:rFonts w:cstheme="minorHAnsi"/>
          <w:i/>
          <w:iCs/>
        </w:rPr>
        <w:t>le paradoxe du formalisme</w:t>
      </w:r>
      <w:r w:rsidR="00282072" w:rsidRPr="004737C5">
        <w:rPr>
          <w:rFonts w:cstheme="minorHAnsi"/>
        </w:rPr>
        <w:t>”</w:t>
      </w:r>
      <w:r w:rsidRPr="004737C5">
        <w:rPr>
          <w:rFonts w:cstheme="minorHAnsi"/>
        </w:rPr>
        <w:t xml:space="preserve"> whereby excessive provision of information is made to ab</w:t>
      </w:r>
      <w:r w:rsidR="00282072" w:rsidRPr="004737C5">
        <w:rPr>
          <w:rFonts w:cstheme="minorHAnsi"/>
        </w:rPr>
        <w:t>ide by legal requirements, but “blinds”</w:t>
      </w:r>
      <w:r w:rsidRPr="004737C5">
        <w:rPr>
          <w:rFonts w:cstheme="minorHAnsi"/>
        </w:rPr>
        <w:t xml:space="preserve"> the consumer. A South African study reports how demand for financial produ</w:t>
      </w:r>
      <w:r w:rsidR="00282072" w:rsidRPr="004737C5">
        <w:rPr>
          <w:rFonts w:cstheme="minorHAnsi"/>
        </w:rPr>
        <w:t>cts can decrease with menu size: “l</w:t>
      </w:r>
      <w:r w:rsidRPr="004737C5">
        <w:rPr>
          <w:rFonts w:cstheme="minorHAnsi"/>
        </w:rPr>
        <w:t>arge menus can demotivate choice by creating feelings of conflict and indecision that lead to procrastination or total inaction</w:t>
      </w:r>
      <w:r w:rsidR="00282072" w:rsidRPr="004737C5">
        <w:rPr>
          <w:rFonts w:cstheme="minorHAnsi"/>
        </w:rPr>
        <w:t>”.</w:t>
      </w:r>
      <w:r w:rsidRPr="004737C5">
        <w:rPr>
          <w:rStyle w:val="FootnoteReference"/>
          <w:rFonts w:cstheme="minorHAnsi"/>
        </w:rPr>
        <w:footnoteReference w:id="159"/>
      </w:r>
      <w:r w:rsidRPr="004737C5">
        <w:rPr>
          <w:rFonts w:cstheme="minorHAnsi"/>
        </w:rPr>
        <w:t xml:space="preserve"> For reasons such as this, it is increasingly recognized that reliance on bare disclosure and education alone does not suffice. The </w:t>
      </w:r>
      <w:r w:rsidRPr="004737C5">
        <w:rPr>
          <w:rFonts w:cstheme="minorHAnsi"/>
        </w:rPr>
        <w:lastRenderedPageBreak/>
        <w:t>result in policy terms is that responsibility to advise is being re-emphasized in sectors selling complex products and this in turn raises the question of remuneration systems and incentives to give objective advice.</w:t>
      </w:r>
      <w:r w:rsidRPr="004737C5">
        <w:rPr>
          <w:rStyle w:val="FootnoteReference"/>
          <w:rFonts w:cstheme="minorHAnsi"/>
        </w:rPr>
        <w:footnoteReference w:id="160"/>
      </w:r>
      <w:r w:rsidRPr="004737C5">
        <w:rPr>
          <w:rFonts w:cstheme="minorHAnsi"/>
        </w:rPr>
        <w:t xml:space="preserve"> </w:t>
      </w:r>
    </w:p>
    <w:p w14:paraId="4C93C57F" w14:textId="77777777" w:rsidR="00BE71E3" w:rsidRPr="004737C5" w:rsidRDefault="00BE71E3" w:rsidP="006D3BE8">
      <w:pPr>
        <w:rPr>
          <w:rFonts w:cstheme="minorHAnsi"/>
        </w:rPr>
      </w:pPr>
      <w:r w:rsidRPr="004737C5">
        <w:rPr>
          <w:rFonts w:cstheme="minorHAnsi"/>
        </w:rPr>
        <w:t>In some respects, the problems are becoming more intractable not only because the provision of information online does not lend itself to questions and explanation but also because the element of time renders much information</w:t>
      </w:r>
      <w:r w:rsidR="00282072" w:rsidRPr="004737C5">
        <w:rPr>
          <w:rFonts w:cstheme="minorHAnsi"/>
        </w:rPr>
        <w:t xml:space="preserve"> ineffective. We note elsewhere</w:t>
      </w:r>
      <w:r w:rsidRPr="004737C5">
        <w:rPr>
          <w:rFonts w:cstheme="minorHAnsi"/>
        </w:rPr>
        <w:t xml:space="preserve"> the surveys that show that face</w:t>
      </w:r>
      <w:r w:rsidR="00282072" w:rsidRPr="004737C5">
        <w:rPr>
          <w:rFonts w:cstheme="minorHAnsi"/>
        </w:rPr>
        <w:t>d with pressures of electronic “</w:t>
      </w:r>
      <w:r w:rsidRPr="004737C5">
        <w:rPr>
          <w:rFonts w:cstheme="minorHAnsi"/>
        </w:rPr>
        <w:t>timeout</w:t>
      </w:r>
      <w:r w:rsidR="00282072" w:rsidRPr="004737C5">
        <w:rPr>
          <w:rFonts w:cstheme="minorHAnsi"/>
        </w:rPr>
        <w:t>”,</w:t>
      </w:r>
      <w:r w:rsidRPr="004737C5">
        <w:rPr>
          <w:rFonts w:cstheme="minorHAnsi"/>
        </w:rPr>
        <w:t xml:space="preserve"> consumers do not read terms and conditions.</w:t>
      </w:r>
      <w:r w:rsidRPr="004737C5">
        <w:rPr>
          <w:rStyle w:val="FootnoteReference"/>
          <w:rFonts w:cstheme="minorHAnsi"/>
        </w:rPr>
        <w:footnoteReference w:id="161"/>
      </w:r>
      <w:r w:rsidRPr="004737C5">
        <w:rPr>
          <w:rFonts w:cstheme="minorHAnsi"/>
        </w:rPr>
        <w:t xml:space="preserve"> </w:t>
      </w:r>
    </w:p>
    <w:p w14:paraId="5C0C87CE" w14:textId="77777777" w:rsidR="00BE71E3" w:rsidRPr="004737C5" w:rsidRDefault="00282072" w:rsidP="0009026B">
      <w:pPr>
        <w:pStyle w:val="Heading2"/>
        <w:spacing w:after="160"/>
        <w:rPr>
          <w:rFonts w:cstheme="minorHAnsi"/>
          <w:color w:val="auto"/>
          <w:sz w:val="24"/>
          <w:szCs w:val="24"/>
        </w:rPr>
      </w:pPr>
      <w:bookmarkStart w:id="156" w:name="_Toc183930652"/>
      <w:bookmarkStart w:id="157" w:name="_Toc454293834"/>
      <w:bookmarkStart w:id="158" w:name="_Toc489950270"/>
      <w:bookmarkStart w:id="159" w:name="_Toc492650057"/>
      <w:r w:rsidRPr="004737C5">
        <w:rPr>
          <w:rFonts w:cstheme="minorHAnsi"/>
          <w:color w:val="auto"/>
          <w:sz w:val="24"/>
          <w:szCs w:val="24"/>
        </w:rPr>
        <w:t>E.</w:t>
      </w:r>
      <w:r w:rsidR="00BE71E3" w:rsidRPr="004737C5">
        <w:rPr>
          <w:rFonts w:cstheme="minorHAnsi"/>
          <w:color w:val="auto"/>
          <w:sz w:val="24"/>
          <w:szCs w:val="24"/>
        </w:rPr>
        <w:t xml:space="preserve"> Critical issues with respect to labelling</w:t>
      </w:r>
      <w:bookmarkEnd w:id="156"/>
      <w:bookmarkEnd w:id="157"/>
      <w:bookmarkEnd w:id="158"/>
      <w:bookmarkEnd w:id="159"/>
      <w:r w:rsidR="00BE71E3" w:rsidRPr="004737C5">
        <w:rPr>
          <w:rFonts w:cstheme="minorHAnsi"/>
          <w:color w:val="auto"/>
          <w:sz w:val="24"/>
          <w:szCs w:val="24"/>
        </w:rPr>
        <w:t xml:space="preserve"> </w:t>
      </w:r>
    </w:p>
    <w:p w14:paraId="67C2CE8A" w14:textId="77777777" w:rsidR="00BE71E3" w:rsidRPr="004737C5" w:rsidRDefault="00BE71E3" w:rsidP="00BD2919">
      <w:pPr>
        <w:pStyle w:val="Heading3"/>
        <w:spacing w:before="0" w:after="160" w:line="240" w:lineRule="auto"/>
        <w:rPr>
          <w:rFonts w:cstheme="minorHAnsi"/>
          <w:color w:val="auto"/>
        </w:rPr>
      </w:pPr>
      <w:bookmarkStart w:id="160" w:name="_Toc454293835"/>
      <w:bookmarkStart w:id="161" w:name="_Toc489950271"/>
      <w:bookmarkStart w:id="162" w:name="_Toc492650058"/>
      <w:r w:rsidRPr="004737C5">
        <w:rPr>
          <w:rFonts w:cstheme="minorHAnsi"/>
          <w:color w:val="auto"/>
        </w:rPr>
        <w:t>1</w:t>
      </w:r>
      <w:r w:rsidR="00282072" w:rsidRPr="004737C5">
        <w:rPr>
          <w:rFonts w:cstheme="minorHAnsi"/>
          <w:color w:val="auto"/>
        </w:rPr>
        <w:t>.</w:t>
      </w:r>
      <w:r w:rsidRPr="004737C5">
        <w:rPr>
          <w:rFonts w:cstheme="minorHAnsi"/>
          <w:color w:val="auto"/>
        </w:rPr>
        <w:t xml:space="preserve"> Mandatory labelling</w:t>
      </w:r>
      <w:bookmarkEnd w:id="160"/>
      <w:bookmarkEnd w:id="161"/>
      <w:bookmarkEnd w:id="162"/>
    </w:p>
    <w:p w14:paraId="377A62C5" w14:textId="77777777" w:rsidR="00BE71E3" w:rsidRPr="004737C5" w:rsidRDefault="00BE71E3" w:rsidP="006D3BE8">
      <w:pPr>
        <w:rPr>
          <w:rFonts w:cstheme="minorHAnsi"/>
        </w:rPr>
      </w:pPr>
      <w:r w:rsidRPr="004737C5">
        <w:rPr>
          <w:rFonts w:cstheme="minorHAnsi"/>
          <w:bCs/>
        </w:rPr>
        <w:t>L</w:t>
      </w:r>
      <w:r w:rsidRPr="004737C5">
        <w:rPr>
          <w:rFonts w:cstheme="minorHAnsi"/>
        </w:rPr>
        <w:t>abelling is now a matter for mandatory legal requirements in most countries. Labelling laws set out the kind of info</w:t>
      </w:r>
      <w:r w:rsidR="00282072" w:rsidRPr="004737C5">
        <w:rPr>
          <w:rFonts w:cstheme="minorHAnsi"/>
        </w:rPr>
        <w:t>rmation that should be provided and</w:t>
      </w:r>
      <w:r w:rsidRPr="004737C5">
        <w:rPr>
          <w:rFonts w:cstheme="minorHAnsi"/>
        </w:rPr>
        <w:t xml:space="preserve"> in what forms it should be provided</w:t>
      </w:r>
      <w:r w:rsidR="00282072" w:rsidRPr="004737C5">
        <w:rPr>
          <w:rFonts w:cstheme="minorHAnsi"/>
        </w:rPr>
        <w:t>.</w:t>
      </w:r>
      <w:r w:rsidRPr="004737C5">
        <w:rPr>
          <w:rFonts w:cstheme="minorHAnsi"/>
        </w:rPr>
        <w:t xml:space="preserve"> </w:t>
      </w:r>
      <w:r w:rsidR="00282072" w:rsidRPr="004737C5">
        <w:rPr>
          <w:rFonts w:cstheme="minorHAnsi"/>
        </w:rPr>
        <w:t>S</w:t>
      </w:r>
      <w:r w:rsidRPr="004737C5">
        <w:rPr>
          <w:rFonts w:cstheme="minorHAnsi"/>
        </w:rPr>
        <w:t xml:space="preserve">ometimes specifications are </w:t>
      </w:r>
      <w:r w:rsidR="00282072" w:rsidRPr="004737C5">
        <w:rPr>
          <w:rFonts w:cstheme="minorHAnsi"/>
        </w:rPr>
        <w:t>given for the size of the label</w:t>
      </w:r>
      <w:r w:rsidRPr="004737C5">
        <w:rPr>
          <w:rFonts w:cstheme="minorHAnsi"/>
        </w:rPr>
        <w:t xml:space="preserve"> and specific warnings, </w:t>
      </w:r>
      <w:r w:rsidR="00282072" w:rsidRPr="004737C5">
        <w:rPr>
          <w:rFonts w:cstheme="minorHAnsi"/>
        </w:rPr>
        <w:t>for example</w:t>
      </w:r>
      <w:r w:rsidRPr="004737C5">
        <w:rPr>
          <w:rFonts w:cstheme="minorHAnsi"/>
        </w:rPr>
        <w:t xml:space="preserve"> health warnings for tobacco products or for people with specific food allergies on food labels. Labelling is increasingly used to help achieve public policy goals, whether promotional, such as improved energy use or </w:t>
      </w:r>
      <w:r w:rsidR="00282072" w:rsidRPr="004737C5">
        <w:rPr>
          <w:rFonts w:cstheme="minorHAnsi"/>
        </w:rPr>
        <w:t>nutrition, or negative such as “smoking kills”</w:t>
      </w:r>
      <w:r w:rsidRPr="004737C5">
        <w:rPr>
          <w:rFonts w:cstheme="minorHAnsi"/>
        </w:rPr>
        <w:t xml:space="preserve"> labels on cigarette packets. </w:t>
      </w:r>
    </w:p>
    <w:p w14:paraId="6D2BE2D9" w14:textId="3BCBD9E8" w:rsidR="00BE71E3" w:rsidRPr="004737C5" w:rsidRDefault="00BE71E3" w:rsidP="006D3BE8">
      <w:pPr>
        <w:rPr>
          <w:rFonts w:cstheme="minorHAnsi"/>
          <w:color w:val="000000"/>
        </w:rPr>
      </w:pPr>
      <w:r w:rsidRPr="004737C5">
        <w:rPr>
          <w:rFonts w:cstheme="minorHAnsi"/>
        </w:rPr>
        <w:t xml:space="preserve">Food labelling is one of the priority areas where mandatory legal regulation is applicable. Apart from the usual requirements for date of manufacture, expiry date, name and address of manufacturer, weight, quantity and ingredients used, many countries have now </w:t>
      </w:r>
      <w:r w:rsidR="00282072" w:rsidRPr="004737C5">
        <w:rPr>
          <w:rFonts w:cstheme="minorHAnsi"/>
        </w:rPr>
        <w:t>moved</w:t>
      </w:r>
      <w:r w:rsidRPr="004737C5">
        <w:rPr>
          <w:rFonts w:cstheme="minorHAnsi"/>
        </w:rPr>
        <w:t xml:space="preserve"> to the next</w:t>
      </w:r>
      <w:r w:rsidR="00282072" w:rsidRPr="004737C5">
        <w:rPr>
          <w:rFonts w:cstheme="minorHAnsi"/>
        </w:rPr>
        <w:t xml:space="preserve"> stage of requiring compulsory “front of pack”</w:t>
      </w:r>
      <w:r w:rsidRPr="004737C5">
        <w:rPr>
          <w:rFonts w:cstheme="minorHAnsi"/>
        </w:rPr>
        <w:t xml:space="preserve"> nutrition labelling, based on the notion of reco</w:t>
      </w:r>
      <w:r w:rsidR="00282072" w:rsidRPr="004737C5">
        <w:rPr>
          <w:rFonts w:cstheme="minorHAnsi"/>
        </w:rPr>
        <w:t>mmended daily dietary intakes. “Traffic light”</w:t>
      </w:r>
      <w:r w:rsidRPr="004737C5">
        <w:rPr>
          <w:rFonts w:cstheme="minorHAnsi"/>
        </w:rPr>
        <w:t xml:space="preserve"> schemes (red, amber and green labels or flags) are i</w:t>
      </w:r>
      <w:r w:rsidR="00282072" w:rsidRPr="004737C5">
        <w:rPr>
          <w:rFonts w:cstheme="minorHAnsi"/>
        </w:rPr>
        <w:t xml:space="preserve">ncreasingly under consideration. They </w:t>
      </w:r>
      <w:r w:rsidRPr="004737C5">
        <w:rPr>
          <w:rFonts w:cstheme="minorHAnsi"/>
        </w:rPr>
        <w:t>have been developed in Ecuador and are in use in the United States</w:t>
      </w:r>
      <w:r w:rsidR="0009026B" w:rsidRPr="004737C5">
        <w:rPr>
          <w:rFonts w:cstheme="minorHAnsi"/>
        </w:rPr>
        <w:t xml:space="preserve"> of America</w:t>
      </w:r>
      <w:r w:rsidRPr="004737C5">
        <w:rPr>
          <w:rFonts w:cstheme="minorHAnsi"/>
        </w:rPr>
        <w:t>, where information on food labels has been reduced in order to simplify and</w:t>
      </w:r>
      <w:r w:rsidR="0009026B" w:rsidRPr="004737C5">
        <w:rPr>
          <w:rFonts w:cstheme="minorHAnsi"/>
        </w:rPr>
        <w:t xml:space="preserve"> provide</w:t>
      </w:r>
      <w:r w:rsidRPr="004737C5">
        <w:rPr>
          <w:rFonts w:cstheme="minorHAnsi"/>
        </w:rPr>
        <w:t xml:space="preserve"> focus.</w:t>
      </w:r>
      <w:r w:rsidRPr="004737C5">
        <w:rPr>
          <w:rStyle w:val="FootnoteReference"/>
          <w:rFonts w:cstheme="minorHAnsi"/>
        </w:rPr>
        <w:footnoteReference w:id="162"/>
      </w:r>
      <w:r w:rsidRPr="004737C5">
        <w:rPr>
          <w:rFonts w:cstheme="minorHAnsi"/>
        </w:rPr>
        <w:t xml:space="preserve"> </w:t>
      </w:r>
    </w:p>
    <w:p w14:paraId="47AAA361" w14:textId="77777777" w:rsidR="00BE71E3" w:rsidRPr="004737C5" w:rsidRDefault="00BE71E3" w:rsidP="0009026B">
      <w:pPr>
        <w:pStyle w:val="Heading3"/>
        <w:spacing w:after="160" w:line="240" w:lineRule="auto"/>
        <w:rPr>
          <w:rFonts w:cstheme="minorHAnsi"/>
        </w:rPr>
      </w:pPr>
      <w:bookmarkStart w:id="163" w:name="_Toc454293836"/>
      <w:bookmarkStart w:id="164" w:name="_Toc489950272"/>
      <w:bookmarkStart w:id="165" w:name="_Toc492650059"/>
      <w:r w:rsidRPr="004737C5">
        <w:rPr>
          <w:rFonts w:cstheme="minorHAnsi"/>
          <w:color w:val="auto"/>
        </w:rPr>
        <w:t>2</w:t>
      </w:r>
      <w:r w:rsidR="00282072" w:rsidRPr="004737C5">
        <w:rPr>
          <w:rFonts w:cstheme="minorHAnsi"/>
          <w:color w:val="auto"/>
        </w:rPr>
        <w:t>.</w:t>
      </w:r>
      <w:r w:rsidRPr="004737C5">
        <w:rPr>
          <w:rFonts w:cstheme="minorHAnsi"/>
          <w:color w:val="auto"/>
        </w:rPr>
        <w:t xml:space="preserve"> Voluntary labelling</w:t>
      </w:r>
      <w:bookmarkEnd w:id="163"/>
      <w:bookmarkEnd w:id="164"/>
      <w:bookmarkEnd w:id="165"/>
    </w:p>
    <w:p w14:paraId="784AA683" w14:textId="00277BBB" w:rsidR="00BE71E3" w:rsidRPr="004737C5" w:rsidRDefault="00282072" w:rsidP="006D3BE8">
      <w:pPr>
        <w:rPr>
          <w:rFonts w:cstheme="minorHAnsi"/>
        </w:rPr>
      </w:pPr>
      <w:r w:rsidRPr="004737C5">
        <w:rPr>
          <w:rFonts w:cstheme="minorHAnsi"/>
        </w:rPr>
        <w:t>Many g</w:t>
      </w:r>
      <w:r w:rsidR="00BE71E3" w:rsidRPr="004737C5">
        <w:rPr>
          <w:rFonts w:cstheme="minorHAnsi"/>
        </w:rPr>
        <w:t>overnments are beginning to incorporate private standards into policy and legislation and to recognize them in a number of different ways. Although</w:t>
      </w:r>
      <w:r w:rsidR="00EF6AF1" w:rsidRPr="004737C5">
        <w:rPr>
          <w:rFonts w:cstheme="minorHAnsi"/>
        </w:rPr>
        <w:t>,</w:t>
      </w:r>
      <w:r w:rsidR="00BE71E3" w:rsidRPr="004737C5">
        <w:rPr>
          <w:rFonts w:cstheme="minorHAnsi"/>
        </w:rPr>
        <w:t xml:space="preserve"> as alread</w:t>
      </w:r>
      <w:r w:rsidR="003F08AB" w:rsidRPr="004737C5">
        <w:rPr>
          <w:rFonts w:cstheme="minorHAnsi"/>
        </w:rPr>
        <w:t>y noted, the World Trade Organiz</w:t>
      </w:r>
      <w:r w:rsidR="00BE71E3" w:rsidRPr="004737C5">
        <w:rPr>
          <w:rFonts w:cstheme="minorHAnsi"/>
        </w:rPr>
        <w:t>ation recognizes the validity of international standards in matters of labelling, the scope of standards applicable under WTO rules is limited by the scope of WTO jurisdiction</w:t>
      </w:r>
      <w:r w:rsidRPr="004737C5">
        <w:rPr>
          <w:rFonts w:cstheme="minorHAnsi"/>
        </w:rPr>
        <w:t>,</w:t>
      </w:r>
      <w:r w:rsidR="00BE71E3" w:rsidRPr="004737C5">
        <w:rPr>
          <w:rFonts w:cstheme="minorHAnsi"/>
        </w:rPr>
        <w:t xml:space="preserve"> which in this case is lim</w:t>
      </w:r>
      <w:r w:rsidRPr="004737C5">
        <w:rPr>
          <w:rFonts w:cstheme="minorHAnsi"/>
        </w:rPr>
        <w:t>ited to product characteristics and does not cover</w:t>
      </w:r>
      <w:r w:rsidR="00BE71E3" w:rsidRPr="004737C5">
        <w:rPr>
          <w:rFonts w:cstheme="minorHAnsi"/>
        </w:rPr>
        <w:t xml:space="preserve"> proce</w:t>
      </w:r>
      <w:r w:rsidR="002D402E" w:rsidRPr="004737C5">
        <w:rPr>
          <w:rFonts w:cstheme="minorHAnsi"/>
        </w:rPr>
        <w:t>ss and production methods</w:t>
      </w:r>
      <w:r w:rsidR="00BE71E3" w:rsidRPr="004737C5">
        <w:rPr>
          <w:rFonts w:cstheme="minorHAnsi"/>
        </w:rPr>
        <w:t xml:space="preserve">. If labelling is to deal with </w:t>
      </w:r>
      <w:r w:rsidR="002D402E" w:rsidRPr="004737C5">
        <w:rPr>
          <w:rFonts w:cstheme="minorHAnsi"/>
        </w:rPr>
        <w:t>process and production methods</w:t>
      </w:r>
      <w:r w:rsidR="00BE71E3" w:rsidRPr="004737C5">
        <w:rPr>
          <w:rFonts w:cstheme="minorHAnsi"/>
        </w:rPr>
        <w:t>, as is increasingly the case, the focus then shifts to voluntary m</w:t>
      </w:r>
      <w:r w:rsidRPr="004737C5">
        <w:rPr>
          <w:rFonts w:cstheme="minorHAnsi"/>
        </w:rPr>
        <w:t>easures, such as those forming</w:t>
      </w:r>
      <w:r w:rsidR="00BE71E3" w:rsidRPr="004737C5">
        <w:rPr>
          <w:rFonts w:cstheme="minorHAnsi"/>
        </w:rPr>
        <w:t xml:space="preserve"> part of corporate social responsibility policy and the adoption of international standards, in particular those of ISO.</w:t>
      </w:r>
      <w:r w:rsidR="00BE71E3" w:rsidRPr="004737C5">
        <w:rPr>
          <w:rStyle w:val="FootnoteReference"/>
          <w:rFonts w:cstheme="minorHAnsi"/>
          <w:color w:val="000000"/>
        </w:rPr>
        <w:footnoteReference w:id="163"/>
      </w:r>
      <w:r w:rsidR="00BE71E3" w:rsidRPr="004737C5">
        <w:rPr>
          <w:rFonts w:cstheme="minorHAnsi"/>
        </w:rPr>
        <w:t xml:space="preserve"> </w:t>
      </w:r>
    </w:p>
    <w:p w14:paraId="62E2ED78" w14:textId="77777777" w:rsidR="00BE71E3" w:rsidRPr="004737C5" w:rsidRDefault="00BE71E3" w:rsidP="006D3BE8">
      <w:pPr>
        <w:rPr>
          <w:rFonts w:cstheme="minorHAnsi"/>
        </w:rPr>
      </w:pPr>
      <w:r w:rsidRPr="004737C5">
        <w:rPr>
          <w:rFonts w:cstheme="minorHAnsi"/>
        </w:rPr>
        <w:t>Voluntary labelling schemes provide information on both product characteristics and production methods. These schemes are often operated by an independent labelling body with the cooperation of the traders concerned and, at times, consumer associations. A good example of this is found in voluntary eco-labelling schemes. They have become a popular strategy to inform consumers of the environmental friendliness of the products they purchase, use and dispose of including issues relating to recycling and end of life.</w:t>
      </w:r>
    </w:p>
    <w:p w14:paraId="36BCF46E" w14:textId="06815F5A" w:rsidR="00BE71E3" w:rsidRPr="004737C5" w:rsidRDefault="00BE71E3" w:rsidP="00C34E5F">
      <w:pPr>
        <w:rPr>
          <w:rFonts w:cstheme="minorHAnsi"/>
        </w:rPr>
      </w:pPr>
      <w:r w:rsidRPr="004737C5">
        <w:rPr>
          <w:rFonts w:cstheme="minorHAnsi"/>
        </w:rPr>
        <w:lastRenderedPageBreak/>
        <w:t>Early voluntary informative labelling schemes included the Swedis</w:t>
      </w:r>
      <w:r w:rsidR="00C34E5F" w:rsidRPr="004737C5">
        <w:rPr>
          <w:rFonts w:cstheme="minorHAnsi"/>
        </w:rPr>
        <w:t>h “VDN”</w:t>
      </w:r>
      <w:r w:rsidR="00282072" w:rsidRPr="004737C5">
        <w:rPr>
          <w:rFonts w:cstheme="minorHAnsi"/>
        </w:rPr>
        <w:t xml:space="preserve"> system, created in 1951 and</w:t>
      </w:r>
      <w:r w:rsidRPr="004737C5">
        <w:rPr>
          <w:rFonts w:cstheme="minorHAnsi"/>
        </w:rPr>
        <w:t xml:space="preserve"> adopted first by the Nordic countries, the Japan Industrial Standards (</w:t>
      </w:r>
      <w:r w:rsidR="00282072" w:rsidRPr="004737C5">
        <w:rPr>
          <w:rFonts w:cstheme="minorHAnsi"/>
        </w:rPr>
        <w:t>JIS) mark for consumer products and</w:t>
      </w:r>
      <w:r w:rsidRPr="004737C5">
        <w:rPr>
          <w:rFonts w:cstheme="minorHAnsi"/>
        </w:rPr>
        <w:t xml:space="preserve"> the Ger</w:t>
      </w:r>
      <w:r w:rsidR="00C34E5F" w:rsidRPr="004737C5">
        <w:rPr>
          <w:rFonts w:cstheme="minorHAnsi"/>
        </w:rPr>
        <w:t>man “</w:t>
      </w:r>
      <w:r w:rsidR="00282072" w:rsidRPr="004737C5">
        <w:rPr>
          <w:rFonts w:cstheme="minorHAnsi"/>
        </w:rPr>
        <w:t>Blaue Engel”</w:t>
      </w:r>
      <w:r w:rsidRPr="004737C5">
        <w:rPr>
          <w:rFonts w:cstheme="minorHAnsi"/>
        </w:rPr>
        <w:t xml:space="preserve"> (Blue Angel) mark which was assigned to products that were low in emissions and produced less waste than comparable products. A wide array of eco-label schemes has since developed with a gradual shift</w:t>
      </w:r>
      <w:r w:rsidR="00282072" w:rsidRPr="004737C5">
        <w:rPr>
          <w:rFonts w:cstheme="minorHAnsi"/>
        </w:rPr>
        <w:t xml:space="preserve"> away from simple</w:t>
      </w:r>
      <w:r w:rsidRPr="004737C5">
        <w:rPr>
          <w:rFonts w:cstheme="minorHAnsi"/>
        </w:rPr>
        <w:t xml:space="preserve"> product characteristics towards production methods. For example, ISEAL is an alliance of multi-stakeholder standard-setters and accreditation</w:t>
      </w:r>
      <w:r w:rsidRPr="004737C5">
        <w:rPr>
          <w:rFonts w:cstheme="minorHAnsi"/>
          <w:sz w:val="18"/>
          <w:szCs w:val="18"/>
        </w:rPr>
        <w:t xml:space="preserve"> </w:t>
      </w:r>
      <w:r w:rsidRPr="004737C5">
        <w:rPr>
          <w:rFonts w:cstheme="minorHAnsi"/>
        </w:rPr>
        <w:t>bodies assessing sustainability using codes of good practice based on the ISEAL Credibility Principles.</w:t>
      </w:r>
      <w:r w:rsidRPr="004737C5">
        <w:rPr>
          <w:rStyle w:val="FootnoteReference"/>
          <w:rFonts w:cstheme="minorHAnsi"/>
          <w:color w:val="000000"/>
        </w:rPr>
        <w:footnoteReference w:id="164"/>
      </w:r>
      <w:r w:rsidRPr="004737C5">
        <w:rPr>
          <w:rFonts w:cstheme="minorHAnsi"/>
        </w:rPr>
        <w:t xml:space="preserve"> The principles include sustainability, improvement, impartiality, transparency and accessibility.</w:t>
      </w:r>
      <w:r w:rsidRPr="004737C5">
        <w:rPr>
          <w:rFonts w:cstheme="minorHAnsi"/>
          <w:color w:val="424242"/>
        </w:rPr>
        <w:t xml:space="preserve"> </w:t>
      </w:r>
      <w:r w:rsidRPr="004737C5">
        <w:rPr>
          <w:rFonts w:cstheme="minorHAnsi"/>
        </w:rPr>
        <w:t xml:space="preserve">Despite the limitation on trade measures being </w:t>
      </w:r>
      <w:r w:rsidR="00282072" w:rsidRPr="004737C5">
        <w:rPr>
          <w:rFonts w:cstheme="minorHAnsi"/>
        </w:rPr>
        <w:t>applied</w:t>
      </w:r>
      <w:r w:rsidRPr="004737C5">
        <w:rPr>
          <w:rFonts w:cstheme="minorHAnsi"/>
        </w:rPr>
        <w:t xml:space="preserve"> against foreign </w:t>
      </w:r>
      <w:r w:rsidR="00282072" w:rsidRPr="004737C5">
        <w:rPr>
          <w:rFonts w:cstheme="minorHAnsi"/>
        </w:rPr>
        <w:t>exporters in relation to PPMs, g</w:t>
      </w:r>
      <w:r w:rsidRPr="004737C5">
        <w:rPr>
          <w:rFonts w:cstheme="minorHAnsi"/>
        </w:rPr>
        <w:t>overnments remain free to adopt standards for their own internal uses. China, for example, has recently adopted the ISEAL principles. The development of such pr</w:t>
      </w:r>
      <w:r w:rsidR="00A80CAC" w:rsidRPr="004737C5">
        <w:rPr>
          <w:rFonts w:cstheme="minorHAnsi"/>
        </w:rPr>
        <w:t>inciples is in line with UNGCP g</w:t>
      </w:r>
      <w:r w:rsidRPr="004737C5">
        <w:rPr>
          <w:rFonts w:cstheme="minorHAnsi"/>
        </w:rPr>
        <w:t>uideline</w:t>
      </w:r>
      <w:r w:rsidRPr="004737C5" w:rsidDel="00C2234E">
        <w:rPr>
          <w:rFonts w:cstheme="minorHAnsi"/>
        </w:rPr>
        <w:t xml:space="preserve"> </w:t>
      </w:r>
      <w:r w:rsidR="00C34E5F" w:rsidRPr="004737C5">
        <w:rPr>
          <w:rFonts w:cstheme="minorHAnsi"/>
        </w:rPr>
        <w:t>30, which state</w:t>
      </w:r>
      <w:r w:rsidR="00282072" w:rsidRPr="004737C5">
        <w:rPr>
          <w:rFonts w:cstheme="minorHAnsi"/>
        </w:rPr>
        <w:t>s that “</w:t>
      </w:r>
      <w:r w:rsidRPr="004737C5">
        <w:rPr>
          <w:rFonts w:cstheme="minorHAnsi"/>
        </w:rPr>
        <w:t>the development of appropriate advertising codes and standards for the regulation and verification of environmen</w:t>
      </w:r>
      <w:r w:rsidR="00282072" w:rsidRPr="004737C5">
        <w:rPr>
          <w:rFonts w:cstheme="minorHAnsi"/>
        </w:rPr>
        <w:t>tal claims should be encouraged”</w:t>
      </w:r>
      <w:r w:rsidRPr="004737C5">
        <w:rPr>
          <w:rFonts w:cstheme="minorHAnsi"/>
        </w:rPr>
        <w:t xml:space="preserve"> and </w:t>
      </w:r>
      <w:r w:rsidR="00D9279F" w:rsidRPr="004737C5">
        <w:rPr>
          <w:rFonts w:cstheme="minorHAnsi"/>
        </w:rPr>
        <w:t>that governments “</w:t>
      </w:r>
      <w:r w:rsidRPr="004737C5">
        <w:rPr>
          <w:rFonts w:cstheme="minorHAnsi"/>
        </w:rPr>
        <w:t>should take measures regarding misleading environmental claims or information in advertising and other marketing activities</w:t>
      </w:r>
      <w:r w:rsidR="00D9279F" w:rsidRPr="004737C5">
        <w:rPr>
          <w:rFonts w:cstheme="minorHAnsi"/>
        </w:rPr>
        <w:t>”.</w:t>
      </w:r>
    </w:p>
    <w:p w14:paraId="09F9DFA7" w14:textId="77777777" w:rsidR="00BE71E3" w:rsidRPr="004737C5" w:rsidRDefault="00BE71E3" w:rsidP="00C34E5F">
      <w:pPr>
        <w:rPr>
          <w:rFonts w:cstheme="minorHAnsi"/>
        </w:rPr>
      </w:pPr>
      <w:r w:rsidRPr="004737C5">
        <w:rPr>
          <w:rFonts w:cstheme="minorHAnsi"/>
        </w:rPr>
        <w:t>UNCTAD reports that a number of countries still lack provisions on information</w:t>
      </w:r>
      <w:r w:rsidR="00D9279F" w:rsidRPr="004737C5">
        <w:rPr>
          <w:rFonts w:cstheme="minorHAnsi"/>
        </w:rPr>
        <w:t xml:space="preserve"> regarding environmental impact</w:t>
      </w:r>
      <w:r w:rsidRPr="004737C5">
        <w:rPr>
          <w:rFonts w:cstheme="minorHAnsi"/>
        </w:rPr>
        <w:t xml:space="preserve"> (thus not meeting the req</w:t>
      </w:r>
      <w:r w:rsidR="00A80CAC" w:rsidRPr="004737C5">
        <w:rPr>
          <w:rFonts w:cstheme="minorHAnsi"/>
        </w:rPr>
        <w:t>uirements of g</w:t>
      </w:r>
      <w:r w:rsidR="00D9279F" w:rsidRPr="004737C5">
        <w:rPr>
          <w:rFonts w:cstheme="minorHAnsi"/>
        </w:rPr>
        <w:t>uideline 30 above</w:t>
      </w:r>
      <w:r w:rsidRPr="004737C5">
        <w:rPr>
          <w:rFonts w:cstheme="minorHAnsi"/>
        </w:rPr>
        <w:t>)</w:t>
      </w:r>
      <w:r w:rsidR="00D9279F" w:rsidRPr="004737C5">
        <w:rPr>
          <w:rFonts w:cstheme="minorHAnsi"/>
        </w:rPr>
        <w:t>,</w:t>
      </w:r>
      <w:r w:rsidRPr="004737C5">
        <w:rPr>
          <w:rFonts w:cstheme="minorHAnsi"/>
        </w:rPr>
        <w:t xml:space="preserve"> while in the survey cited above, Consumers International reported that only 53</w:t>
      </w:r>
      <w:r w:rsidR="00D9279F" w:rsidRPr="004737C5">
        <w:rPr>
          <w:rFonts w:cstheme="minorHAnsi"/>
        </w:rPr>
        <w:t xml:space="preserve"> percent</w:t>
      </w:r>
      <w:r w:rsidRPr="004737C5">
        <w:rPr>
          <w:rFonts w:cstheme="minorHAnsi"/>
        </w:rPr>
        <w:t xml:space="preserve"> of the responding countries required disclosure of energy consumption of domestic appliances. A clear majority of low income countries relied on a voluntary approach but this stance was not peculia</w:t>
      </w:r>
      <w:r w:rsidR="00D9279F" w:rsidRPr="004737C5">
        <w:rPr>
          <w:rFonts w:cstheme="minorHAnsi"/>
        </w:rPr>
        <w:t>r to developing countries as 27 percent</w:t>
      </w:r>
      <w:r w:rsidRPr="004737C5">
        <w:rPr>
          <w:rFonts w:cstheme="minorHAnsi"/>
        </w:rPr>
        <w:t xml:space="preserve"> of high income countries also did not require energy consumption disclosure, although 90</w:t>
      </w:r>
      <w:r w:rsidR="00D9279F" w:rsidRPr="004737C5">
        <w:rPr>
          <w:rFonts w:cstheme="minorHAnsi"/>
        </w:rPr>
        <w:t xml:space="preserve"> percent</w:t>
      </w:r>
      <w:r w:rsidRPr="004737C5">
        <w:rPr>
          <w:rFonts w:cstheme="minorHAnsi"/>
        </w:rPr>
        <w:t xml:space="preserve"> had provided guidelines. </w:t>
      </w:r>
      <w:r w:rsidR="00D9279F" w:rsidRPr="004737C5">
        <w:rPr>
          <w:rFonts w:cstheme="minorHAnsi"/>
        </w:rPr>
        <w:t>S</w:t>
      </w:r>
      <w:r w:rsidRPr="004737C5">
        <w:rPr>
          <w:rFonts w:cstheme="minorHAnsi"/>
        </w:rPr>
        <w:t xml:space="preserve">poradic initiatives and campaigns </w:t>
      </w:r>
      <w:r w:rsidR="00D9279F" w:rsidRPr="004737C5">
        <w:rPr>
          <w:rFonts w:cstheme="minorHAnsi"/>
        </w:rPr>
        <w:t>were reported on the matter</w:t>
      </w:r>
      <w:r w:rsidRPr="004737C5">
        <w:rPr>
          <w:rFonts w:cstheme="minorHAnsi"/>
        </w:rPr>
        <w:t xml:space="preserve"> (Fiji and the Dominican Republic are named by CI)</w:t>
      </w:r>
      <w:r w:rsidR="00D9279F" w:rsidRPr="004737C5">
        <w:rPr>
          <w:rFonts w:cstheme="minorHAnsi"/>
        </w:rPr>
        <w:t>,</w:t>
      </w:r>
      <w:r w:rsidRPr="004737C5">
        <w:rPr>
          <w:rFonts w:cstheme="minorHAnsi"/>
        </w:rPr>
        <w:t xml:space="preserve"> but practical results seemed to fall short of what</w:t>
      </w:r>
      <w:r w:rsidR="00D9279F" w:rsidRPr="004737C5">
        <w:rPr>
          <w:rFonts w:cstheme="minorHAnsi"/>
        </w:rPr>
        <w:t xml:space="preserve"> one might expect given formal g</w:t>
      </w:r>
      <w:r w:rsidRPr="004737C5">
        <w:rPr>
          <w:rFonts w:cstheme="minorHAnsi"/>
        </w:rPr>
        <w:t>overnmental recognition of the issue.</w:t>
      </w:r>
    </w:p>
    <w:p w14:paraId="5205CC47" w14:textId="77777777" w:rsidR="00BE71E3" w:rsidRPr="004737C5" w:rsidRDefault="00BE71E3" w:rsidP="00C34E5F">
      <w:pPr>
        <w:pStyle w:val="Heading3"/>
        <w:spacing w:after="160" w:line="240" w:lineRule="auto"/>
        <w:rPr>
          <w:rFonts w:cstheme="minorHAnsi"/>
        </w:rPr>
      </w:pPr>
      <w:bookmarkStart w:id="166" w:name="_Toc454293837"/>
      <w:bookmarkStart w:id="167" w:name="_Toc489950273"/>
      <w:bookmarkStart w:id="168" w:name="_Toc492650060"/>
      <w:r w:rsidRPr="004737C5">
        <w:rPr>
          <w:rFonts w:cstheme="minorHAnsi"/>
          <w:color w:val="auto"/>
        </w:rPr>
        <w:t>3</w:t>
      </w:r>
      <w:r w:rsidR="00D9279F" w:rsidRPr="004737C5">
        <w:rPr>
          <w:rFonts w:cstheme="minorHAnsi"/>
          <w:color w:val="auto"/>
        </w:rPr>
        <w:t>.</w:t>
      </w:r>
      <w:r w:rsidRPr="004737C5">
        <w:rPr>
          <w:rFonts w:cstheme="minorHAnsi"/>
          <w:color w:val="auto"/>
        </w:rPr>
        <w:t xml:space="preserve"> Product information criteria</w:t>
      </w:r>
      <w:bookmarkEnd w:id="166"/>
      <w:bookmarkEnd w:id="167"/>
      <w:bookmarkEnd w:id="168"/>
    </w:p>
    <w:p w14:paraId="437AABFD" w14:textId="77777777" w:rsidR="00BE71E3" w:rsidRPr="004737C5" w:rsidRDefault="00BE71E3" w:rsidP="006D3BE8">
      <w:pPr>
        <w:rPr>
          <w:rFonts w:cstheme="minorHAnsi"/>
        </w:rPr>
      </w:pPr>
      <w:r w:rsidRPr="004737C5">
        <w:rPr>
          <w:rFonts w:cstheme="minorHAnsi"/>
        </w:rPr>
        <w:t xml:space="preserve">In theory, disclosure of information should be more feasible in 2016 than was the case in 1985 when the </w:t>
      </w:r>
      <w:r w:rsidR="00D9279F" w:rsidRPr="004737C5">
        <w:rPr>
          <w:rFonts w:cstheme="minorHAnsi"/>
        </w:rPr>
        <w:t>UNGCP</w:t>
      </w:r>
      <w:r w:rsidRPr="004737C5">
        <w:rPr>
          <w:rFonts w:cstheme="minorHAnsi"/>
        </w:rPr>
        <w:t xml:space="preserve"> were first adopted, as detailed information can be provided on websites. While it might be argued that online information might discriminate against c</w:t>
      </w:r>
      <w:r w:rsidR="00D9279F" w:rsidRPr="004737C5">
        <w:rPr>
          <w:rFonts w:cstheme="minorHAnsi"/>
        </w:rPr>
        <w:t>onsumers without access to the i</w:t>
      </w:r>
      <w:r w:rsidRPr="004737C5">
        <w:rPr>
          <w:rFonts w:cstheme="minorHAnsi"/>
        </w:rPr>
        <w:t xml:space="preserve">nternet, the fact that such details are available online should help regulatory authorities and indirectly protect consumers. Product information can thus be disclosed at greater length, although care may be needed to ensure that this does not produce a new version of the </w:t>
      </w:r>
      <w:r w:rsidRPr="004737C5">
        <w:rPr>
          <w:rFonts w:cstheme="minorHAnsi"/>
          <w:i/>
          <w:iCs/>
        </w:rPr>
        <w:t xml:space="preserve">paradoxe du formalisme </w:t>
      </w:r>
      <w:r w:rsidRPr="004737C5">
        <w:rPr>
          <w:rFonts w:cstheme="minorHAnsi"/>
          <w:iCs/>
        </w:rPr>
        <w:t>mentioned above</w:t>
      </w:r>
      <w:r w:rsidRPr="004737C5">
        <w:rPr>
          <w:rFonts w:cstheme="minorHAnsi"/>
        </w:rPr>
        <w:t xml:space="preserve">. In other words, the release of detailed information on to a website should not absolve distributors from the obligation to render it comprehensible. </w:t>
      </w:r>
    </w:p>
    <w:p w14:paraId="5424EDD6" w14:textId="77777777" w:rsidR="00BE71E3" w:rsidRPr="004737C5" w:rsidRDefault="00BE71E3" w:rsidP="00C34E5F">
      <w:pPr>
        <w:rPr>
          <w:rFonts w:cstheme="minorHAnsi"/>
        </w:rPr>
      </w:pPr>
      <w:r w:rsidRPr="004737C5">
        <w:rPr>
          <w:rFonts w:cstheme="minorHAnsi"/>
        </w:rPr>
        <w:t>The following are some criteria to assess whether information presented on labels and packaging is acceptable:</w:t>
      </w:r>
    </w:p>
    <w:p w14:paraId="27C51E49" w14:textId="77777777" w:rsidR="00BE71E3" w:rsidRPr="004737C5" w:rsidRDefault="00BE71E3" w:rsidP="002473E9">
      <w:pPr>
        <w:pStyle w:val="ListParagraph"/>
        <w:numPr>
          <w:ilvl w:val="0"/>
          <w:numId w:val="69"/>
        </w:numPr>
        <w:ind w:left="709" w:hanging="425"/>
        <w:rPr>
          <w:rFonts w:cstheme="minorHAnsi"/>
        </w:rPr>
      </w:pPr>
      <w:r w:rsidRPr="004737C5">
        <w:rPr>
          <w:rFonts w:cstheme="minorHAnsi"/>
        </w:rPr>
        <w:t xml:space="preserve">Information should comply with national and international codes of practice and laws. It should be noted that international standards on information and packaging (such as those set by </w:t>
      </w:r>
      <w:r w:rsidRPr="004737C5">
        <w:rPr>
          <w:rFonts w:cstheme="minorHAnsi"/>
          <w:i/>
          <w:iCs/>
        </w:rPr>
        <w:t>Codex Alimentarius</w:t>
      </w:r>
      <w:r w:rsidRPr="004737C5">
        <w:rPr>
          <w:rFonts w:cstheme="minorHAnsi"/>
        </w:rPr>
        <w:t xml:space="preserve"> and ISO) </w:t>
      </w:r>
      <w:r w:rsidR="00D9279F" w:rsidRPr="004737C5">
        <w:rPr>
          <w:rFonts w:cstheme="minorHAnsi"/>
        </w:rPr>
        <w:t>are</w:t>
      </w:r>
      <w:r w:rsidR="00A80CAC" w:rsidRPr="004737C5">
        <w:rPr>
          <w:rFonts w:cstheme="minorHAnsi"/>
        </w:rPr>
        <w:t xml:space="preserve"> recognized by UNGCP g</w:t>
      </w:r>
      <w:r w:rsidRPr="004737C5">
        <w:rPr>
          <w:rFonts w:cstheme="minorHAnsi"/>
        </w:rPr>
        <w:t>uideline 70 and by the</w:t>
      </w:r>
      <w:r w:rsidR="00D9279F" w:rsidRPr="004737C5">
        <w:rPr>
          <w:rFonts w:cstheme="minorHAnsi"/>
        </w:rPr>
        <w:t xml:space="preserve"> WTO Sanitary and Phytosanitary</w:t>
      </w:r>
      <w:r w:rsidRPr="004737C5">
        <w:rPr>
          <w:rFonts w:cstheme="minorHAnsi"/>
        </w:rPr>
        <w:t xml:space="preserve"> and </w:t>
      </w:r>
      <w:r w:rsidR="00D9279F" w:rsidRPr="004737C5">
        <w:rPr>
          <w:rFonts w:cstheme="minorHAnsi"/>
        </w:rPr>
        <w:t>the Technical Barriers to Trade</w:t>
      </w:r>
      <w:r w:rsidRPr="004737C5">
        <w:rPr>
          <w:rFonts w:cstheme="minorHAnsi"/>
        </w:rPr>
        <w:t xml:space="preserve"> Agreements as a legitimate basis of product standards and thus of trad</w:t>
      </w:r>
      <w:r w:rsidR="00D9279F" w:rsidRPr="004737C5">
        <w:rPr>
          <w:rFonts w:cstheme="minorHAnsi"/>
        </w:rPr>
        <w:t>e measures to protect consumers.</w:t>
      </w:r>
      <w:r w:rsidRPr="004737C5">
        <w:rPr>
          <w:rFonts w:cstheme="minorHAnsi"/>
        </w:rPr>
        <w:t xml:space="preserve"> </w:t>
      </w:r>
    </w:p>
    <w:p w14:paraId="50278D71" w14:textId="77777777" w:rsidR="00BE71E3" w:rsidRPr="004737C5" w:rsidRDefault="00BE71E3" w:rsidP="002473E9">
      <w:pPr>
        <w:pStyle w:val="ListParagraph"/>
        <w:numPr>
          <w:ilvl w:val="0"/>
          <w:numId w:val="69"/>
        </w:numPr>
        <w:ind w:left="709" w:hanging="425"/>
        <w:rPr>
          <w:rFonts w:cstheme="minorHAnsi"/>
        </w:rPr>
      </w:pPr>
      <w:r w:rsidRPr="004737C5">
        <w:rPr>
          <w:rFonts w:cstheme="minorHAnsi"/>
        </w:rPr>
        <w:t>Package and label disclosures should be clear, simple and to the point</w:t>
      </w:r>
      <w:r w:rsidR="00D9279F" w:rsidRPr="004737C5">
        <w:rPr>
          <w:rFonts w:cstheme="minorHAnsi"/>
        </w:rPr>
        <w:t>. T</w:t>
      </w:r>
      <w:r w:rsidRPr="004737C5">
        <w:rPr>
          <w:rFonts w:cstheme="minorHAnsi"/>
        </w:rPr>
        <w:t>his means avoiding information over</w:t>
      </w:r>
      <w:r w:rsidR="00D9279F" w:rsidRPr="004737C5">
        <w:rPr>
          <w:rFonts w:cstheme="minorHAnsi"/>
        </w:rPr>
        <w:t>load and confusing presentation.</w:t>
      </w:r>
    </w:p>
    <w:p w14:paraId="186A075D" w14:textId="77777777" w:rsidR="00BE71E3" w:rsidRPr="004737C5" w:rsidRDefault="00BE71E3" w:rsidP="002473E9">
      <w:pPr>
        <w:pStyle w:val="ListParagraph"/>
        <w:numPr>
          <w:ilvl w:val="0"/>
          <w:numId w:val="69"/>
        </w:numPr>
        <w:ind w:left="709" w:hanging="425"/>
        <w:rPr>
          <w:rFonts w:cstheme="minorHAnsi"/>
        </w:rPr>
      </w:pPr>
      <w:r w:rsidRPr="004737C5">
        <w:rPr>
          <w:rFonts w:cstheme="minorHAnsi"/>
        </w:rPr>
        <w:t>Information that identifies the producer a</w:t>
      </w:r>
      <w:r w:rsidR="00D9279F" w:rsidRPr="004737C5">
        <w:rPr>
          <w:rFonts w:cstheme="minorHAnsi"/>
        </w:rPr>
        <w:t>nd supplier must be provided. T</w:t>
      </w:r>
      <w:r w:rsidRPr="004737C5">
        <w:rPr>
          <w:rFonts w:cstheme="minorHAnsi"/>
        </w:rPr>
        <w:t>his means stating the accurate identity of the product by its common or usual name</w:t>
      </w:r>
      <w:r w:rsidR="00D9279F" w:rsidRPr="004737C5">
        <w:rPr>
          <w:rFonts w:cstheme="minorHAnsi"/>
        </w:rPr>
        <w:t xml:space="preserve"> and the form the product takes.</w:t>
      </w:r>
      <w:r w:rsidRPr="004737C5">
        <w:rPr>
          <w:rFonts w:cstheme="minorHAnsi"/>
        </w:rPr>
        <w:t xml:space="preserve"> </w:t>
      </w:r>
    </w:p>
    <w:p w14:paraId="36A9300F" w14:textId="77777777" w:rsidR="00BE71E3" w:rsidRPr="004737C5" w:rsidRDefault="00BE71E3" w:rsidP="002473E9">
      <w:pPr>
        <w:pStyle w:val="ListParagraph"/>
        <w:numPr>
          <w:ilvl w:val="0"/>
          <w:numId w:val="69"/>
        </w:numPr>
        <w:ind w:left="709" w:hanging="425"/>
        <w:rPr>
          <w:rFonts w:cstheme="minorHAnsi"/>
        </w:rPr>
      </w:pPr>
      <w:r w:rsidRPr="004737C5">
        <w:rPr>
          <w:rFonts w:cstheme="minorHAnsi"/>
        </w:rPr>
        <w:lastRenderedPageBreak/>
        <w:t xml:space="preserve">The net quantity of </w:t>
      </w:r>
      <w:r w:rsidR="00D9279F" w:rsidRPr="004737C5">
        <w:rPr>
          <w:rFonts w:cstheme="minorHAnsi"/>
        </w:rPr>
        <w:t>the contents must be disclosed.</w:t>
      </w:r>
    </w:p>
    <w:p w14:paraId="13A58EE9" w14:textId="77777777" w:rsidR="00BE71E3" w:rsidRPr="004737C5" w:rsidRDefault="00BE71E3" w:rsidP="002473E9">
      <w:pPr>
        <w:pStyle w:val="ListParagraph"/>
        <w:numPr>
          <w:ilvl w:val="0"/>
          <w:numId w:val="69"/>
        </w:numPr>
        <w:ind w:left="709" w:hanging="425"/>
        <w:rPr>
          <w:rFonts w:cstheme="minorHAnsi"/>
        </w:rPr>
      </w:pPr>
      <w:r w:rsidRPr="004737C5">
        <w:rPr>
          <w:rFonts w:cstheme="minorHAnsi"/>
        </w:rPr>
        <w:t>Information about the ingredients in the product should be disclosed</w:t>
      </w:r>
      <w:r w:rsidR="00D9279F" w:rsidRPr="004737C5">
        <w:rPr>
          <w:rFonts w:cstheme="minorHAnsi"/>
        </w:rPr>
        <w:t>. T</w:t>
      </w:r>
      <w:r w:rsidRPr="004737C5">
        <w:rPr>
          <w:rFonts w:cstheme="minorHAnsi"/>
        </w:rPr>
        <w:t>his means following applicable laws for disclosures on pre-packaged food products. This can extend to stating nutrient value, including salt and sugar content, calories, minimum daily recommended inputs on which nutrient value is calculated, disclosing chemical contents of non-food products and providing warnings and instructi</w:t>
      </w:r>
      <w:r w:rsidR="00D9279F" w:rsidRPr="004737C5">
        <w:rPr>
          <w:rFonts w:cstheme="minorHAnsi"/>
        </w:rPr>
        <w:t>ons for proper use and handling.</w:t>
      </w:r>
    </w:p>
    <w:p w14:paraId="516843DB" w14:textId="5D6E440D" w:rsidR="00BE71E3" w:rsidRPr="004737C5" w:rsidRDefault="00D9279F" w:rsidP="002473E9">
      <w:pPr>
        <w:pStyle w:val="ListParagraph"/>
        <w:numPr>
          <w:ilvl w:val="0"/>
          <w:numId w:val="69"/>
        </w:numPr>
        <w:ind w:left="709" w:hanging="425"/>
        <w:rPr>
          <w:rFonts w:cstheme="minorHAnsi"/>
        </w:rPr>
      </w:pPr>
      <w:r w:rsidRPr="004737C5">
        <w:rPr>
          <w:rFonts w:cstheme="minorHAnsi"/>
        </w:rPr>
        <w:t>Price i</w:t>
      </w:r>
      <w:r w:rsidR="00BE71E3" w:rsidRPr="004737C5">
        <w:rPr>
          <w:rFonts w:cstheme="minorHAnsi"/>
        </w:rPr>
        <w:t>nformation should be displayed conspicuously and in an understandable form to facilitate product comparisons</w:t>
      </w:r>
      <w:r w:rsidRPr="004737C5">
        <w:rPr>
          <w:rFonts w:cstheme="minorHAnsi"/>
        </w:rPr>
        <w:t>. T</w:t>
      </w:r>
      <w:r w:rsidR="00BE71E3" w:rsidRPr="004737C5">
        <w:rPr>
          <w:rFonts w:cstheme="minorHAnsi"/>
        </w:rPr>
        <w:t>his means affixing price information on packages and providing unit pricing information on shelves or display area</w:t>
      </w:r>
      <w:r w:rsidRPr="004737C5">
        <w:rPr>
          <w:rFonts w:cstheme="minorHAnsi"/>
        </w:rPr>
        <w:t>s when appropriate and feasible and</w:t>
      </w:r>
      <w:r w:rsidR="00BE71E3" w:rsidRPr="004737C5">
        <w:rPr>
          <w:rFonts w:cstheme="minorHAnsi"/>
        </w:rPr>
        <w:t xml:space="preserve"> providing adequate price information to facilitat</w:t>
      </w:r>
      <w:r w:rsidRPr="004737C5">
        <w:rPr>
          <w:rFonts w:cstheme="minorHAnsi"/>
        </w:rPr>
        <w:t>e consumer purchasing decisions.</w:t>
      </w:r>
      <w:r w:rsidR="00BE71E3" w:rsidRPr="004737C5">
        <w:rPr>
          <w:rFonts w:cstheme="minorHAnsi"/>
        </w:rPr>
        <w:t xml:space="preserve"> Successful campaigns have been mounted by consumer associations in Malaysia, Australia, Germany and the United Kingdom </w:t>
      </w:r>
      <w:r w:rsidRPr="004737C5">
        <w:rPr>
          <w:rFonts w:cstheme="minorHAnsi"/>
        </w:rPr>
        <w:t>of Great Britain an</w:t>
      </w:r>
      <w:r w:rsidR="00587033" w:rsidRPr="004737C5">
        <w:rPr>
          <w:rFonts w:cstheme="minorHAnsi"/>
        </w:rPr>
        <w:t>d</w:t>
      </w:r>
      <w:r w:rsidRPr="004737C5">
        <w:rPr>
          <w:rFonts w:cstheme="minorHAnsi"/>
        </w:rPr>
        <w:t xml:space="preserve"> Northern Ireland </w:t>
      </w:r>
      <w:r w:rsidR="00BE71E3" w:rsidRPr="004737C5">
        <w:rPr>
          <w:rFonts w:cstheme="minorHAnsi"/>
        </w:rPr>
        <w:t xml:space="preserve">on these issues and there is </w:t>
      </w:r>
      <w:r w:rsidRPr="004737C5">
        <w:rPr>
          <w:rFonts w:cstheme="minorHAnsi"/>
        </w:rPr>
        <w:t>an ISO standard on unit pricing.</w:t>
      </w:r>
      <w:r w:rsidR="00BE71E3" w:rsidRPr="004737C5">
        <w:rPr>
          <w:rFonts w:cstheme="minorHAnsi"/>
        </w:rPr>
        <w:t xml:space="preserve"> </w:t>
      </w:r>
    </w:p>
    <w:p w14:paraId="27FFFFC7" w14:textId="77777777" w:rsidR="00BE71E3" w:rsidRPr="004737C5" w:rsidRDefault="00BE71E3" w:rsidP="00587033">
      <w:pPr>
        <w:pStyle w:val="ListParagraph"/>
        <w:numPr>
          <w:ilvl w:val="0"/>
          <w:numId w:val="69"/>
        </w:numPr>
        <w:ind w:left="709" w:hanging="425"/>
        <w:rPr>
          <w:rFonts w:cstheme="minorHAnsi"/>
        </w:rPr>
      </w:pPr>
      <w:r w:rsidRPr="004737C5">
        <w:rPr>
          <w:rFonts w:cstheme="minorHAnsi"/>
        </w:rPr>
        <w:t>All product claims on packages and labels must be substantiated in advance. All such claims must be truthful, clear and accurate</w:t>
      </w:r>
      <w:r w:rsidR="00D9279F" w:rsidRPr="004737C5">
        <w:rPr>
          <w:rFonts w:cstheme="minorHAnsi"/>
        </w:rPr>
        <w:t>. T</w:t>
      </w:r>
      <w:r w:rsidRPr="004737C5">
        <w:rPr>
          <w:rFonts w:cstheme="minorHAnsi"/>
        </w:rPr>
        <w:t>his is especially so for health claims on food or drug products. Terms like “natural” or “organic” should not be used to imply the product is of superior quality or nutritional value unless this can be substantiated.</w:t>
      </w:r>
      <w:r w:rsidRPr="004737C5">
        <w:rPr>
          <w:rStyle w:val="FootnoteReference"/>
          <w:rFonts w:cstheme="minorHAnsi"/>
        </w:rPr>
        <w:footnoteReference w:id="165"/>
      </w:r>
    </w:p>
    <w:p w14:paraId="23043941" w14:textId="77777777" w:rsidR="00BE71E3" w:rsidRPr="004737C5" w:rsidRDefault="00D9279F" w:rsidP="00587033">
      <w:pPr>
        <w:pStyle w:val="Heading2"/>
        <w:spacing w:after="160"/>
        <w:rPr>
          <w:rFonts w:cstheme="minorHAnsi"/>
          <w:color w:val="auto"/>
          <w:sz w:val="24"/>
          <w:szCs w:val="24"/>
        </w:rPr>
      </w:pPr>
      <w:bookmarkStart w:id="169" w:name="_Toc183930653"/>
      <w:bookmarkStart w:id="170" w:name="_Toc454293838"/>
      <w:bookmarkStart w:id="171" w:name="_Toc489950274"/>
      <w:bookmarkStart w:id="172" w:name="_Toc492650061"/>
      <w:r w:rsidRPr="004737C5">
        <w:rPr>
          <w:rFonts w:cstheme="minorHAnsi"/>
          <w:color w:val="auto"/>
          <w:sz w:val="24"/>
          <w:szCs w:val="24"/>
        </w:rPr>
        <w:t>F.</w:t>
      </w:r>
      <w:r w:rsidR="00BE71E3" w:rsidRPr="004737C5">
        <w:rPr>
          <w:rFonts w:cstheme="minorHAnsi"/>
          <w:color w:val="auto"/>
          <w:sz w:val="24"/>
          <w:szCs w:val="24"/>
        </w:rPr>
        <w:t xml:space="preserve"> Critical issues with respect to advertising</w:t>
      </w:r>
      <w:bookmarkEnd w:id="169"/>
      <w:bookmarkEnd w:id="170"/>
      <w:bookmarkEnd w:id="171"/>
      <w:bookmarkEnd w:id="172"/>
    </w:p>
    <w:p w14:paraId="741542C9" w14:textId="56FD082E" w:rsidR="00BE71E3" w:rsidRPr="004737C5" w:rsidRDefault="00BE71E3" w:rsidP="006D3BE8">
      <w:pPr>
        <w:rPr>
          <w:rFonts w:cstheme="minorHAnsi"/>
        </w:rPr>
      </w:pPr>
      <w:r w:rsidRPr="004737C5">
        <w:rPr>
          <w:rFonts w:cstheme="minorHAnsi"/>
        </w:rPr>
        <w:t>With globalization integrating consumer markets, the competition to sell to consumers worldwide has become increasingly aggressive. As a consequence, advertising expenditure has increased</w:t>
      </w:r>
      <w:r w:rsidR="00D9279F" w:rsidRPr="004737C5">
        <w:rPr>
          <w:rFonts w:cstheme="minorHAnsi"/>
        </w:rPr>
        <w:t xml:space="preserve"> significantly.</w:t>
      </w:r>
      <w:r w:rsidRPr="004737C5">
        <w:rPr>
          <w:rStyle w:val="FootnoteReference"/>
          <w:rFonts w:cstheme="minorHAnsi"/>
        </w:rPr>
        <w:footnoteReference w:id="166"/>
      </w:r>
      <w:r w:rsidR="00587033" w:rsidRPr="004737C5">
        <w:rPr>
          <w:rFonts w:cstheme="minorHAnsi"/>
        </w:rPr>
        <w:t xml:space="preserve"> According to the Chief Marketing Officer</w:t>
      </w:r>
      <w:r w:rsidR="00D9279F" w:rsidRPr="004737C5">
        <w:rPr>
          <w:rFonts w:cstheme="minorHAnsi"/>
        </w:rPr>
        <w:t xml:space="preserve"> journal</w:t>
      </w:r>
      <w:r w:rsidR="00587033" w:rsidRPr="004737C5">
        <w:rPr>
          <w:rFonts w:cstheme="minorHAnsi"/>
        </w:rPr>
        <w:t>,</w:t>
      </w:r>
      <w:r w:rsidRPr="004737C5">
        <w:rPr>
          <w:rFonts w:cstheme="minorHAnsi"/>
        </w:rPr>
        <w:t xml:space="preserve"> </w:t>
      </w:r>
      <w:r w:rsidRPr="004737C5">
        <w:rPr>
          <w:rFonts w:cstheme="minorHAnsi"/>
          <w:i/>
        </w:rPr>
        <w:t xml:space="preserve">Facts &amp; Stats, </w:t>
      </w:r>
      <w:r w:rsidRPr="004737C5">
        <w:rPr>
          <w:rFonts w:cstheme="minorHAnsi"/>
        </w:rPr>
        <w:t>global spending on media promotion is fo</w:t>
      </w:r>
      <w:r w:rsidR="00D9279F" w:rsidRPr="004737C5">
        <w:rPr>
          <w:rFonts w:cstheme="minorHAnsi"/>
        </w:rPr>
        <w:t>recast to rise at over 5 per</w:t>
      </w:r>
      <w:r w:rsidRPr="004737C5">
        <w:rPr>
          <w:rFonts w:cstheme="minorHAnsi"/>
        </w:rPr>
        <w:t xml:space="preserve">cent per year from </w:t>
      </w:r>
      <w:r w:rsidR="00D9279F" w:rsidRPr="004737C5">
        <w:rPr>
          <w:rFonts w:cstheme="minorHAnsi"/>
        </w:rPr>
        <w:t xml:space="preserve">the </w:t>
      </w:r>
      <w:r w:rsidRPr="004737C5">
        <w:rPr>
          <w:rFonts w:cstheme="minorHAnsi"/>
        </w:rPr>
        <w:t xml:space="preserve">end </w:t>
      </w:r>
      <w:r w:rsidR="00D9279F" w:rsidRPr="004737C5">
        <w:rPr>
          <w:rFonts w:cstheme="minorHAnsi"/>
        </w:rPr>
        <w:t xml:space="preserve">of </w:t>
      </w:r>
      <w:r w:rsidRPr="004737C5">
        <w:rPr>
          <w:rFonts w:cstheme="minorHAnsi"/>
        </w:rPr>
        <w:t>2015. The overall total is expected to reach $2.1</w:t>
      </w:r>
      <w:r w:rsidR="00D9279F" w:rsidRPr="004737C5">
        <w:rPr>
          <w:rFonts w:cstheme="minorHAnsi"/>
        </w:rPr>
        <w:t xml:space="preserve"> </w:t>
      </w:r>
      <w:r w:rsidRPr="004737C5">
        <w:rPr>
          <w:rFonts w:cstheme="minorHAnsi"/>
        </w:rPr>
        <w:t>trillion by 2019. Furthermore, advertising has penetrated ever deeper into developing country societies with global brand recognition becoming almost universal in some cases, such as Coca Cola. This process may be in</w:t>
      </w:r>
      <w:r w:rsidR="00D9279F" w:rsidRPr="004737C5">
        <w:rPr>
          <w:rFonts w:cstheme="minorHAnsi"/>
        </w:rPr>
        <w:t>tensified by the spread of hand</w:t>
      </w:r>
      <w:r w:rsidRPr="004737C5">
        <w:rPr>
          <w:rFonts w:cstheme="minorHAnsi"/>
        </w:rPr>
        <w:t xml:space="preserve">held devices and targeted with ever greater accuracy by the use of cookies. </w:t>
      </w:r>
    </w:p>
    <w:p w14:paraId="6EB0007E" w14:textId="77777777" w:rsidR="00BE71E3" w:rsidRPr="004737C5" w:rsidRDefault="00BE71E3" w:rsidP="006D3BE8">
      <w:pPr>
        <w:rPr>
          <w:rFonts w:cstheme="minorHAnsi"/>
        </w:rPr>
      </w:pPr>
      <w:r w:rsidRPr="004737C5">
        <w:rPr>
          <w:rFonts w:cstheme="minorHAnsi"/>
        </w:rPr>
        <w:t>In this context it is noteworthy that digital advertising</w:t>
      </w:r>
      <w:r w:rsidR="00D9279F" w:rsidRPr="004737C5">
        <w:rPr>
          <w:rFonts w:cstheme="minorHAnsi"/>
        </w:rPr>
        <w:t xml:space="preserve"> shows the fastest increase (16 percent</w:t>
      </w:r>
      <w:r w:rsidRPr="004737C5">
        <w:rPr>
          <w:rFonts w:cstheme="minorHAnsi"/>
        </w:rPr>
        <w:t xml:space="preserve"> in 2014) and</w:t>
      </w:r>
      <w:r w:rsidR="00D9279F" w:rsidRPr="004737C5">
        <w:rPr>
          <w:rFonts w:cstheme="minorHAnsi"/>
        </w:rPr>
        <w:t xml:space="preserve"> that</w:t>
      </w:r>
      <w:r w:rsidRPr="004737C5">
        <w:rPr>
          <w:rFonts w:cstheme="minorHAnsi"/>
        </w:rPr>
        <w:t xml:space="preserve"> emerging markets are showing particularly high rates of increase. According to one marketing source, Brazil is expected to overtake the United Kingdom </w:t>
      </w:r>
      <w:r w:rsidR="00D9279F" w:rsidRPr="004737C5">
        <w:rPr>
          <w:rFonts w:cstheme="minorHAnsi"/>
        </w:rPr>
        <w:t xml:space="preserve">of Great Britain and Northern Ireland </w:t>
      </w:r>
      <w:r w:rsidRPr="004737C5">
        <w:rPr>
          <w:rFonts w:cstheme="minorHAnsi"/>
        </w:rPr>
        <w:t>and Germany by 2018 to become the world’s fourth largest global advertising market and Indonesia is forecast to have the largest digital advertising spending growth of any country in the world.</w:t>
      </w:r>
      <w:r w:rsidR="00D9279F" w:rsidRPr="004737C5">
        <w:rPr>
          <w:rStyle w:val="FootnoteReference"/>
          <w:rFonts w:cstheme="minorHAnsi"/>
        </w:rPr>
        <w:footnoteReference w:id="167"/>
      </w:r>
      <w:r w:rsidRPr="004737C5">
        <w:rPr>
          <w:rFonts w:cstheme="minorHAnsi"/>
        </w:rPr>
        <w:t xml:space="preserve"> At the time of writing</w:t>
      </w:r>
      <w:r w:rsidR="00D9279F" w:rsidRPr="004737C5">
        <w:rPr>
          <w:rFonts w:cstheme="minorHAnsi"/>
        </w:rPr>
        <w:t>,</w:t>
      </w:r>
      <w:r w:rsidRPr="004737C5">
        <w:rPr>
          <w:rFonts w:cstheme="minorHAnsi"/>
        </w:rPr>
        <w:t xml:space="preserve"> North America accounted for over 35</w:t>
      </w:r>
      <w:r w:rsidR="00D9279F" w:rsidRPr="004737C5">
        <w:rPr>
          <w:rFonts w:cstheme="minorHAnsi"/>
        </w:rPr>
        <w:t xml:space="preserve"> percent</w:t>
      </w:r>
      <w:r w:rsidRPr="004737C5">
        <w:rPr>
          <w:rFonts w:cstheme="minorHAnsi"/>
        </w:rPr>
        <w:t xml:space="preserve"> of total global spend, with As</w:t>
      </w:r>
      <w:r w:rsidR="00D9279F" w:rsidRPr="004737C5">
        <w:rPr>
          <w:rFonts w:cstheme="minorHAnsi"/>
        </w:rPr>
        <w:t>ia-Pacific not far behind on 28 percent.</w:t>
      </w:r>
      <w:r w:rsidRPr="004737C5">
        <w:rPr>
          <w:rStyle w:val="FootnoteReference"/>
          <w:rFonts w:cstheme="minorHAnsi"/>
        </w:rPr>
        <w:footnoteReference w:id="168"/>
      </w:r>
    </w:p>
    <w:p w14:paraId="710FDC21" w14:textId="77777777" w:rsidR="00BE71E3" w:rsidRPr="004737C5" w:rsidRDefault="00BE71E3" w:rsidP="006D3BE8">
      <w:pPr>
        <w:rPr>
          <w:rFonts w:cstheme="minorHAnsi"/>
        </w:rPr>
      </w:pPr>
      <w:r w:rsidRPr="004737C5">
        <w:rPr>
          <w:rFonts w:cstheme="minorHAnsi"/>
        </w:rPr>
        <w:t>In most countries, most advertising product lines are not specifically regulated by statute with the exception of certain specific products such as alcohol, tobacco and firearms, in addition t</w:t>
      </w:r>
      <w:r w:rsidR="00D9279F" w:rsidRPr="004737C5">
        <w:rPr>
          <w:rFonts w:cstheme="minorHAnsi"/>
        </w:rPr>
        <w:t>o therapeutic drugs, pesticides</w:t>
      </w:r>
      <w:r w:rsidRPr="004737C5">
        <w:rPr>
          <w:rFonts w:cstheme="minorHAnsi"/>
        </w:rPr>
        <w:t xml:space="preserve"> and professional services such as doctors and lawyers. The more usual restraint is self-regulation by the advertising industry and the media organizat</w:t>
      </w:r>
      <w:r w:rsidR="00D9279F" w:rsidRPr="004737C5">
        <w:rPr>
          <w:rFonts w:cstheme="minorHAnsi"/>
        </w:rPr>
        <w:t>ions through codes of practice.</w:t>
      </w:r>
      <w:r w:rsidRPr="004737C5">
        <w:rPr>
          <w:rFonts w:cstheme="minorHAnsi"/>
        </w:rPr>
        <w:t xml:space="preserve"> There are, however, generic national polices about advertising in the mass </w:t>
      </w:r>
      <w:r w:rsidR="00D9279F" w:rsidRPr="004737C5">
        <w:rPr>
          <w:rFonts w:cstheme="minorHAnsi"/>
        </w:rPr>
        <w:t>media regarding use of indecent and</w:t>
      </w:r>
      <w:r w:rsidRPr="004737C5">
        <w:rPr>
          <w:rFonts w:cstheme="minorHAnsi"/>
        </w:rPr>
        <w:t xml:space="preserve"> culturally and religiously unacceptable images in advertisements. </w:t>
      </w:r>
    </w:p>
    <w:p w14:paraId="087CCFA9" w14:textId="084FECC8" w:rsidR="00BE71E3" w:rsidRPr="004737C5" w:rsidRDefault="00BE71E3" w:rsidP="006D3BE8">
      <w:pPr>
        <w:rPr>
          <w:rFonts w:cstheme="minorHAnsi"/>
        </w:rPr>
      </w:pPr>
      <w:r w:rsidRPr="004737C5">
        <w:rPr>
          <w:rFonts w:cstheme="minorHAnsi"/>
        </w:rPr>
        <w:t>There is a long tradition of self-regulation in the advertising industry. The International Chamber of Commerce (ICC) Code of Advertising and Marketing Communication Practice was develop</w:t>
      </w:r>
      <w:r w:rsidR="00D9279F" w:rsidRPr="004737C5">
        <w:rPr>
          <w:rFonts w:cstheme="minorHAnsi"/>
        </w:rPr>
        <w:t>ed in 1937 and is now in its ninth</w:t>
      </w:r>
      <w:r w:rsidRPr="004737C5">
        <w:rPr>
          <w:rFonts w:cstheme="minorHAnsi"/>
        </w:rPr>
        <w:t xml:space="preserve"> version having been consolidated in 2006. As a self-regulatory code it appli</w:t>
      </w:r>
      <w:r w:rsidR="00361252" w:rsidRPr="004737C5">
        <w:rPr>
          <w:rFonts w:cstheme="minorHAnsi"/>
        </w:rPr>
        <w:t xml:space="preserve">es </w:t>
      </w:r>
      <w:r w:rsidR="00361252" w:rsidRPr="004737C5">
        <w:rPr>
          <w:rFonts w:cstheme="minorHAnsi"/>
        </w:rPr>
        <w:lastRenderedPageBreak/>
        <w:t>to all advertisements for</w:t>
      </w:r>
      <w:r w:rsidRPr="004737C5">
        <w:rPr>
          <w:rFonts w:cstheme="minorHAnsi"/>
        </w:rPr>
        <w:t xml:space="preserve"> goods, services and facilities. It outlines broad principles for advertisements to be “legal,</w:t>
      </w:r>
      <w:r w:rsidR="00903B7A" w:rsidRPr="004737C5">
        <w:rPr>
          <w:rFonts w:cstheme="minorHAnsi"/>
        </w:rPr>
        <w:t xml:space="preserve"> decent, honest and truthful” (a</w:t>
      </w:r>
      <w:r w:rsidRPr="004737C5">
        <w:rPr>
          <w:rFonts w:cstheme="minorHAnsi"/>
        </w:rPr>
        <w:t>rticle 1) and has a special section on advertising directed at children.</w:t>
      </w:r>
      <w:r w:rsidRPr="004737C5">
        <w:rPr>
          <w:rStyle w:val="FootnoteReference"/>
          <w:rFonts w:cstheme="minorHAnsi"/>
        </w:rPr>
        <w:footnoteReference w:id="169"/>
      </w:r>
      <w:r w:rsidRPr="004737C5">
        <w:rPr>
          <w:rFonts w:cstheme="minorHAnsi"/>
        </w:rPr>
        <w:t xml:space="preserve"> This international code forms the basis of self-regulation practices by advertising standards authorities in</w:t>
      </w:r>
      <w:r w:rsidRPr="004737C5">
        <w:rPr>
          <w:rFonts w:cstheme="minorHAnsi"/>
          <w:b/>
          <w:color w:val="FF0000"/>
        </w:rPr>
        <w:t xml:space="preserve"> </w:t>
      </w:r>
      <w:r w:rsidRPr="004737C5">
        <w:rPr>
          <w:rFonts w:cstheme="minorHAnsi"/>
        </w:rPr>
        <w:t>many countries and regulates “all advertising and other marketing communication for the promotion of any kinds of goods and services, corporate and institutional promotion included</w:t>
      </w:r>
      <w:r w:rsidR="00361252" w:rsidRPr="004737C5">
        <w:rPr>
          <w:rFonts w:cstheme="minorHAnsi"/>
        </w:rPr>
        <w:t>”.</w:t>
      </w:r>
      <w:r w:rsidRPr="004737C5">
        <w:rPr>
          <w:rFonts w:cstheme="minorHAnsi"/>
        </w:rPr>
        <w:t xml:space="preserve"> It applies to advertisers, advertising agencies and the media who provide platforms for advertisements. Most individual complaints (and appropriate sanctions and enforcement) are dealt with at national level but there is also scope for cross-border complaints through</w:t>
      </w:r>
      <w:r w:rsidR="00361252" w:rsidRPr="004737C5">
        <w:rPr>
          <w:rFonts w:cstheme="minorHAnsi"/>
        </w:rPr>
        <w:t>,</w:t>
      </w:r>
      <w:r w:rsidRPr="004737C5">
        <w:rPr>
          <w:rFonts w:cstheme="minorHAnsi"/>
        </w:rPr>
        <w:t xml:space="preserve"> for example, the European Advertising Standards Alliance wh</w:t>
      </w:r>
      <w:r w:rsidR="00361252" w:rsidRPr="004737C5">
        <w:rPr>
          <w:rFonts w:cstheme="minorHAnsi"/>
        </w:rPr>
        <w:t>ose charter was created in 1992</w:t>
      </w:r>
      <w:r w:rsidR="00587033" w:rsidRPr="004737C5">
        <w:rPr>
          <w:rFonts w:cstheme="minorHAnsi"/>
        </w:rPr>
        <w:t xml:space="preserve"> based on the ICC c</w:t>
      </w:r>
      <w:r w:rsidRPr="004737C5">
        <w:rPr>
          <w:rFonts w:cstheme="minorHAnsi"/>
        </w:rPr>
        <w:t xml:space="preserve">ode. </w:t>
      </w:r>
    </w:p>
    <w:p w14:paraId="373728A3" w14:textId="77777777" w:rsidR="00BE71E3" w:rsidRPr="004737C5" w:rsidRDefault="00361252" w:rsidP="006D3BE8">
      <w:pPr>
        <w:rPr>
          <w:rFonts w:cstheme="minorHAnsi"/>
        </w:rPr>
      </w:pPr>
      <w:r w:rsidRPr="004737C5">
        <w:rPr>
          <w:rFonts w:cstheme="minorHAnsi"/>
        </w:rPr>
        <w:t>There may be a</w:t>
      </w:r>
      <w:r w:rsidR="00BE71E3" w:rsidRPr="004737C5">
        <w:rPr>
          <w:rFonts w:cstheme="minorHAnsi"/>
        </w:rPr>
        <w:t xml:space="preserve"> threat of governmental intervention to ensure that self-regulation maintains standards and guards against its own failures. For example, the Office of Communication (Ofcom) </w:t>
      </w:r>
      <w:r w:rsidRPr="004737C5">
        <w:rPr>
          <w:rFonts w:cstheme="minorHAnsi"/>
        </w:rPr>
        <w:t xml:space="preserve">of the United Kingdom of Great Britain and Northern Ireland </w:t>
      </w:r>
      <w:r w:rsidR="00BE71E3" w:rsidRPr="004737C5">
        <w:rPr>
          <w:rFonts w:cstheme="minorHAnsi"/>
        </w:rPr>
        <w:t xml:space="preserve">is the regulatory body responsible for advertising and broadcast media but has delegated the responsibility for enforcing broadcast advertising codes to the Advertising Standards Authority (ASA). Broadcasters are obliged by the condition of their Ofcom licences to </w:t>
      </w:r>
      <w:r w:rsidRPr="004737C5">
        <w:rPr>
          <w:rFonts w:cstheme="minorHAnsi"/>
        </w:rPr>
        <w:t xml:space="preserve">comply with ASA rulings. If </w:t>
      </w:r>
      <w:r w:rsidR="00BE71E3" w:rsidRPr="004737C5">
        <w:rPr>
          <w:rFonts w:cstheme="minorHAnsi"/>
        </w:rPr>
        <w:t>ASA refers a broadcaster to Ofcom, the broadcaster can be fin</w:t>
      </w:r>
      <w:r w:rsidRPr="004737C5">
        <w:rPr>
          <w:rFonts w:cstheme="minorHAnsi"/>
        </w:rPr>
        <w:t>ed or lose its licence. In 2013‒14</w:t>
      </w:r>
      <w:r w:rsidR="00BE71E3" w:rsidRPr="004737C5">
        <w:rPr>
          <w:rFonts w:cstheme="minorHAnsi"/>
        </w:rPr>
        <w:t xml:space="preserve"> ASA considered 37,000 complaints about 17,000 cases. This led to 3,384 ad</w:t>
      </w:r>
      <w:r w:rsidRPr="004737C5">
        <w:rPr>
          <w:rFonts w:cstheme="minorHAnsi"/>
        </w:rPr>
        <w:t>vert</w:t>
      </w:r>
      <w:r w:rsidR="00903B7A" w:rsidRPr="004737C5">
        <w:rPr>
          <w:rFonts w:cstheme="minorHAnsi"/>
        </w:rPr>
        <w:t>isement</w:t>
      </w:r>
      <w:r w:rsidR="00BE71E3" w:rsidRPr="004737C5">
        <w:rPr>
          <w:rFonts w:cstheme="minorHAnsi"/>
        </w:rPr>
        <w:t>s being chang</w:t>
      </w:r>
      <w:r w:rsidRPr="004737C5">
        <w:rPr>
          <w:rFonts w:cstheme="minorHAnsi"/>
        </w:rPr>
        <w:t>ed or withdrawn. 71 percent</w:t>
      </w:r>
      <w:r w:rsidR="00BE71E3" w:rsidRPr="004737C5">
        <w:rPr>
          <w:rFonts w:cstheme="minorHAnsi"/>
        </w:rPr>
        <w:t xml:space="preserve"> of the cases were abou</w:t>
      </w:r>
      <w:r w:rsidRPr="004737C5">
        <w:rPr>
          <w:rFonts w:cstheme="minorHAnsi"/>
        </w:rPr>
        <w:t>t misleading advertising and 36 percent of the cases were about i</w:t>
      </w:r>
      <w:r w:rsidR="00BE71E3" w:rsidRPr="004737C5">
        <w:rPr>
          <w:rFonts w:cstheme="minorHAnsi"/>
        </w:rPr>
        <w:t>nternet advertising which overtook TV advert</w:t>
      </w:r>
      <w:r w:rsidR="00903B7A" w:rsidRPr="004737C5">
        <w:rPr>
          <w:rFonts w:cstheme="minorHAnsi"/>
        </w:rPr>
        <w:t>isement</w:t>
      </w:r>
      <w:r w:rsidR="00BE71E3" w:rsidRPr="004737C5">
        <w:rPr>
          <w:rFonts w:cstheme="minorHAnsi"/>
        </w:rPr>
        <w:t>s for the fir</w:t>
      </w:r>
      <w:r w:rsidRPr="004737C5">
        <w:rPr>
          <w:rFonts w:cstheme="minorHAnsi"/>
        </w:rPr>
        <w:t>st time in 2014, showing a year-on-</w:t>
      </w:r>
      <w:r w:rsidR="00BE71E3" w:rsidRPr="004737C5">
        <w:rPr>
          <w:rFonts w:cstheme="minorHAnsi"/>
        </w:rPr>
        <w:t>year increase of 35</w:t>
      </w:r>
      <w:r w:rsidRPr="004737C5">
        <w:rPr>
          <w:rFonts w:cstheme="minorHAnsi"/>
        </w:rPr>
        <w:t xml:space="preserve"> percent</w:t>
      </w:r>
      <w:r w:rsidR="00BE71E3" w:rsidRPr="004737C5">
        <w:rPr>
          <w:rFonts w:cstheme="minorHAnsi"/>
        </w:rPr>
        <w:t>.</w:t>
      </w:r>
      <w:r w:rsidR="00BE71E3" w:rsidRPr="004737C5">
        <w:rPr>
          <w:rStyle w:val="FootnoteReference"/>
          <w:rFonts w:cstheme="minorHAnsi"/>
        </w:rPr>
        <w:footnoteReference w:id="170"/>
      </w:r>
    </w:p>
    <w:p w14:paraId="5A1ECF6D" w14:textId="77777777" w:rsidR="00BE71E3" w:rsidRPr="004737C5" w:rsidRDefault="00BE71E3" w:rsidP="006D3BE8">
      <w:pPr>
        <w:rPr>
          <w:rFonts w:cstheme="minorHAnsi"/>
        </w:rPr>
      </w:pPr>
      <w:r w:rsidRPr="004737C5">
        <w:rPr>
          <w:rFonts w:cstheme="minorHAnsi"/>
        </w:rPr>
        <w:t>One argument for self-regulation is that it allows enforcement agencies to</w:t>
      </w:r>
      <w:r w:rsidR="00361252" w:rsidRPr="004737C5">
        <w:rPr>
          <w:rFonts w:cstheme="minorHAnsi"/>
        </w:rPr>
        <w:t xml:space="preserve"> turn their attention to issues that </w:t>
      </w:r>
      <w:r w:rsidRPr="004737C5">
        <w:rPr>
          <w:rFonts w:cstheme="minorHAnsi"/>
        </w:rPr>
        <w:t>the self-regulation scheme is not competent to judge such as mass scams and door-to-door abuses. At its best the system means that advertiser</w:t>
      </w:r>
      <w:r w:rsidR="00361252" w:rsidRPr="004737C5">
        <w:rPr>
          <w:rFonts w:cstheme="minorHAnsi"/>
        </w:rPr>
        <w:t>s are judged promptly by expert peers and g</w:t>
      </w:r>
      <w:r w:rsidRPr="004737C5">
        <w:rPr>
          <w:rFonts w:cstheme="minorHAnsi"/>
        </w:rPr>
        <w:t>overnment ag</w:t>
      </w:r>
      <w:r w:rsidR="00361252" w:rsidRPr="004737C5">
        <w:rPr>
          <w:rFonts w:cstheme="minorHAnsi"/>
        </w:rPr>
        <w:t>encies are not left in the slip</w:t>
      </w:r>
      <w:r w:rsidRPr="004737C5">
        <w:rPr>
          <w:rFonts w:cstheme="minorHAnsi"/>
        </w:rPr>
        <w:t xml:space="preserve">stream of events playing catch-up and are free to concentrate their resources elsewhere, while the courts are not overloaded and consumers have somewhere to go.  </w:t>
      </w:r>
    </w:p>
    <w:p w14:paraId="6B087D1C" w14:textId="77777777" w:rsidR="00BE71E3" w:rsidRPr="004737C5" w:rsidRDefault="00BE71E3" w:rsidP="006D3BE8">
      <w:pPr>
        <w:rPr>
          <w:rFonts w:cstheme="minorHAnsi"/>
        </w:rPr>
      </w:pPr>
      <w:r w:rsidRPr="004737C5">
        <w:rPr>
          <w:rFonts w:cstheme="minorHAnsi"/>
        </w:rPr>
        <w:t>However, as concerns about the power of advertising to pr</w:t>
      </w:r>
      <w:r w:rsidR="00361252" w:rsidRPr="004737C5">
        <w:rPr>
          <w:rFonts w:cstheme="minorHAnsi"/>
        </w:rPr>
        <w:t xml:space="preserve">omote consumption increase, </w:t>
      </w:r>
      <w:r w:rsidRPr="004737C5">
        <w:rPr>
          <w:rFonts w:cstheme="minorHAnsi"/>
        </w:rPr>
        <w:t>where that consumption comes into clearer conflict with the aim of a particular</w:t>
      </w:r>
      <w:r w:rsidR="00361252" w:rsidRPr="004737C5">
        <w:rPr>
          <w:rFonts w:cstheme="minorHAnsi"/>
        </w:rPr>
        <w:t xml:space="preserve"> public policy (such as health)</w:t>
      </w:r>
      <w:r w:rsidRPr="004737C5">
        <w:rPr>
          <w:rFonts w:cstheme="minorHAnsi"/>
        </w:rPr>
        <w:t xml:space="preserve"> there are inevitably calls for control of advertising to be exercised by people who do not have vested interests in the industry. Where there are public policy objectives around particular products, the issues at stake are not about the advert</w:t>
      </w:r>
      <w:r w:rsidR="00903B7A" w:rsidRPr="004737C5">
        <w:rPr>
          <w:rFonts w:cstheme="minorHAnsi"/>
        </w:rPr>
        <w:t>isement</w:t>
      </w:r>
      <w:r w:rsidRPr="004737C5">
        <w:rPr>
          <w:rFonts w:cstheme="minorHAnsi"/>
        </w:rPr>
        <w:t>s themselves but about the products being advertised. Current examples include the marketing of food to children, the promotion of pharmaceutical products and repeated calls for partial or total bans on tobacco advertising. The implementation of such a ban has progressed somewhat in the E</w:t>
      </w:r>
      <w:r w:rsidR="00361252" w:rsidRPr="004737C5">
        <w:rPr>
          <w:rFonts w:cstheme="minorHAnsi"/>
        </w:rPr>
        <w:t>uropean Union and, more recently,</w:t>
      </w:r>
      <w:r w:rsidRPr="004737C5">
        <w:rPr>
          <w:rFonts w:cstheme="minorHAnsi"/>
        </w:rPr>
        <w:t xml:space="preserve"> in the Russian Federation, which banned all tobacco advertising with effect from 2</w:t>
      </w:r>
      <w:r w:rsidR="00361252" w:rsidRPr="004737C5">
        <w:rPr>
          <w:rFonts w:cstheme="minorHAnsi"/>
        </w:rPr>
        <w:t>014. Many consumer associations</w:t>
      </w:r>
      <w:r w:rsidRPr="004737C5">
        <w:rPr>
          <w:rFonts w:cstheme="minorHAnsi"/>
        </w:rPr>
        <w:t xml:space="preserve"> have taken part in campaigns, most recently in Mexico on sugary drinks, to restrict advertising for certain products that are consider</w:t>
      </w:r>
      <w:r w:rsidR="00361252" w:rsidRPr="004737C5">
        <w:rPr>
          <w:rFonts w:cstheme="minorHAnsi"/>
        </w:rPr>
        <w:t>ed to be intrinsically harmful.</w:t>
      </w:r>
      <w:r w:rsidRPr="004737C5">
        <w:rPr>
          <w:rStyle w:val="FootnoteReference"/>
          <w:rFonts w:cstheme="minorHAnsi"/>
        </w:rPr>
        <w:footnoteReference w:id="171"/>
      </w:r>
    </w:p>
    <w:p w14:paraId="3FB48652" w14:textId="2E5168DB" w:rsidR="00BE71E3" w:rsidRPr="004737C5" w:rsidRDefault="00587033" w:rsidP="006D3BE8">
      <w:pPr>
        <w:rPr>
          <w:rFonts w:cstheme="minorHAnsi"/>
        </w:rPr>
      </w:pPr>
      <w:r w:rsidRPr="004737C5">
        <w:rPr>
          <w:rFonts w:cstheme="minorHAnsi"/>
        </w:rPr>
        <w:t>Such moves</w:t>
      </w:r>
      <w:r w:rsidR="00BE71E3" w:rsidRPr="004737C5">
        <w:rPr>
          <w:rFonts w:cstheme="minorHAnsi"/>
        </w:rPr>
        <w:t xml:space="preserve"> mark a step beyond the activity of self-regulation in evaluating individual advertise</w:t>
      </w:r>
      <w:r w:rsidR="00361252" w:rsidRPr="004737C5">
        <w:rPr>
          <w:rFonts w:cstheme="minorHAnsi"/>
        </w:rPr>
        <w:t>ments. One can conceive of “correct”</w:t>
      </w:r>
      <w:r w:rsidR="00BE71E3" w:rsidRPr="004737C5">
        <w:rPr>
          <w:rFonts w:cstheme="minorHAnsi"/>
        </w:rPr>
        <w:t xml:space="preserve"> product information about a product for which promotion</w:t>
      </w:r>
      <w:r w:rsidR="00361252" w:rsidRPr="004737C5">
        <w:rPr>
          <w:rFonts w:cstheme="minorHAnsi"/>
        </w:rPr>
        <w:t>al advertising is banned (e.g. “smoking kills”</w:t>
      </w:r>
      <w:r w:rsidR="00BE71E3" w:rsidRPr="004737C5">
        <w:rPr>
          <w:rFonts w:cstheme="minorHAnsi"/>
        </w:rPr>
        <w:t xml:space="preserve"> on cigarette packets) in contrast with misleading advertising of an innocuous product. Self-regulation would apply to the latter, whereas advertising in defiance of an advertising ban on that particular product would be a matter for regulatory enforcement. </w:t>
      </w:r>
    </w:p>
    <w:p w14:paraId="0B91C80A" w14:textId="42AC240E" w:rsidR="00BE71E3" w:rsidRPr="004737C5" w:rsidRDefault="00BE71E3" w:rsidP="006D3BE8">
      <w:pPr>
        <w:rPr>
          <w:rFonts w:cstheme="minorHAnsi"/>
          <w:b/>
          <w:color w:val="FF0000"/>
        </w:rPr>
      </w:pPr>
      <w:r w:rsidRPr="004737C5">
        <w:rPr>
          <w:rFonts w:cstheme="minorHAnsi"/>
        </w:rPr>
        <w:lastRenderedPageBreak/>
        <w:t>Consumer associations have been involved in ad</w:t>
      </w:r>
      <w:r w:rsidR="00361252" w:rsidRPr="004737C5">
        <w:rPr>
          <w:rFonts w:cstheme="minorHAnsi"/>
        </w:rPr>
        <w:t>vocacy regarding such measures.</w:t>
      </w:r>
      <w:r w:rsidR="00587033" w:rsidRPr="004737C5">
        <w:rPr>
          <w:rFonts w:cstheme="minorHAnsi"/>
        </w:rPr>
        <w:t xml:space="preserve"> For example, health warnings </w:t>
      </w:r>
      <w:r w:rsidRPr="004737C5">
        <w:rPr>
          <w:rFonts w:cstheme="minorHAnsi"/>
        </w:rPr>
        <w:t>clearly apply to advertisements for products proven to be addictive and unsafe, such as cigarettes and alcohol. It is increasingly accepted that there is a role for measures around aggressive advertisements targeting children at a vulnerable age to c</w:t>
      </w:r>
      <w:r w:rsidR="00587033" w:rsidRPr="004737C5">
        <w:rPr>
          <w:rFonts w:cstheme="minorHAnsi"/>
        </w:rPr>
        <w:t>onsume foods high in fat, sugar</w:t>
      </w:r>
      <w:r w:rsidRPr="004737C5">
        <w:rPr>
          <w:rFonts w:cstheme="minorHAnsi"/>
        </w:rPr>
        <w:t xml:space="preserve"> and salt and ther</w:t>
      </w:r>
      <w:r w:rsidR="00361252" w:rsidRPr="004737C5">
        <w:rPr>
          <w:rFonts w:cstheme="minorHAnsi"/>
        </w:rPr>
        <w:t>e is a WHO code to that effect.</w:t>
      </w:r>
      <w:r w:rsidRPr="004737C5">
        <w:rPr>
          <w:rStyle w:val="FootnoteReference"/>
          <w:rFonts w:cstheme="minorHAnsi"/>
        </w:rPr>
        <w:footnoteReference w:id="172"/>
      </w:r>
    </w:p>
    <w:p w14:paraId="72B3EFB6" w14:textId="77777777" w:rsidR="00BE71E3" w:rsidRPr="004737C5" w:rsidRDefault="00BE71E3" w:rsidP="00587033">
      <w:pPr>
        <w:rPr>
          <w:rFonts w:cstheme="minorHAnsi"/>
        </w:rPr>
      </w:pPr>
      <w:r w:rsidRPr="004737C5">
        <w:rPr>
          <w:rFonts w:cstheme="minorHAnsi"/>
        </w:rPr>
        <w:t xml:space="preserve">Other campaigns involve judgments that are more context-based. They include: </w:t>
      </w:r>
    </w:p>
    <w:p w14:paraId="7C000F47" w14:textId="77777777" w:rsidR="00BE71E3" w:rsidRPr="004737C5" w:rsidRDefault="00361252" w:rsidP="002473E9">
      <w:pPr>
        <w:pStyle w:val="ListParagraph"/>
        <w:numPr>
          <w:ilvl w:val="0"/>
          <w:numId w:val="70"/>
        </w:numPr>
        <w:ind w:left="709" w:hanging="425"/>
        <w:rPr>
          <w:rFonts w:cstheme="minorHAnsi"/>
        </w:rPr>
      </w:pPr>
      <w:r w:rsidRPr="004737C5">
        <w:rPr>
          <w:rFonts w:cstheme="minorHAnsi"/>
        </w:rPr>
        <w:t>Advert</w:t>
      </w:r>
      <w:r w:rsidR="00903B7A" w:rsidRPr="004737C5">
        <w:rPr>
          <w:rFonts w:cstheme="minorHAnsi"/>
        </w:rPr>
        <w:t>isement</w:t>
      </w:r>
      <w:r w:rsidR="00BE71E3" w:rsidRPr="004737C5">
        <w:rPr>
          <w:rFonts w:cstheme="minorHAnsi"/>
        </w:rPr>
        <w:t>s for breastmilk substitutes that mislead women in locations where they cannot use the product as intended (because of poor water supply</w:t>
      </w:r>
      <w:r w:rsidRPr="004737C5">
        <w:rPr>
          <w:rFonts w:cstheme="minorHAnsi"/>
        </w:rPr>
        <w:t>,</w:t>
      </w:r>
      <w:r w:rsidR="00BE71E3" w:rsidRPr="004737C5">
        <w:rPr>
          <w:rFonts w:cstheme="minorHAnsi"/>
        </w:rPr>
        <w:t xml:space="preserve"> for example). </w:t>
      </w:r>
    </w:p>
    <w:p w14:paraId="295701DE" w14:textId="77777777" w:rsidR="00BE71E3" w:rsidRPr="004737C5" w:rsidRDefault="00361252" w:rsidP="002473E9">
      <w:pPr>
        <w:pStyle w:val="ListParagraph"/>
        <w:numPr>
          <w:ilvl w:val="0"/>
          <w:numId w:val="70"/>
        </w:numPr>
        <w:ind w:left="709" w:hanging="425"/>
        <w:rPr>
          <w:rFonts w:cstheme="minorHAnsi"/>
        </w:rPr>
      </w:pPr>
      <w:r w:rsidRPr="004737C5">
        <w:rPr>
          <w:rFonts w:cstheme="minorHAnsi"/>
        </w:rPr>
        <w:t>Advert</w:t>
      </w:r>
      <w:r w:rsidR="00903B7A" w:rsidRPr="004737C5">
        <w:rPr>
          <w:rFonts w:cstheme="minorHAnsi"/>
        </w:rPr>
        <w:t>isement</w:t>
      </w:r>
      <w:r w:rsidR="00BE71E3" w:rsidRPr="004737C5">
        <w:rPr>
          <w:rFonts w:cstheme="minorHAnsi"/>
        </w:rPr>
        <w:t>s that target consumers at particularly vulnerable moments such as default and debt, such as pay day loans. The existence of abuse is proved beyond doubt, but to what extent it is a matter of banning advertising or ensuring that it is not misleading or regulating the actual produc</w:t>
      </w:r>
      <w:r w:rsidRPr="004737C5">
        <w:rPr>
          <w:rFonts w:cstheme="minorHAnsi"/>
        </w:rPr>
        <w:t>t, is a more complex matter.</w:t>
      </w:r>
    </w:p>
    <w:p w14:paraId="09EF6ADB" w14:textId="77777777" w:rsidR="00BE71E3" w:rsidRPr="004737C5" w:rsidRDefault="00BE71E3" w:rsidP="002473E9">
      <w:pPr>
        <w:pStyle w:val="ListParagraph"/>
        <w:numPr>
          <w:ilvl w:val="0"/>
          <w:numId w:val="70"/>
        </w:numPr>
        <w:ind w:left="709" w:hanging="425"/>
        <w:rPr>
          <w:rFonts w:cstheme="minorHAnsi"/>
        </w:rPr>
      </w:pPr>
      <w:r w:rsidRPr="004737C5">
        <w:rPr>
          <w:rFonts w:cstheme="minorHAnsi"/>
        </w:rPr>
        <w:t>Ad</w:t>
      </w:r>
      <w:r w:rsidR="00361252" w:rsidRPr="004737C5">
        <w:rPr>
          <w:rFonts w:cstheme="minorHAnsi"/>
        </w:rPr>
        <w:t>vert</w:t>
      </w:r>
      <w:r w:rsidR="00903B7A" w:rsidRPr="004737C5">
        <w:rPr>
          <w:rFonts w:cstheme="minorHAnsi"/>
        </w:rPr>
        <w:t>isement</w:t>
      </w:r>
      <w:r w:rsidRPr="004737C5">
        <w:rPr>
          <w:rFonts w:cstheme="minorHAnsi"/>
        </w:rPr>
        <w:t>s for products that contain toxic chemicals for which there is as yet no consensus or conclusive scientific proof of safety levels, such as p</w:t>
      </w:r>
      <w:r w:rsidR="00361252" w:rsidRPr="004737C5">
        <w:rPr>
          <w:rFonts w:cstheme="minorHAnsi"/>
        </w:rPr>
        <w:t>esticides, monosodium glutamate and aspartame</w:t>
      </w:r>
      <w:r w:rsidRPr="004737C5">
        <w:rPr>
          <w:rFonts w:cstheme="minorHAnsi"/>
        </w:rPr>
        <w:t>.</w:t>
      </w:r>
    </w:p>
    <w:p w14:paraId="40E318CB" w14:textId="77777777" w:rsidR="00F13550" w:rsidRPr="004737C5" w:rsidRDefault="00BE71E3" w:rsidP="006D3BE8">
      <w:pPr>
        <w:rPr>
          <w:rFonts w:cstheme="minorHAnsi"/>
        </w:rPr>
      </w:pPr>
      <w:r w:rsidRPr="004737C5">
        <w:rPr>
          <w:rFonts w:cstheme="minorHAnsi"/>
        </w:rPr>
        <w:t>The history of such campaigns has tended to be that consumer concerns have been raised at t</w:t>
      </w:r>
      <w:r w:rsidR="00361252" w:rsidRPr="004737C5">
        <w:rPr>
          <w:rFonts w:cstheme="minorHAnsi"/>
        </w:rPr>
        <w:t>he international level at inter</w:t>
      </w:r>
      <w:r w:rsidRPr="004737C5">
        <w:rPr>
          <w:rFonts w:cstheme="minorHAnsi"/>
        </w:rPr>
        <w:t>government</w:t>
      </w:r>
      <w:r w:rsidR="00361252" w:rsidRPr="004737C5">
        <w:rPr>
          <w:rFonts w:cstheme="minorHAnsi"/>
        </w:rPr>
        <w:t>al</w:t>
      </w:r>
      <w:r w:rsidRPr="004737C5">
        <w:rPr>
          <w:rFonts w:cstheme="minorHAnsi"/>
        </w:rPr>
        <w:t xml:space="preserve"> organizations such as the </w:t>
      </w:r>
      <w:r w:rsidRPr="004737C5">
        <w:rPr>
          <w:rFonts w:cstheme="minorHAnsi"/>
          <w:i/>
          <w:iCs/>
        </w:rPr>
        <w:t>Codex Alimentarius</w:t>
      </w:r>
      <w:r w:rsidRPr="004737C5">
        <w:rPr>
          <w:rFonts w:cstheme="minorHAnsi"/>
        </w:rPr>
        <w:t xml:space="preserve"> Commis</w:t>
      </w:r>
      <w:r w:rsidR="00361252" w:rsidRPr="004737C5">
        <w:rPr>
          <w:rFonts w:cstheme="minorHAnsi"/>
        </w:rPr>
        <w:t>sion, World Health Organization and</w:t>
      </w:r>
      <w:r w:rsidRPr="004737C5">
        <w:rPr>
          <w:rFonts w:cstheme="minorHAnsi"/>
        </w:rPr>
        <w:t xml:space="preserve"> Foo</w:t>
      </w:r>
      <w:r w:rsidR="00361252" w:rsidRPr="004737C5">
        <w:rPr>
          <w:rFonts w:cstheme="minorHAnsi"/>
        </w:rPr>
        <w:t>d and Agriculture Organization.</w:t>
      </w:r>
      <w:r w:rsidRPr="004737C5">
        <w:rPr>
          <w:rFonts w:cstheme="minorHAnsi"/>
        </w:rPr>
        <w:t xml:space="preserve"> Consumer organizations have usually supported the advice </w:t>
      </w:r>
      <w:r w:rsidR="00361252" w:rsidRPr="004737C5">
        <w:rPr>
          <w:rFonts w:cstheme="minorHAnsi"/>
        </w:rPr>
        <w:t>of the international bodies,</w:t>
      </w:r>
      <w:r w:rsidRPr="004737C5">
        <w:rPr>
          <w:rFonts w:cstheme="minorHAnsi"/>
        </w:rPr>
        <w:t xml:space="preserve"> opposition coming rather from governments and from corporate lobbies.</w:t>
      </w:r>
    </w:p>
    <w:tbl>
      <w:tblPr>
        <w:tblStyle w:val="TableGrid"/>
        <w:tblW w:w="0" w:type="auto"/>
        <w:tblLook w:val="04A0" w:firstRow="1" w:lastRow="0" w:firstColumn="1" w:lastColumn="0" w:noHBand="0" w:noVBand="1"/>
      </w:tblPr>
      <w:tblGrid>
        <w:gridCol w:w="9243"/>
      </w:tblGrid>
      <w:tr w:rsidR="00F13550" w:rsidRPr="004737C5" w14:paraId="61E3872B" w14:textId="77777777" w:rsidTr="00F13550">
        <w:tc>
          <w:tcPr>
            <w:tcW w:w="9628" w:type="dxa"/>
          </w:tcPr>
          <w:p w14:paraId="633AF74A" w14:textId="77777777" w:rsidR="00F13550" w:rsidRPr="004737C5" w:rsidRDefault="00F13550" w:rsidP="00F13550">
            <w:pPr>
              <w:rPr>
                <w:rFonts w:cstheme="minorHAnsi"/>
                <w:b/>
              </w:rPr>
            </w:pPr>
            <w:r w:rsidRPr="004737C5">
              <w:rPr>
                <w:rFonts w:cstheme="minorHAnsi"/>
                <w:b/>
              </w:rPr>
              <w:t>Box 9. The WHO/UNICEF International Code of Marketing of Breastmilk Substitutes</w:t>
            </w:r>
          </w:p>
          <w:p w14:paraId="682DC006" w14:textId="77777777" w:rsidR="00F13550" w:rsidRPr="004737C5" w:rsidRDefault="00F13550" w:rsidP="00587033">
            <w:pPr>
              <w:spacing w:before="160"/>
              <w:rPr>
                <w:rFonts w:cstheme="minorHAnsi"/>
              </w:rPr>
            </w:pPr>
            <w:r w:rsidRPr="004737C5">
              <w:rPr>
                <w:rFonts w:cstheme="minorHAnsi"/>
              </w:rPr>
              <w:t>According to UNICEF, “optimal breastfeeding of infants under two years of age has the greatest potential impact on child survival of all preventive interventions, with the potential to prevent over 800,000 deaths (13 percent of all deaths) in children under five in the developing world.</w:t>
            </w:r>
          </w:p>
          <w:p w14:paraId="3E2CA6D5" w14:textId="24716DAC" w:rsidR="00F13550" w:rsidRPr="004737C5" w:rsidRDefault="00F13550" w:rsidP="00587033">
            <w:pPr>
              <w:spacing w:before="160"/>
              <w:rPr>
                <w:rFonts w:cstheme="minorHAnsi"/>
              </w:rPr>
            </w:pPr>
            <w:r w:rsidRPr="004737C5">
              <w:rPr>
                <w:rFonts w:cstheme="minorHAnsi"/>
              </w:rPr>
              <w:t xml:space="preserve">Breastfed children have an at least six times greater chance of survival in the early months than non-breastfed children. An exclusively breastfed child is 14 times less likely to die in the first six months than a non-breastfed child, and breastfeeding drastically reduces deaths from acute respiratory infection and diarrhoea, two major child killers. The potential impact of optimal breastfeeding practices is especially important in developing country situations with a high burden of disease and low access to clean water and sanitation. But non-breastfed children in industrialized countries are also at greater </w:t>
            </w:r>
            <w:r w:rsidR="00587033" w:rsidRPr="004737C5">
              <w:rPr>
                <w:rFonts w:cstheme="minorHAnsi"/>
              </w:rPr>
              <w:t>risk of dying …</w:t>
            </w:r>
            <w:r w:rsidRPr="004737C5">
              <w:rPr>
                <w:rFonts w:cstheme="minorHAnsi"/>
              </w:rPr>
              <w:t xml:space="preserve"> In the United Kingdom Millennium Cohort Survey, six months of exclusive breastfeeding was</w:t>
            </w:r>
            <w:r w:rsidR="00103B40" w:rsidRPr="004737C5">
              <w:rPr>
                <w:rFonts w:cstheme="minorHAnsi"/>
              </w:rPr>
              <w:t xml:space="preserve"> </w:t>
            </w:r>
            <w:r w:rsidRPr="004737C5">
              <w:rPr>
                <w:rFonts w:cstheme="minorHAnsi"/>
              </w:rPr>
              <w:t>associated with a 53 percent decrease in hospital admissions for diarrhoea and a 27 percent decrease i</w:t>
            </w:r>
            <w:r w:rsidR="00587033" w:rsidRPr="004737C5">
              <w:rPr>
                <w:rFonts w:cstheme="minorHAnsi"/>
              </w:rPr>
              <w:t>n respiratory tract infections.”</w:t>
            </w:r>
            <w:r w:rsidRPr="004737C5">
              <w:rPr>
                <w:rFonts w:cstheme="minorHAnsi"/>
              </w:rPr>
              <w:t xml:space="preserve">  </w:t>
            </w:r>
          </w:p>
          <w:p w14:paraId="52090E7F" w14:textId="77777777" w:rsidR="00F13550" w:rsidRPr="004737C5" w:rsidRDefault="00F13550" w:rsidP="00587033">
            <w:pPr>
              <w:spacing w:before="160"/>
              <w:rPr>
                <w:rFonts w:cstheme="minorHAnsi"/>
              </w:rPr>
            </w:pPr>
            <w:r w:rsidRPr="004737C5">
              <w:rPr>
                <w:rFonts w:cstheme="minorHAnsi"/>
              </w:rPr>
              <w:t>The WHO/UNICEF International Code of Marketing of Breastmilk Substitutes was drafted to deal with advertising of breastmilk substitutes, which was judged to discourage women from breastfeeding by presenting the marketed alternative as safer, promoting it as equally or more nutritious than, or even “equivalent” to, breastmilk. The evidence is clear that it is not, and</w:t>
            </w:r>
            <w:r w:rsidR="008D3617" w:rsidRPr="004737C5">
              <w:rPr>
                <w:rFonts w:cstheme="minorHAnsi"/>
              </w:rPr>
              <w:t xml:space="preserve"> this is made clear in the c</w:t>
            </w:r>
            <w:r w:rsidRPr="004737C5">
              <w:rPr>
                <w:rFonts w:cstheme="minorHAnsi"/>
              </w:rPr>
              <w:t>ode and subsequent guidelines.</w:t>
            </w:r>
          </w:p>
          <w:p w14:paraId="407E052A" w14:textId="50E25AD3" w:rsidR="00F13550" w:rsidRPr="004737C5" w:rsidRDefault="008D3617" w:rsidP="00587033">
            <w:pPr>
              <w:spacing w:before="160"/>
              <w:rPr>
                <w:rFonts w:cstheme="minorHAnsi"/>
              </w:rPr>
            </w:pPr>
            <w:r w:rsidRPr="004737C5">
              <w:rPr>
                <w:rFonts w:cstheme="minorHAnsi"/>
              </w:rPr>
              <w:t>The c</w:t>
            </w:r>
            <w:r w:rsidR="00F13550" w:rsidRPr="004737C5">
              <w:rPr>
                <w:rFonts w:cstheme="minorHAnsi"/>
              </w:rPr>
              <w:t>ode was adopted at the World Health Assembly in May 1981 and remains very relevant. Since 1981, many countries have enacted legislation implementing all or many of it</w:t>
            </w:r>
            <w:r w:rsidRPr="004737C5">
              <w:rPr>
                <w:rFonts w:cstheme="minorHAnsi"/>
              </w:rPr>
              <w:t>s provisions. The scope of the c</w:t>
            </w:r>
            <w:r w:rsidR="00F13550" w:rsidRPr="004737C5">
              <w:rPr>
                <w:rFonts w:cstheme="minorHAnsi"/>
              </w:rPr>
              <w:t xml:space="preserve">ode extends to breastmilk substitutes including infant formula, other milk products, foods and beverages, including complementary foods that are marketed as a partial or total replacement </w:t>
            </w:r>
            <w:r w:rsidR="00F13550" w:rsidRPr="004737C5">
              <w:rPr>
                <w:rFonts w:cstheme="minorHAnsi"/>
              </w:rPr>
              <w:lastRenderedPageBreak/>
              <w:t>of breastmilk and feeding bottles and tea</w:t>
            </w:r>
            <w:r w:rsidRPr="004737C5">
              <w:rPr>
                <w:rFonts w:cstheme="minorHAnsi"/>
              </w:rPr>
              <w:t>ts. The main provisions of the c</w:t>
            </w:r>
            <w:r w:rsidR="00F13550" w:rsidRPr="004737C5">
              <w:rPr>
                <w:rFonts w:cstheme="minorHAnsi"/>
              </w:rPr>
              <w:t>ode relate to the protection and promotion of breastfeeding and the appropriate marketing and distribu</w:t>
            </w:r>
            <w:r w:rsidRPr="004737C5">
              <w:rPr>
                <w:rFonts w:cstheme="minorHAnsi"/>
              </w:rPr>
              <w:t>tion of breastmilk substitutes.</w:t>
            </w:r>
            <w:r w:rsidR="00F13550" w:rsidRPr="004737C5">
              <w:rPr>
                <w:rFonts w:cstheme="minorHAnsi"/>
              </w:rPr>
              <w:t xml:space="preserve"> For example, the code prohibits advertising of these products to the public, free samples to mothers, promot</w:t>
            </w:r>
            <w:r w:rsidR="00587033" w:rsidRPr="004737C5">
              <w:rPr>
                <w:rFonts w:cstheme="minorHAnsi"/>
              </w:rPr>
              <w:t>ion of these products in health</w:t>
            </w:r>
            <w:r w:rsidR="00F13550" w:rsidRPr="004737C5">
              <w:rPr>
                <w:rFonts w:cstheme="minorHAnsi"/>
              </w:rPr>
              <w:t>care</w:t>
            </w:r>
            <w:r w:rsidRPr="004737C5">
              <w:rPr>
                <w:rFonts w:cstheme="minorHAnsi"/>
              </w:rPr>
              <w:t xml:space="preserve"> facilities,</w:t>
            </w:r>
            <w:r w:rsidR="00F13550" w:rsidRPr="004737C5">
              <w:rPr>
                <w:rFonts w:cstheme="minorHAnsi"/>
              </w:rPr>
              <w:t xml:space="preserve"> nurses advising mothers, gift</w:t>
            </w:r>
            <w:r w:rsidR="00587033" w:rsidRPr="004737C5">
              <w:rPr>
                <w:rFonts w:cstheme="minorHAnsi"/>
              </w:rPr>
              <w:t xml:space="preserve">s or personal samples to health </w:t>
            </w:r>
            <w:r w:rsidR="00F13550" w:rsidRPr="004737C5">
              <w:rPr>
                <w:rFonts w:cstheme="minorHAnsi"/>
              </w:rPr>
              <w:t>workers and words or pictures idealising artificial feeding.</w:t>
            </w:r>
          </w:p>
          <w:p w14:paraId="3D98ECBB" w14:textId="77777777" w:rsidR="008D3617" w:rsidRPr="004737C5" w:rsidRDefault="008D3617" w:rsidP="00587033">
            <w:pPr>
              <w:spacing w:before="160"/>
              <w:rPr>
                <w:rFonts w:cstheme="minorHAnsi"/>
              </w:rPr>
            </w:pPr>
            <w:r w:rsidRPr="004737C5">
              <w:rPr>
                <w:rFonts w:cstheme="minorHAnsi"/>
              </w:rPr>
              <w:t xml:space="preserve">The effects of codes are always difficult to assess precisely, and the fact of high profile controversy around them can contribute to raising the profile of the issue. Recent trends have significance for both pessimists and optimists. For while breastfeeding rates are no longer declining at the global level (indeed, many countries experienced significant increases in the last decade), </w:t>
            </w:r>
            <w:r w:rsidRPr="004737C5">
              <w:rPr>
                <w:rStyle w:val="Strong"/>
                <w:rFonts w:cstheme="minorHAnsi"/>
                <w:b w:val="0"/>
              </w:rPr>
              <w:t>only 39 percent of children less than six months of age in the developing world are exclusively breastfed</w:t>
            </w:r>
            <w:r w:rsidRPr="004737C5">
              <w:rPr>
                <w:rFonts w:cstheme="minorHAnsi"/>
              </w:rPr>
              <w:t xml:space="preserve"> and just 58 percent of 20‒23 month olds benefit from the practice of continued breastfeeding.</w:t>
            </w:r>
            <w:r w:rsidRPr="004737C5">
              <w:rPr>
                <w:rStyle w:val="FootnoteReference"/>
                <w:rFonts w:cstheme="minorHAnsi"/>
              </w:rPr>
              <w:footnoteReference w:id="173"/>
            </w:r>
          </w:p>
          <w:p w14:paraId="2EBE9EEC" w14:textId="712C4765" w:rsidR="00F13550" w:rsidRPr="004737C5" w:rsidRDefault="008D3617" w:rsidP="00082BFB">
            <w:pPr>
              <w:spacing w:before="160"/>
              <w:rPr>
                <w:rFonts w:cstheme="minorHAnsi"/>
                <w:sz w:val="20"/>
                <w:szCs w:val="20"/>
              </w:rPr>
            </w:pPr>
            <w:r w:rsidRPr="004737C5">
              <w:rPr>
                <w:rFonts w:cstheme="minorHAnsi"/>
                <w:i/>
                <w:sz w:val="20"/>
                <w:szCs w:val="20"/>
              </w:rPr>
              <w:t>Source</w:t>
            </w:r>
            <w:r w:rsidRPr="004737C5">
              <w:rPr>
                <w:rFonts w:cstheme="minorHAnsi"/>
                <w:sz w:val="20"/>
                <w:szCs w:val="20"/>
              </w:rPr>
              <w:t>: UNCTAD drawing upon UNICEF</w:t>
            </w:r>
            <w:r w:rsidR="005B6DC6" w:rsidRPr="004737C5">
              <w:rPr>
                <w:rFonts w:cstheme="minorHAnsi"/>
                <w:sz w:val="20"/>
                <w:szCs w:val="20"/>
              </w:rPr>
              <w:t>.</w:t>
            </w:r>
          </w:p>
        </w:tc>
      </w:tr>
    </w:tbl>
    <w:p w14:paraId="70C568BD" w14:textId="77777777" w:rsidR="00BE71E3" w:rsidRPr="004737C5" w:rsidRDefault="00BE71E3" w:rsidP="00BD2919">
      <w:pPr>
        <w:spacing w:before="200"/>
        <w:rPr>
          <w:rFonts w:cstheme="minorHAnsi"/>
          <w:b/>
        </w:rPr>
      </w:pPr>
      <w:r w:rsidRPr="004737C5">
        <w:rPr>
          <w:rFonts w:cstheme="minorHAnsi"/>
          <w:b/>
        </w:rPr>
        <w:lastRenderedPageBreak/>
        <w:t>1</w:t>
      </w:r>
      <w:r w:rsidR="008D3617" w:rsidRPr="004737C5">
        <w:rPr>
          <w:rFonts w:cstheme="minorHAnsi"/>
          <w:b/>
        </w:rPr>
        <w:t>.</w:t>
      </w:r>
      <w:r w:rsidRPr="004737C5">
        <w:rPr>
          <w:rFonts w:cstheme="minorHAnsi"/>
          <w:b/>
        </w:rPr>
        <w:t xml:space="preserve"> Criteria for advertising</w:t>
      </w:r>
    </w:p>
    <w:p w14:paraId="60501EFB" w14:textId="77777777" w:rsidR="00BE71E3" w:rsidRPr="004737C5" w:rsidRDefault="00BE71E3" w:rsidP="00082BFB">
      <w:pPr>
        <w:rPr>
          <w:rFonts w:cstheme="minorHAnsi"/>
        </w:rPr>
      </w:pPr>
      <w:r w:rsidRPr="004737C5">
        <w:rPr>
          <w:rFonts w:cstheme="minorHAnsi"/>
        </w:rPr>
        <w:t xml:space="preserve">The following are criteria to assess whether advertisements are socially and legally responsible: </w:t>
      </w:r>
    </w:p>
    <w:p w14:paraId="7CC17AFE" w14:textId="3A5D0241" w:rsidR="00BE71E3" w:rsidRPr="004737C5" w:rsidRDefault="00BE71E3" w:rsidP="002473E9">
      <w:pPr>
        <w:numPr>
          <w:ilvl w:val="0"/>
          <w:numId w:val="58"/>
        </w:numPr>
        <w:tabs>
          <w:tab w:val="clear" w:pos="360"/>
          <w:tab w:val="num" w:pos="709"/>
        </w:tabs>
        <w:spacing w:after="0"/>
        <w:ind w:left="709" w:hanging="425"/>
        <w:rPr>
          <w:rFonts w:cstheme="minorHAnsi"/>
        </w:rPr>
      </w:pPr>
      <w:r w:rsidRPr="004737C5">
        <w:rPr>
          <w:rFonts w:cstheme="minorHAnsi"/>
        </w:rPr>
        <w:t>Advertising should comply with national and internati</w:t>
      </w:r>
      <w:r w:rsidR="008D3617" w:rsidRPr="004737C5">
        <w:rPr>
          <w:rFonts w:cstheme="minorHAnsi"/>
        </w:rPr>
        <w:t>onal codes of practice and laws</w:t>
      </w:r>
      <w:r w:rsidR="00082BFB" w:rsidRPr="004737C5">
        <w:rPr>
          <w:rFonts w:cstheme="minorHAnsi"/>
        </w:rPr>
        <w:t>.</w:t>
      </w:r>
    </w:p>
    <w:p w14:paraId="25984D20" w14:textId="3611DE87" w:rsidR="00BE71E3" w:rsidRPr="004737C5" w:rsidRDefault="00BE71E3" w:rsidP="002473E9">
      <w:pPr>
        <w:numPr>
          <w:ilvl w:val="0"/>
          <w:numId w:val="58"/>
        </w:numPr>
        <w:tabs>
          <w:tab w:val="clear" w:pos="360"/>
          <w:tab w:val="num" w:pos="709"/>
        </w:tabs>
        <w:spacing w:after="0"/>
        <w:ind w:left="709" w:hanging="425"/>
        <w:rPr>
          <w:rFonts w:cstheme="minorHAnsi"/>
        </w:rPr>
      </w:pPr>
      <w:r w:rsidRPr="004737C5">
        <w:rPr>
          <w:rFonts w:cstheme="minorHAnsi"/>
        </w:rPr>
        <w:t>Advertisements should be truthful and accurate and be n</w:t>
      </w:r>
      <w:r w:rsidR="008D3617" w:rsidRPr="004737C5">
        <w:rPr>
          <w:rFonts w:cstheme="minorHAnsi"/>
        </w:rPr>
        <w:t>either deceptive nor misleading</w:t>
      </w:r>
      <w:r w:rsidR="00082BFB" w:rsidRPr="004737C5">
        <w:rPr>
          <w:rFonts w:cstheme="minorHAnsi"/>
        </w:rPr>
        <w:t>.</w:t>
      </w:r>
    </w:p>
    <w:p w14:paraId="5ED37900" w14:textId="3E438D45" w:rsidR="00BE71E3" w:rsidRPr="004737C5" w:rsidRDefault="00BE71E3" w:rsidP="002473E9">
      <w:pPr>
        <w:numPr>
          <w:ilvl w:val="0"/>
          <w:numId w:val="58"/>
        </w:numPr>
        <w:tabs>
          <w:tab w:val="clear" w:pos="360"/>
          <w:tab w:val="num" w:pos="709"/>
        </w:tabs>
        <w:spacing w:after="0"/>
        <w:ind w:left="709" w:hanging="425"/>
        <w:rPr>
          <w:rFonts w:cstheme="minorHAnsi"/>
        </w:rPr>
      </w:pPr>
      <w:r w:rsidRPr="004737C5">
        <w:rPr>
          <w:rFonts w:cstheme="minorHAnsi"/>
        </w:rPr>
        <w:t>All advertising claims (verbal and visual) should refrain from using vague statements, superlatives, exaggerations or comparisons which may be misunderstood or misconstrued, especially if the audience a</w:t>
      </w:r>
      <w:r w:rsidR="008D3617" w:rsidRPr="004737C5">
        <w:rPr>
          <w:rFonts w:cstheme="minorHAnsi"/>
        </w:rPr>
        <w:t>re less sophisticated consumers</w:t>
      </w:r>
      <w:r w:rsidR="00082BFB" w:rsidRPr="004737C5">
        <w:rPr>
          <w:rFonts w:cstheme="minorHAnsi"/>
        </w:rPr>
        <w:t>.</w:t>
      </w:r>
    </w:p>
    <w:p w14:paraId="71D5CD90" w14:textId="3B7E5C84" w:rsidR="00BE71E3" w:rsidRPr="004737C5" w:rsidRDefault="00BE71E3" w:rsidP="002473E9">
      <w:pPr>
        <w:numPr>
          <w:ilvl w:val="0"/>
          <w:numId w:val="58"/>
        </w:numPr>
        <w:tabs>
          <w:tab w:val="clear" w:pos="360"/>
          <w:tab w:val="num" w:pos="709"/>
        </w:tabs>
        <w:spacing w:after="0"/>
        <w:ind w:left="709" w:hanging="425"/>
        <w:rPr>
          <w:rFonts w:cstheme="minorHAnsi"/>
        </w:rPr>
      </w:pPr>
      <w:r w:rsidRPr="004737C5">
        <w:rPr>
          <w:rFonts w:cstheme="minorHAnsi"/>
        </w:rPr>
        <w:t>All factual claims relating to the safety, performance, effectiveness and quality of the products and services should be substantiated in advance of their use, using expert testimonials and endorsements only when they are based on actual and normal use of the product or service and on the en</w:t>
      </w:r>
      <w:r w:rsidR="008D3617" w:rsidRPr="004737C5">
        <w:rPr>
          <w:rFonts w:cstheme="minorHAnsi"/>
        </w:rPr>
        <w:t>dorser’s knowledge in the field</w:t>
      </w:r>
      <w:r w:rsidR="00082BFB" w:rsidRPr="004737C5">
        <w:rPr>
          <w:rFonts w:cstheme="minorHAnsi"/>
        </w:rPr>
        <w:t>.</w:t>
      </w:r>
    </w:p>
    <w:p w14:paraId="323C01FA" w14:textId="48715414" w:rsidR="00BE71E3" w:rsidRPr="004737C5" w:rsidRDefault="00BE71E3" w:rsidP="002473E9">
      <w:pPr>
        <w:numPr>
          <w:ilvl w:val="0"/>
          <w:numId w:val="58"/>
        </w:numPr>
        <w:tabs>
          <w:tab w:val="clear" w:pos="360"/>
          <w:tab w:val="num" w:pos="709"/>
        </w:tabs>
        <w:spacing w:after="0"/>
        <w:ind w:left="709" w:hanging="425"/>
        <w:rPr>
          <w:rFonts w:cstheme="minorHAnsi"/>
        </w:rPr>
      </w:pPr>
      <w:r w:rsidRPr="004737C5">
        <w:rPr>
          <w:rFonts w:cstheme="minorHAnsi"/>
        </w:rPr>
        <w:t>In comparative advertising, product comparisons which are meaningful to consumer expectations and product use should be po</w:t>
      </w:r>
      <w:r w:rsidR="008D3617" w:rsidRPr="004737C5">
        <w:rPr>
          <w:rFonts w:cstheme="minorHAnsi"/>
        </w:rPr>
        <w:t xml:space="preserve">rtrayed accurately and clearly </w:t>
      </w:r>
      <w:r w:rsidRPr="004737C5">
        <w:rPr>
          <w:rFonts w:cstheme="minorHAnsi"/>
        </w:rPr>
        <w:t>a</w:t>
      </w:r>
      <w:r w:rsidR="008D3617" w:rsidRPr="004737C5">
        <w:rPr>
          <w:rFonts w:cstheme="minorHAnsi"/>
        </w:rPr>
        <w:t>nd be capable of substantiation</w:t>
      </w:r>
      <w:r w:rsidR="00082BFB" w:rsidRPr="004737C5">
        <w:rPr>
          <w:rFonts w:cstheme="minorHAnsi"/>
        </w:rPr>
        <w:t>.</w:t>
      </w:r>
    </w:p>
    <w:p w14:paraId="4324A69E" w14:textId="67F12773" w:rsidR="00BE71E3" w:rsidRPr="004737C5" w:rsidRDefault="00BE71E3" w:rsidP="002473E9">
      <w:pPr>
        <w:numPr>
          <w:ilvl w:val="0"/>
          <w:numId w:val="58"/>
        </w:numPr>
        <w:tabs>
          <w:tab w:val="clear" w:pos="360"/>
          <w:tab w:val="num" w:pos="709"/>
        </w:tabs>
        <w:spacing w:after="0"/>
        <w:ind w:left="709" w:hanging="425"/>
        <w:rPr>
          <w:rFonts w:cstheme="minorHAnsi"/>
        </w:rPr>
      </w:pPr>
      <w:r w:rsidRPr="004737C5">
        <w:rPr>
          <w:rFonts w:cstheme="minorHAnsi"/>
        </w:rPr>
        <w:t>Advertisements should depict safe use of products and not suggest product uses which present unreasonable safety risk for the consumer in fores</w:t>
      </w:r>
      <w:r w:rsidR="008D3617" w:rsidRPr="004737C5">
        <w:rPr>
          <w:rFonts w:cstheme="minorHAnsi"/>
        </w:rPr>
        <w:t>eeable use or misuse situations</w:t>
      </w:r>
      <w:r w:rsidR="00082BFB" w:rsidRPr="004737C5">
        <w:rPr>
          <w:rFonts w:cstheme="minorHAnsi"/>
        </w:rPr>
        <w:t>.</w:t>
      </w:r>
    </w:p>
    <w:p w14:paraId="7018CA38" w14:textId="6290752A" w:rsidR="00BE71E3" w:rsidRPr="004737C5" w:rsidRDefault="00BE71E3" w:rsidP="002473E9">
      <w:pPr>
        <w:numPr>
          <w:ilvl w:val="0"/>
          <w:numId w:val="58"/>
        </w:numPr>
        <w:tabs>
          <w:tab w:val="clear" w:pos="360"/>
          <w:tab w:val="num" w:pos="709"/>
        </w:tabs>
        <w:spacing w:after="0"/>
        <w:ind w:left="709" w:hanging="425"/>
        <w:rPr>
          <w:rFonts w:cstheme="minorHAnsi"/>
        </w:rPr>
      </w:pPr>
      <w:r w:rsidRPr="004737C5">
        <w:rPr>
          <w:rFonts w:cstheme="minorHAnsi"/>
        </w:rPr>
        <w:t>Accepted community standards of good taste in both illustrations and text should be respected, not offending, downgrading or exploiting groups or discriminating against gender, age, religion, race, or sexual orientation</w:t>
      </w:r>
      <w:r w:rsidR="008D3617" w:rsidRPr="004737C5">
        <w:rPr>
          <w:rFonts w:cstheme="minorHAnsi"/>
        </w:rPr>
        <w:t>, which means avoiding belittling any social group</w:t>
      </w:r>
      <w:r w:rsidR="00082BFB" w:rsidRPr="004737C5">
        <w:rPr>
          <w:rFonts w:cstheme="minorHAnsi"/>
        </w:rPr>
        <w:t>.</w:t>
      </w:r>
    </w:p>
    <w:p w14:paraId="0212C9D9" w14:textId="54640EF1" w:rsidR="00BE71E3" w:rsidRPr="004737C5" w:rsidRDefault="00BE71E3" w:rsidP="00082BFB">
      <w:pPr>
        <w:numPr>
          <w:ilvl w:val="0"/>
          <w:numId w:val="58"/>
        </w:numPr>
        <w:tabs>
          <w:tab w:val="clear" w:pos="360"/>
          <w:tab w:val="num" w:pos="709"/>
        </w:tabs>
        <w:spacing w:after="0"/>
        <w:ind w:left="709" w:hanging="425"/>
        <w:rPr>
          <w:rFonts w:cstheme="minorHAnsi"/>
        </w:rPr>
      </w:pPr>
      <w:r w:rsidRPr="004737C5">
        <w:rPr>
          <w:rFonts w:cstheme="minorHAnsi"/>
        </w:rPr>
        <w:t>Claims that relate to meeting current public objectives such as energy conservation, environmental protection or public health should be substantiated, or at least substantia</w:t>
      </w:r>
      <w:r w:rsidR="008D3617" w:rsidRPr="004737C5">
        <w:rPr>
          <w:rFonts w:cstheme="minorHAnsi"/>
        </w:rPr>
        <w:t>ta</w:t>
      </w:r>
      <w:r w:rsidR="00380EE7" w:rsidRPr="004737C5">
        <w:rPr>
          <w:rFonts w:cstheme="minorHAnsi"/>
        </w:rPr>
        <w:t>ble and verifiable</w:t>
      </w:r>
      <w:r w:rsidR="00082BFB" w:rsidRPr="004737C5">
        <w:rPr>
          <w:rFonts w:cstheme="minorHAnsi"/>
        </w:rPr>
        <w:t>.</w:t>
      </w:r>
      <w:r w:rsidRPr="004737C5">
        <w:rPr>
          <w:rFonts w:cstheme="minorHAnsi"/>
        </w:rPr>
        <w:t xml:space="preserve"> </w:t>
      </w:r>
    </w:p>
    <w:p w14:paraId="25D634EB" w14:textId="77777777" w:rsidR="00BE71E3" w:rsidRPr="004737C5" w:rsidRDefault="00380EE7" w:rsidP="00082BFB">
      <w:pPr>
        <w:pStyle w:val="Heading2"/>
        <w:spacing w:after="160"/>
        <w:rPr>
          <w:rFonts w:cstheme="minorHAnsi"/>
          <w:color w:val="auto"/>
          <w:sz w:val="24"/>
          <w:szCs w:val="24"/>
        </w:rPr>
      </w:pPr>
      <w:bookmarkStart w:id="173" w:name="_Toc492650062"/>
      <w:bookmarkStart w:id="174" w:name="_Toc183930681"/>
      <w:bookmarkStart w:id="175" w:name="_Toc454293839"/>
      <w:bookmarkStart w:id="176" w:name="_Toc489950275"/>
      <w:r w:rsidRPr="004737C5">
        <w:rPr>
          <w:rFonts w:cstheme="minorHAnsi"/>
          <w:color w:val="auto"/>
          <w:sz w:val="24"/>
          <w:szCs w:val="24"/>
        </w:rPr>
        <w:t>G. Consumer education and its i</w:t>
      </w:r>
      <w:r w:rsidR="00BE71E3" w:rsidRPr="004737C5">
        <w:rPr>
          <w:rFonts w:cstheme="minorHAnsi"/>
          <w:color w:val="auto"/>
          <w:sz w:val="24"/>
          <w:szCs w:val="24"/>
        </w:rPr>
        <w:t>mplementation</w:t>
      </w:r>
      <w:bookmarkEnd w:id="173"/>
      <w:r w:rsidR="00BE71E3" w:rsidRPr="004737C5">
        <w:rPr>
          <w:rFonts w:cstheme="minorHAnsi"/>
          <w:color w:val="auto"/>
          <w:sz w:val="24"/>
          <w:szCs w:val="24"/>
        </w:rPr>
        <w:t xml:space="preserve"> </w:t>
      </w:r>
      <w:bookmarkEnd w:id="174"/>
      <w:bookmarkEnd w:id="175"/>
      <w:bookmarkEnd w:id="176"/>
    </w:p>
    <w:p w14:paraId="25B8DFDC" w14:textId="77777777" w:rsidR="00BE71E3" w:rsidRPr="004737C5" w:rsidRDefault="00380EE7" w:rsidP="006D3BE8">
      <w:pPr>
        <w:rPr>
          <w:rFonts w:cstheme="minorHAnsi"/>
        </w:rPr>
      </w:pPr>
      <w:r w:rsidRPr="004737C5">
        <w:rPr>
          <w:rFonts w:cstheme="minorHAnsi"/>
        </w:rPr>
        <w:t>E</w:t>
      </w:r>
      <w:r w:rsidR="00BE71E3" w:rsidRPr="004737C5">
        <w:rPr>
          <w:rFonts w:cstheme="minorHAnsi"/>
        </w:rPr>
        <w:t>arlier conceptions of consumer education emphasized its role in traini</w:t>
      </w:r>
      <w:r w:rsidRPr="004737C5">
        <w:rPr>
          <w:rFonts w:cstheme="minorHAnsi"/>
        </w:rPr>
        <w:t>ng consumers to act effectively</w:t>
      </w:r>
      <w:r w:rsidR="00BE71E3" w:rsidRPr="004737C5">
        <w:rPr>
          <w:rFonts w:cstheme="minorHAnsi"/>
        </w:rPr>
        <w:t xml:space="preserve"> (i.e. safeguard</w:t>
      </w:r>
      <w:r w:rsidRPr="004737C5">
        <w:rPr>
          <w:rFonts w:cstheme="minorHAnsi"/>
        </w:rPr>
        <w:t>ing</w:t>
      </w:r>
      <w:r w:rsidR="00BE71E3" w:rsidRPr="004737C5">
        <w:rPr>
          <w:rFonts w:cstheme="minorHAnsi"/>
        </w:rPr>
        <w:t xml:space="preserve"> their own interest and that of their families). The paradigm was essentially “value for money” and the focus primarily the household. The curriculum approach was to include i</w:t>
      </w:r>
      <w:r w:rsidRPr="004737C5">
        <w:rPr>
          <w:rFonts w:cstheme="minorHAnsi"/>
        </w:rPr>
        <w:t xml:space="preserve">t as a part of home economics. </w:t>
      </w:r>
      <w:r w:rsidR="00D21110" w:rsidRPr="004737C5">
        <w:rPr>
          <w:rFonts w:cstheme="minorHAnsi"/>
        </w:rPr>
        <w:t>Other models of consumer education include incorporating</w:t>
      </w:r>
      <w:r w:rsidRPr="004737C5">
        <w:rPr>
          <w:rFonts w:cstheme="minorHAnsi"/>
        </w:rPr>
        <w:t xml:space="preserve"> </w:t>
      </w:r>
      <w:r w:rsidR="00D21110" w:rsidRPr="004737C5">
        <w:rPr>
          <w:rFonts w:cstheme="minorHAnsi"/>
        </w:rPr>
        <w:t>its</w:t>
      </w:r>
      <w:r w:rsidR="00BE71E3" w:rsidRPr="004737C5">
        <w:rPr>
          <w:rFonts w:cstheme="minorHAnsi"/>
        </w:rPr>
        <w:t xml:space="preserve"> </w:t>
      </w:r>
      <w:r w:rsidRPr="004737C5">
        <w:rPr>
          <w:rFonts w:cstheme="minorHAnsi"/>
        </w:rPr>
        <w:t>concepts into existing subjects, that is “</w:t>
      </w:r>
      <w:r w:rsidR="00BE71E3" w:rsidRPr="004737C5">
        <w:rPr>
          <w:rFonts w:cstheme="minorHAnsi"/>
        </w:rPr>
        <w:t>permeating the curriculum</w:t>
      </w:r>
      <w:r w:rsidRPr="004737C5">
        <w:rPr>
          <w:rFonts w:cstheme="minorHAnsi"/>
        </w:rPr>
        <w:t xml:space="preserve">”, </w:t>
      </w:r>
      <w:r w:rsidR="00BE71E3" w:rsidRPr="004737C5">
        <w:rPr>
          <w:rFonts w:cstheme="minorHAnsi"/>
        </w:rPr>
        <w:t>or teaching specific subjects or courses on consumer protection. By and large, at the pr</w:t>
      </w:r>
      <w:r w:rsidRPr="004737C5">
        <w:rPr>
          <w:rFonts w:cstheme="minorHAnsi"/>
        </w:rPr>
        <w:t>imary and secondary level, the “permeation”</w:t>
      </w:r>
      <w:r w:rsidR="00BE71E3" w:rsidRPr="004737C5">
        <w:rPr>
          <w:rFonts w:cstheme="minorHAnsi"/>
        </w:rPr>
        <w:t xml:space="preserve"> approach has been applied to subjects such as living skills or commerce. In tertiary institutions, consumer protection modules have been introduced as specific subjects for example in law, social sciences or business schools. Additionally, apa</w:t>
      </w:r>
      <w:r w:rsidRPr="004737C5">
        <w:rPr>
          <w:rFonts w:cstheme="minorHAnsi"/>
        </w:rPr>
        <w:t xml:space="preserve">rt from the formal curriculum, </w:t>
      </w:r>
      <w:r w:rsidRPr="004737C5">
        <w:rPr>
          <w:rFonts w:cstheme="minorHAnsi"/>
        </w:rPr>
        <w:lastRenderedPageBreak/>
        <w:t>c</w:t>
      </w:r>
      <w:r w:rsidR="00BE71E3" w:rsidRPr="004737C5">
        <w:rPr>
          <w:rFonts w:cstheme="minorHAnsi"/>
        </w:rPr>
        <w:t>onsumer education has been incorporated as a co-curricular activity, for example thro</w:t>
      </w:r>
      <w:r w:rsidRPr="004737C5">
        <w:rPr>
          <w:rFonts w:cstheme="minorHAnsi"/>
        </w:rPr>
        <w:t>ugh consumer c</w:t>
      </w:r>
      <w:r w:rsidR="00BE71E3" w:rsidRPr="004737C5">
        <w:rPr>
          <w:rFonts w:cstheme="minorHAnsi"/>
        </w:rPr>
        <w:t>lubs. The link with home economics is at the origin of many consumer associations particularly in Eastern Europe</w:t>
      </w:r>
      <w:r w:rsidRPr="004737C5">
        <w:rPr>
          <w:rFonts w:cstheme="minorHAnsi"/>
        </w:rPr>
        <w:t>,</w:t>
      </w:r>
      <w:r w:rsidR="004240DC" w:rsidRPr="004737C5">
        <w:rPr>
          <w:rFonts w:cstheme="minorHAnsi"/>
        </w:rPr>
        <w:t xml:space="preserve"> as noted in chapter V</w:t>
      </w:r>
      <w:r w:rsidR="00BE71E3" w:rsidRPr="004737C5">
        <w:rPr>
          <w:rFonts w:cstheme="minorHAnsi"/>
        </w:rPr>
        <w:t>.</w:t>
      </w:r>
    </w:p>
    <w:p w14:paraId="4070C626" w14:textId="6AEE9D9C" w:rsidR="00BE71E3" w:rsidRPr="004737C5" w:rsidRDefault="00BE71E3" w:rsidP="006D3BE8">
      <w:pPr>
        <w:rPr>
          <w:rFonts w:cstheme="minorHAnsi"/>
          <w:color w:val="000000"/>
        </w:rPr>
      </w:pPr>
      <w:r w:rsidRPr="004737C5">
        <w:rPr>
          <w:rFonts w:cstheme="minorHAnsi"/>
        </w:rPr>
        <w:t xml:space="preserve">With hindsight, some of the teaching </w:t>
      </w:r>
      <w:r w:rsidR="00380EE7" w:rsidRPr="004737C5">
        <w:rPr>
          <w:rFonts w:cstheme="minorHAnsi"/>
        </w:rPr>
        <w:t>materials developed during the 19</w:t>
      </w:r>
      <w:r w:rsidRPr="004737C5">
        <w:rPr>
          <w:rFonts w:cstheme="minorHAnsi"/>
        </w:rPr>
        <w:t>90s now seem to be very ambitio</w:t>
      </w:r>
      <w:r w:rsidR="00380EE7" w:rsidRPr="004737C5">
        <w:rPr>
          <w:rFonts w:cstheme="minorHAnsi"/>
        </w:rPr>
        <w:t>us. The “</w:t>
      </w:r>
      <w:r w:rsidR="00380EE7" w:rsidRPr="004737C5">
        <w:rPr>
          <w:rFonts w:cstheme="minorHAnsi"/>
          <w:bCs/>
        </w:rPr>
        <w:t>s</w:t>
      </w:r>
      <w:r w:rsidRPr="004737C5">
        <w:rPr>
          <w:rFonts w:cstheme="minorHAnsi"/>
          <w:bCs/>
        </w:rPr>
        <w:t>ix fields of c</w:t>
      </w:r>
      <w:r w:rsidR="00380EE7" w:rsidRPr="004737C5">
        <w:rPr>
          <w:rFonts w:cstheme="minorHAnsi"/>
          <w:bCs/>
        </w:rPr>
        <w:t>ontent of consumer education”</w:t>
      </w:r>
      <w:r w:rsidRPr="004737C5">
        <w:rPr>
          <w:rFonts w:cstheme="minorHAnsi"/>
          <w:bCs/>
        </w:rPr>
        <w:t xml:space="preserve"> suggested by the Nordic C</w:t>
      </w:r>
      <w:r w:rsidR="00380EE7" w:rsidRPr="004737C5">
        <w:rPr>
          <w:rFonts w:cstheme="minorHAnsi"/>
          <w:bCs/>
        </w:rPr>
        <w:t>ouncil of Ministers during the 1990s</w:t>
      </w:r>
      <w:r w:rsidRPr="004737C5">
        <w:rPr>
          <w:rFonts w:cstheme="minorHAnsi"/>
          <w:bCs/>
        </w:rPr>
        <w:t xml:space="preserve"> sets out </w:t>
      </w:r>
      <w:r w:rsidR="00380EE7" w:rsidRPr="004737C5">
        <w:rPr>
          <w:rFonts w:cstheme="minorHAnsi"/>
          <w:bCs/>
        </w:rPr>
        <w:t xml:space="preserve">an admirably clear </w:t>
      </w:r>
      <w:r w:rsidRPr="004737C5">
        <w:rPr>
          <w:rFonts w:cstheme="minorHAnsi"/>
          <w:bCs/>
        </w:rPr>
        <w:t xml:space="preserve">structure </w:t>
      </w:r>
      <w:r w:rsidR="003B0370" w:rsidRPr="004737C5">
        <w:rPr>
          <w:rFonts w:cstheme="minorHAnsi"/>
          <w:bCs/>
        </w:rPr>
        <w:t>organiz</w:t>
      </w:r>
      <w:r w:rsidR="00380EE7" w:rsidRPr="004737C5">
        <w:rPr>
          <w:rFonts w:cstheme="minorHAnsi"/>
          <w:bCs/>
        </w:rPr>
        <w:t>ed around personal finance, consumers’</w:t>
      </w:r>
      <w:r w:rsidRPr="004737C5">
        <w:rPr>
          <w:rFonts w:cstheme="minorHAnsi"/>
          <w:bCs/>
        </w:rPr>
        <w:t xml:space="preserve"> rights and obligations, commercial persuasion (advertising in particular)</w:t>
      </w:r>
      <w:r w:rsidR="00380EE7" w:rsidRPr="004737C5">
        <w:rPr>
          <w:rFonts w:cstheme="minorHAnsi"/>
          <w:bCs/>
        </w:rPr>
        <w:t>,</w:t>
      </w:r>
      <w:r w:rsidRPr="004737C5">
        <w:rPr>
          <w:rFonts w:cstheme="minorHAnsi"/>
          <w:bCs/>
        </w:rPr>
        <w:t xml:space="preserve"> cons</w:t>
      </w:r>
      <w:r w:rsidR="00380EE7" w:rsidRPr="004737C5">
        <w:rPr>
          <w:rFonts w:cstheme="minorHAnsi"/>
          <w:bCs/>
        </w:rPr>
        <w:t>umption, environment and ethics and food</w:t>
      </w:r>
      <w:r w:rsidRPr="004737C5">
        <w:rPr>
          <w:rFonts w:cstheme="minorHAnsi"/>
          <w:bCs/>
        </w:rPr>
        <w:t xml:space="preserve"> safety.</w:t>
      </w:r>
      <w:r w:rsidR="00380EE7" w:rsidRPr="004737C5">
        <w:rPr>
          <w:rStyle w:val="FootnoteReference"/>
          <w:rFonts w:cstheme="minorHAnsi"/>
          <w:bCs/>
        </w:rPr>
        <w:footnoteReference w:id="174"/>
      </w:r>
      <w:r w:rsidRPr="004737C5">
        <w:rPr>
          <w:rFonts w:cstheme="minorHAnsi"/>
          <w:bCs/>
        </w:rPr>
        <w:t xml:space="preserve"> But</w:t>
      </w:r>
      <w:r w:rsidR="00380EE7" w:rsidRPr="004737C5">
        <w:rPr>
          <w:rFonts w:cstheme="minorHAnsi"/>
          <w:bCs/>
        </w:rPr>
        <w:t xml:space="preserve"> the detailed objectives under “</w:t>
      </w:r>
      <w:r w:rsidRPr="004737C5">
        <w:rPr>
          <w:rFonts w:cstheme="minorHAnsi"/>
          <w:bCs/>
        </w:rPr>
        <w:t xml:space="preserve">rights </w:t>
      </w:r>
      <w:r w:rsidR="00380EE7" w:rsidRPr="004737C5">
        <w:rPr>
          <w:rFonts w:cstheme="minorHAnsi"/>
          <w:bCs/>
        </w:rPr>
        <w:t>and obligations of the consumer” such as “</w:t>
      </w:r>
      <w:r w:rsidRPr="004737C5">
        <w:rPr>
          <w:rFonts w:cstheme="minorHAnsi"/>
          <w:color w:val="000000"/>
        </w:rPr>
        <w:t>know the content of the most important laws and other statutory provisions dealing with consumer</w:t>
      </w:r>
      <w:r w:rsidR="00380EE7" w:rsidRPr="004737C5">
        <w:rPr>
          <w:rFonts w:cstheme="minorHAnsi"/>
          <w:color w:val="000000"/>
        </w:rPr>
        <w:t xml:space="preserve"> rights and obligations” and</w:t>
      </w:r>
      <w:r w:rsidRPr="004737C5">
        <w:rPr>
          <w:rFonts w:cstheme="minorHAnsi"/>
          <w:color w:val="000000"/>
        </w:rPr>
        <w:t xml:space="preserve"> </w:t>
      </w:r>
      <w:r w:rsidR="00380EE7" w:rsidRPr="004737C5">
        <w:rPr>
          <w:rFonts w:cstheme="minorHAnsi"/>
          <w:color w:val="000000"/>
        </w:rPr>
        <w:t>“</w:t>
      </w:r>
      <w:r w:rsidRPr="004737C5">
        <w:rPr>
          <w:rFonts w:cstheme="minorHAnsi"/>
          <w:color w:val="000000"/>
        </w:rPr>
        <w:t>know how an increasingly unhindered free trade will af</w:t>
      </w:r>
      <w:r w:rsidR="00380EE7" w:rsidRPr="004737C5">
        <w:rPr>
          <w:rFonts w:cstheme="minorHAnsi"/>
          <w:color w:val="000000"/>
        </w:rPr>
        <w:t>fect their rights as consumers”</w:t>
      </w:r>
      <w:r w:rsidRPr="004737C5">
        <w:rPr>
          <w:rFonts w:cstheme="minorHAnsi"/>
          <w:color w:val="000000"/>
        </w:rPr>
        <w:t xml:space="preserve"> are matters which exercise the finest academic and legal minds. Conversely, the objectives under commercial persuasion </w:t>
      </w:r>
      <w:r w:rsidRPr="004737C5">
        <w:rPr>
          <w:rFonts w:cstheme="minorHAnsi"/>
        </w:rPr>
        <w:t>now seem far-sighted given the propensity for youngsters to adapt to new technologies and their fascination with social media and with advertising (also a source of vulnerability).</w:t>
      </w:r>
      <w:r w:rsidRPr="004737C5">
        <w:rPr>
          <w:rFonts w:cstheme="minorHAnsi"/>
          <w:color w:val="000000"/>
        </w:rPr>
        <w:t xml:space="preserve"> They are as follows: </w:t>
      </w:r>
    </w:p>
    <w:p w14:paraId="416E87BB" w14:textId="77777777" w:rsidR="00BE71E3" w:rsidRPr="004737C5" w:rsidRDefault="00BE71E3" w:rsidP="002473E9">
      <w:pPr>
        <w:pStyle w:val="ListParagraph"/>
        <w:numPr>
          <w:ilvl w:val="0"/>
          <w:numId w:val="71"/>
        </w:numPr>
        <w:ind w:left="709" w:hanging="425"/>
        <w:rPr>
          <w:rFonts w:cstheme="minorHAnsi"/>
        </w:rPr>
      </w:pPr>
      <w:r w:rsidRPr="004737C5">
        <w:rPr>
          <w:rFonts w:cstheme="minorHAnsi"/>
        </w:rPr>
        <w:t>Learn to identify advertising and to understand the difference between informa</w:t>
      </w:r>
      <w:r w:rsidR="00380EE7" w:rsidRPr="004737C5">
        <w:rPr>
          <w:rFonts w:cstheme="minorHAnsi"/>
        </w:rPr>
        <w:t>tion and advertising and</w:t>
      </w:r>
      <w:r w:rsidRPr="004737C5">
        <w:rPr>
          <w:rFonts w:cstheme="minorHAnsi"/>
        </w:rPr>
        <w:t xml:space="preserve"> be able to analyse, interpret and critically examine the content of commercial images, communica</w:t>
      </w:r>
      <w:r w:rsidR="00380EE7" w:rsidRPr="004737C5">
        <w:rPr>
          <w:rFonts w:cstheme="minorHAnsi"/>
        </w:rPr>
        <w:t>tions and their use of language</w:t>
      </w:r>
    </w:p>
    <w:p w14:paraId="4859E84D" w14:textId="77777777" w:rsidR="00BE71E3" w:rsidRPr="004737C5" w:rsidRDefault="00BE71E3" w:rsidP="002473E9">
      <w:pPr>
        <w:pStyle w:val="ListParagraph"/>
        <w:numPr>
          <w:ilvl w:val="0"/>
          <w:numId w:val="71"/>
        </w:numPr>
        <w:ind w:left="709" w:hanging="425"/>
        <w:rPr>
          <w:rFonts w:cstheme="minorHAnsi"/>
        </w:rPr>
      </w:pPr>
      <w:r w:rsidRPr="004737C5">
        <w:rPr>
          <w:rFonts w:cstheme="minorHAnsi"/>
        </w:rPr>
        <w:t>Be familiar with the use of electronic media such as TV, video, computers, modems, CD-ROM and other important consumer technology for communicatin</w:t>
      </w:r>
      <w:r w:rsidR="00380EE7" w:rsidRPr="004737C5">
        <w:rPr>
          <w:rFonts w:cstheme="minorHAnsi"/>
        </w:rPr>
        <w:t>g information and entertainment</w:t>
      </w:r>
    </w:p>
    <w:p w14:paraId="3C31A3DF" w14:textId="77777777" w:rsidR="00BE71E3" w:rsidRPr="004737C5" w:rsidRDefault="00BE71E3" w:rsidP="002473E9">
      <w:pPr>
        <w:pStyle w:val="ListParagraph"/>
        <w:numPr>
          <w:ilvl w:val="0"/>
          <w:numId w:val="71"/>
        </w:numPr>
        <w:ind w:left="709" w:hanging="425"/>
        <w:rPr>
          <w:rFonts w:cstheme="minorHAnsi"/>
        </w:rPr>
      </w:pPr>
      <w:r w:rsidRPr="004737C5">
        <w:rPr>
          <w:rFonts w:cstheme="minorHAnsi"/>
        </w:rPr>
        <w:t>Understand the importance of advertising from a co</w:t>
      </w:r>
      <w:r w:rsidR="00380EE7" w:rsidRPr="004737C5">
        <w:rPr>
          <w:rFonts w:cstheme="minorHAnsi"/>
        </w:rPr>
        <w:t>mmercial and social perspective</w:t>
      </w:r>
    </w:p>
    <w:p w14:paraId="576869F1" w14:textId="77777777" w:rsidR="00BE71E3" w:rsidRPr="004737C5" w:rsidRDefault="00BE71E3" w:rsidP="002473E9">
      <w:pPr>
        <w:pStyle w:val="ListParagraph"/>
        <w:numPr>
          <w:ilvl w:val="0"/>
          <w:numId w:val="71"/>
        </w:numPr>
        <w:ind w:left="709" w:hanging="425"/>
        <w:rPr>
          <w:rFonts w:cstheme="minorHAnsi"/>
        </w:rPr>
      </w:pPr>
      <w:r w:rsidRPr="004737C5">
        <w:rPr>
          <w:rFonts w:cstheme="minorHAnsi"/>
        </w:rPr>
        <w:t>Be able as a consumer to use electronic information services in a c</w:t>
      </w:r>
      <w:r w:rsidR="00380EE7" w:rsidRPr="004737C5">
        <w:rPr>
          <w:rFonts w:cstheme="minorHAnsi"/>
        </w:rPr>
        <w:t>ritical and discriminating way</w:t>
      </w:r>
    </w:p>
    <w:p w14:paraId="5BB52AC6" w14:textId="77777777" w:rsidR="00BE71E3" w:rsidRPr="004737C5" w:rsidRDefault="00BE71E3" w:rsidP="002473E9">
      <w:pPr>
        <w:pStyle w:val="ListParagraph"/>
        <w:numPr>
          <w:ilvl w:val="0"/>
          <w:numId w:val="71"/>
        </w:numPr>
        <w:ind w:left="709" w:hanging="425"/>
        <w:rPr>
          <w:rFonts w:cstheme="minorHAnsi"/>
        </w:rPr>
      </w:pPr>
      <w:r w:rsidRPr="004737C5">
        <w:rPr>
          <w:rFonts w:cstheme="minorHAnsi"/>
        </w:rPr>
        <w:t>Learn to understand how the media creates lifestyles that are reflected, inter alia, in particular g</w:t>
      </w:r>
      <w:r w:rsidR="00380EE7" w:rsidRPr="004737C5">
        <w:rPr>
          <w:rFonts w:cstheme="minorHAnsi"/>
        </w:rPr>
        <w:t>ender roles and physical ideals</w:t>
      </w:r>
    </w:p>
    <w:p w14:paraId="5036E12B" w14:textId="77777777" w:rsidR="00BE71E3" w:rsidRPr="004737C5" w:rsidRDefault="00BE71E3" w:rsidP="006D3BE8">
      <w:pPr>
        <w:rPr>
          <w:rFonts w:cstheme="minorHAnsi"/>
        </w:rPr>
      </w:pPr>
      <w:r w:rsidRPr="004737C5">
        <w:rPr>
          <w:rFonts w:cstheme="minorHAnsi"/>
          <w:color w:val="000000"/>
        </w:rPr>
        <w:t xml:space="preserve">Box 10 contains </w:t>
      </w:r>
      <w:r w:rsidR="00DA690A" w:rsidRPr="004737C5">
        <w:rPr>
          <w:rFonts w:cstheme="minorHAnsi"/>
          <w:color w:val="000000"/>
        </w:rPr>
        <w:t>a b</w:t>
      </w:r>
      <w:r w:rsidRPr="004737C5">
        <w:rPr>
          <w:rFonts w:cstheme="minorHAnsi"/>
        </w:rPr>
        <w:t>ody of contents for co</w:t>
      </w:r>
      <w:r w:rsidR="00DA690A" w:rsidRPr="004737C5">
        <w:rPr>
          <w:rFonts w:cstheme="minorHAnsi"/>
        </w:rPr>
        <w:t>nsumer education and sets out a broad consumer education</w:t>
      </w:r>
      <w:r w:rsidRPr="004737C5">
        <w:rPr>
          <w:rFonts w:cstheme="minorHAnsi"/>
        </w:rPr>
        <w:t xml:space="preserve"> agenda. </w:t>
      </w:r>
    </w:p>
    <w:tbl>
      <w:tblPr>
        <w:tblStyle w:val="TableGrid"/>
        <w:tblW w:w="0" w:type="auto"/>
        <w:tblLook w:val="04A0" w:firstRow="1" w:lastRow="0" w:firstColumn="1" w:lastColumn="0" w:noHBand="0" w:noVBand="1"/>
      </w:tblPr>
      <w:tblGrid>
        <w:gridCol w:w="9243"/>
      </w:tblGrid>
      <w:tr w:rsidR="00DA690A" w:rsidRPr="004737C5" w14:paraId="5D5D12C8" w14:textId="77777777" w:rsidTr="00DA690A">
        <w:tc>
          <w:tcPr>
            <w:tcW w:w="9628" w:type="dxa"/>
          </w:tcPr>
          <w:p w14:paraId="64691665" w14:textId="77777777" w:rsidR="00DA690A" w:rsidRPr="004737C5" w:rsidRDefault="00DA690A" w:rsidP="00082BFB">
            <w:pPr>
              <w:pStyle w:val="BodyTextIndent"/>
              <w:spacing w:after="160"/>
              <w:ind w:left="0"/>
              <w:rPr>
                <w:rFonts w:asciiTheme="minorHAnsi" w:hAnsiTheme="minorHAnsi" w:cstheme="minorHAnsi"/>
                <w:b/>
                <w:bCs/>
                <w:sz w:val="22"/>
              </w:rPr>
            </w:pPr>
            <w:r w:rsidRPr="004737C5">
              <w:rPr>
                <w:rFonts w:asciiTheme="minorHAnsi" w:hAnsiTheme="minorHAnsi" w:cstheme="minorHAnsi"/>
                <w:b/>
                <w:bCs/>
                <w:sz w:val="22"/>
              </w:rPr>
              <w:t>Box 10. A body of contents for consumer education</w:t>
            </w:r>
          </w:p>
          <w:p w14:paraId="2E8D107C" w14:textId="77777777" w:rsidR="00DA690A" w:rsidRPr="004737C5" w:rsidRDefault="00DA690A" w:rsidP="00DA690A">
            <w:pPr>
              <w:autoSpaceDE w:val="0"/>
              <w:autoSpaceDN w:val="0"/>
              <w:adjustRightInd w:val="0"/>
              <w:jc w:val="left"/>
              <w:rPr>
                <w:rFonts w:cstheme="minorHAnsi"/>
                <w:b/>
                <w:color w:val="000000"/>
              </w:rPr>
            </w:pPr>
            <w:r w:rsidRPr="004737C5">
              <w:rPr>
                <w:rFonts w:cstheme="minorHAnsi"/>
                <w:b/>
                <w:color w:val="000000"/>
              </w:rPr>
              <w:t>1. Living in a household</w:t>
            </w:r>
          </w:p>
          <w:p w14:paraId="74BE3F2F" w14:textId="77777777" w:rsidR="00DA690A" w:rsidRPr="004737C5" w:rsidRDefault="00DA690A" w:rsidP="00082BFB">
            <w:pPr>
              <w:autoSpaceDE w:val="0"/>
              <w:autoSpaceDN w:val="0"/>
              <w:adjustRightInd w:val="0"/>
              <w:rPr>
                <w:rFonts w:cstheme="minorHAnsi"/>
                <w:color w:val="000000"/>
              </w:rPr>
            </w:pPr>
            <w:r w:rsidRPr="004737C5">
              <w:rPr>
                <w:rFonts w:cstheme="minorHAnsi"/>
                <w:color w:val="000000"/>
              </w:rPr>
              <w:t>Family and household, functions and structures, values and behaviour, needs and wants, lifestyles and cycles of life, resources and constraints, problem-solving and decision making, goods and services production.</w:t>
            </w:r>
          </w:p>
          <w:p w14:paraId="418ADB9F" w14:textId="77777777" w:rsidR="00DA690A" w:rsidRPr="004737C5" w:rsidRDefault="00DA690A" w:rsidP="00082BFB">
            <w:pPr>
              <w:autoSpaceDE w:val="0"/>
              <w:autoSpaceDN w:val="0"/>
              <w:adjustRightInd w:val="0"/>
              <w:spacing w:before="160"/>
              <w:jc w:val="left"/>
              <w:rPr>
                <w:rFonts w:cstheme="minorHAnsi"/>
                <w:bCs/>
              </w:rPr>
            </w:pPr>
            <w:r w:rsidRPr="004737C5">
              <w:rPr>
                <w:rFonts w:cstheme="minorHAnsi"/>
                <w:b/>
                <w:bCs/>
              </w:rPr>
              <w:t>2. Seeking information and advice</w:t>
            </w:r>
          </w:p>
          <w:p w14:paraId="07182BD2" w14:textId="77777777" w:rsidR="00DA690A" w:rsidRPr="004737C5" w:rsidRDefault="00DA690A" w:rsidP="00082BFB">
            <w:pPr>
              <w:autoSpaceDE w:val="0"/>
              <w:autoSpaceDN w:val="0"/>
              <w:adjustRightInd w:val="0"/>
              <w:spacing w:after="160"/>
              <w:rPr>
                <w:rFonts w:cstheme="minorHAnsi"/>
                <w:bCs/>
              </w:rPr>
            </w:pPr>
            <w:r w:rsidRPr="004737C5">
              <w:rPr>
                <w:rFonts w:cstheme="minorHAnsi"/>
                <w:bCs/>
              </w:rPr>
              <w:t xml:space="preserve">Mass-media and commercials, advertisements and independent consumer information, supply of tests and advice, information and communication technologies, assessing and judging, using information and institutions. </w:t>
            </w:r>
          </w:p>
          <w:p w14:paraId="4555CE96" w14:textId="77777777" w:rsidR="00DA690A" w:rsidRPr="004737C5" w:rsidRDefault="00DA690A" w:rsidP="00082BFB">
            <w:pPr>
              <w:autoSpaceDE w:val="0"/>
              <w:autoSpaceDN w:val="0"/>
              <w:adjustRightInd w:val="0"/>
              <w:jc w:val="left"/>
              <w:rPr>
                <w:rFonts w:cstheme="minorHAnsi"/>
                <w:b/>
                <w:color w:val="000000"/>
              </w:rPr>
            </w:pPr>
            <w:r w:rsidRPr="004737C5">
              <w:rPr>
                <w:rFonts w:cstheme="minorHAnsi"/>
                <w:b/>
                <w:color w:val="000000"/>
              </w:rPr>
              <w:t>3. Managing money</w:t>
            </w:r>
          </w:p>
          <w:p w14:paraId="07E32C48" w14:textId="77777777" w:rsidR="00DA690A" w:rsidRPr="004737C5" w:rsidRDefault="00DA690A" w:rsidP="00082BFB">
            <w:pPr>
              <w:autoSpaceDE w:val="0"/>
              <w:autoSpaceDN w:val="0"/>
              <w:adjustRightInd w:val="0"/>
              <w:spacing w:after="160"/>
              <w:rPr>
                <w:rFonts w:cstheme="minorHAnsi"/>
                <w:color w:val="000000"/>
              </w:rPr>
            </w:pPr>
            <w:r w:rsidRPr="004737C5">
              <w:rPr>
                <w:rFonts w:cstheme="minorHAnsi"/>
                <w:color w:val="000000"/>
              </w:rPr>
              <w:t>Money and currency, planning and budgeting, spending and saving, credits and debts, taxes and social contributions, private insurances and formation of wealth, banks and financial services.</w:t>
            </w:r>
          </w:p>
          <w:p w14:paraId="31268D31" w14:textId="77777777" w:rsidR="00DA690A" w:rsidRPr="004737C5" w:rsidRDefault="00DA690A" w:rsidP="00DA690A">
            <w:pPr>
              <w:autoSpaceDE w:val="0"/>
              <w:autoSpaceDN w:val="0"/>
              <w:adjustRightInd w:val="0"/>
              <w:jc w:val="left"/>
              <w:rPr>
                <w:rFonts w:cstheme="minorHAnsi"/>
                <w:b/>
                <w:color w:val="000000"/>
              </w:rPr>
            </w:pPr>
            <w:r w:rsidRPr="004737C5">
              <w:rPr>
                <w:rFonts w:cstheme="minorHAnsi"/>
                <w:b/>
                <w:color w:val="000000"/>
              </w:rPr>
              <w:t>4. Buying goods and services</w:t>
            </w:r>
          </w:p>
          <w:p w14:paraId="2F034BC5" w14:textId="7C94E57D" w:rsidR="00DA690A" w:rsidRPr="004737C5" w:rsidRDefault="00DA690A" w:rsidP="00082BFB">
            <w:pPr>
              <w:autoSpaceDE w:val="0"/>
              <w:autoSpaceDN w:val="0"/>
              <w:adjustRightInd w:val="0"/>
              <w:spacing w:after="160"/>
              <w:rPr>
                <w:rFonts w:cstheme="minorHAnsi"/>
                <w:color w:val="000000"/>
              </w:rPr>
            </w:pPr>
            <w:r w:rsidRPr="004737C5">
              <w:rPr>
                <w:rFonts w:cstheme="minorHAnsi"/>
                <w:color w:val="000000"/>
              </w:rPr>
              <w:t>Price and qua</w:t>
            </w:r>
            <w:r w:rsidR="00082BFB" w:rsidRPr="004737C5">
              <w:rPr>
                <w:rFonts w:cstheme="minorHAnsi"/>
                <w:color w:val="000000"/>
              </w:rPr>
              <w:t xml:space="preserve">lity, supply and demand, market competition and </w:t>
            </w:r>
            <w:r w:rsidRPr="004737C5">
              <w:rPr>
                <w:rFonts w:cstheme="minorHAnsi"/>
                <w:color w:val="000000"/>
              </w:rPr>
              <w:t>power, shops and stores, selling and marketing.</w:t>
            </w:r>
          </w:p>
          <w:p w14:paraId="2C7E9C89" w14:textId="77777777" w:rsidR="00DA690A" w:rsidRPr="004737C5" w:rsidRDefault="00DA690A" w:rsidP="00DA690A">
            <w:pPr>
              <w:autoSpaceDE w:val="0"/>
              <w:autoSpaceDN w:val="0"/>
              <w:adjustRightInd w:val="0"/>
              <w:jc w:val="left"/>
              <w:rPr>
                <w:rFonts w:cstheme="minorHAnsi"/>
                <w:b/>
                <w:color w:val="000000"/>
              </w:rPr>
            </w:pPr>
            <w:r w:rsidRPr="004737C5">
              <w:rPr>
                <w:rFonts w:cstheme="minorHAnsi"/>
                <w:b/>
                <w:color w:val="000000"/>
              </w:rPr>
              <w:t>5. Communicating satisfaction and dissatisfaction</w:t>
            </w:r>
          </w:p>
          <w:p w14:paraId="1047F0B1" w14:textId="670EFF5B" w:rsidR="00DA690A" w:rsidRPr="004737C5" w:rsidRDefault="00DA690A" w:rsidP="00082BFB">
            <w:pPr>
              <w:autoSpaceDE w:val="0"/>
              <w:autoSpaceDN w:val="0"/>
              <w:adjustRightInd w:val="0"/>
              <w:spacing w:after="160"/>
              <w:rPr>
                <w:rFonts w:cstheme="minorHAnsi"/>
                <w:bCs/>
              </w:rPr>
            </w:pPr>
            <w:r w:rsidRPr="004737C5">
              <w:rPr>
                <w:rFonts w:cstheme="minorHAnsi"/>
                <w:bCs/>
              </w:rPr>
              <w:lastRenderedPageBreak/>
              <w:t>Criticism and complaints, p</w:t>
            </w:r>
            <w:r w:rsidR="00082BFB" w:rsidRPr="004737C5">
              <w:rPr>
                <w:rFonts w:cstheme="minorHAnsi"/>
                <w:bCs/>
              </w:rPr>
              <w:t>rotests and boycotts, consumers’</w:t>
            </w:r>
            <w:r w:rsidRPr="004737C5">
              <w:rPr>
                <w:rFonts w:cstheme="minorHAnsi"/>
                <w:bCs/>
              </w:rPr>
              <w:t xml:space="preserve"> rights and duties, access to law and court, consumer protection.</w:t>
            </w:r>
          </w:p>
          <w:p w14:paraId="32E95D44" w14:textId="77777777" w:rsidR="00DA690A" w:rsidRPr="004737C5" w:rsidRDefault="00DA690A" w:rsidP="00DA690A">
            <w:pPr>
              <w:autoSpaceDE w:val="0"/>
              <w:autoSpaceDN w:val="0"/>
              <w:adjustRightInd w:val="0"/>
              <w:jc w:val="left"/>
              <w:rPr>
                <w:rFonts w:cstheme="minorHAnsi"/>
                <w:b/>
                <w:color w:val="000000"/>
              </w:rPr>
            </w:pPr>
            <w:r w:rsidRPr="004737C5">
              <w:rPr>
                <w:rFonts w:cstheme="minorHAnsi"/>
                <w:b/>
                <w:color w:val="000000"/>
              </w:rPr>
              <w:t>6. Housing and dwelling</w:t>
            </w:r>
          </w:p>
          <w:p w14:paraId="3DABBE90" w14:textId="77777777" w:rsidR="00DA690A" w:rsidRPr="004737C5" w:rsidRDefault="00DA690A" w:rsidP="00082BFB">
            <w:pPr>
              <w:autoSpaceDE w:val="0"/>
              <w:autoSpaceDN w:val="0"/>
              <w:adjustRightInd w:val="0"/>
              <w:spacing w:after="160"/>
              <w:rPr>
                <w:rFonts w:cstheme="minorHAnsi"/>
                <w:color w:val="000000"/>
              </w:rPr>
            </w:pPr>
            <w:r w:rsidRPr="004737C5">
              <w:rPr>
                <w:rFonts w:cstheme="minorHAnsi"/>
                <w:color w:val="000000"/>
              </w:rPr>
              <w:t>Buying and renting, owning and sharing, size and furniture, costs and responsibilities contracts and tenant protection.</w:t>
            </w:r>
          </w:p>
          <w:p w14:paraId="00BA7162" w14:textId="77777777" w:rsidR="00DA690A" w:rsidRPr="004737C5" w:rsidRDefault="00DA690A" w:rsidP="00DA690A">
            <w:pPr>
              <w:autoSpaceDE w:val="0"/>
              <w:autoSpaceDN w:val="0"/>
              <w:adjustRightInd w:val="0"/>
              <w:jc w:val="left"/>
              <w:rPr>
                <w:rFonts w:cstheme="minorHAnsi"/>
                <w:b/>
                <w:color w:val="000000"/>
              </w:rPr>
            </w:pPr>
            <w:r w:rsidRPr="004737C5">
              <w:rPr>
                <w:rFonts w:cstheme="minorHAnsi"/>
                <w:b/>
                <w:color w:val="000000"/>
              </w:rPr>
              <w:t>7. Caring for health</w:t>
            </w:r>
          </w:p>
          <w:p w14:paraId="0B9C72A1" w14:textId="1F7E4711" w:rsidR="00DA690A" w:rsidRPr="004737C5" w:rsidRDefault="00DA690A" w:rsidP="00082BFB">
            <w:pPr>
              <w:autoSpaceDE w:val="0"/>
              <w:autoSpaceDN w:val="0"/>
              <w:adjustRightInd w:val="0"/>
              <w:spacing w:after="160"/>
              <w:rPr>
                <w:rFonts w:cstheme="minorHAnsi"/>
                <w:color w:val="000000"/>
              </w:rPr>
            </w:pPr>
            <w:r w:rsidRPr="004737C5">
              <w:rPr>
                <w:rFonts w:cstheme="minorHAnsi"/>
                <w:color w:val="000000"/>
              </w:rPr>
              <w:t>Nutrition and eati</w:t>
            </w:r>
            <w:r w:rsidR="00082BFB" w:rsidRPr="004737C5">
              <w:rPr>
                <w:rFonts w:cstheme="minorHAnsi"/>
                <w:color w:val="000000"/>
              </w:rPr>
              <w:t>ng, national and private health</w:t>
            </w:r>
            <w:r w:rsidRPr="004737C5">
              <w:rPr>
                <w:rFonts w:cstheme="minorHAnsi"/>
                <w:color w:val="000000"/>
              </w:rPr>
              <w:t>care, payments and repayments, sports and physical activities, diet and drugs, body images and self-reliance.</w:t>
            </w:r>
          </w:p>
          <w:p w14:paraId="0BE63C8C" w14:textId="77777777" w:rsidR="00DA690A" w:rsidRPr="004737C5" w:rsidRDefault="00DA690A" w:rsidP="00DA690A">
            <w:pPr>
              <w:autoSpaceDE w:val="0"/>
              <w:autoSpaceDN w:val="0"/>
              <w:adjustRightInd w:val="0"/>
              <w:jc w:val="left"/>
              <w:rPr>
                <w:rFonts w:cstheme="minorHAnsi"/>
                <w:b/>
                <w:color w:val="000000"/>
              </w:rPr>
            </w:pPr>
            <w:r w:rsidRPr="004737C5">
              <w:rPr>
                <w:rFonts w:cstheme="minorHAnsi"/>
                <w:b/>
                <w:color w:val="000000"/>
              </w:rPr>
              <w:t>8. Coping with problems</w:t>
            </w:r>
          </w:p>
          <w:p w14:paraId="1AAD6C5D" w14:textId="77777777" w:rsidR="00DA690A" w:rsidRPr="004737C5" w:rsidRDefault="00DA690A" w:rsidP="00082BFB">
            <w:pPr>
              <w:autoSpaceDE w:val="0"/>
              <w:autoSpaceDN w:val="0"/>
              <w:adjustRightInd w:val="0"/>
              <w:spacing w:after="160"/>
              <w:rPr>
                <w:rFonts w:cstheme="minorHAnsi"/>
                <w:color w:val="000000"/>
              </w:rPr>
            </w:pPr>
            <w:r w:rsidRPr="004737C5">
              <w:rPr>
                <w:rFonts w:cstheme="minorHAnsi"/>
                <w:color w:val="000000"/>
              </w:rPr>
              <w:t>Poverty and unemployment, over-indebtedness and insolvency, separation and divorce, illness and disabilities, sex- and race-discrimination.</w:t>
            </w:r>
          </w:p>
          <w:p w14:paraId="0A22EF09" w14:textId="77777777" w:rsidR="00DA690A" w:rsidRPr="004737C5" w:rsidRDefault="00DA690A" w:rsidP="00DA690A">
            <w:pPr>
              <w:autoSpaceDE w:val="0"/>
              <w:autoSpaceDN w:val="0"/>
              <w:adjustRightInd w:val="0"/>
              <w:jc w:val="left"/>
              <w:rPr>
                <w:rFonts w:cstheme="minorHAnsi"/>
                <w:b/>
                <w:color w:val="000000"/>
              </w:rPr>
            </w:pPr>
            <w:r w:rsidRPr="004737C5">
              <w:rPr>
                <w:rFonts w:cstheme="minorHAnsi"/>
                <w:b/>
                <w:color w:val="000000"/>
              </w:rPr>
              <w:t>9. Influencing and participating</w:t>
            </w:r>
          </w:p>
          <w:p w14:paraId="7938F3C9" w14:textId="783D2029" w:rsidR="00DA690A" w:rsidRPr="004737C5" w:rsidRDefault="00DA690A" w:rsidP="00082BFB">
            <w:pPr>
              <w:autoSpaceDE w:val="0"/>
              <w:autoSpaceDN w:val="0"/>
              <w:adjustRightInd w:val="0"/>
              <w:spacing w:after="160"/>
              <w:rPr>
                <w:rFonts w:cstheme="minorHAnsi"/>
                <w:color w:val="000000"/>
              </w:rPr>
            </w:pPr>
            <w:r w:rsidRPr="004737C5">
              <w:rPr>
                <w:rFonts w:cstheme="minorHAnsi"/>
                <w:color w:val="000000"/>
              </w:rPr>
              <w:t>Involvement with voluntary, offici</w:t>
            </w:r>
            <w:r w:rsidR="00082BFB" w:rsidRPr="004737C5">
              <w:rPr>
                <w:rFonts w:cstheme="minorHAnsi"/>
                <w:color w:val="000000"/>
              </w:rPr>
              <w:t>al and community bodies an</w:t>
            </w:r>
            <w:r w:rsidR="002D7366" w:rsidRPr="004737C5">
              <w:rPr>
                <w:rFonts w:cstheme="minorHAnsi"/>
                <w:color w:val="000000"/>
              </w:rPr>
              <w:t>d</w:t>
            </w:r>
            <w:r w:rsidRPr="004737C5">
              <w:rPr>
                <w:rFonts w:cstheme="minorHAnsi"/>
                <w:color w:val="000000"/>
              </w:rPr>
              <w:t xml:space="preserve"> political parties concerned with consumer affairs.</w:t>
            </w:r>
          </w:p>
          <w:p w14:paraId="18ED6177" w14:textId="77777777" w:rsidR="002D7366" w:rsidRPr="004737C5" w:rsidRDefault="002D7366" w:rsidP="002D7366">
            <w:pPr>
              <w:autoSpaceDE w:val="0"/>
              <w:autoSpaceDN w:val="0"/>
              <w:adjustRightInd w:val="0"/>
              <w:jc w:val="left"/>
              <w:rPr>
                <w:rFonts w:cstheme="minorHAnsi"/>
                <w:b/>
                <w:color w:val="000000"/>
              </w:rPr>
            </w:pPr>
            <w:r w:rsidRPr="004737C5">
              <w:rPr>
                <w:rFonts w:cstheme="minorHAnsi"/>
                <w:b/>
                <w:color w:val="000000"/>
              </w:rPr>
              <w:t>10. Caring for the future</w:t>
            </w:r>
          </w:p>
          <w:p w14:paraId="65C0E2A0" w14:textId="5EAE2266" w:rsidR="002D7366" w:rsidRPr="004737C5" w:rsidRDefault="00082BFB" w:rsidP="00082BFB">
            <w:pPr>
              <w:autoSpaceDE w:val="0"/>
              <w:autoSpaceDN w:val="0"/>
              <w:adjustRightInd w:val="0"/>
              <w:spacing w:after="160"/>
              <w:rPr>
                <w:rFonts w:cstheme="minorHAnsi"/>
                <w:color w:val="000000"/>
              </w:rPr>
            </w:pPr>
            <w:r w:rsidRPr="004737C5">
              <w:rPr>
                <w:rFonts w:cstheme="minorHAnsi"/>
                <w:color w:val="000000"/>
              </w:rPr>
              <w:t xml:space="preserve">Impacts of consumption on </w:t>
            </w:r>
            <w:r w:rsidR="002D7366" w:rsidRPr="004737C5">
              <w:rPr>
                <w:rFonts w:cstheme="minorHAnsi"/>
                <w:color w:val="000000"/>
              </w:rPr>
              <w:t>natural resources and the environment, sustainable consumption and the ecological commodity basket, eco-balances and product-line analysis, eco-labels and other information systems, costs and benefits.</w:t>
            </w:r>
          </w:p>
          <w:p w14:paraId="33C31082" w14:textId="40E45C23" w:rsidR="002D7366" w:rsidRPr="004737C5" w:rsidRDefault="002D7366" w:rsidP="002D7366">
            <w:pPr>
              <w:autoSpaceDE w:val="0"/>
              <w:autoSpaceDN w:val="0"/>
              <w:adjustRightInd w:val="0"/>
              <w:jc w:val="left"/>
              <w:rPr>
                <w:rFonts w:cstheme="minorHAnsi"/>
                <w:bCs/>
                <w:sz w:val="20"/>
                <w:szCs w:val="20"/>
              </w:rPr>
            </w:pPr>
            <w:r w:rsidRPr="004737C5">
              <w:rPr>
                <w:rFonts w:cstheme="minorHAnsi"/>
                <w:i/>
                <w:sz w:val="20"/>
                <w:szCs w:val="20"/>
              </w:rPr>
              <w:t>Source</w:t>
            </w:r>
            <w:r w:rsidRPr="004737C5">
              <w:rPr>
                <w:rFonts w:cstheme="minorHAnsi"/>
                <w:sz w:val="20"/>
                <w:szCs w:val="20"/>
              </w:rPr>
              <w:t>: Professor Heiko Steffens, Technische Universität Berlin</w:t>
            </w:r>
            <w:r w:rsidR="005B6DC6" w:rsidRPr="004737C5">
              <w:rPr>
                <w:rFonts w:cstheme="minorHAnsi"/>
                <w:sz w:val="20"/>
                <w:szCs w:val="20"/>
              </w:rPr>
              <w:t>.</w:t>
            </w:r>
          </w:p>
        </w:tc>
      </w:tr>
    </w:tbl>
    <w:p w14:paraId="56A66E67" w14:textId="77777777" w:rsidR="00BE71E3" w:rsidRPr="004737C5" w:rsidRDefault="00BE71E3" w:rsidP="00BD2919">
      <w:pPr>
        <w:spacing w:before="200"/>
        <w:rPr>
          <w:rFonts w:cstheme="minorHAnsi"/>
        </w:rPr>
      </w:pPr>
      <w:r w:rsidRPr="004737C5">
        <w:rPr>
          <w:rFonts w:cstheme="minorHAnsi"/>
        </w:rPr>
        <w:lastRenderedPageBreak/>
        <w:t>Consumer education has also been taught informally through specific events for target groups such as rural women, members of consumer organizations, school consum</w:t>
      </w:r>
      <w:r w:rsidR="00991F55" w:rsidRPr="004737C5">
        <w:rPr>
          <w:rFonts w:cstheme="minorHAnsi"/>
        </w:rPr>
        <w:t>er clubs, consumer cooperatives</w:t>
      </w:r>
      <w:r w:rsidRPr="004737C5">
        <w:rPr>
          <w:rFonts w:cstheme="minorHAnsi"/>
        </w:rPr>
        <w:t xml:space="preserve"> and residents’ associations, among others. These initi</w:t>
      </w:r>
      <w:r w:rsidR="00991F55" w:rsidRPr="004737C5">
        <w:rPr>
          <w:rFonts w:cstheme="minorHAnsi"/>
        </w:rPr>
        <w:t>atives have been undertaken by g</w:t>
      </w:r>
      <w:r w:rsidRPr="004737C5">
        <w:rPr>
          <w:rFonts w:cstheme="minorHAnsi"/>
        </w:rPr>
        <w:t>overnment consumer protection agencies, consumer associations and business entities as</w:t>
      </w:r>
      <w:r w:rsidR="00991F55" w:rsidRPr="004737C5">
        <w:rPr>
          <w:rFonts w:cstheme="minorHAnsi"/>
        </w:rPr>
        <w:t xml:space="preserve"> part of a</w:t>
      </w:r>
      <w:r w:rsidRPr="004737C5">
        <w:rPr>
          <w:rFonts w:cstheme="minorHAnsi"/>
        </w:rPr>
        <w:t xml:space="preserve"> drive to educate consumers who would not otherwise have the opportunity to learn these skills.</w:t>
      </w:r>
    </w:p>
    <w:p w14:paraId="49E646E6" w14:textId="059B50EE" w:rsidR="00991F55" w:rsidRPr="004737C5" w:rsidRDefault="00BE71E3" w:rsidP="006D3BE8">
      <w:pPr>
        <w:rPr>
          <w:rFonts w:cstheme="minorHAnsi"/>
        </w:rPr>
      </w:pPr>
      <w:r w:rsidRPr="004737C5">
        <w:rPr>
          <w:rFonts w:cstheme="minorHAnsi"/>
        </w:rPr>
        <w:t>The efforts put into consumer education have</w:t>
      </w:r>
      <w:r w:rsidR="00991F55" w:rsidRPr="004737C5">
        <w:rPr>
          <w:rFonts w:cstheme="minorHAnsi"/>
        </w:rPr>
        <w:t xml:space="preserve"> thus</w:t>
      </w:r>
      <w:r w:rsidRPr="004737C5">
        <w:rPr>
          <w:rFonts w:cstheme="minorHAnsi"/>
        </w:rPr>
        <w:t xml:space="preserve"> been considerable and not just from governmental education ministries. Nevertheless, there are</w:t>
      </w:r>
      <w:r w:rsidR="00991F55" w:rsidRPr="004737C5">
        <w:rPr>
          <w:rFonts w:cstheme="minorHAnsi"/>
        </w:rPr>
        <w:t xml:space="preserve"> conflicting vi</w:t>
      </w:r>
      <w:r w:rsidRPr="004737C5">
        <w:rPr>
          <w:rFonts w:cstheme="minorHAnsi"/>
        </w:rPr>
        <w:t>sions of who is responsible</w:t>
      </w:r>
      <w:r w:rsidR="00991F55" w:rsidRPr="004737C5">
        <w:rPr>
          <w:rFonts w:cstheme="minorHAnsi"/>
        </w:rPr>
        <w:t xml:space="preserve"> for cons</w:t>
      </w:r>
      <w:r w:rsidR="00082BFB" w:rsidRPr="004737C5">
        <w:rPr>
          <w:rFonts w:cstheme="minorHAnsi"/>
        </w:rPr>
        <w:t>umer education. The UNCTAD Implementation R</w:t>
      </w:r>
      <w:r w:rsidRPr="004737C5">
        <w:rPr>
          <w:rFonts w:cstheme="minorHAnsi"/>
        </w:rPr>
        <w:t>eport</w:t>
      </w:r>
      <w:r w:rsidRPr="004737C5">
        <w:rPr>
          <w:rStyle w:val="FootnoteReference"/>
          <w:rFonts w:cstheme="minorHAnsi"/>
        </w:rPr>
        <w:footnoteReference w:id="175"/>
      </w:r>
      <w:r w:rsidR="00991F55" w:rsidRPr="004737C5">
        <w:rPr>
          <w:rFonts w:cstheme="minorHAnsi"/>
        </w:rPr>
        <w:t xml:space="preserve"> found that: </w:t>
      </w:r>
    </w:p>
    <w:p w14:paraId="223ACB76" w14:textId="3B7119CF" w:rsidR="00BE71E3" w:rsidRPr="004737C5" w:rsidRDefault="00082BFB" w:rsidP="00991F55">
      <w:pPr>
        <w:ind w:left="567" w:right="567"/>
        <w:rPr>
          <w:rFonts w:cstheme="minorHAnsi"/>
        </w:rPr>
      </w:pPr>
      <w:r w:rsidRPr="004737C5">
        <w:rPr>
          <w:rFonts w:cstheme="minorHAnsi"/>
        </w:rPr>
        <w:t>C</w:t>
      </w:r>
      <w:r w:rsidR="00BE71E3" w:rsidRPr="004737C5">
        <w:rPr>
          <w:rFonts w:cstheme="minorHAnsi"/>
        </w:rPr>
        <w:t>onducting educational and information consumer programmes is a core responsibility of consumer pr</w:t>
      </w:r>
      <w:r w:rsidR="00991F55" w:rsidRPr="004737C5">
        <w:rPr>
          <w:rFonts w:cstheme="minorHAnsi"/>
        </w:rPr>
        <w:t>otection agencies. Most UNCTAD M</w:t>
      </w:r>
      <w:r w:rsidR="00BE71E3" w:rsidRPr="004737C5">
        <w:rPr>
          <w:rFonts w:cstheme="minorHAnsi"/>
        </w:rPr>
        <w:t>ember States have adopted such programmes with the aim of creating discerning consumers. There is a multitude of interesting initiatives comprising information websites, online courses, online counselling (United Kingdom), workshops (Dominican Republic, El Salvador) and even consumer education in the curricu</w:t>
      </w:r>
      <w:r w:rsidR="00A80CAC" w:rsidRPr="004737C5">
        <w:rPr>
          <w:rFonts w:cstheme="minorHAnsi"/>
        </w:rPr>
        <w:t>la of ministries of education (g</w:t>
      </w:r>
      <w:r w:rsidR="00BE71E3" w:rsidRPr="004737C5">
        <w:rPr>
          <w:rFonts w:cstheme="minorHAnsi"/>
        </w:rPr>
        <w:t>uideline</w:t>
      </w:r>
      <w:r w:rsidR="00991F55" w:rsidRPr="004737C5">
        <w:rPr>
          <w:rFonts w:cstheme="minorHAnsi"/>
        </w:rPr>
        <w:t>s</w:t>
      </w:r>
      <w:r w:rsidR="00BE71E3" w:rsidRPr="004737C5" w:rsidDel="00C2234E">
        <w:rPr>
          <w:rFonts w:cstheme="minorHAnsi"/>
        </w:rPr>
        <w:t xml:space="preserve"> </w:t>
      </w:r>
      <w:r w:rsidR="00991F55" w:rsidRPr="004737C5">
        <w:rPr>
          <w:rFonts w:cstheme="minorHAnsi"/>
        </w:rPr>
        <w:t>36‒</w:t>
      </w:r>
      <w:r w:rsidR="00BE71E3" w:rsidRPr="004737C5">
        <w:rPr>
          <w:rFonts w:cstheme="minorHAnsi"/>
        </w:rPr>
        <w:t xml:space="preserve">43). Notably, the United States has an extensive educational programme covering all mentioned areas, especially active across social media (Facebook, Twitter, Youtube and blogging). Some countries have specialized units to carry out these roles. Each country has set different priorities, most of which are </w:t>
      </w:r>
      <w:r w:rsidR="00A80CAC" w:rsidRPr="004737C5">
        <w:rPr>
          <w:rFonts w:cstheme="minorHAnsi"/>
        </w:rPr>
        <w:t>found among recommendations in g</w:t>
      </w:r>
      <w:r w:rsidR="00BE71E3" w:rsidRPr="004737C5">
        <w:rPr>
          <w:rFonts w:cstheme="minorHAnsi"/>
        </w:rPr>
        <w:t>uideline</w:t>
      </w:r>
      <w:r w:rsidR="00991F55" w:rsidRPr="004737C5">
        <w:rPr>
          <w:rFonts w:cstheme="minorHAnsi"/>
        </w:rPr>
        <w:t xml:space="preserve"> 44.</w:t>
      </w:r>
    </w:p>
    <w:p w14:paraId="449C228B" w14:textId="77777777" w:rsidR="00991F55" w:rsidRPr="004737C5" w:rsidRDefault="00991F55" w:rsidP="00082BFB">
      <w:pPr>
        <w:rPr>
          <w:rFonts w:cstheme="minorHAnsi"/>
        </w:rPr>
      </w:pPr>
      <w:r w:rsidRPr="004737C5">
        <w:rPr>
          <w:rFonts w:cstheme="minorHAnsi"/>
        </w:rPr>
        <w:t>The report goes on to say that “</w:t>
      </w:r>
      <w:r w:rsidR="00BE71E3" w:rsidRPr="004737C5">
        <w:rPr>
          <w:rFonts w:cstheme="minorHAnsi"/>
        </w:rPr>
        <w:t>there are few examples of education and information campaigns undertaken by consumer organizations, businesses and media</w:t>
      </w:r>
      <w:r w:rsidRPr="004737C5">
        <w:rPr>
          <w:rFonts w:cstheme="minorHAnsi"/>
        </w:rPr>
        <w:t>”.</w:t>
      </w:r>
      <w:r w:rsidR="00BE71E3" w:rsidRPr="004737C5">
        <w:rPr>
          <w:rFonts w:cstheme="minorHAnsi"/>
        </w:rPr>
        <w:t xml:space="preserve"> In contra</w:t>
      </w:r>
      <w:r w:rsidRPr="004737C5">
        <w:rPr>
          <w:rFonts w:cstheme="minorHAnsi"/>
        </w:rPr>
        <w:t xml:space="preserve">st, the CI survey concludes that: </w:t>
      </w:r>
    </w:p>
    <w:p w14:paraId="34E5FC93" w14:textId="77FD956D" w:rsidR="00BE71E3" w:rsidRPr="004737C5" w:rsidRDefault="00082BFB" w:rsidP="00991F55">
      <w:pPr>
        <w:ind w:left="567" w:right="567"/>
        <w:rPr>
          <w:rFonts w:cstheme="minorHAnsi"/>
        </w:rPr>
      </w:pPr>
      <w:r w:rsidRPr="004737C5">
        <w:rPr>
          <w:rFonts w:cstheme="minorHAnsi"/>
        </w:rPr>
        <w:lastRenderedPageBreak/>
        <w:t>A</w:t>
      </w:r>
      <w:r w:rsidR="00BE71E3" w:rsidRPr="004737C5">
        <w:rPr>
          <w:rFonts w:cstheme="minorHAnsi"/>
        </w:rPr>
        <w:t>n interesting pic</w:t>
      </w:r>
      <w:r w:rsidR="00991F55" w:rsidRPr="004737C5">
        <w:rPr>
          <w:rFonts w:cstheme="minorHAnsi"/>
        </w:rPr>
        <w:t>ture emerges when figures [on g</w:t>
      </w:r>
      <w:r w:rsidR="00BE71E3" w:rsidRPr="004737C5">
        <w:rPr>
          <w:rFonts w:cstheme="minorHAnsi"/>
        </w:rPr>
        <w:t>overnment integration of consumer educa</w:t>
      </w:r>
      <w:r w:rsidR="00991F55" w:rsidRPr="004737C5">
        <w:rPr>
          <w:rFonts w:cstheme="minorHAnsi"/>
        </w:rPr>
        <w:t>tion into the school curriculum]</w:t>
      </w:r>
      <w:r w:rsidR="00BE71E3" w:rsidRPr="004737C5">
        <w:rPr>
          <w:rFonts w:cstheme="minorHAnsi"/>
        </w:rPr>
        <w:t xml:space="preserve"> are viewed in conjunction</w:t>
      </w:r>
      <w:r w:rsidR="00991F55" w:rsidRPr="004737C5">
        <w:rPr>
          <w:rFonts w:cstheme="minorHAnsi"/>
        </w:rPr>
        <w:t xml:space="preserve"> with the prevalence of g</w:t>
      </w:r>
      <w:r w:rsidR="00BE71E3" w:rsidRPr="004737C5">
        <w:rPr>
          <w:rFonts w:cstheme="minorHAnsi"/>
        </w:rPr>
        <w:t>overnment funding for consumer education (58</w:t>
      </w:r>
      <w:r w:rsidR="00991F55" w:rsidRPr="004737C5">
        <w:rPr>
          <w:rFonts w:cstheme="minorHAnsi"/>
        </w:rPr>
        <w:t xml:space="preserve"> percent</w:t>
      </w:r>
      <w:r w:rsidR="00BE71E3" w:rsidRPr="004737C5">
        <w:rPr>
          <w:rFonts w:cstheme="minorHAnsi"/>
        </w:rPr>
        <w:t>) and education carried out by consumer groups (94</w:t>
      </w:r>
      <w:r w:rsidR="00991F55" w:rsidRPr="004737C5">
        <w:rPr>
          <w:rFonts w:cstheme="minorHAnsi"/>
        </w:rPr>
        <w:t xml:space="preserve"> percent</w:t>
      </w:r>
      <w:r w:rsidR="00BE71E3" w:rsidRPr="004737C5">
        <w:rPr>
          <w:rFonts w:cstheme="minorHAnsi"/>
        </w:rPr>
        <w:t>). It would appear that despite the fact that cons</w:t>
      </w:r>
      <w:r w:rsidR="00991F55" w:rsidRPr="004737C5">
        <w:rPr>
          <w:rFonts w:cstheme="minorHAnsi"/>
        </w:rPr>
        <w:t>umer education is seen by many g</w:t>
      </w:r>
      <w:r w:rsidR="00BE71E3" w:rsidRPr="004737C5">
        <w:rPr>
          <w:rFonts w:cstheme="minorHAnsi"/>
        </w:rPr>
        <w:t>overnments as the key component</w:t>
      </w:r>
      <w:r w:rsidR="00991F55" w:rsidRPr="004737C5">
        <w:rPr>
          <w:rFonts w:cstheme="minorHAnsi"/>
        </w:rPr>
        <w:t xml:space="preserve"> … g</w:t>
      </w:r>
      <w:r w:rsidR="00BE71E3" w:rsidRPr="004737C5">
        <w:rPr>
          <w:rFonts w:cstheme="minorHAnsi"/>
        </w:rPr>
        <w:t>overnments actually sponsor these activities in barely h</w:t>
      </w:r>
      <w:r w:rsidR="00991F55" w:rsidRPr="004737C5">
        <w:rPr>
          <w:rFonts w:cstheme="minorHAnsi"/>
        </w:rPr>
        <w:t xml:space="preserve">alf of the countries surveyed … </w:t>
      </w:r>
      <w:r w:rsidR="00BE71E3" w:rsidRPr="004737C5">
        <w:rPr>
          <w:rFonts w:cstheme="minorHAnsi"/>
        </w:rPr>
        <w:t>falling short of the eff</w:t>
      </w:r>
      <w:r w:rsidR="00991F55" w:rsidRPr="004737C5">
        <w:rPr>
          <w:rFonts w:cstheme="minorHAnsi"/>
        </w:rPr>
        <w:t>orts of consumer organizations.</w:t>
      </w:r>
      <w:r w:rsidR="00BE71E3" w:rsidRPr="004737C5">
        <w:rPr>
          <w:rStyle w:val="FootnoteReference"/>
          <w:rFonts w:cstheme="minorHAnsi"/>
        </w:rPr>
        <w:footnoteReference w:id="176"/>
      </w:r>
    </w:p>
    <w:p w14:paraId="76175137" w14:textId="77777777" w:rsidR="00BE71E3" w:rsidRPr="004737C5" w:rsidRDefault="00BE71E3" w:rsidP="00BD2919">
      <w:pPr>
        <w:spacing w:before="200"/>
        <w:rPr>
          <w:rFonts w:cstheme="minorHAnsi"/>
          <w:b/>
        </w:rPr>
      </w:pPr>
      <w:r w:rsidRPr="004737C5">
        <w:rPr>
          <w:rFonts w:cstheme="minorHAnsi"/>
          <w:b/>
        </w:rPr>
        <w:t>1</w:t>
      </w:r>
      <w:r w:rsidR="00991F55" w:rsidRPr="004737C5">
        <w:rPr>
          <w:rFonts w:cstheme="minorHAnsi"/>
          <w:b/>
        </w:rPr>
        <w:t>.</w:t>
      </w:r>
      <w:r w:rsidRPr="004737C5">
        <w:rPr>
          <w:rFonts w:cstheme="minorHAnsi"/>
          <w:b/>
        </w:rPr>
        <w:t xml:space="preserve"> Consumer education and the financial crisis</w:t>
      </w:r>
    </w:p>
    <w:p w14:paraId="7793A58F" w14:textId="1070D450" w:rsidR="00BE71E3" w:rsidRPr="004737C5" w:rsidRDefault="00BE71E3" w:rsidP="006D3BE8">
      <w:pPr>
        <w:rPr>
          <w:rFonts w:cstheme="minorHAnsi"/>
        </w:rPr>
      </w:pPr>
      <w:r w:rsidRPr="004737C5">
        <w:rPr>
          <w:rFonts w:cstheme="minorHAnsi"/>
        </w:rPr>
        <w:t xml:space="preserve">Despite the above evolution, which is generally positive as regards the recognition of consumer education, as time </w:t>
      </w:r>
      <w:r w:rsidR="00991F55" w:rsidRPr="004737C5">
        <w:rPr>
          <w:rFonts w:cstheme="minorHAnsi"/>
        </w:rPr>
        <w:t>has passed</w:t>
      </w:r>
      <w:r w:rsidRPr="004737C5">
        <w:rPr>
          <w:rFonts w:cstheme="minorHAnsi"/>
        </w:rPr>
        <w:t xml:space="preserve"> new pressures </w:t>
      </w:r>
      <w:r w:rsidR="00991F55" w:rsidRPr="004737C5">
        <w:rPr>
          <w:rFonts w:cstheme="minorHAnsi"/>
        </w:rPr>
        <w:t>on the consumer education model</w:t>
      </w:r>
      <w:r w:rsidRPr="004737C5">
        <w:rPr>
          <w:rFonts w:cstheme="minorHAnsi"/>
        </w:rPr>
        <w:t xml:space="preserve"> have arisen, </w:t>
      </w:r>
      <w:r w:rsidR="00991F55" w:rsidRPr="004737C5">
        <w:rPr>
          <w:rFonts w:cstheme="minorHAnsi"/>
        </w:rPr>
        <w:t xml:space="preserve">most </w:t>
      </w:r>
      <w:r w:rsidRPr="004737C5">
        <w:rPr>
          <w:rFonts w:cstheme="minorHAnsi"/>
        </w:rPr>
        <w:t xml:space="preserve">notably </w:t>
      </w:r>
      <w:r w:rsidR="00082BFB" w:rsidRPr="004737C5">
        <w:rPr>
          <w:rFonts w:cstheme="minorHAnsi"/>
        </w:rPr>
        <w:t xml:space="preserve">from </w:t>
      </w:r>
      <w:r w:rsidRPr="004737C5">
        <w:rPr>
          <w:rFonts w:cstheme="minorHAnsi"/>
        </w:rPr>
        <w:t xml:space="preserve">the global financial crisis. </w:t>
      </w:r>
    </w:p>
    <w:p w14:paraId="76436571" w14:textId="460AC04D" w:rsidR="00BE71E3" w:rsidRPr="004737C5" w:rsidRDefault="00BE71E3" w:rsidP="006D3BE8">
      <w:pPr>
        <w:rPr>
          <w:rFonts w:cstheme="minorHAnsi"/>
        </w:rPr>
      </w:pPr>
      <w:r w:rsidRPr="004737C5">
        <w:rPr>
          <w:rFonts w:cstheme="minorHAnsi"/>
        </w:rPr>
        <w:t>This has led to ever more searching questions about the role of consumer education during the deregulatory phase that preceded the crisis. How could it be that despite the growing recognit</w:t>
      </w:r>
      <w:r w:rsidR="00082BFB" w:rsidRPr="004737C5">
        <w:rPr>
          <w:rFonts w:cstheme="minorHAnsi"/>
        </w:rPr>
        <w:t xml:space="preserve">ion of consumer education, the </w:t>
      </w:r>
      <w:r w:rsidRPr="004737C5">
        <w:rPr>
          <w:rFonts w:cstheme="minorHAnsi"/>
        </w:rPr>
        <w:t xml:space="preserve">catastrophic events that took place during the middle of the first decade of the </w:t>
      </w:r>
      <w:r w:rsidR="006A5496" w:rsidRPr="004737C5">
        <w:rPr>
          <w:rFonts w:cstheme="minorHAnsi"/>
        </w:rPr>
        <w:t xml:space="preserve">twenty-first </w:t>
      </w:r>
      <w:r w:rsidRPr="004737C5">
        <w:rPr>
          <w:rFonts w:cstheme="minorHAnsi"/>
        </w:rPr>
        <w:t>century could have such devastating effects for individua</w:t>
      </w:r>
      <w:r w:rsidR="00991F55" w:rsidRPr="004737C5">
        <w:rPr>
          <w:rFonts w:cstheme="minorHAnsi"/>
        </w:rPr>
        <w:t>l households? According to the “empowered consumer”</w:t>
      </w:r>
      <w:r w:rsidRPr="004737C5">
        <w:rPr>
          <w:rFonts w:cstheme="minorHAnsi"/>
        </w:rPr>
        <w:t xml:space="preserve"> thesis, this was not meant to happen.  </w:t>
      </w:r>
    </w:p>
    <w:p w14:paraId="1297A20E" w14:textId="77777777" w:rsidR="00BE71E3" w:rsidRPr="004737C5" w:rsidRDefault="00BE71E3" w:rsidP="006D3BE8">
      <w:pPr>
        <w:rPr>
          <w:rFonts w:cstheme="minorHAnsi"/>
        </w:rPr>
      </w:pPr>
      <w:r w:rsidRPr="004737C5">
        <w:rPr>
          <w:rFonts w:cstheme="minorHAnsi"/>
        </w:rPr>
        <w:t>Indeed, the financial crisis exposed to scrutiny the notion of reliance on consumer education as a means to ensure consumer protection and illustrated the limits of education and the need for realism. For it became clear that many financial products were so complex that regulators and</w:t>
      </w:r>
      <w:r w:rsidR="00991F55" w:rsidRPr="004737C5">
        <w:rPr>
          <w:rFonts w:cstheme="minorHAnsi"/>
        </w:rPr>
        <w:t>,</w:t>
      </w:r>
      <w:r w:rsidRPr="004737C5">
        <w:rPr>
          <w:rFonts w:cstheme="minorHAnsi"/>
        </w:rPr>
        <w:t xml:space="preserve"> at times, even the sales forces that sold the products did not understand them. Worst of all, some products were virtually incomprehensible,</w:t>
      </w:r>
      <w:r w:rsidR="00991F55" w:rsidRPr="004737C5">
        <w:rPr>
          <w:rFonts w:cstheme="minorHAnsi"/>
        </w:rPr>
        <w:t xml:space="preserve"> having been designed for short-</w:t>
      </w:r>
      <w:r w:rsidRPr="004737C5">
        <w:rPr>
          <w:rFonts w:cstheme="minorHAnsi"/>
        </w:rPr>
        <w:t>term gain and to evade regulatory constraints. A study conducted on banking services commissio</w:t>
      </w:r>
      <w:r w:rsidR="00E64F4A" w:rsidRPr="004737C5">
        <w:rPr>
          <w:rFonts w:cstheme="minorHAnsi"/>
        </w:rPr>
        <w:t>ned by the EC found that in two thirds of cases, an expert panel was</w:t>
      </w:r>
      <w:r w:rsidRPr="004737C5">
        <w:rPr>
          <w:rFonts w:cstheme="minorHAnsi"/>
        </w:rPr>
        <w:t xml:space="preserve"> unable to disentangle the structure of bank tariffs in order to ascertain the true cost of a service. As the then European Union Consumer Affairs Commissio</w:t>
      </w:r>
      <w:r w:rsidR="00E64F4A" w:rsidRPr="004737C5">
        <w:rPr>
          <w:rFonts w:cstheme="minorHAnsi"/>
        </w:rPr>
        <w:t>ner Meglena Kuneva said in 2009,</w:t>
      </w:r>
      <w:r w:rsidRPr="004737C5">
        <w:rPr>
          <w:rFonts w:cstheme="minorHAnsi"/>
        </w:rPr>
        <w:t xml:space="preserve"> “if experts are unable to understand the fee structure, what chance is there for ordinary consumers?”</w:t>
      </w:r>
      <w:r w:rsidRPr="004737C5">
        <w:rPr>
          <w:rStyle w:val="FootnoteReference"/>
          <w:rFonts w:cstheme="minorHAnsi"/>
        </w:rPr>
        <w:footnoteReference w:id="177"/>
      </w:r>
    </w:p>
    <w:p w14:paraId="5E30AC41" w14:textId="77777777" w:rsidR="00BE71E3" w:rsidRPr="004737C5" w:rsidRDefault="00BE71E3" w:rsidP="006D3BE8">
      <w:pPr>
        <w:rPr>
          <w:rFonts w:cstheme="minorHAnsi"/>
          <w:b/>
          <w:color w:val="FF0000"/>
        </w:rPr>
      </w:pPr>
      <w:r w:rsidRPr="004737C5">
        <w:rPr>
          <w:rFonts w:cstheme="minorHAnsi"/>
        </w:rPr>
        <w:t xml:space="preserve">In some respects this is not new or surprising. Is it reasonable to expect ordinary consumers to become financial experts? After all one does not have to be an engineer to buy or to drive a car. Some academic studies have concluded that consumer education can even make things worse by creating an illusion of understanding. </w:t>
      </w:r>
      <w:r w:rsidR="00E64F4A" w:rsidRPr="004737C5">
        <w:rPr>
          <w:rFonts w:cstheme="minorHAnsi"/>
          <w:color w:val="231F20"/>
        </w:rPr>
        <w:t>The “conventional wisdom”</w:t>
      </w:r>
      <w:r w:rsidRPr="004737C5">
        <w:rPr>
          <w:rFonts w:cstheme="minorHAnsi"/>
          <w:color w:val="231F20"/>
        </w:rPr>
        <w:t xml:space="preserve"> under challenge by this finding was eloquently described by Professor Lauren Wil</w:t>
      </w:r>
      <w:r w:rsidR="00E64F4A" w:rsidRPr="004737C5">
        <w:rPr>
          <w:rFonts w:cstheme="minorHAnsi"/>
          <w:color w:val="231F20"/>
        </w:rPr>
        <w:t>lis, who referred to a vision of</w:t>
      </w:r>
      <w:r w:rsidRPr="004737C5">
        <w:rPr>
          <w:rFonts w:cstheme="minorHAnsi"/>
          <w:color w:val="231F20"/>
        </w:rPr>
        <w:t xml:space="preserve"> “responsible and empowered market players, motivated and competent to make financial decisions that increase their </w:t>
      </w:r>
      <w:r w:rsidRPr="004737C5">
        <w:rPr>
          <w:rFonts w:cstheme="minorHAnsi"/>
          <w:color w:val="000000"/>
        </w:rPr>
        <w:t>own welfare. The</w:t>
      </w:r>
      <w:r w:rsidRPr="004737C5">
        <w:rPr>
          <w:rFonts w:cstheme="minorHAnsi"/>
          <w:color w:val="231F20"/>
        </w:rPr>
        <w:t xml:space="preserve"> </w:t>
      </w:r>
      <w:r w:rsidRPr="004737C5">
        <w:rPr>
          <w:rFonts w:cstheme="minorHAnsi"/>
          <w:color w:val="000000"/>
        </w:rPr>
        <w:t>vision is of educated consumers handl</w:t>
      </w:r>
      <w:r w:rsidR="00E64F4A" w:rsidRPr="004737C5">
        <w:rPr>
          <w:rFonts w:cstheme="minorHAnsi"/>
          <w:color w:val="000000"/>
        </w:rPr>
        <w:t>ing their own credit, insurance</w:t>
      </w:r>
      <w:r w:rsidRPr="004737C5">
        <w:rPr>
          <w:rFonts w:cstheme="minorHAnsi"/>
          <w:color w:val="000000"/>
        </w:rPr>
        <w:t xml:space="preserve"> and retirement planning matters</w:t>
      </w:r>
      <w:r w:rsidRPr="004737C5">
        <w:rPr>
          <w:rFonts w:cstheme="minorHAnsi"/>
          <w:color w:val="231F20"/>
        </w:rPr>
        <w:t xml:space="preserve"> </w:t>
      </w:r>
      <w:r w:rsidRPr="004737C5">
        <w:rPr>
          <w:rFonts w:cstheme="minorHAnsi"/>
          <w:color w:val="000000"/>
        </w:rPr>
        <w:t>by confidently navigating the bou</w:t>
      </w:r>
      <w:r w:rsidR="00E64F4A" w:rsidRPr="004737C5">
        <w:rPr>
          <w:rFonts w:cstheme="minorHAnsi"/>
          <w:color w:val="000000"/>
        </w:rPr>
        <w:t>ntiful unrestricted marketplace</w:t>
      </w:r>
      <w:r w:rsidRPr="004737C5">
        <w:rPr>
          <w:rFonts w:cstheme="minorHAnsi"/>
          <w:color w:val="000000"/>
        </w:rPr>
        <w:t>”</w:t>
      </w:r>
      <w:r w:rsidR="00E64F4A" w:rsidRPr="004737C5">
        <w:rPr>
          <w:rFonts w:cstheme="minorHAnsi"/>
          <w:color w:val="000000"/>
        </w:rPr>
        <w:t>.</w:t>
      </w:r>
      <w:r w:rsidRPr="004737C5">
        <w:rPr>
          <w:rFonts w:cstheme="minorHAnsi"/>
          <w:color w:val="000000"/>
        </w:rPr>
        <w:t xml:space="preserve"> The professor wen</w:t>
      </w:r>
      <w:r w:rsidR="00E64F4A" w:rsidRPr="004737C5">
        <w:rPr>
          <w:rFonts w:cstheme="minorHAnsi"/>
          <w:color w:val="000000"/>
        </w:rPr>
        <w:t>t on to warn that</w:t>
      </w:r>
      <w:r w:rsidRPr="004737C5">
        <w:rPr>
          <w:rFonts w:cstheme="minorHAnsi"/>
          <w:color w:val="231F20"/>
        </w:rPr>
        <w:t xml:space="preserve"> </w:t>
      </w:r>
      <w:r w:rsidRPr="004737C5">
        <w:rPr>
          <w:rFonts w:cstheme="minorHAnsi"/>
          <w:color w:val="000000"/>
        </w:rPr>
        <w:t>“the belief is implausible, given the velocity of change in the financial marketplace, the gulf between</w:t>
      </w:r>
      <w:r w:rsidRPr="004737C5">
        <w:rPr>
          <w:rFonts w:cstheme="minorHAnsi"/>
          <w:color w:val="231F20"/>
        </w:rPr>
        <w:t xml:space="preserve"> </w:t>
      </w:r>
      <w:r w:rsidRPr="004737C5">
        <w:rPr>
          <w:rFonts w:cstheme="minorHAnsi"/>
          <w:color w:val="000000"/>
        </w:rPr>
        <w:t>current consumer skills and those needed to understand today’s complex non-standardized financial</w:t>
      </w:r>
      <w:r w:rsidRPr="004737C5">
        <w:rPr>
          <w:rFonts w:cstheme="minorHAnsi"/>
          <w:color w:val="231F20"/>
        </w:rPr>
        <w:t xml:space="preserve"> </w:t>
      </w:r>
      <w:r w:rsidRPr="004737C5">
        <w:rPr>
          <w:rFonts w:cstheme="minorHAnsi"/>
          <w:color w:val="000000"/>
        </w:rPr>
        <w:t>products, the persistence of biase</w:t>
      </w:r>
      <w:r w:rsidR="00E64F4A" w:rsidRPr="004737C5">
        <w:rPr>
          <w:rFonts w:cstheme="minorHAnsi"/>
          <w:color w:val="000000"/>
        </w:rPr>
        <w:t>s in financial decision-making</w:t>
      </w:r>
      <w:r w:rsidRPr="004737C5">
        <w:rPr>
          <w:rFonts w:cstheme="minorHAnsi"/>
          <w:color w:val="000000"/>
        </w:rPr>
        <w:t xml:space="preserve"> and the disparity in resources with which to reach consumers</w:t>
      </w:r>
      <w:r w:rsidR="00E64F4A" w:rsidRPr="004737C5">
        <w:rPr>
          <w:rFonts w:cstheme="minorHAnsi"/>
          <w:color w:val="000000"/>
        </w:rPr>
        <w:t xml:space="preserve"> between educators and financial services firms</w:t>
      </w:r>
      <w:r w:rsidRPr="004737C5">
        <w:rPr>
          <w:rFonts w:cstheme="minorHAnsi"/>
          <w:color w:val="000000"/>
        </w:rPr>
        <w:t>”</w:t>
      </w:r>
      <w:r w:rsidR="00E64F4A" w:rsidRPr="004737C5">
        <w:rPr>
          <w:rFonts w:cstheme="minorHAnsi"/>
          <w:color w:val="000000"/>
        </w:rPr>
        <w:t>.</w:t>
      </w:r>
      <w:r w:rsidRPr="004737C5">
        <w:rPr>
          <w:rStyle w:val="FootnoteReference"/>
          <w:rFonts w:cstheme="minorHAnsi"/>
          <w:color w:val="000000"/>
        </w:rPr>
        <w:footnoteReference w:id="178"/>
      </w:r>
    </w:p>
    <w:p w14:paraId="0C4D2A29" w14:textId="0DBD9504" w:rsidR="00BE71E3" w:rsidRPr="004737C5" w:rsidRDefault="00E64F4A" w:rsidP="006D3BE8">
      <w:pPr>
        <w:autoSpaceDE w:val="0"/>
        <w:autoSpaceDN w:val="0"/>
        <w:adjustRightInd w:val="0"/>
        <w:rPr>
          <w:rFonts w:cstheme="minorHAnsi"/>
        </w:rPr>
      </w:pPr>
      <w:r w:rsidRPr="004737C5">
        <w:rPr>
          <w:rFonts w:cstheme="minorHAnsi"/>
        </w:rPr>
        <w:t>The above is reinforced by a meta-analysis</w:t>
      </w:r>
      <w:r w:rsidR="00BE71E3" w:rsidRPr="004737C5">
        <w:rPr>
          <w:rFonts w:cstheme="minorHAnsi"/>
        </w:rPr>
        <w:t xml:space="preserve"> by </w:t>
      </w:r>
      <w:r w:rsidR="00082BFB" w:rsidRPr="004737C5">
        <w:rPr>
          <w:rFonts w:cstheme="minorHAnsi"/>
        </w:rPr>
        <w:t xml:space="preserve">Daniel </w:t>
      </w:r>
      <w:r w:rsidR="00BE71E3" w:rsidRPr="004737C5">
        <w:rPr>
          <w:rFonts w:cstheme="minorHAnsi"/>
        </w:rPr>
        <w:t xml:space="preserve">Fernandes, </w:t>
      </w:r>
      <w:r w:rsidR="00082BFB" w:rsidRPr="004737C5">
        <w:rPr>
          <w:rFonts w:cstheme="minorHAnsi"/>
        </w:rPr>
        <w:t xml:space="preserve">John </w:t>
      </w:r>
      <w:r w:rsidR="00BE71E3" w:rsidRPr="004737C5">
        <w:rPr>
          <w:rFonts w:cstheme="minorHAnsi"/>
        </w:rPr>
        <w:t xml:space="preserve">Lynch and </w:t>
      </w:r>
      <w:r w:rsidR="00082BFB" w:rsidRPr="004737C5">
        <w:rPr>
          <w:rFonts w:cstheme="minorHAnsi"/>
        </w:rPr>
        <w:t xml:space="preserve">Richard </w:t>
      </w:r>
      <w:r w:rsidR="00BE71E3" w:rsidRPr="004737C5">
        <w:rPr>
          <w:rFonts w:cstheme="minorHAnsi"/>
        </w:rPr>
        <w:t>Netemeyer published in 2014, which tracked the relationship of financial education to financial behaviours in 168 papers covering 201 prior studies. The authors found that interventions to improve financ</w:t>
      </w:r>
      <w:r w:rsidRPr="004737C5">
        <w:rPr>
          <w:rFonts w:cstheme="minorHAnsi"/>
        </w:rPr>
        <w:t xml:space="preserve">ial </w:t>
      </w:r>
      <w:r w:rsidRPr="004737C5">
        <w:rPr>
          <w:rFonts w:cstheme="minorHAnsi"/>
        </w:rPr>
        <w:lastRenderedPageBreak/>
        <w:t>literacy explained only 0.1 percent</w:t>
      </w:r>
      <w:r w:rsidR="00BE71E3" w:rsidRPr="004737C5">
        <w:rPr>
          <w:rFonts w:cstheme="minorHAnsi"/>
        </w:rPr>
        <w:t xml:space="preserve"> of the variance in financial behaviours studied, with even weaker effects in low-incom</w:t>
      </w:r>
      <w:r w:rsidRPr="004737C5">
        <w:rPr>
          <w:rFonts w:cstheme="minorHAnsi"/>
        </w:rPr>
        <w:t>e samples. They concluded that “</w:t>
      </w:r>
      <w:r w:rsidR="00BE71E3" w:rsidRPr="004737C5">
        <w:rPr>
          <w:rFonts w:cstheme="minorHAnsi"/>
        </w:rPr>
        <w:t>like other education, financial education decays over time; even large interventions with many hours of instruction have negligible effects on behaviour 20 months or more</w:t>
      </w:r>
      <w:r w:rsidRPr="004737C5">
        <w:rPr>
          <w:rFonts w:cstheme="minorHAnsi"/>
        </w:rPr>
        <w:t xml:space="preserve"> from the time of intervention”.</w:t>
      </w:r>
      <w:r w:rsidR="00BE71E3" w:rsidRPr="004737C5">
        <w:rPr>
          <w:rStyle w:val="FootnoteReference"/>
          <w:rFonts w:cstheme="minorHAnsi"/>
        </w:rPr>
        <w:footnoteReference w:id="179"/>
      </w:r>
      <w:r w:rsidR="00BE71E3" w:rsidRPr="004737C5">
        <w:rPr>
          <w:rFonts w:cstheme="minorHAnsi"/>
        </w:rPr>
        <w:t xml:space="preserve"> </w:t>
      </w:r>
    </w:p>
    <w:p w14:paraId="075713A1" w14:textId="0FD690A6" w:rsidR="00BE71E3" w:rsidRPr="004737C5" w:rsidRDefault="00BE71E3" w:rsidP="006D3BE8">
      <w:pPr>
        <w:autoSpaceDE w:val="0"/>
        <w:autoSpaceDN w:val="0"/>
        <w:adjustRightInd w:val="0"/>
        <w:rPr>
          <w:rFonts w:cstheme="minorHAnsi"/>
        </w:rPr>
      </w:pPr>
      <w:r w:rsidRPr="004737C5">
        <w:rPr>
          <w:rFonts w:cstheme="minorHAnsi"/>
        </w:rPr>
        <w:t>In fairness, few financial experts have argued that consumer education would have avoided the financial crisis, although individual officials and bankers have been known to make such statements. There have always been</w:t>
      </w:r>
      <w:r w:rsidR="00075E7C" w:rsidRPr="004737C5">
        <w:rPr>
          <w:rFonts w:cstheme="minorHAnsi"/>
        </w:rPr>
        <w:t xml:space="preserve"> balanced views. The 2005 OECD Recommendations on Principles and Good P</w:t>
      </w:r>
      <w:r w:rsidRPr="004737C5">
        <w:rPr>
          <w:rFonts w:cstheme="minorHAnsi"/>
        </w:rPr>
        <w:t xml:space="preserve">ractices for </w:t>
      </w:r>
      <w:r w:rsidR="00075E7C" w:rsidRPr="004737C5">
        <w:rPr>
          <w:rFonts w:cstheme="minorHAnsi"/>
        </w:rPr>
        <w:t>F</w:t>
      </w:r>
      <w:r w:rsidRPr="004737C5">
        <w:rPr>
          <w:rFonts w:cstheme="minorHAnsi"/>
        </w:rPr>
        <w:t>inancial</w:t>
      </w:r>
      <w:r w:rsidR="00075E7C" w:rsidRPr="004737C5">
        <w:rPr>
          <w:rFonts w:cstheme="minorHAnsi"/>
        </w:rPr>
        <w:t xml:space="preserve"> Education and A</w:t>
      </w:r>
      <w:r w:rsidR="00E64F4A" w:rsidRPr="004737C5">
        <w:rPr>
          <w:rFonts w:cstheme="minorHAnsi"/>
        </w:rPr>
        <w:t>wareness warned that “</w:t>
      </w:r>
      <w:r w:rsidRPr="004737C5">
        <w:rPr>
          <w:rFonts w:cstheme="minorHAnsi"/>
        </w:rPr>
        <w:t>the promotion of financial education should not be substituted for financial regulation, which is essential to protect consumers (for instance against fraud) and which financial education is expected to complement</w:t>
      </w:r>
      <w:r w:rsidR="00E64F4A" w:rsidRPr="004737C5">
        <w:rPr>
          <w:rFonts w:cstheme="minorHAnsi"/>
        </w:rPr>
        <w:t>”.</w:t>
      </w:r>
      <w:r w:rsidRPr="004737C5">
        <w:rPr>
          <w:rStyle w:val="FootnoteReference"/>
          <w:rFonts w:cstheme="minorHAnsi"/>
        </w:rPr>
        <w:footnoteReference w:id="180"/>
      </w:r>
      <w:r w:rsidRPr="004737C5">
        <w:rPr>
          <w:rFonts w:cstheme="minorHAnsi"/>
        </w:rPr>
        <w:t xml:space="preserve"> A World Bank study reinforced that view in 2010, especially in the co</w:t>
      </w:r>
      <w:r w:rsidR="00E64F4A" w:rsidRPr="004737C5">
        <w:rPr>
          <w:rFonts w:cstheme="minorHAnsi"/>
        </w:rPr>
        <w:t>ntext of transitional economies, “f</w:t>
      </w:r>
      <w:r w:rsidRPr="004737C5">
        <w:rPr>
          <w:rFonts w:cstheme="minorHAnsi"/>
        </w:rPr>
        <w:t>inancial education cannot substitute fo</w:t>
      </w:r>
      <w:r w:rsidR="00E64F4A" w:rsidRPr="004737C5">
        <w:rPr>
          <w:rFonts w:cstheme="minorHAnsi"/>
        </w:rPr>
        <w:t>r adequate financial regulation</w:t>
      </w:r>
      <w:r w:rsidRPr="004737C5">
        <w:rPr>
          <w:rFonts w:cstheme="minorHAnsi"/>
        </w:rPr>
        <w:t>”</w:t>
      </w:r>
      <w:r w:rsidR="00E64F4A" w:rsidRPr="004737C5">
        <w:rPr>
          <w:rFonts w:cstheme="minorHAnsi"/>
        </w:rPr>
        <w:t>.</w:t>
      </w:r>
      <w:r w:rsidRPr="004737C5">
        <w:rPr>
          <w:rStyle w:val="FootnoteReference"/>
          <w:rFonts w:cstheme="minorHAnsi"/>
        </w:rPr>
        <w:footnoteReference w:id="181"/>
      </w:r>
    </w:p>
    <w:p w14:paraId="3298CBD3" w14:textId="77777777" w:rsidR="00BE71E3" w:rsidRPr="004737C5" w:rsidRDefault="00BE71E3" w:rsidP="006D3BE8">
      <w:pPr>
        <w:autoSpaceDE w:val="0"/>
        <w:autoSpaceDN w:val="0"/>
        <w:adjustRightInd w:val="0"/>
        <w:rPr>
          <w:rFonts w:cstheme="minorHAnsi"/>
        </w:rPr>
      </w:pPr>
      <w:r w:rsidRPr="004737C5">
        <w:rPr>
          <w:rFonts w:cstheme="minorHAnsi"/>
        </w:rPr>
        <w:t>More recently, the OECD reached the following conclusion in its study on finan</w:t>
      </w:r>
      <w:r w:rsidR="00E64F4A" w:rsidRPr="004737C5">
        <w:rPr>
          <w:rFonts w:cstheme="minorHAnsi"/>
        </w:rPr>
        <w:t>cial education and the crisis: “</w:t>
      </w:r>
      <w:r w:rsidRPr="004737C5">
        <w:rPr>
          <w:rFonts w:cstheme="minorHAnsi"/>
        </w:rPr>
        <w:t>the lack of financial literacy has certainly contributed</w:t>
      </w:r>
      <w:r w:rsidR="00E64F4A" w:rsidRPr="004737C5">
        <w:rPr>
          <w:rFonts w:cstheme="minorHAnsi"/>
        </w:rPr>
        <w:t>,</w:t>
      </w:r>
      <w:r w:rsidRPr="004737C5">
        <w:rPr>
          <w:rFonts w:cstheme="minorHAnsi"/>
        </w:rPr>
        <w:t xml:space="preserve"> together with other factors, to the onset of the crisis and to the</w:t>
      </w:r>
      <w:r w:rsidR="00E64F4A" w:rsidRPr="004737C5">
        <w:rPr>
          <w:rFonts w:cstheme="minorHAnsi"/>
        </w:rPr>
        <w:t xml:space="preserve"> worsening of its consequences.</w:t>
      </w:r>
      <w:r w:rsidRPr="004737C5">
        <w:rPr>
          <w:rFonts w:cstheme="minorHAnsi"/>
        </w:rPr>
        <w:t xml:space="preserve"> Yet financial education is not a panacea and cannot by itself prevent the occurrence of major crises such as the one we are going through. As far as this crisis is concerned, on the one hand, its genuine causes are still difficult to delineate and weight, and, on the other hand, the lack of financial literacy is only one of the contributing factors and not the main one”.</w:t>
      </w:r>
      <w:r w:rsidRPr="004737C5">
        <w:rPr>
          <w:rStyle w:val="FootnoteReference"/>
          <w:rFonts w:cstheme="minorHAnsi"/>
        </w:rPr>
        <w:footnoteReference w:id="182"/>
      </w:r>
      <w:r w:rsidRPr="004737C5">
        <w:rPr>
          <w:rFonts w:cstheme="minorHAnsi"/>
        </w:rPr>
        <w:t xml:space="preserve"> These two passages may seem contradictory yet both can be correct as neither is an absolute statement.</w:t>
      </w:r>
    </w:p>
    <w:p w14:paraId="2AD02A4E" w14:textId="77777777" w:rsidR="00BE71E3" w:rsidRPr="004737C5" w:rsidRDefault="00BE71E3" w:rsidP="006D3BE8">
      <w:pPr>
        <w:autoSpaceDE w:val="0"/>
        <w:autoSpaceDN w:val="0"/>
        <w:adjustRightInd w:val="0"/>
        <w:rPr>
          <w:rFonts w:cstheme="minorHAnsi"/>
        </w:rPr>
      </w:pPr>
      <w:r w:rsidRPr="004737C5">
        <w:rPr>
          <w:rFonts w:cstheme="minorHAnsi"/>
        </w:rPr>
        <w:t>In fact the meta-analysis cited above provides a partial reconciliation of the diff</w:t>
      </w:r>
      <w:r w:rsidR="00E64F4A" w:rsidRPr="004737C5">
        <w:rPr>
          <w:rFonts w:cstheme="minorHAnsi"/>
        </w:rPr>
        <w:t>erent emphases, as it suggests “a real but narrower role for ‘just in time’</w:t>
      </w:r>
      <w:r w:rsidRPr="004737C5">
        <w:rPr>
          <w:rFonts w:cstheme="minorHAnsi"/>
        </w:rPr>
        <w:t xml:space="preserve"> financial education tied to specific behaviours it intends to help</w:t>
      </w:r>
      <w:r w:rsidR="00E64F4A" w:rsidRPr="004737C5">
        <w:rPr>
          <w:rFonts w:cstheme="minorHAnsi"/>
        </w:rPr>
        <w:t>”.</w:t>
      </w:r>
      <w:r w:rsidRPr="004737C5">
        <w:rPr>
          <w:rFonts w:cstheme="minorHAnsi"/>
        </w:rPr>
        <w:t xml:space="preserve"> The consumer’s attention is more easily focused when there is a specific activity under consideration. This in turn goes against the assumption that education in advance equips consumers for future challenges, but it does point to a more focused approach to be taken by consumer education.  </w:t>
      </w:r>
    </w:p>
    <w:p w14:paraId="0EF3C536" w14:textId="77777777" w:rsidR="00BE71E3" w:rsidRPr="004737C5" w:rsidRDefault="00E64F4A" w:rsidP="00082BFB">
      <w:pPr>
        <w:pStyle w:val="Heading2"/>
        <w:spacing w:after="160"/>
        <w:rPr>
          <w:rFonts w:cstheme="minorHAnsi"/>
          <w:color w:val="auto"/>
          <w:sz w:val="24"/>
          <w:szCs w:val="24"/>
        </w:rPr>
      </w:pPr>
      <w:bookmarkStart w:id="177" w:name="_Toc454293840"/>
      <w:bookmarkStart w:id="178" w:name="_Toc489950276"/>
      <w:bookmarkStart w:id="179" w:name="_Toc492650063"/>
      <w:r w:rsidRPr="004737C5">
        <w:rPr>
          <w:rFonts w:cstheme="minorHAnsi"/>
          <w:color w:val="auto"/>
          <w:sz w:val="24"/>
          <w:szCs w:val="24"/>
        </w:rPr>
        <w:t>H.</w:t>
      </w:r>
      <w:r w:rsidR="00BE71E3" w:rsidRPr="004737C5">
        <w:rPr>
          <w:rFonts w:cstheme="minorHAnsi"/>
          <w:color w:val="auto"/>
          <w:sz w:val="24"/>
          <w:szCs w:val="24"/>
        </w:rPr>
        <w:t xml:space="preserve"> Conclusion</w:t>
      </w:r>
      <w:bookmarkEnd w:id="177"/>
      <w:bookmarkEnd w:id="178"/>
      <w:bookmarkEnd w:id="179"/>
    </w:p>
    <w:p w14:paraId="38E1580C" w14:textId="4217424E" w:rsidR="00BE71E3" w:rsidRPr="004737C5" w:rsidRDefault="00BE71E3" w:rsidP="006D3BE8">
      <w:pPr>
        <w:rPr>
          <w:rFonts w:cstheme="minorHAnsi"/>
        </w:rPr>
      </w:pPr>
      <w:r w:rsidRPr="004737C5">
        <w:rPr>
          <w:rFonts w:cstheme="minorHAnsi"/>
        </w:rPr>
        <w:t>The complex debate about info</w:t>
      </w:r>
      <w:r w:rsidR="00E64F4A" w:rsidRPr="004737C5">
        <w:rPr>
          <w:rFonts w:cstheme="minorHAnsi"/>
        </w:rPr>
        <w:t>rmation, education and decision-</w:t>
      </w:r>
      <w:r w:rsidRPr="004737C5">
        <w:rPr>
          <w:rFonts w:cstheme="minorHAnsi"/>
        </w:rPr>
        <w:t>making has oft</w:t>
      </w:r>
      <w:r w:rsidR="00E64F4A" w:rsidRPr="004737C5">
        <w:rPr>
          <w:rFonts w:cstheme="minorHAnsi"/>
        </w:rPr>
        <w:t>en been framed by theorists of</w:t>
      </w:r>
      <w:r w:rsidR="003F08AB" w:rsidRPr="004737C5">
        <w:rPr>
          <w:rFonts w:cstheme="minorHAnsi"/>
        </w:rPr>
        <w:t xml:space="preserve"> “rational utility maximiz</w:t>
      </w:r>
      <w:r w:rsidR="00880B98" w:rsidRPr="004737C5">
        <w:rPr>
          <w:rFonts w:cstheme="minorHAnsi"/>
        </w:rPr>
        <w:t xml:space="preserve">ation” </w:t>
      </w:r>
      <w:r w:rsidRPr="004737C5">
        <w:rPr>
          <w:rFonts w:cstheme="minorHAnsi"/>
        </w:rPr>
        <w:t>with behavioural economists recently pointing out that what people actuall</w:t>
      </w:r>
      <w:r w:rsidR="00E64F4A" w:rsidRPr="004737C5">
        <w:rPr>
          <w:rFonts w:cstheme="minorHAnsi"/>
        </w:rPr>
        <w:t>y do may not accord with their “objective”</w:t>
      </w:r>
      <w:r w:rsidRPr="004737C5">
        <w:rPr>
          <w:rFonts w:cstheme="minorHAnsi"/>
        </w:rPr>
        <w:t xml:space="preserve"> interests. The</w:t>
      </w:r>
      <w:r w:rsidR="00880B98" w:rsidRPr="004737C5">
        <w:rPr>
          <w:rFonts w:cstheme="minorHAnsi"/>
        </w:rPr>
        <w:t xml:space="preserve"> debate can even become patroniz</w:t>
      </w:r>
      <w:r w:rsidRPr="004737C5">
        <w:rPr>
          <w:rFonts w:cstheme="minorHAnsi"/>
        </w:rPr>
        <w:t>ing in regretting the failure of consumer</w:t>
      </w:r>
      <w:r w:rsidR="00E64F4A" w:rsidRPr="004737C5">
        <w:rPr>
          <w:rFonts w:cstheme="minorHAnsi"/>
        </w:rPr>
        <w:t>s to invest their time in money-</w:t>
      </w:r>
      <w:r w:rsidRPr="004737C5">
        <w:rPr>
          <w:rFonts w:cstheme="minorHAnsi"/>
        </w:rPr>
        <w:t xml:space="preserve">saving activities such as switching fuel suppliers or perusing price comparison sites. This indicates a very narrow view of real consumer behaviour for several reasons. </w:t>
      </w:r>
    </w:p>
    <w:p w14:paraId="37FB9D60" w14:textId="77777777" w:rsidR="00BE71E3" w:rsidRPr="004737C5" w:rsidRDefault="00BE71E3" w:rsidP="006D3BE8">
      <w:pPr>
        <w:rPr>
          <w:rFonts w:cstheme="minorHAnsi"/>
        </w:rPr>
      </w:pPr>
      <w:r w:rsidRPr="004737C5">
        <w:rPr>
          <w:rFonts w:cstheme="minorHAnsi"/>
        </w:rPr>
        <w:t>The high error rate that has been found among consumers switching (for example) may actually mean that con</w:t>
      </w:r>
      <w:r w:rsidR="00E64F4A" w:rsidRPr="004737C5">
        <w:rPr>
          <w:rFonts w:cstheme="minorHAnsi"/>
        </w:rPr>
        <w:t>sumer conservatism is the more “rational”</w:t>
      </w:r>
      <w:r w:rsidRPr="004737C5">
        <w:rPr>
          <w:rFonts w:cstheme="minorHAnsi"/>
        </w:rPr>
        <w:t xml:space="preserve"> course of action </w:t>
      </w:r>
      <w:r w:rsidR="00E64F4A" w:rsidRPr="004737C5">
        <w:rPr>
          <w:rFonts w:cstheme="minorHAnsi"/>
        </w:rPr>
        <w:t>(</w:t>
      </w:r>
      <w:r w:rsidR="004240DC" w:rsidRPr="004737C5">
        <w:rPr>
          <w:rFonts w:cstheme="minorHAnsi"/>
        </w:rPr>
        <w:t>this is discussed in chapters VII and XV</w:t>
      </w:r>
      <w:r w:rsidR="00E64F4A" w:rsidRPr="004737C5">
        <w:rPr>
          <w:rFonts w:cstheme="minorHAnsi"/>
        </w:rPr>
        <w:t>)</w:t>
      </w:r>
      <w:r w:rsidRPr="004737C5">
        <w:rPr>
          <w:rFonts w:cstheme="minorHAnsi"/>
        </w:rPr>
        <w:t>. Furthermore</w:t>
      </w:r>
      <w:r w:rsidR="00E64F4A" w:rsidRPr="004737C5">
        <w:rPr>
          <w:rFonts w:cstheme="minorHAnsi"/>
        </w:rPr>
        <w:t>,</w:t>
      </w:r>
      <w:r w:rsidRPr="004737C5">
        <w:rPr>
          <w:rFonts w:cstheme="minorHAnsi"/>
        </w:rPr>
        <w:t xml:space="preserve"> the apparently regrettable failure of consumers to peruse in this way may mask a very healthy preference for activities </w:t>
      </w:r>
      <w:r w:rsidR="00E64F4A" w:rsidRPr="004737C5">
        <w:rPr>
          <w:rFonts w:cstheme="minorHAnsi"/>
        </w:rPr>
        <w:t>that may bring no obvious short-</w:t>
      </w:r>
      <w:r w:rsidRPr="004737C5">
        <w:rPr>
          <w:rFonts w:cstheme="minorHAnsi"/>
        </w:rPr>
        <w:t>term financial benefit, while being in fact highly</w:t>
      </w:r>
      <w:r w:rsidR="00E64F4A" w:rsidRPr="004737C5">
        <w:rPr>
          <w:rFonts w:cstheme="minorHAnsi"/>
        </w:rPr>
        <w:t xml:space="preserve"> meritorious and a form of long-</w:t>
      </w:r>
      <w:r w:rsidRPr="004737C5">
        <w:rPr>
          <w:rFonts w:cstheme="minorHAnsi"/>
        </w:rPr>
        <w:t xml:space="preserve">term investment, like helping </w:t>
      </w:r>
      <w:r w:rsidRPr="004737C5">
        <w:rPr>
          <w:rFonts w:cstheme="minorHAnsi"/>
        </w:rPr>
        <w:lastRenderedPageBreak/>
        <w:t xml:space="preserve">children with their homework. The rejoinder is doubtless that such a range of activities are not incompatible with each other. However, in reality not all consumers are equipped with access to internet technology </w:t>
      </w:r>
      <w:r w:rsidRPr="004737C5">
        <w:rPr>
          <w:rFonts w:cstheme="minorHAnsi"/>
          <w:i/>
        </w:rPr>
        <w:t>and</w:t>
      </w:r>
      <w:r w:rsidRPr="004737C5">
        <w:rPr>
          <w:rFonts w:cstheme="minorHAnsi"/>
        </w:rPr>
        <w:t xml:space="preserve"> price comparison sites </w:t>
      </w:r>
      <w:r w:rsidRPr="004737C5">
        <w:rPr>
          <w:rFonts w:cstheme="minorHAnsi"/>
          <w:i/>
        </w:rPr>
        <w:t>and</w:t>
      </w:r>
      <w:r w:rsidRPr="004737C5">
        <w:rPr>
          <w:rFonts w:cstheme="minorHAnsi"/>
        </w:rPr>
        <w:t xml:space="preserve"> sufficient education </w:t>
      </w:r>
      <w:r w:rsidRPr="004737C5">
        <w:rPr>
          <w:rFonts w:cstheme="minorHAnsi"/>
          <w:i/>
        </w:rPr>
        <w:t>and</w:t>
      </w:r>
      <w:r w:rsidRPr="004737C5">
        <w:rPr>
          <w:rFonts w:cstheme="minorHAnsi"/>
        </w:rPr>
        <w:t xml:space="preserve"> confidence to choose. It is important to bear in mind that consumer choice is now expected in far more areas than was the case hitherto. In aggregate, exercising such choices amounts to significant allocation</w:t>
      </w:r>
      <w:r w:rsidR="00E64F4A" w:rsidRPr="004737C5">
        <w:rPr>
          <w:rFonts w:cstheme="minorHAnsi"/>
        </w:rPr>
        <w:t xml:space="preserve"> of time, especially where the “right”</w:t>
      </w:r>
      <w:r w:rsidRPr="004737C5">
        <w:rPr>
          <w:rFonts w:cstheme="minorHAnsi"/>
        </w:rPr>
        <w:t xml:space="preserve"> choice is not</w:t>
      </w:r>
      <w:r w:rsidR="00E64F4A" w:rsidRPr="004737C5">
        <w:rPr>
          <w:rFonts w:cstheme="minorHAnsi"/>
        </w:rPr>
        <w:t xml:space="preserve"> evident. Indeed “economic” choices may clash with “ethical”</w:t>
      </w:r>
      <w:r w:rsidRPr="004737C5">
        <w:rPr>
          <w:rFonts w:cstheme="minorHAnsi"/>
        </w:rPr>
        <w:t xml:space="preserve"> choices.</w:t>
      </w:r>
    </w:p>
    <w:p w14:paraId="4AD13D9F" w14:textId="77777777" w:rsidR="00BE71E3" w:rsidRPr="004737C5" w:rsidRDefault="00BE71E3" w:rsidP="006D3BE8">
      <w:pPr>
        <w:pStyle w:val="CommentText"/>
        <w:rPr>
          <w:rFonts w:cstheme="minorHAnsi"/>
          <w:sz w:val="22"/>
          <w:szCs w:val="22"/>
        </w:rPr>
      </w:pPr>
      <w:r w:rsidRPr="004737C5">
        <w:rPr>
          <w:rFonts w:cstheme="minorHAnsi"/>
          <w:sz w:val="22"/>
          <w:szCs w:val="22"/>
        </w:rPr>
        <w:t>For example, where there are a number of labelling and certification schemes that can apply to the same product</w:t>
      </w:r>
      <w:r w:rsidR="00E64F4A" w:rsidRPr="004737C5">
        <w:rPr>
          <w:rFonts w:cstheme="minorHAnsi"/>
          <w:sz w:val="22"/>
          <w:szCs w:val="22"/>
        </w:rPr>
        <w:t>,</w:t>
      </w:r>
      <w:r w:rsidRPr="004737C5">
        <w:rPr>
          <w:rFonts w:cstheme="minorHAnsi"/>
          <w:sz w:val="22"/>
          <w:szCs w:val="22"/>
        </w:rPr>
        <w:t xml:space="preserve"> </w:t>
      </w:r>
      <w:r w:rsidR="00E64F4A" w:rsidRPr="004737C5">
        <w:rPr>
          <w:rFonts w:cstheme="minorHAnsi"/>
          <w:sz w:val="22"/>
          <w:szCs w:val="22"/>
        </w:rPr>
        <w:t xml:space="preserve">for example </w:t>
      </w:r>
      <w:r w:rsidRPr="004737C5">
        <w:rPr>
          <w:rFonts w:cstheme="minorHAnsi"/>
          <w:sz w:val="22"/>
          <w:szCs w:val="22"/>
        </w:rPr>
        <w:t>tea with no labels, with own bra</w:t>
      </w:r>
      <w:r w:rsidR="00E64F4A" w:rsidRPr="004737C5">
        <w:rPr>
          <w:rFonts w:cstheme="minorHAnsi"/>
          <w:sz w:val="22"/>
          <w:szCs w:val="22"/>
        </w:rPr>
        <w:t>nd labels or “natural”</w:t>
      </w:r>
      <w:r w:rsidRPr="004737C5">
        <w:rPr>
          <w:rFonts w:cstheme="minorHAnsi"/>
          <w:sz w:val="22"/>
          <w:szCs w:val="22"/>
        </w:rPr>
        <w:t>, rainforest, fair trade or organic</w:t>
      </w:r>
      <w:r w:rsidR="00E64F4A" w:rsidRPr="004737C5">
        <w:rPr>
          <w:rFonts w:cstheme="minorHAnsi"/>
          <w:sz w:val="22"/>
          <w:szCs w:val="22"/>
        </w:rPr>
        <w:t xml:space="preserve"> labels, great consumer confusion can arise</w:t>
      </w:r>
      <w:r w:rsidRPr="004737C5">
        <w:rPr>
          <w:rFonts w:cstheme="minorHAnsi"/>
          <w:sz w:val="22"/>
          <w:szCs w:val="22"/>
        </w:rPr>
        <w:t xml:space="preserve">. These </w:t>
      </w:r>
      <w:r w:rsidR="00E64F4A" w:rsidRPr="004737C5">
        <w:rPr>
          <w:rFonts w:cstheme="minorHAnsi"/>
          <w:sz w:val="22"/>
          <w:szCs w:val="22"/>
        </w:rPr>
        <w:t xml:space="preserve">categories </w:t>
      </w:r>
      <w:r w:rsidRPr="004737C5">
        <w:rPr>
          <w:rFonts w:cstheme="minorHAnsi"/>
          <w:sz w:val="22"/>
          <w:szCs w:val="22"/>
        </w:rPr>
        <w:t>are q</w:t>
      </w:r>
      <w:r w:rsidR="00E64F4A" w:rsidRPr="004737C5">
        <w:rPr>
          <w:rFonts w:cstheme="minorHAnsi"/>
          <w:sz w:val="22"/>
          <w:szCs w:val="22"/>
        </w:rPr>
        <w:t xml:space="preserve">uite different in substance and some do not mean very much. </w:t>
      </w:r>
      <w:r w:rsidRPr="004737C5">
        <w:rPr>
          <w:rFonts w:cstheme="minorHAnsi"/>
          <w:sz w:val="22"/>
          <w:szCs w:val="22"/>
        </w:rPr>
        <w:t xml:space="preserve">As the social, environmental and health costs are not often reflected in the price of commodities, there is little scope for the consumer to make a rational assessment for each purchase when it comes to judging such impacts. So, many consumers may inadvertently spend their money on a product of whose production methods they disapprove. Alternatively, in the face of confusion they may simply go for the cheapest. </w:t>
      </w:r>
    </w:p>
    <w:p w14:paraId="5835DD1E" w14:textId="1BCF0E67" w:rsidR="00BE71E3" w:rsidRPr="004737C5" w:rsidRDefault="00BE71E3" w:rsidP="006D3BE8">
      <w:pPr>
        <w:pStyle w:val="CommentText"/>
        <w:rPr>
          <w:rFonts w:cstheme="minorHAnsi"/>
          <w:sz w:val="22"/>
          <w:szCs w:val="22"/>
        </w:rPr>
      </w:pPr>
      <w:r w:rsidRPr="004737C5">
        <w:rPr>
          <w:rFonts w:cstheme="minorHAnsi"/>
          <w:sz w:val="22"/>
          <w:szCs w:val="22"/>
        </w:rPr>
        <w:t>What amount of information can make a developed country consumer understand the link between seemingly mundane choices of cheaper energy or the weekly shopping basket and increased r</w:t>
      </w:r>
      <w:r w:rsidR="00880B98" w:rsidRPr="004737C5">
        <w:rPr>
          <w:rFonts w:cstheme="minorHAnsi"/>
          <w:sz w:val="22"/>
          <w:szCs w:val="22"/>
        </w:rPr>
        <w:t>isk of flooding in regions half</w:t>
      </w:r>
      <w:r w:rsidRPr="004737C5">
        <w:rPr>
          <w:rFonts w:cstheme="minorHAnsi"/>
          <w:sz w:val="22"/>
          <w:szCs w:val="22"/>
        </w:rPr>
        <w:t>way across the planet? Given the scale of the global challenge posed by climate change, expecting t</w:t>
      </w:r>
      <w:r w:rsidR="00E64F4A" w:rsidRPr="004737C5">
        <w:rPr>
          <w:rFonts w:cstheme="minorHAnsi"/>
          <w:sz w:val="22"/>
          <w:szCs w:val="22"/>
        </w:rPr>
        <w:t>he consumer to be able to make “full and rational”</w:t>
      </w:r>
      <w:r w:rsidRPr="004737C5">
        <w:rPr>
          <w:rFonts w:cstheme="minorHAnsi"/>
          <w:sz w:val="22"/>
          <w:szCs w:val="22"/>
        </w:rPr>
        <w:t xml:space="preserve"> assessments of this extremely complex market environment is not just unlikely, it could amount to a transfer of responsibility. </w:t>
      </w:r>
    </w:p>
    <w:p w14:paraId="2570B85E" w14:textId="77777777" w:rsidR="00BE71E3" w:rsidRPr="004737C5" w:rsidRDefault="00BE71E3" w:rsidP="001721F9">
      <w:pPr>
        <w:rPr>
          <w:rFonts w:cstheme="minorHAnsi"/>
        </w:rPr>
      </w:pPr>
      <w:r w:rsidRPr="004737C5">
        <w:rPr>
          <w:rFonts w:cstheme="minorHAnsi"/>
        </w:rPr>
        <w:t>Consumers have many competing activities calling for attention apart fr</w:t>
      </w:r>
      <w:r w:rsidR="00E64F4A" w:rsidRPr="004737C5">
        <w:rPr>
          <w:rFonts w:cstheme="minorHAnsi"/>
        </w:rPr>
        <w:t>om informing themselves to make</w:t>
      </w:r>
      <w:r w:rsidRPr="004737C5">
        <w:rPr>
          <w:rFonts w:cstheme="minorHAnsi"/>
        </w:rPr>
        <w:t xml:space="preserve"> choices. Consumer i</w:t>
      </w:r>
      <w:r w:rsidR="00E64F4A" w:rsidRPr="004737C5">
        <w:rPr>
          <w:rFonts w:cstheme="minorHAnsi"/>
        </w:rPr>
        <w:t>nformation and education have</w:t>
      </w:r>
      <w:r w:rsidRPr="004737C5">
        <w:rPr>
          <w:rFonts w:cstheme="minorHAnsi"/>
        </w:rPr>
        <w:t xml:space="preserve"> important roles to play, but their limits should also be recognized.</w:t>
      </w:r>
      <w:r w:rsidRPr="004737C5">
        <w:rPr>
          <w:rFonts w:cstheme="minorHAnsi"/>
        </w:rPr>
        <w:br w:type="page"/>
      </w:r>
    </w:p>
    <w:p w14:paraId="705DBA46" w14:textId="77777777" w:rsidR="00BE71E3" w:rsidRPr="004737C5" w:rsidRDefault="00E64F4A" w:rsidP="00880B98">
      <w:pPr>
        <w:rPr>
          <w:b/>
          <w:sz w:val="28"/>
          <w:szCs w:val="28"/>
        </w:rPr>
      </w:pPr>
      <w:bookmarkStart w:id="180" w:name="_Toc454293841"/>
      <w:bookmarkStart w:id="181" w:name="_Toc489950277"/>
      <w:bookmarkStart w:id="182" w:name="_Toc492650064"/>
      <w:bookmarkStart w:id="183" w:name="_Toc183930644"/>
      <w:r w:rsidRPr="004737C5">
        <w:rPr>
          <w:b/>
          <w:sz w:val="28"/>
          <w:szCs w:val="28"/>
        </w:rPr>
        <w:lastRenderedPageBreak/>
        <w:t xml:space="preserve">XI. </w:t>
      </w:r>
      <w:r w:rsidR="00BE71E3" w:rsidRPr="004737C5">
        <w:rPr>
          <w:b/>
          <w:sz w:val="28"/>
          <w:szCs w:val="28"/>
        </w:rPr>
        <w:t>Co</w:t>
      </w:r>
      <w:r w:rsidRPr="004737C5">
        <w:rPr>
          <w:b/>
          <w:sz w:val="28"/>
          <w:szCs w:val="28"/>
        </w:rPr>
        <w:t>nsumer dispute resolution and r</w:t>
      </w:r>
      <w:r w:rsidR="00BE71E3" w:rsidRPr="004737C5">
        <w:rPr>
          <w:b/>
          <w:sz w:val="28"/>
          <w:szCs w:val="28"/>
        </w:rPr>
        <w:t>edress</w:t>
      </w:r>
      <w:bookmarkEnd w:id="180"/>
      <w:bookmarkEnd w:id="181"/>
      <w:bookmarkEnd w:id="182"/>
      <w:bookmarkEnd w:id="183"/>
    </w:p>
    <w:p w14:paraId="56BFFE3F" w14:textId="77777777" w:rsidR="00BE71E3" w:rsidRPr="004737C5" w:rsidRDefault="00E64F4A" w:rsidP="00BD2919">
      <w:pPr>
        <w:pStyle w:val="Heading2"/>
        <w:spacing w:before="0" w:after="160"/>
        <w:jc w:val="left"/>
        <w:rPr>
          <w:rFonts w:cstheme="minorHAnsi"/>
          <w:color w:val="auto"/>
          <w:sz w:val="24"/>
          <w:szCs w:val="24"/>
        </w:rPr>
      </w:pPr>
      <w:bookmarkStart w:id="184" w:name="_Toc454293842"/>
      <w:bookmarkStart w:id="185" w:name="_Toc489950278"/>
      <w:bookmarkStart w:id="186" w:name="_Toc492650065"/>
      <w:bookmarkStart w:id="187" w:name="_Toc183930645"/>
      <w:r w:rsidRPr="004737C5">
        <w:rPr>
          <w:rFonts w:cstheme="minorHAnsi"/>
          <w:color w:val="auto"/>
          <w:sz w:val="24"/>
          <w:szCs w:val="24"/>
        </w:rPr>
        <w:t>A.</w:t>
      </w:r>
      <w:r w:rsidR="00BE71E3" w:rsidRPr="004737C5">
        <w:rPr>
          <w:rFonts w:cstheme="minorHAnsi"/>
          <w:color w:val="auto"/>
          <w:sz w:val="24"/>
          <w:szCs w:val="24"/>
        </w:rPr>
        <w:t xml:space="preserve"> Consumer dispute resolution and redress in the United Nations Guidelines for Consumer Protection</w:t>
      </w:r>
      <w:bookmarkEnd w:id="184"/>
      <w:bookmarkEnd w:id="185"/>
      <w:bookmarkEnd w:id="186"/>
      <w:r w:rsidR="00BE71E3" w:rsidRPr="004737C5">
        <w:rPr>
          <w:rFonts w:cstheme="minorHAnsi"/>
          <w:color w:val="auto"/>
          <w:sz w:val="24"/>
          <w:szCs w:val="24"/>
        </w:rPr>
        <w:t xml:space="preserve"> </w:t>
      </w:r>
    </w:p>
    <w:p w14:paraId="1E89A99B" w14:textId="77777777" w:rsidR="00BE71E3" w:rsidRPr="004737C5" w:rsidRDefault="00E64F4A" w:rsidP="006D3BE8">
      <w:pPr>
        <w:rPr>
          <w:rFonts w:cstheme="minorHAnsi"/>
        </w:rPr>
      </w:pPr>
      <w:r w:rsidRPr="004737C5">
        <w:rPr>
          <w:rFonts w:cstheme="minorHAnsi"/>
        </w:rPr>
        <w:t>The principal references to “dispute resolution and redress” (DRR)</w:t>
      </w:r>
      <w:r w:rsidR="00BE71E3" w:rsidRPr="004737C5">
        <w:rPr>
          <w:rFonts w:cstheme="minorHAnsi"/>
        </w:rPr>
        <w:t xml:space="preserve"> are to be found in section V.F and the </w:t>
      </w:r>
      <w:r w:rsidR="00A80CAC" w:rsidRPr="004737C5">
        <w:rPr>
          <w:rFonts w:cstheme="minorHAnsi"/>
        </w:rPr>
        <w:t>“legitimate needs” g</w:t>
      </w:r>
      <w:r w:rsidRPr="004737C5">
        <w:rPr>
          <w:rFonts w:cstheme="minorHAnsi"/>
        </w:rPr>
        <w:t xml:space="preserve">uideline </w:t>
      </w:r>
      <w:r w:rsidR="00A80CAC" w:rsidRPr="004737C5">
        <w:rPr>
          <w:rFonts w:cstheme="minorHAnsi"/>
        </w:rPr>
        <w:t>(</w:t>
      </w:r>
      <w:r w:rsidRPr="004737C5">
        <w:rPr>
          <w:rFonts w:cstheme="minorHAnsi"/>
        </w:rPr>
        <w:t>5g</w:t>
      </w:r>
      <w:r w:rsidR="00BE71E3" w:rsidRPr="004737C5">
        <w:rPr>
          <w:rFonts w:cstheme="minorHAnsi"/>
        </w:rPr>
        <w:t xml:space="preserve">). </w:t>
      </w:r>
    </w:p>
    <w:p w14:paraId="223C564F" w14:textId="22C93C55" w:rsidR="00BE71E3" w:rsidRPr="004737C5" w:rsidRDefault="00BE71E3" w:rsidP="006D3BE8">
      <w:pPr>
        <w:rPr>
          <w:rFonts w:cstheme="minorHAnsi"/>
        </w:rPr>
      </w:pPr>
      <w:r w:rsidRPr="004737C5">
        <w:rPr>
          <w:rFonts w:cstheme="minorHAnsi"/>
        </w:rPr>
        <w:t xml:space="preserve">The revised UNGCP entail a notable shift in this domain. There is </w:t>
      </w:r>
      <w:r w:rsidR="00E64F4A" w:rsidRPr="004737C5">
        <w:rPr>
          <w:rFonts w:cstheme="minorHAnsi"/>
        </w:rPr>
        <w:t xml:space="preserve">a </w:t>
      </w:r>
      <w:r w:rsidRPr="004737C5">
        <w:rPr>
          <w:rFonts w:cstheme="minorHAnsi"/>
        </w:rPr>
        <w:t>proliferation of references to dispute resolution (absent in the previous version)</w:t>
      </w:r>
      <w:r w:rsidR="00005275" w:rsidRPr="004737C5">
        <w:rPr>
          <w:rFonts w:cstheme="minorHAnsi"/>
        </w:rPr>
        <w:t>,</w:t>
      </w:r>
      <w:r w:rsidRPr="004737C5">
        <w:rPr>
          <w:rFonts w:cstheme="minorHAnsi"/>
        </w:rPr>
        <w:t xml:space="preserve"> which now appears in the resolution itself, in the new section IV on</w:t>
      </w:r>
      <w:r w:rsidR="00005275" w:rsidRPr="004737C5">
        <w:rPr>
          <w:rFonts w:cstheme="minorHAnsi"/>
        </w:rPr>
        <w:t xml:space="preserve"> good business practices</w:t>
      </w:r>
      <w:r w:rsidR="00A80CAC" w:rsidRPr="004737C5">
        <w:rPr>
          <w:rFonts w:cstheme="minorHAnsi"/>
        </w:rPr>
        <w:t xml:space="preserve"> (g</w:t>
      </w:r>
      <w:r w:rsidRPr="004737C5">
        <w:rPr>
          <w:rFonts w:cstheme="minorHAnsi"/>
        </w:rPr>
        <w:t>uideline</w:t>
      </w:r>
      <w:r w:rsidR="00005275" w:rsidRPr="004737C5">
        <w:rPr>
          <w:rFonts w:cstheme="minorHAnsi"/>
        </w:rPr>
        <w:t xml:space="preserve"> 11f</w:t>
      </w:r>
      <w:r w:rsidRPr="004737C5">
        <w:rPr>
          <w:rFonts w:cstheme="minorHAnsi"/>
        </w:rPr>
        <w:t>) and in section V.A on national pol</w:t>
      </w:r>
      <w:r w:rsidR="00A80CAC" w:rsidRPr="004737C5">
        <w:rPr>
          <w:rFonts w:cstheme="minorHAnsi"/>
        </w:rPr>
        <w:t>icies for consumer protection (g</w:t>
      </w:r>
      <w:r w:rsidRPr="004737C5">
        <w:rPr>
          <w:rFonts w:cstheme="minorHAnsi"/>
        </w:rPr>
        <w:t>uideline</w:t>
      </w:r>
      <w:r w:rsidR="00005275" w:rsidRPr="004737C5">
        <w:rPr>
          <w:rFonts w:cstheme="minorHAnsi"/>
        </w:rPr>
        <w:t xml:space="preserve"> </w:t>
      </w:r>
      <w:r w:rsidRPr="004737C5">
        <w:rPr>
          <w:rFonts w:cstheme="minorHAnsi"/>
        </w:rPr>
        <w:t>14g), as well</w:t>
      </w:r>
      <w:r w:rsidR="00A80CAC" w:rsidRPr="004737C5">
        <w:rPr>
          <w:rFonts w:cstheme="minorHAnsi"/>
        </w:rPr>
        <w:t xml:space="preserve"> as in the expanded s</w:t>
      </w:r>
      <w:r w:rsidR="00005275" w:rsidRPr="004737C5">
        <w:rPr>
          <w:rFonts w:cstheme="minorHAnsi"/>
        </w:rPr>
        <w:t>ection V.F</w:t>
      </w:r>
      <w:r w:rsidRPr="004737C5">
        <w:rPr>
          <w:rFonts w:cstheme="minorHAnsi"/>
        </w:rPr>
        <w:t xml:space="preserve"> already mentioned. This suggests an intention to place greater emphasis on the development of alternative metho</w:t>
      </w:r>
      <w:r w:rsidR="00005275" w:rsidRPr="004737C5">
        <w:rPr>
          <w:rFonts w:cstheme="minorHAnsi"/>
        </w:rPr>
        <w:t>ds of resolving issues to “</w:t>
      </w:r>
      <w:r w:rsidRPr="004737C5">
        <w:rPr>
          <w:rFonts w:cstheme="minorHAnsi"/>
        </w:rPr>
        <w:t>redress</w:t>
      </w:r>
      <w:r w:rsidR="00005275" w:rsidRPr="004737C5">
        <w:rPr>
          <w:rFonts w:cstheme="minorHAnsi"/>
        </w:rPr>
        <w:t>”,</w:t>
      </w:r>
      <w:r w:rsidRPr="004737C5">
        <w:rPr>
          <w:rFonts w:cstheme="minorHAnsi"/>
        </w:rPr>
        <w:t xml:space="preserve"> which generally implies greater use of judicially obtained compensation. Even sections with little legal co</w:t>
      </w:r>
      <w:r w:rsidR="00291489" w:rsidRPr="004737C5">
        <w:rPr>
          <w:rFonts w:cstheme="minorHAnsi"/>
        </w:rPr>
        <w:t>ntent</w:t>
      </w:r>
      <w:r w:rsidR="00880B98" w:rsidRPr="004737C5">
        <w:rPr>
          <w:rFonts w:cstheme="minorHAnsi"/>
        </w:rPr>
        <w:t xml:space="preserve">, </w:t>
      </w:r>
      <w:r w:rsidR="00291489" w:rsidRPr="004737C5">
        <w:rPr>
          <w:rFonts w:cstheme="minorHAnsi"/>
        </w:rPr>
        <w:t>such as section V.</w:t>
      </w:r>
      <w:r w:rsidR="00005275" w:rsidRPr="004737C5">
        <w:rPr>
          <w:rFonts w:cstheme="minorHAnsi"/>
        </w:rPr>
        <w:t>G on “</w:t>
      </w:r>
      <w:r w:rsidRPr="004737C5">
        <w:rPr>
          <w:rFonts w:cstheme="minorHAnsi"/>
        </w:rPr>
        <w:t>educa</w:t>
      </w:r>
      <w:r w:rsidR="00005275" w:rsidRPr="004737C5">
        <w:rPr>
          <w:rFonts w:cstheme="minorHAnsi"/>
        </w:rPr>
        <w:t>tio</w:t>
      </w:r>
      <w:r w:rsidR="00880B98" w:rsidRPr="004737C5">
        <w:rPr>
          <w:rFonts w:cstheme="minorHAnsi"/>
        </w:rPr>
        <w:t>n and information programmes” (</w:t>
      </w:r>
      <w:r w:rsidR="00A80CAC" w:rsidRPr="004737C5">
        <w:rPr>
          <w:rFonts w:cstheme="minorHAnsi"/>
        </w:rPr>
        <w:t>g</w:t>
      </w:r>
      <w:r w:rsidR="00005275" w:rsidRPr="004737C5">
        <w:rPr>
          <w:rFonts w:cstheme="minorHAnsi"/>
        </w:rPr>
        <w:t>uideline 44d)</w:t>
      </w:r>
      <w:r w:rsidR="00A80CAC" w:rsidRPr="004737C5">
        <w:rPr>
          <w:rFonts w:cstheme="minorHAnsi"/>
        </w:rPr>
        <w:t xml:space="preserve"> and new g</w:t>
      </w:r>
      <w:r w:rsidRPr="004737C5">
        <w:rPr>
          <w:rFonts w:cstheme="minorHAnsi"/>
        </w:rPr>
        <w:t>uideline 77 on public utilities</w:t>
      </w:r>
      <w:r w:rsidR="00880B98" w:rsidRPr="004737C5">
        <w:rPr>
          <w:rFonts w:cstheme="minorHAnsi"/>
        </w:rPr>
        <w:t>,</w:t>
      </w:r>
      <w:r w:rsidRPr="004737C5">
        <w:rPr>
          <w:rFonts w:cstheme="minorHAnsi"/>
        </w:rPr>
        <w:t xml:space="preserve"> now mention dispute resolution. Such change of emphasis follows the </w:t>
      </w:r>
      <w:r w:rsidR="00005275" w:rsidRPr="004737C5">
        <w:rPr>
          <w:rFonts w:cstheme="minorHAnsi"/>
        </w:rPr>
        <w:t xml:space="preserve">OECD’s </w:t>
      </w:r>
      <w:r w:rsidRPr="004737C5">
        <w:rPr>
          <w:rFonts w:cstheme="minorHAnsi"/>
        </w:rPr>
        <w:t>terminology</w:t>
      </w:r>
      <w:r w:rsidRPr="004737C5">
        <w:rPr>
          <w:rStyle w:val="FootnoteReference"/>
          <w:rFonts w:cstheme="minorHAnsi"/>
        </w:rPr>
        <w:footnoteReference w:id="183"/>
      </w:r>
      <w:r w:rsidRPr="004737C5">
        <w:rPr>
          <w:rFonts w:cstheme="minorHAnsi"/>
        </w:rPr>
        <w:t xml:space="preserve"> and matches the evolution and</w:t>
      </w:r>
      <w:r w:rsidR="00005275" w:rsidRPr="004737C5">
        <w:rPr>
          <w:rFonts w:cstheme="minorHAnsi"/>
        </w:rPr>
        <w:t xml:space="preserve"> proliferation, since the 1999 g</w:t>
      </w:r>
      <w:r w:rsidRPr="004737C5">
        <w:rPr>
          <w:rFonts w:cstheme="minorHAnsi"/>
        </w:rPr>
        <w:t xml:space="preserve">uidelines, of a great variety of dispute resolution systems.  </w:t>
      </w:r>
    </w:p>
    <w:p w14:paraId="7FC7D49C" w14:textId="77777777" w:rsidR="00BE71E3" w:rsidRPr="004737C5" w:rsidRDefault="00005275" w:rsidP="00880B98">
      <w:pPr>
        <w:pStyle w:val="Heading2"/>
        <w:spacing w:after="160"/>
        <w:rPr>
          <w:rFonts w:cstheme="minorHAnsi"/>
          <w:color w:val="auto"/>
          <w:sz w:val="24"/>
          <w:szCs w:val="24"/>
        </w:rPr>
      </w:pPr>
      <w:bookmarkStart w:id="188" w:name="_Toc454293843"/>
      <w:bookmarkStart w:id="189" w:name="_Toc489950279"/>
      <w:bookmarkStart w:id="190" w:name="_Toc492650066"/>
      <w:r w:rsidRPr="004737C5">
        <w:rPr>
          <w:rFonts w:cstheme="minorHAnsi"/>
          <w:color w:val="auto"/>
          <w:sz w:val="24"/>
          <w:szCs w:val="24"/>
        </w:rPr>
        <w:t>B.</w:t>
      </w:r>
      <w:r w:rsidR="00BE71E3" w:rsidRPr="004737C5">
        <w:rPr>
          <w:rFonts w:cstheme="minorHAnsi"/>
          <w:color w:val="auto"/>
          <w:sz w:val="24"/>
          <w:szCs w:val="24"/>
        </w:rPr>
        <w:t xml:space="preserve"> The need for consumer dispute resolution and redress</w:t>
      </w:r>
      <w:bookmarkEnd w:id="188"/>
      <w:bookmarkEnd w:id="189"/>
      <w:bookmarkEnd w:id="190"/>
    </w:p>
    <w:p w14:paraId="3034628D" w14:textId="77777777" w:rsidR="00BE71E3" w:rsidRPr="004737C5" w:rsidRDefault="00BE71E3" w:rsidP="006D3BE8">
      <w:pPr>
        <w:rPr>
          <w:rFonts w:cstheme="minorHAnsi"/>
        </w:rPr>
      </w:pPr>
      <w:r w:rsidRPr="004737C5">
        <w:rPr>
          <w:rFonts w:cstheme="minorHAnsi"/>
        </w:rPr>
        <w:t>There are various strong reasons why mechanisms are needed that effectively deliver redress where consumers suffer detriment. First, a need for redress arises as a consequence of the supply of non-compliant or unfair goods or services, where t</w:t>
      </w:r>
      <w:r w:rsidR="00005275" w:rsidRPr="004737C5">
        <w:rPr>
          <w:rFonts w:cstheme="minorHAnsi"/>
        </w:rPr>
        <w:t>here is a breach of contract or</w:t>
      </w:r>
      <w:r w:rsidRPr="004737C5">
        <w:rPr>
          <w:rFonts w:cstheme="minorHAnsi"/>
        </w:rPr>
        <w:t xml:space="preserve"> injury. Second, such</w:t>
      </w:r>
      <w:r w:rsidR="00005275" w:rsidRPr="004737C5">
        <w:rPr>
          <w:rFonts w:cstheme="minorHAnsi"/>
        </w:rPr>
        <w:t xml:space="preserve"> a</w:t>
      </w:r>
      <w:r w:rsidRPr="004737C5">
        <w:rPr>
          <w:rFonts w:cstheme="minorHAnsi"/>
        </w:rPr>
        <w:t xml:space="preserve"> breach constitutes unfair trading that will diminish consumers’ confidence in individual tr</w:t>
      </w:r>
      <w:r w:rsidR="00005275" w:rsidRPr="004737C5">
        <w:rPr>
          <w:rFonts w:cstheme="minorHAnsi"/>
        </w:rPr>
        <w:t>aders, the market and enforcers</w:t>
      </w:r>
      <w:r w:rsidRPr="004737C5">
        <w:rPr>
          <w:rFonts w:cstheme="minorHAnsi"/>
        </w:rPr>
        <w:t xml:space="preserve"> and hence chill economic activity. Third, if it represents illegal trading by suppliers, the accumulation of illicit gains by them should not be retained. Fourth, unless the position is redressed, it represents an unfair, uneven and uncompetitive market place. Fifth, the damage suffered by consumers typically arises from individual incidents that are </w:t>
      </w:r>
      <w:r w:rsidR="00005275" w:rsidRPr="004737C5">
        <w:rPr>
          <w:rFonts w:cstheme="minorHAnsi"/>
        </w:rPr>
        <w:t>minor in significance and value</w:t>
      </w:r>
      <w:r w:rsidRPr="004737C5">
        <w:rPr>
          <w:rStyle w:val="FootnoteReference"/>
          <w:rFonts w:cstheme="minorHAnsi"/>
        </w:rPr>
        <w:footnoteReference w:id="184"/>
      </w:r>
      <w:r w:rsidRPr="004737C5">
        <w:rPr>
          <w:rFonts w:cstheme="minorHAnsi"/>
        </w:rPr>
        <w:t xml:space="preserve"> and which constitute a challenge for individuals to obtain redress, but which can collectively aggregate into significant market problems that need to be addressed.</w:t>
      </w:r>
    </w:p>
    <w:p w14:paraId="64B59B0E" w14:textId="77777777" w:rsidR="00BE71E3" w:rsidRPr="004737C5" w:rsidRDefault="00BE71E3" w:rsidP="006D3BE8">
      <w:pPr>
        <w:rPr>
          <w:rFonts w:cstheme="minorHAnsi"/>
        </w:rPr>
      </w:pPr>
      <w:r w:rsidRPr="004737C5">
        <w:rPr>
          <w:rFonts w:cstheme="minorHAnsi"/>
        </w:rPr>
        <w:t>The more the world evolves towards transaction-based economic relations, the more dispute resolution systems become necessary. This is partly the result of the sheer volume of transactions but also the trend for many areas, previously considered to</w:t>
      </w:r>
      <w:r w:rsidR="00005275" w:rsidRPr="004737C5">
        <w:rPr>
          <w:rFonts w:cstheme="minorHAnsi"/>
        </w:rPr>
        <w:t xml:space="preserve"> be the domain of the s</w:t>
      </w:r>
      <w:r w:rsidRPr="004737C5">
        <w:rPr>
          <w:rFonts w:cstheme="minorHAnsi"/>
        </w:rPr>
        <w:t>tate and provided through public services, to become the domain of consumer transactions. It is noteworthy in this context</w:t>
      </w:r>
      <w:r w:rsidR="00005275" w:rsidRPr="004737C5">
        <w:rPr>
          <w:rFonts w:cstheme="minorHAnsi"/>
        </w:rPr>
        <w:t xml:space="preserve"> that</w:t>
      </w:r>
      <w:r w:rsidRPr="004737C5">
        <w:rPr>
          <w:rFonts w:cstheme="minorHAnsi"/>
        </w:rPr>
        <w:t xml:space="preserve"> the European Union Directive on Alternative Dispute Reso</w:t>
      </w:r>
      <w:r w:rsidR="00005275" w:rsidRPr="004737C5">
        <w:rPr>
          <w:rFonts w:cstheme="minorHAnsi"/>
        </w:rPr>
        <w:t>lution excludes from its terms “</w:t>
      </w:r>
      <w:r w:rsidRPr="004737C5">
        <w:rPr>
          <w:rFonts w:cstheme="minorHAnsi"/>
        </w:rPr>
        <w:t xml:space="preserve">non-economic services </w:t>
      </w:r>
      <w:r w:rsidR="00005275" w:rsidRPr="004737C5">
        <w:rPr>
          <w:rFonts w:cstheme="minorHAnsi"/>
        </w:rPr>
        <w:t>of general interest”</w:t>
      </w:r>
      <w:r w:rsidRPr="004737C5">
        <w:rPr>
          <w:rFonts w:cstheme="minorHAnsi"/>
        </w:rPr>
        <w:t xml:space="preserve"> (in effect those public services for which no direct payment is made).</w:t>
      </w:r>
      <w:r w:rsidRPr="004737C5">
        <w:rPr>
          <w:rStyle w:val="FootnoteReference"/>
          <w:rFonts w:cstheme="minorHAnsi"/>
        </w:rPr>
        <w:footnoteReference w:id="185"/>
      </w:r>
    </w:p>
    <w:p w14:paraId="260A4E24" w14:textId="77777777" w:rsidR="00BE71E3" w:rsidRPr="004737C5" w:rsidRDefault="00005275" w:rsidP="00880B98">
      <w:pPr>
        <w:pStyle w:val="Heading2"/>
        <w:spacing w:after="160"/>
        <w:rPr>
          <w:rFonts w:cstheme="minorHAnsi"/>
          <w:sz w:val="24"/>
          <w:szCs w:val="24"/>
        </w:rPr>
      </w:pPr>
      <w:bookmarkStart w:id="191" w:name="_Toc454293844"/>
      <w:bookmarkStart w:id="192" w:name="_Toc489950280"/>
      <w:bookmarkStart w:id="193" w:name="_Toc492650067"/>
      <w:r w:rsidRPr="004737C5">
        <w:rPr>
          <w:rFonts w:cstheme="minorHAnsi"/>
          <w:color w:val="auto"/>
          <w:sz w:val="24"/>
          <w:szCs w:val="24"/>
        </w:rPr>
        <w:lastRenderedPageBreak/>
        <w:t>C.</w:t>
      </w:r>
      <w:r w:rsidR="00BE71E3" w:rsidRPr="004737C5">
        <w:rPr>
          <w:rFonts w:cstheme="minorHAnsi"/>
          <w:color w:val="auto"/>
          <w:sz w:val="24"/>
          <w:szCs w:val="24"/>
        </w:rPr>
        <w:t xml:space="preserve"> Pathways for delivering consumer dispute resolution and redress</w:t>
      </w:r>
      <w:bookmarkEnd w:id="187"/>
      <w:bookmarkEnd w:id="191"/>
      <w:bookmarkEnd w:id="192"/>
      <w:bookmarkEnd w:id="193"/>
      <w:r w:rsidR="00BE71E3" w:rsidRPr="004737C5">
        <w:rPr>
          <w:rFonts w:cstheme="minorHAnsi"/>
          <w:color w:val="auto"/>
          <w:sz w:val="24"/>
          <w:szCs w:val="24"/>
        </w:rPr>
        <w:t xml:space="preserve"> </w:t>
      </w:r>
    </w:p>
    <w:p w14:paraId="74647DB0" w14:textId="040918EF" w:rsidR="00BE71E3" w:rsidRPr="004737C5" w:rsidRDefault="00BE71E3" w:rsidP="006D3BE8">
      <w:pPr>
        <w:rPr>
          <w:rFonts w:cstheme="minorHAnsi"/>
        </w:rPr>
      </w:pPr>
      <w:r w:rsidRPr="004737C5">
        <w:rPr>
          <w:rFonts w:cstheme="minorHAnsi"/>
        </w:rPr>
        <w:t xml:space="preserve">In recent years there has been significant innovation in the means by which consumers may achieve redress against traders, and a widened choice of such means. This section describes the main options, taking note of the tripartite division between individual dispute resolution and redress, collective </w:t>
      </w:r>
      <w:r w:rsidR="002D402E" w:rsidRPr="004737C5">
        <w:rPr>
          <w:rFonts w:cstheme="minorHAnsi"/>
        </w:rPr>
        <w:t xml:space="preserve">dispute resolution and redress </w:t>
      </w:r>
      <w:r w:rsidRPr="004737C5">
        <w:rPr>
          <w:rFonts w:cstheme="minorHAnsi"/>
        </w:rPr>
        <w:t>and statutory enforcement on behalf of consumers.</w:t>
      </w:r>
      <w:r w:rsidRPr="004737C5">
        <w:rPr>
          <w:rStyle w:val="FootnoteReference"/>
          <w:rFonts w:cstheme="minorHAnsi"/>
        </w:rPr>
        <w:footnoteReference w:id="186"/>
      </w:r>
    </w:p>
    <w:p w14:paraId="4E36B522" w14:textId="77777777" w:rsidR="00BE71E3" w:rsidRPr="004737C5" w:rsidRDefault="00BE71E3" w:rsidP="00880B98">
      <w:pPr>
        <w:pStyle w:val="Heading3"/>
        <w:spacing w:after="160" w:line="240" w:lineRule="auto"/>
        <w:rPr>
          <w:rFonts w:cstheme="minorHAnsi"/>
          <w:color w:val="auto"/>
        </w:rPr>
      </w:pPr>
      <w:bookmarkStart w:id="194" w:name="_Toc454293845"/>
      <w:bookmarkStart w:id="195" w:name="_Toc489950281"/>
      <w:bookmarkStart w:id="196" w:name="_Toc492650068"/>
      <w:r w:rsidRPr="004737C5">
        <w:rPr>
          <w:rFonts w:cstheme="minorHAnsi"/>
          <w:color w:val="auto"/>
        </w:rPr>
        <w:t>1</w:t>
      </w:r>
      <w:r w:rsidR="00005275" w:rsidRPr="004737C5">
        <w:rPr>
          <w:rFonts w:cstheme="minorHAnsi"/>
          <w:color w:val="auto"/>
        </w:rPr>
        <w:t>.</w:t>
      </w:r>
      <w:r w:rsidRPr="004737C5">
        <w:rPr>
          <w:rFonts w:cstheme="minorHAnsi"/>
          <w:color w:val="auto"/>
        </w:rPr>
        <w:t xml:space="preserve"> Courts</w:t>
      </w:r>
      <w:bookmarkEnd w:id="194"/>
      <w:bookmarkEnd w:id="195"/>
      <w:bookmarkEnd w:id="196"/>
    </w:p>
    <w:p w14:paraId="23CFBE48" w14:textId="77777777" w:rsidR="00BE71E3" w:rsidRPr="004737C5" w:rsidRDefault="00005275" w:rsidP="006D3BE8">
      <w:pPr>
        <w:rPr>
          <w:rFonts w:cstheme="minorHAnsi"/>
        </w:rPr>
      </w:pPr>
      <w:r w:rsidRPr="004737C5">
        <w:rPr>
          <w:rFonts w:cstheme="minorHAnsi"/>
        </w:rPr>
        <w:t>The “traditional”</w:t>
      </w:r>
      <w:r w:rsidR="00BE71E3" w:rsidRPr="004737C5">
        <w:rPr>
          <w:rFonts w:cstheme="minorHAnsi"/>
        </w:rPr>
        <w:t xml:space="preserve"> means of upholding rights is for an individual to bring a private claim before the civil courts. However, this pathway usually presents significant barriers for consumers, in view of the cost, potential exposure to adverse costs if the consumer loses, lengthy duration of the procedure, inaccessibility of the process and of the court, complexity of the law or legal procedure, possible need for expert legal or other advice, problems</w:t>
      </w:r>
      <w:r w:rsidRPr="004737C5">
        <w:rPr>
          <w:rFonts w:cstheme="minorHAnsi"/>
        </w:rPr>
        <w:t xml:space="preserve"> over enforcement of a judgment</w:t>
      </w:r>
      <w:r w:rsidR="00BE71E3" w:rsidRPr="004737C5">
        <w:rPr>
          <w:rFonts w:cstheme="minorHAnsi"/>
        </w:rPr>
        <w:t xml:space="preserve"> and, above all, disproportionality between the value of the disp</w:t>
      </w:r>
      <w:r w:rsidRPr="004737C5">
        <w:rPr>
          <w:rFonts w:cstheme="minorHAnsi"/>
        </w:rPr>
        <w:t>ute and the cost or time needed</w:t>
      </w:r>
      <w:r w:rsidR="00BE71E3" w:rsidRPr="004737C5">
        <w:rPr>
          <w:rFonts w:cstheme="minorHAnsi"/>
        </w:rPr>
        <w:t xml:space="preserve"> and general non-user-friendliness of the system. </w:t>
      </w:r>
      <w:r w:rsidRPr="004737C5">
        <w:rPr>
          <w:rFonts w:cstheme="minorHAnsi"/>
        </w:rPr>
        <w:t>L</w:t>
      </w:r>
      <w:r w:rsidR="00BE71E3" w:rsidRPr="004737C5">
        <w:rPr>
          <w:rFonts w:cstheme="minorHAnsi"/>
        </w:rPr>
        <w:t>egal systems in most countries have not been able to cope adequately with the task of enforcement and consequently consumers have not been able to obtain justice.</w:t>
      </w:r>
    </w:p>
    <w:p w14:paraId="73C39D54" w14:textId="3E0908C0" w:rsidR="00BE71E3" w:rsidRPr="004737C5" w:rsidRDefault="00BE71E3" w:rsidP="006D3BE8">
      <w:pPr>
        <w:rPr>
          <w:rFonts w:cstheme="minorHAnsi"/>
        </w:rPr>
      </w:pPr>
      <w:r w:rsidRPr="004737C5">
        <w:rPr>
          <w:rFonts w:cstheme="minorHAnsi"/>
        </w:rPr>
        <w:t>Some countries, such as Germany, have predicta</w:t>
      </w:r>
      <w:r w:rsidR="00880B98" w:rsidRPr="004737C5">
        <w:rPr>
          <w:rFonts w:cstheme="minorHAnsi"/>
        </w:rPr>
        <w:t xml:space="preserve">ble litigation costs and widely </w:t>
      </w:r>
      <w:r w:rsidRPr="004737C5">
        <w:rPr>
          <w:rFonts w:cstheme="minorHAnsi"/>
        </w:rPr>
        <w:t>available insurance for legal claims, but these m</w:t>
      </w:r>
      <w:r w:rsidR="00005275" w:rsidRPr="004737C5">
        <w:rPr>
          <w:rFonts w:cstheme="minorHAnsi"/>
        </w:rPr>
        <w:t>ight still not respond to small-</w:t>
      </w:r>
      <w:r w:rsidRPr="004737C5">
        <w:rPr>
          <w:rFonts w:cstheme="minorHAnsi"/>
        </w:rPr>
        <w:t xml:space="preserve">value consumer problems. The provision </w:t>
      </w:r>
      <w:r w:rsidR="00005275" w:rsidRPr="004737C5">
        <w:rPr>
          <w:rFonts w:cstheme="minorHAnsi"/>
        </w:rPr>
        <w:t>of legal aid is another option</w:t>
      </w:r>
      <w:r w:rsidRPr="004737C5">
        <w:rPr>
          <w:rFonts w:cstheme="minorHAnsi"/>
        </w:rPr>
        <w:t xml:space="preserve"> and exists in various forms under which the services of</w:t>
      </w:r>
      <w:r w:rsidR="00005275" w:rsidRPr="004737C5">
        <w:rPr>
          <w:rFonts w:cstheme="minorHAnsi"/>
        </w:rPr>
        <w:t xml:space="preserve"> a lawyer might be paid by the s</w:t>
      </w:r>
      <w:r w:rsidRPr="004737C5">
        <w:rPr>
          <w:rFonts w:cstheme="minorHAnsi"/>
        </w:rPr>
        <w:t xml:space="preserve">tate or provided pro bono. Publicly funded legal aid is, however, coming under strain as many countries face fiscal tightening. </w:t>
      </w:r>
    </w:p>
    <w:p w14:paraId="3277A32A" w14:textId="77777777" w:rsidR="00BE71E3" w:rsidRPr="004737C5" w:rsidRDefault="00BE71E3" w:rsidP="006D3BE8">
      <w:pPr>
        <w:rPr>
          <w:rFonts w:cstheme="minorHAnsi"/>
        </w:rPr>
      </w:pPr>
      <w:r w:rsidRPr="004737C5">
        <w:rPr>
          <w:rFonts w:cstheme="minorHAnsi"/>
        </w:rPr>
        <w:t>Many countries have introduced small claims procedures and courts, which may have low and fix</w:t>
      </w:r>
      <w:r w:rsidR="00005275" w:rsidRPr="004737C5">
        <w:rPr>
          <w:rFonts w:cstheme="minorHAnsi"/>
        </w:rPr>
        <w:t>ed costs and may set aside the “loser pays”</w:t>
      </w:r>
      <w:r w:rsidRPr="004737C5">
        <w:rPr>
          <w:rFonts w:cstheme="minorHAnsi"/>
        </w:rPr>
        <w:t xml:space="preserve"> rule, but they still tend to remain non-user friendly to consumers and so not popular.</w:t>
      </w:r>
    </w:p>
    <w:p w14:paraId="32BB61A5" w14:textId="77777777" w:rsidR="00BE71E3" w:rsidRPr="004737C5" w:rsidRDefault="00BE71E3" w:rsidP="00880B98">
      <w:pPr>
        <w:pStyle w:val="Heading3"/>
        <w:spacing w:after="160" w:line="240" w:lineRule="auto"/>
        <w:rPr>
          <w:rFonts w:cstheme="minorHAnsi"/>
          <w:color w:val="auto"/>
        </w:rPr>
      </w:pPr>
      <w:bookmarkStart w:id="197" w:name="_Toc454293846"/>
      <w:bookmarkStart w:id="198" w:name="_Toc489950282"/>
      <w:bookmarkStart w:id="199" w:name="_Toc492650069"/>
      <w:r w:rsidRPr="004737C5">
        <w:rPr>
          <w:rFonts w:cstheme="minorHAnsi"/>
          <w:color w:val="auto"/>
        </w:rPr>
        <w:t>2</w:t>
      </w:r>
      <w:r w:rsidR="00005275" w:rsidRPr="004737C5">
        <w:rPr>
          <w:rFonts w:cstheme="minorHAnsi"/>
          <w:color w:val="auto"/>
        </w:rPr>
        <w:t>.</w:t>
      </w:r>
      <w:r w:rsidRPr="004737C5">
        <w:rPr>
          <w:rFonts w:cstheme="minorHAnsi"/>
          <w:color w:val="auto"/>
        </w:rPr>
        <w:t xml:space="preserve"> Collective redress</w:t>
      </w:r>
      <w:bookmarkEnd w:id="197"/>
      <w:bookmarkEnd w:id="198"/>
      <w:bookmarkEnd w:id="199"/>
    </w:p>
    <w:p w14:paraId="599DB32F" w14:textId="77777777" w:rsidR="00BE71E3" w:rsidRPr="004737C5" w:rsidRDefault="00BE71E3" w:rsidP="006D3BE8">
      <w:pPr>
        <w:rPr>
          <w:rFonts w:cstheme="minorHAnsi"/>
          <w:u w:val="single"/>
        </w:rPr>
      </w:pPr>
      <w:r w:rsidRPr="004737C5">
        <w:rPr>
          <w:rFonts w:cstheme="minorHAnsi"/>
        </w:rPr>
        <w:t xml:space="preserve">Where multiple similar claims exist, aggregation into a class or collective action might provide a solution. </w:t>
      </w:r>
      <w:bookmarkStart w:id="200" w:name="_Toc183930646"/>
      <w:r w:rsidRPr="004737C5">
        <w:rPr>
          <w:rFonts w:cstheme="minorHAnsi"/>
        </w:rPr>
        <w:t>The theoretical advantages of aggregation are achieving economies of scale and hence reducing individual and overall costs, whilst increasing bargaining power. Class actions have been used widely in the United States</w:t>
      </w:r>
      <w:r w:rsidR="00005275" w:rsidRPr="004737C5">
        <w:rPr>
          <w:rFonts w:cstheme="minorHAnsi"/>
        </w:rPr>
        <w:t xml:space="preserve"> of America</w:t>
      </w:r>
      <w:r w:rsidRPr="004737C5">
        <w:rPr>
          <w:rFonts w:cstheme="minorHAnsi"/>
        </w:rPr>
        <w:t>, spreading in recent decades particularly to Canada and Australia. Disadvantages have also been identified, not least in relation to consumer claims, in view of the commercial unattractiveness to funders (lawyers or investors) inherent in administering a mass of claims of small individual value (for example obtaining pro</w:t>
      </w:r>
      <w:r w:rsidR="00005275" w:rsidRPr="004737C5">
        <w:rPr>
          <w:rFonts w:cstheme="minorHAnsi"/>
        </w:rPr>
        <w:t>of, verifying individual losses</w:t>
      </w:r>
      <w:r w:rsidRPr="004737C5">
        <w:rPr>
          <w:rFonts w:cstheme="minorHAnsi"/>
        </w:rPr>
        <w:t xml:space="preserve"> or distributing damages).</w:t>
      </w:r>
      <w:r w:rsidRPr="004737C5">
        <w:rPr>
          <w:rStyle w:val="FootnoteReference"/>
          <w:rFonts w:cstheme="minorHAnsi"/>
        </w:rPr>
        <w:footnoteReference w:id="187"/>
      </w:r>
      <w:r w:rsidRPr="004737C5">
        <w:rPr>
          <w:rFonts w:cstheme="minorHAnsi"/>
        </w:rPr>
        <w:t xml:space="preserve"> Some other countries, notably in Europe, are less inclined to allow collective damages actions to enforce individuals’ rights without their consent (hence requiring an opt-in approach) and concern over potential conflicts of interest and abuse by intermediaries. This has prompted requirements for detailed safeguards against potential abuse,</w:t>
      </w:r>
      <w:r w:rsidRPr="004737C5">
        <w:rPr>
          <w:rStyle w:val="FootnoteReference"/>
          <w:rFonts w:cstheme="minorHAnsi"/>
        </w:rPr>
        <w:footnoteReference w:id="188"/>
      </w:r>
      <w:r w:rsidRPr="004737C5">
        <w:rPr>
          <w:rFonts w:cstheme="minorHAnsi"/>
        </w:rPr>
        <w:t xml:space="preserve"> which especially limit the financial incentives for intermediaries and impose various barriers that make collective actions generally unattractive to lawyers.</w:t>
      </w:r>
    </w:p>
    <w:p w14:paraId="11EFED6A" w14:textId="77777777" w:rsidR="00BE71E3" w:rsidRPr="004737C5" w:rsidRDefault="00BE71E3" w:rsidP="006D3BE8">
      <w:pPr>
        <w:rPr>
          <w:rFonts w:cstheme="minorHAnsi"/>
        </w:rPr>
      </w:pPr>
      <w:r w:rsidRPr="004737C5">
        <w:rPr>
          <w:rFonts w:cstheme="minorHAnsi"/>
        </w:rPr>
        <w:lastRenderedPageBreak/>
        <w:t>A major obstacle to public interest litigation is the requirement that the plaintif</w:t>
      </w:r>
      <w:r w:rsidR="00005275" w:rsidRPr="004737C5">
        <w:rPr>
          <w:rFonts w:cstheme="minorHAnsi"/>
        </w:rPr>
        <w:t>f must have “standing”</w:t>
      </w:r>
      <w:r w:rsidRPr="004737C5">
        <w:rPr>
          <w:rFonts w:cstheme="minorHAnsi"/>
        </w:rPr>
        <w:t xml:space="preserve"> (locus) to sue, which usually relates to having a direct and personal interest in the matter to be litigated. However, in an increasing number of countries, the law on standing has been substantially modified. Consumer associations have been given the required standing and are permitted to bring public interest litigation, or even attempt substituted actions on behalf of a consumer. The Consumer Protection Acts of Thailand and India</w:t>
      </w:r>
      <w:r w:rsidR="00005275" w:rsidRPr="004737C5">
        <w:rPr>
          <w:rFonts w:cstheme="minorHAnsi"/>
        </w:rPr>
        <w:t xml:space="preserve"> may be cited as early examples.</w:t>
      </w:r>
      <w:r w:rsidRPr="004737C5">
        <w:rPr>
          <w:rFonts w:cstheme="minorHAnsi"/>
        </w:rPr>
        <w:t xml:space="preserve"> </w:t>
      </w:r>
      <w:r w:rsidR="00005275" w:rsidRPr="004737C5">
        <w:rPr>
          <w:rFonts w:cstheme="minorHAnsi"/>
        </w:rPr>
        <w:t>T</w:t>
      </w:r>
      <w:r w:rsidRPr="004737C5">
        <w:rPr>
          <w:rFonts w:cstheme="minorHAnsi"/>
        </w:rPr>
        <w:t xml:space="preserve">he </w:t>
      </w:r>
      <w:r w:rsidR="00005275" w:rsidRPr="004737C5">
        <w:rPr>
          <w:rFonts w:cstheme="minorHAnsi"/>
        </w:rPr>
        <w:t xml:space="preserve">United Kingdom of Great Britain and Northern Ireland Enterprise Act provision </w:t>
      </w:r>
      <w:r w:rsidRPr="004737C5">
        <w:rPr>
          <w:rFonts w:cstheme="minorHAnsi"/>
        </w:rPr>
        <w:t xml:space="preserve">that standing be extended to </w:t>
      </w:r>
      <w:r w:rsidR="00005275" w:rsidRPr="004737C5">
        <w:rPr>
          <w:rFonts w:cstheme="minorHAnsi"/>
        </w:rPr>
        <w:t>consumer associations to bring “super-complaints”</w:t>
      </w:r>
      <w:r w:rsidRPr="004737C5">
        <w:rPr>
          <w:rFonts w:cstheme="minorHAnsi"/>
        </w:rPr>
        <w:t xml:space="preserve"> has had the effect of bringing widespread consumer complaints to the attention of the relevant regulatory bodies </w:t>
      </w:r>
      <w:r w:rsidR="00005275" w:rsidRPr="004737C5">
        <w:rPr>
          <w:rFonts w:cstheme="minorHAnsi"/>
        </w:rPr>
        <w:t xml:space="preserve">that </w:t>
      </w:r>
      <w:r w:rsidRPr="004737C5">
        <w:rPr>
          <w:rFonts w:cstheme="minorHAnsi"/>
        </w:rPr>
        <w:t xml:space="preserve">have then been required to take legal action. </w:t>
      </w:r>
    </w:p>
    <w:p w14:paraId="3C73BF18" w14:textId="77777777" w:rsidR="00BE71E3" w:rsidRPr="004737C5" w:rsidRDefault="00BE71E3" w:rsidP="006D3BE8">
      <w:pPr>
        <w:rPr>
          <w:rFonts w:cstheme="minorHAnsi"/>
        </w:rPr>
      </w:pPr>
      <w:r w:rsidRPr="004737C5">
        <w:rPr>
          <w:rFonts w:cstheme="minorHAnsi"/>
        </w:rPr>
        <w:t>While many countries permit representative claims by consumer associations for injunctions to protect consumers’ collective interests, the use of collective damages claims</w:t>
      </w:r>
      <w:r w:rsidR="009424C5" w:rsidRPr="004737C5">
        <w:rPr>
          <w:rFonts w:cstheme="minorHAnsi"/>
        </w:rPr>
        <w:t xml:space="preserve"> by associations</w:t>
      </w:r>
      <w:r w:rsidR="004240DC" w:rsidRPr="004737C5">
        <w:rPr>
          <w:rFonts w:cstheme="minorHAnsi"/>
        </w:rPr>
        <w:t xml:space="preserve"> is less widespread. Chapter V</w:t>
      </w:r>
      <w:r w:rsidRPr="004737C5">
        <w:rPr>
          <w:rFonts w:cstheme="minorHAnsi"/>
        </w:rPr>
        <w:t xml:space="preserve"> notes how several European Union members and Brazil allow for the generic consumer interest to be represented in court as distinct from the individual consumers concerned.</w:t>
      </w:r>
      <w:r w:rsidRPr="004737C5">
        <w:rPr>
          <w:rStyle w:val="FootnoteReference"/>
          <w:rFonts w:cstheme="minorHAnsi"/>
        </w:rPr>
        <w:footnoteReference w:id="189"/>
      </w:r>
      <w:r w:rsidRPr="004737C5">
        <w:rPr>
          <w:rFonts w:cstheme="minorHAnsi"/>
        </w:rPr>
        <w:t xml:space="preserve"> Most recently, France has adopted legislation allowing consumers to obtain collective redress for the first time, accrediting several named consumer associations with standing to bring cases forward.</w:t>
      </w:r>
      <w:r w:rsidRPr="004737C5">
        <w:rPr>
          <w:rStyle w:val="FootnoteReference"/>
          <w:rFonts w:cstheme="minorHAnsi"/>
        </w:rPr>
        <w:footnoteReference w:id="190"/>
      </w:r>
      <w:r w:rsidRPr="004737C5">
        <w:rPr>
          <w:rFonts w:cstheme="minorHAnsi"/>
        </w:rPr>
        <w:t xml:space="preserve"> A similar accreditation system has been adopted in Peru where associations can file complaints with the national consumer protection authority, INDECOPI.</w:t>
      </w:r>
      <w:r w:rsidRPr="004737C5">
        <w:rPr>
          <w:rStyle w:val="FootnoteReference"/>
          <w:rFonts w:cstheme="minorHAnsi"/>
        </w:rPr>
        <w:footnoteReference w:id="191"/>
      </w:r>
      <w:r w:rsidRPr="004737C5">
        <w:rPr>
          <w:rFonts w:cstheme="minorHAnsi"/>
        </w:rPr>
        <w:t xml:space="preserve"> The Chinese Consumer Association (closely linked to the State Administration for Industry and Commerce</w:t>
      </w:r>
      <w:r w:rsidR="009424C5" w:rsidRPr="004737C5">
        <w:rPr>
          <w:rFonts w:cstheme="minorHAnsi"/>
        </w:rPr>
        <w:t>,</w:t>
      </w:r>
      <w:r w:rsidR="004240DC" w:rsidRPr="004737C5">
        <w:rPr>
          <w:rFonts w:cstheme="minorHAnsi"/>
        </w:rPr>
        <w:t xml:space="preserve"> as discussed in chapter IV</w:t>
      </w:r>
      <w:r w:rsidRPr="004737C5">
        <w:rPr>
          <w:rFonts w:cstheme="minorHAnsi"/>
        </w:rPr>
        <w:t>) has a similar accreditation before the courts.</w:t>
      </w:r>
      <w:r w:rsidRPr="004737C5">
        <w:rPr>
          <w:rStyle w:val="FootnoteReference"/>
          <w:rFonts w:cstheme="minorHAnsi"/>
        </w:rPr>
        <w:footnoteReference w:id="192"/>
      </w:r>
      <w:r w:rsidRPr="004737C5">
        <w:rPr>
          <w:rFonts w:cstheme="minorHAnsi"/>
        </w:rPr>
        <w:t xml:space="preserve"> Such accreditation builds a bridge not only between associations and consumer protection agencies but also between collective redress by consumers (or their representatives) and enforcement agencies. Guideline 40 addresse</w:t>
      </w:r>
      <w:r w:rsidR="009424C5" w:rsidRPr="004737C5">
        <w:rPr>
          <w:rFonts w:cstheme="minorHAnsi"/>
        </w:rPr>
        <w:t>s this issue quite accurately: “</w:t>
      </w:r>
      <w:r w:rsidRPr="004737C5">
        <w:rPr>
          <w:rFonts w:cstheme="minorHAnsi"/>
          <w:bCs/>
        </w:rPr>
        <w:t>Member States should ensure that collective resolution procedures are expeditious, transparent, fair, inexpensive and accessible to both consumers and businesses</w:t>
      </w:r>
      <w:r w:rsidR="009424C5" w:rsidRPr="004737C5">
        <w:rPr>
          <w:rFonts w:cstheme="minorHAnsi"/>
          <w:bCs/>
        </w:rPr>
        <w:t>”.</w:t>
      </w:r>
      <w:r w:rsidRPr="004737C5">
        <w:rPr>
          <w:rFonts w:cstheme="minorHAnsi"/>
          <w:bCs/>
        </w:rPr>
        <w:t xml:space="preserve"> Indeed</w:t>
      </w:r>
      <w:r w:rsidR="009424C5" w:rsidRPr="004737C5">
        <w:rPr>
          <w:rFonts w:cstheme="minorHAnsi"/>
          <w:bCs/>
        </w:rPr>
        <w:t>,</w:t>
      </w:r>
      <w:r w:rsidRPr="004737C5">
        <w:rPr>
          <w:rFonts w:cstheme="minorHAnsi"/>
          <w:bCs/>
        </w:rPr>
        <w:t xml:space="preserve"> one could say that the original 1985 UNGCP were ahead of their</w:t>
      </w:r>
      <w:r w:rsidR="009424C5" w:rsidRPr="004737C5">
        <w:rPr>
          <w:rFonts w:cstheme="minorHAnsi"/>
          <w:bCs/>
        </w:rPr>
        <w:t xml:space="preserve"> time in referring to enabling “</w:t>
      </w:r>
      <w:r w:rsidRPr="004737C5">
        <w:rPr>
          <w:rFonts w:cstheme="minorHAnsi"/>
          <w:bCs/>
        </w:rPr>
        <w:t>consumers, or, as appropriate, relevant organizations, to obtain redress</w:t>
      </w:r>
      <w:r w:rsidR="009424C5" w:rsidRPr="004737C5">
        <w:rPr>
          <w:rFonts w:cstheme="minorHAnsi"/>
          <w:bCs/>
        </w:rPr>
        <w:t>”.</w:t>
      </w:r>
      <w:r w:rsidRPr="004737C5">
        <w:rPr>
          <w:rStyle w:val="FootnoteReference"/>
          <w:rFonts w:cstheme="minorHAnsi"/>
          <w:bCs/>
        </w:rPr>
        <w:footnoteReference w:id="193"/>
      </w:r>
    </w:p>
    <w:p w14:paraId="3F76CF6A" w14:textId="77777777" w:rsidR="00BE71E3" w:rsidRPr="004737C5" w:rsidRDefault="00BE71E3" w:rsidP="00300B92">
      <w:pPr>
        <w:pStyle w:val="Heading3"/>
        <w:spacing w:after="160" w:line="240" w:lineRule="auto"/>
        <w:rPr>
          <w:rFonts w:cstheme="minorHAnsi"/>
        </w:rPr>
      </w:pPr>
      <w:bookmarkStart w:id="201" w:name="_Toc454293847"/>
      <w:bookmarkStart w:id="202" w:name="_Toc489950283"/>
      <w:bookmarkStart w:id="203" w:name="_Toc492650070"/>
      <w:r w:rsidRPr="004737C5">
        <w:rPr>
          <w:rFonts w:cstheme="minorHAnsi"/>
          <w:color w:val="auto"/>
        </w:rPr>
        <w:t>3</w:t>
      </w:r>
      <w:r w:rsidR="009424C5" w:rsidRPr="004737C5">
        <w:rPr>
          <w:rFonts w:cstheme="minorHAnsi"/>
          <w:color w:val="auto"/>
        </w:rPr>
        <w:t>.</w:t>
      </w:r>
      <w:r w:rsidRPr="004737C5">
        <w:rPr>
          <w:rFonts w:cstheme="minorHAnsi"/>
          <w:color w:val="auto"/>
        </w:rPr>
        <w:t xml:space="preserve"> Public regulatory and enforcement action</w:t>
      </w:r>
      <w:bookmarkEnd w:id="201"/>
      <w:bookmarkEnd w:id="202"/>
      <w:bookmarkEnd w:id="203"/>
    </w:p>
    <w:p w14:paraId="4BFFEB3A" w14:textId="41E7BDD0" w:rsidR="00BE71E3" w:rsidRPr="004737C5" w:rsidRDefault="00BE71E3" w:rsidP="006D3BE8">
      <w:pPr>
        <w:rPr>
          <w:rFonts w:cstheme="minorHAnsi"/>
        </w:rPr>
      </w:pPr>
      <w:r w:rsidRPr="004737C5">
        <w:rPr>
          <w:rFonts w:cstheme="minorHAnsi"/>
        </w:rPr>
        <w:t>A technique that has proved to be highly effective, swift and efficient in delivering consumer redress in both indi</w:t>
      </w:r>
      <w:r w:rsidR="009424C5" w:rsidRPr="004737C5">
        <w:rPr>
          <w:rFonts w:cstheme="minorHAnsi"/>
        </w:rPr>
        <w:t>vidual and collective cases is “</w:t>
      </w:r>
      <w:r w:rsidRPr="004737C5">
        <w:rPr>
          <w:rFonts w:cstheme="minorHAnsi"/>
        </w:rPr>
        <w:t>regulatory redress</w:t>
      </w:r>
      <w:r w:rsidR="009424C5" w:rsidRPr="004737C5">
        <w:rPr>
          <w:rFonts w:cstheme="minorHAnsi"/>
        </w:rPr>
        <w:t>”.</w:t>
      </w:r>
      <w:r w:rsidRPr="004737C5">
        <w:rPr>
          <w:rStyle w:val="FootnoteReference"/>
          <w:rFonts w:cstheme="minorHAnsi"/>
        </w:rPr>
        <w:footnoteReference w:id="194"/>
      </w:r>
      <w:r w:rsidRPr="004737C5">
        <w:rPr>
          <w:rFonts w:cstheme="minorHAnsi"/>
        </w:rPr>
        <w:t xml:space="preserve"> Here, the public enforcement authority possesses as part of the enforcement toolbox the power to order, or seek a court order for, a trader to make redress to one</w:t>
      </w:r>
      <w:r w:rsidR="00300B92" w:rsidRPr="004737C5">
        <w:rPr>
          <w:rFonts w:cstheme="minorHAnsi"/>
        </w:rPr>
        <w:t xml:space="preserve"> or more consumers. The Danish consumer o</w:t>
      </w:r>
      <w:r w:rsidRPr="004737C5">
        <w:rPr>
          <w:rFonts w:cstheme="minorHAnsi"/>
        </w:rPr>
        <w:t xml:space="preserve">mbudsman has used this power successfully (in the form of an opt-out class action that only she is able to initiate) since 2008, as have various regulatory authorities in the United Kingdom </w:t>
      </w:r>
      <w:r w:rsidR="009424C5" w:rsidRPr="004737C5">
        <w:rPr>
          <w:rFonts w:cstheme="minorHAnsi"/>
        </w:rPr>
        <w:t xml:space="preserve">of Great Britain and Northern Ireland </w:t>
      </w:r>
      <w:r w:rsidRPr="004737C5">
        <w:rPr>
          <w:rFonts w:cstheme="minorHAnsi"/>
        </w:rPr>
        <w:t xml:space="preserve">(financial services and energy consumer redress schemes). </w:t>
      </w:r>
    </w:p>
    <w:p w14:paraId="33EFE21E" w14:textId="77777777" w:rsidR="00BE71E3" w:rsidRPr="004737C5" w:rsidRDefault="00BE71E3" w:rsidP="006D3BE8">
      <w:pPr>
        <w:rPr>
          <w:rFonts w:cstheme="minorHAnsi"/>
        </w:rPr>
      </w:pPr>
      <w:r w:rsidRPr="004737C5">
        <w:rPr>
          <w:rFonts w:cstheme="minorHAnsi"/>
        </w:rPr>
        <w:t>A similar approach can be taken by the use, a</w:t>
      </w:r>
      <w:r w:rsidR="009424C5" w:rsidRPr="004737C5">
        <w:rPr>
          <w:rFonts w:cstheme="minorHAnsi"/>
        </w:rPr>
        <w:t>fter criminal prosecutions, of compensation o</w:t>
      </w:r>
      <w:r w:rsidRPr="004737C5">
        <w:rPr>
          <w:rFonts w:cstheme="minorHAnsi"/>
        </w:rPr>
        <w:t xml:space="preserve">rders or follow-on civil damages actions (notably used in Belgium, where a requirement on courts to facilitate damages claims has been effective). The advantage of all these mechanisms is that costs are borne </w:t>
      </w:r>
      <w:r w:rsidRPr="004737C5">
        <w:rPr>
          <w:rFonts w:cstheme="minorHAnsi"/>
        </w:rPr>
        <w:lastRenderedPageBreak/>
        <w:t>by the public authorities, but the disadvantage of using the criminal system is that redress requires there to be a criminal conviction of the target trader.</w:t>
      </w:r>
    </w:p>
    <w:p w14:paraId="14C26EC5" w14:textId="77777777" w:rsidR="00BE71E3" w:rsidRPr="004737C5" w:rsidRDefault="00BE71E3" w:rsidP="00300B92">
      <w:pPr>
        <w:pStyle w:val="Heading3"/>
        <w:spacing w:after="160" w:line="240" w:lineRule="auto"/>
        <w:rPr>
          <w:rFonts w:cstheme="minorHAnsi"/>
          <w:color w:val="auto"/>
        </w:rPr>
      </w:pPr>
      <w:bookmarkStart w:id="204" w:name="_Toc454293848"/>
      <w:bookmarkStart w:id="205" w:name="_Toc489950284"/>
      <w:bookmarkStart w:id="206" w:name="_Toc492650071"/>
      <w:r w:rsidRPr="004737C5">
        <w:rPr>
          <w:rFonts w:cstheme="minorHAnsi"/>
          <w:color w:val="auto"/>
        </w:rPr>
        <w:t>4</w:t>
      </w:r>
      <w:r w:rsidR="009424C5" w:rsidRPr="004737C5">
        <w:rPr>
          <w:rFonts w:cstheme="minorHAnsi"/>
          <w:color w:val="auto"/>
        </w:rPr>
        <w:t>.</w:t>
      </w:r>
      <w:r w:rsidRPr="004737C5">
        <w:rPr>
          <w:rFonts w:cstheme="minorHAnsi"/>
          <w:color w:val="auto"/>
        </w:rPr>
        <w:t xml:space="preserve"> Alternative dispute resolution</w:t>
      </w:r>
      <w:bookmarkEnd w:id="204"/>
      <w:bookmarkEnd w:id="205"/>
      <w:bookmarkEnd w:id="206"/>
    </w:p>
    <w:p w14:paraId="02203531" w14:textId="77777777" w:rsidR="00BE71E3" w:rsidRPr="004737C5" w:rsidRDefault="009424C5" w:rsidP="006D3BE8">
      <w:pPr>
        <w:rPr>
          <w:rFonts w:cstheme="minorHAnsi"/>
        </w:rPr>
      </w:pPr>
      <w:r w:rsidRPr="004737C5">
        <w:rPr>
          <w:rFonts w:cstheme="minorHAnsi"/>
        </w:rPr>
        <w:t>The d</w:t>
      </w:r>
      <w:r w:rsidR="00BE71E3" w:rsidRPr="004737C5">
        <w:rPr>
          <w:rFonts w:cstheme="minorHAnsi"/>
        </w:rPr>
        <w:t>issatisfaction with court procedures noted above has led in m</w:t>
      </w:r>
      <w:r w:rsidRPr="004737C5">
        <w:rPr>
          <w:rFonts w:cstheme="minorHAnsi"/>
        </w:rPr>
        <w:t>any countries to the spread of “</w:t>
      </w:r>
      <w:r w:rsidR="00BE71E3" w:rsidRPr="004737C5">
        <w:rPr>
          <w:rFonts w:cstheme="minorHAnsi"/>
        </w:rPr>
        <w:t>alternative dispute res</w:t>
      </w:r>
      <w:r w:rsidRPr="004737C5">
        <w:rPr>
          <w:rFonts w:cstheme="minorHAnsi"/>
        </w:rPr>
        <w:t>olution”</w:t>
      </w:r>
      <w:r w:rsidR="00BE71E3" w:rsidRPr="004737C5">
        <w:rPr>
          <w:rFonts w:cstheme="minorHAnsi"/>
        </w:rPr>
        <w:t xml:space="preserve"> (ADR) techniques and systems. The principal ADR techniques are arbitration, mediation and conciliation. All of them use third party intermediaries other than judges, namely arbitrators, mediators or conciliators. In brief the distinction between them is that in arbitration the arbitrator decides, in mediation the parties decide on the basis of a settlement put forward by the mediator acting as go-between, and in conciliation, the conciliator guides the parties to a settlement. </w:t>
      </w:r>
    </w:p>
    <w:p w14:paraId="28A54011" w14:textId="77AC20DE" w:rsidR="00BE71E3" w:rsidRPr="004737C5" w:rsidRDefault="00BE71E3" w:rsidP="006D3BE8">
      <w:pPr>
        <w:rPr>
          <w:rFonts w:cstheme="minorHAnsi"/>
        </w:rPr>
      </w:pPr>
      <w:r w:rsidRPr="004737C5">
        <w:rPr>
          <w:rFonts w:cstheme="minorHAnsi"/>
        </w:rPr>
        <w:t>Arbitration is generally a process in which the disputants agree to submit their dis</w:t>
      </w:r>
      <w:r w:rsidR="009424C5" w:rsidRPr="004737C5">
        <w:rPr>
          <w:rFonts w:cstheme="minorHAnsi"/>
        </w:rPr>
        <w:t>pute to an arbitration tribunal</w:t>
      </w:r>
      <w:r w:rsidRPr="004737C5">
        <w:rPr>
          <w:rFonts w:cstheme="minorHAnsi"/>
        </w:rPr>
        <w:t xml:space="preserve"> and to be bound by the result found by the arbitrator(s). In other words, the arrangement for resolving the dispute is</w:t>
      </w:r>
      <w:r w:rsidR="009424C5" w:rsidRPr="004737C5">
        <w:rPr>
          <w:rFonts w:cstheme="minorHAnsi"/>
        </w:rPr>
        <w:t xml:space="preserve"> a contract between the parties</w:t>
      </w:r>
      <w:r w:rsidRPr="004737C5">
        <w:rPr>
          <w:rFonts w:cstheme="minorHAnsi"/>
        </w:rPr>
        <w:t xml:space="preserve"> and the third party decider is an arbitrator rather than a judge. For commercial di</w:t>
      </w:r>
      <w:r w:rsidR="009424C5" w:rsidRPr="004737C5">
        <w:rPr>
          <w:rFonts w:cstheme="minorHAnsi"/>
        </w:rPr>
        <w:t>sputes, well-known arbitration “courts”</w:t>
      </w:r>
      <w:r w:rsidRPr="004737C5">
        <w:rPr>
          <w:rFonts w:cstheme="minorHAnsi"/>
        </w:rPr>
        <w:t xml:space="preserve"> exist, but for consumer disputes a variety of systems</w:t>
      </w:r>
      <w:r w:rsidR="009424C5" w:rsidRPr="004737C5">
        <w:rPr>
          <w:rFonts w:cstheme="minorHAnsi"/>
        </w:rPr>
        <w:t xml:space="preserve"> exist. There can be permanent consumer dispute boards (either s</w:t>
      </w:r>
      <w:r w:rsidRPr="004737C5">
        <w:rPr>
          <w:rFonts w:cstheme="minorHAnsi"/>
        </w:rPr>
        <w:t>tate-sponsored or funded by sectoral trade associations or even individual companies: strong examples of both of these exist in all Nordic states and the Netherlands, among many other countries) or far less formal and nebulous arrangements. Some leading examples are the Swedish National Board for Consumer Complaints (which ope</w:t>
      </w:r>
      <w:r w:rsidR="009424C5" w:rsidRPr="004737C5">
        <w:rPr>
          <w:rFonts w:cstheme="minorHAnsi"/>
        </w:rPr>
        <w:t>rates alongside private sector b</w:t>
      </w:r>
      <w:r w:rsidRPr="004737C5">
        <w:rPr>
          <w:rFonts w:cstheme="minorHAnsi"/>
        </w:rPr>
        <w:t>oard</w:t>
      </w:r>
      <w:r w:rsidR="009424C5" w:rsidRPr="004737C5">
        <w:rPr>
          <w:rFonts w:cstheme="minorHAnsi"/>
        </w:rPr>
        <w:t>s for some regulated industries</w:t>
      </w:r>
      <w:r w:rsidRPr="004737C5">
        <w:rPr>
          <w:rFonts w:cstheme="minorHAnsi"/>
        </w:rPr>
        <w:t>)</w:t>
      </w:r>
      <w:r w:rsidR="009424C5" w:rsidRPr="004737C5">
        <w:rPr>
          <w:rFonts w:cstheme="minorHAnsi"/>
        </w:rPr>
        <w:t>,</w:t>
      </w:r>
      <w:r w:rsidRPr="004737C5">
        <w:rPr>
          <w:rFonts w:cstheme="minorHAnsi"/>
        </w:rPr>
        <w:t xml:space="preserve"> the Tribunal for Consumer Complaints of Malaysia, the hierarchy of adjudicating bodies in India established under the Consumer Protection </w:t>
      </w:r>
      <w:r w:rsidR="009424C5" w:rsidRPr="004737C5">
        <w:rPr>
          <w:rFonts w:cstheme="minorHAnsi"/>
        </w:rPr>
        <w:t>Act 1986 and</w:t>
      </w:r>
      <w:r w:rsidR="00426BC0" w:rsidRPr="004737C5">
        <w:rPr>
          <w:rFonts w:cstheme="minorHAnsi"/>
        </w:rPr>
        <w:t xml:space="preserve"> the multi</w:t>
      </w:r>
      <w:r w:rsidRPr="004737C5">
        <w:rPr>
          <w:rFonts w:cstheme="minorHAnsi"/>
        </w:rPr>
        <w:t>sectoral matrix of Geschillencommissie operated by a single foundation in the Netherlands.</w:t>
      </w:r>
      <w:r w:rsidRPr="004737C5">
        <w:rPr>
          <w:rStyle w:val="FootnoteReference"/>
          <w:rFonts w:cstheme="minorHAnsi"/>
        </w:rPr>
        <w:footnoteReference w:id="195"/>
      </w:r>
      <w:r w:rsidRPr="004737C5">
        <w:rPr>
          <w:rFonts w:cstheme="minorHAnsi"/>
        </w:rPr>
        <w:t xml:space="preserve"> Arbitration schemes vary on whether they are free to consumers (usually funded b</w:t>
      </w:r>
      <w:r w:rsidR="009424C5" w:rsidRPr="004737C5">
        <w:rPr>
          <w:rFonts w:cstheme="minorHAnsi"/>
        </w:rPr>
        <w:t>y business, but sometimes with s</w:t>
      </w:r>
      <w:r w:rsidRPr="004737C5">
        <w:rPr>
          <w:rFonts w:cstheme="minorHAnsi"/>
        </w:rPr>
        <w:t xml:space="preserve">tate contributions) or require an access fee, which might or might not be refunded if the consumer wins. The Lisbon Arbitration Centre for Consumer Conflicts is an example of an autonomous non-profit private association, founded by the Municipality of Lisbon, the Portuguese Association for </w:t>
      </w:r>
      <w:r w:rsidR="009424C5" w:rsidRPr="004737C5">
        <w:rPr>
          <w:rFonts w:cstheme="minorHAnsi"/>
        </w:rPr>
        <w:t>the Defence of Consumers (DECO)</w:t>
      </w:r>
      <w:r w:rsidRPr="004737C5">
        <w:rPr>
          <w:rFonts w:cstheme="minorHAnsi"/>
        </w:rPr>
        <w:t xml:space="preserve"> and the Union of Associations of Traders </w:t>
      </w:r>
      <w:r w:rsidR="009424C5" w:rsidRPr="004737C5">
        <w:rPr>
          <w:rFonts w:cstheme="minorHAnsi"/>
        </w:rPr>
        <w:t>of the District of Lisbon. The national network of s</w:t>
      </w:r>
      <w:r w:rsidRPr="004737C5">
        <w:rPr>
          <w:rFonts w:cstheme="minorHAnsi"/>
        </w:rPr>
        <w:t>tate-endorsed arbitration centres was established for the whole of Portugal in 2011.</w:t>
      </w:r>
    </w:p>
    <w:p w14:paraId="6697868C" w14:textId="77777777" w:rsidR="00BE71E3" w:rsidRPr="004737C5" w:rsidRDefault="00BE71E3" w:rsidP="006D3BE8">
      <w:pPr>
        <w:rPr>
          <w:rFonts w:cstheme="minorHAnsi"/>
        </w:rPr>
      </w:pPr>
      <w:r w:rsidRPr="004737C5">
        <w:rPr>
          <w:rFonts w:cstheme="minorHAnsi"/>
        </w:rPr>
        <w:t>The 1991 Consumer Act of the Philippines introdu</w:t>
      </w:r>
      <w:r w:rsidR="009424C5" w:rsidRPr="004737C5">
        <w:rPr>
          <w:rFonts w:cstheme="minorHAnsi"/>
        </w:rPr>
        <w:t>ced a permutation of statutory o</w:t>
      </w:r>
      <w:r w:rsidRPr="004737C5">
        <w:rPr>
          <w:rFonts w:cstheme="minorHAnsi"/>
        </w:rPr>
        <w:t>mbudsman incorp</w:t>
      </w:r>
      <w:r w:rsidR="009424C5" w:rsidRPr="004737C5">
        <w:rPr>
          <w:rFonts w:cstheme="minorHAnsi"/>
        </w:rPr>
        <w:t>orating aspects of arbitration.</w:t>
      </w:r>
      <w:r w:rsidRPr="004737C5">
        <w:rPr>
          <w:rFonts w:cstheme="minorHAnsi"/>
        </w:rPr>
        <w:t xml:space="preserve"> Consumer arbitration officers are empowered to mediate, conciliate, hear and adju</w:t>
      </w:r>
      <w:r w:rsidR="009424C5" w:rsidRPr="004737C5">
        <w:rPr>
          <w:rFonts w:cstheme="minorHAnsi"/>
        </w:rPr>
        <w:t>dicate all consumer complaints. The consumer arbitration o</w:t>
      </w:r>
      <w:r w:rsidRPr="004737C5">
        <w:rPr>
          <w:rFonts w:cstheme="minorHAnsi"/>
        </w:rPr>
        <w:t>fficers are required first to try to ensure that the contending parties come to a settlement of the case. In the event that a settlement has not been effected the officer may proceed to formally i</w:t>
      </w:r>
      <w:r w:rsidR="009424C5" w:rsidRPr="004737C5">
        <w:rPr>
          <w:rFonts w:cstheme="minorHAnsi"/>
        </w:rPr>
        <w:t>nvestigate and decide the case.</w:t>
      </w:r>
      <w:r w:rsidRPr="004737C5">
        <w:rPr>
          <w:rFonts w:cstheme="minorHAnsi"/>
        </w:rPr>
        <w:t xml:space="preserve"> Their powers include cease and desist orders, directions to recall, replace, repair or refund</w:t>
      </w:r>
      <w:r w:rsidR="009424C5" w:rsidRPr="004737C5">
        <w:rPr>
          <w:rFonts w:cstheme="minorHAnsi"/>
        </w:rPr>
        <w:t xml:space="preserve"> the money value of products</w:t>
      </w:r>
      <w:r w:rsidRPr="004737C5">
        <w:rPr>
          <w:rFonts w:cstheme="minorHAnsi"/>
        </w:rPr>
        <w:t xml:space="preserve"> </w:t>
      </w:r>
      <w:r w:rsidR="009424C5" w:rsidRPr="004737C5">
        <w:rPr>
          <w:rFonts w:cstheme="minorHAnsi"/>
        </w:rPr>
        <w:t>and/</w:t>
      </w:r>
      <w:r w:rsidRPr="004737C5">
        <w:rPr>
          <w:rFonts w:cstheme="minorHAnsi"/>
        </w:rPr>
        <w:t>or services, restitution or rescission of the contract and the imposition of fines depending on the gravity of the offence.</w:t>
      </w:r>
    </w:p>
    <w:p w14:paraId="5E118671" w14:textId="77777777" w:rsidR="00BE71E3" w:rsidRPr="004737C5" w:rsidRDefault="009424C5" w:rsidP="006D3BE8">
      <w:pPr>
        <w:rPr>
          <w:rFonts w:cstheme="minorHAnsi"/>
        </w:rPr>
      </w:pPr>
      <w:r w:rsidRPr="004737C5">
        <w:rPr>
          <w:rFonts w:cstheme="minorHAnsi"/>
        </w:rPr>
        <w:t>The</w:t>
      </w:r>
      <w:r w:rsidR="00BE71E3" w:rsidRPr="004737C5">
        <w:rPr>
          <w:rFonts w:cstheme="minorHAnsi"/>
        </w:rPr>
        <w:t xml:space="preserve"> Supreme Court </w:t>
      </w:r>
      <w:r w:rsidRPr="004737C5">
        <w:rPr>
          <w:rFonts w:cstheme="minorHAnsi"/>
        </w:rPr>
        <w:t xml:space="preserve">of the United States of America </w:t>
      </w:r>
      <w:r w:rsidR="00BE71E3" w:rsidRPr="004737C5">
        <w:rPr>
          <w:rFonts w:cstheme="minorHAnsi"/>
        </w:rPr>
        <w:t>has upheld the use of arbitration clauses in standard consumer contracts, which has led to their wide use by traders and driven individual and class consumer claims out of courts and into arbitration schemes, which are unregulated and some of which have been said to have been of uncertain reliability.</w:t>
      </w:r>
    </w:p>
    <w:p w14:paraId="615F983B" w14:textId="77777777" w:rsidR="00BE71E3" w:rsidRPr="004737C5" w:rsidRDefault="00BE71E3" w:rsidP="00300B92">
      <w:pPr>
        <w:pStyle w:val="Heading3"/>
        <w:spacing w:after="160" w:line="240" w:lineRule="auto"/>
        <w:rPr>
          <w:rFonts w:cstheme="minorHAnsi"/>
        </w:rPr>
      </w:pPr>
      <w:bookmarkStart w:id="207" w:name="_Toc454293849"/>
      <w:bookmarkStart w:id="208" w:name="_Toc489950285"/>
      <w:bookmarkStart w:id="209" w:name="_Toc492650072"/>
      <w:r w:rsidRPr="004737C5">
        <w:rPr>
          <w:rFonts w:cstheme="minorHAnsi"/>
          <w:color w:val="auto"/>
        </w:rPr>
        <w:t>5</w:t>
      </w:r>
      <w:r w:rsidR="00F234CE" w:rsidRPr="004737C5">
        <w:rPr>
          <w:rFonts w:cstheme="minorHAnsi"/>
          <w:color w:val="auto"/>
        </w:rPr>
        <w:t>.</w:t>
      </w:r>
      <w:r w:rsidRPr="004737C5">
        <w:rPr>
          <w:rFonts w:cstheme="minorHAnsi"/>
          <w:color w:val="auto"/>
        </w:rPr>
        <w:t xml:space="preserve"> Ombudsmen</w:t>
      </w:r>
      <w:bookmarkEnd w:id="207"/>
      <w:bookmarkEnd w:id="208"/>
      <w:bookmarkEnd w:id="209"/>
      <w:r w:rsidRPr="004737C5">
        <w:rPr>
          <w:rFonts w:cstheme="minorHAnsi"/>
        </w:rPr>
        <w:t xml:space="preserve"> </w:t>
      </w:r>
    </w:p>
    <w:p w14:paraId="2B6000F4" w14:textId="0E7696B3" w:rsidR="00BE71E3" w:rsidRPr="004737C5" w:rsidRDefault="00BE71E3" w:rsidP="006D3BE8">
      <w:pPr>
        <w:rPr>
          <w:rFonts w:cstheme="minorHAnsi"/>
        </w:rPr>
      </w:pPr>
      <w:r w:rsidRPr="004737C5">
        <w:rPr>
          <w:rFonts w:cstheme="minorHAnsi"/>
        </w:rPr>
        <w:t>ADR systems have developed into a more formal archit</w:t>
      </w:r>
      <w:r w:rsidR="00F234CE" w:rsidRPr="004737C5">
        <w:rPr>
          <w:rFonts w:cstheme="minorHAnsi"/>
        </w:rPr>
        <w:t>ecture of consumer or sectoral ombudsmen in some states. The o</w:t>
      </w:r>
      <w:r w:rsidRPr="004737C5">
        <w:rPr>
          <w:rFonts w:cstheme="minorHAnsi"/>
        </w:rPr>
        <w:t>mbuds</w:t>
      </w:r>
      <w:r w:rsidR="00F234CE" w:rsidRPr="004737C5">
        <w:rPr>
          <w:rFonts w:cstheme="minorHAnsi"/>
        </w:rPr>
        <w:t>man concept is of Nordic origin.</w:t>
      </w:r>
      <w:r w:rsidRPr="004737C5">
        <w:rPr>
          <w:rFonts w:cstheme="minorHAnsi"/>
        </w:rPr>
        <w:t xml:space="preserve"> Sweden set up such a post in 1809</w:t>
      </w:r>
      <w:r w:rsidR="00300B92" w:rsidRPr="004737C5">
        <w:rPr>
          <w:rFonts w:cstheme="minorHAnsi"/>
        </w:rPr>
        <w:t>,</w:t>
      </w:r>
      <w:r w:rsidRPr="004737C5">
        <w:rPr>
          <w:rFonts w:cstheme="minorHAnsi"/>
        </w:rPr>
        <w:t xml:space="preserve"> </w:t>
      </w:r>
      <w:r w:rsidRPr="004737C5">
        <w:rPr>
          <w:rFonts w:cstheme="minorHAnsi"/>
        </w:rPr>
        <w:lastRenderedPageBreak/>
        <w:t>although there were analogous bodies even further back in history such as the Chinese Qin Dynasty.</w:t>
      </w:r>
      <w:r w:rsidRPr="004737C5">
        <w:rPr>
          <w:rStyle w:val="FootnoteReference"/>
          <w:rFonts w:cstheme="minorHAnsi"/>
        </w:rPr>
        <w:footnoteReference w:id="196"/>
      </w:r>
      <w:r w:rsidRPr="004737C5">
        <w:rPr>
          <w:rFonts w:cstheme="minorHAnsi"/>
        </w:rPr>
        <w:t xml:space="preserve"> Originally, it was a public office to which people could bring grievances connected</w:t>
      </w:r>
      <w:r w:rsidR="00F234CE" w:rsidRPr="004737C5">
        <w:rPr>
          <w:rFonts w:cstheme="minorHAnsi"/>
        </w:rPr>
        <w:t xml:space="preserve"> with services provided by the g</w:t>
      </w:r>
      <w:r w:rsidRPr="004737C5">
        <w:rPr>
          <w:rFonts w:cstheme="minorHAnsi"/>
        </w:rPr>
        <w:t>overnment</w:t>
      </w:r>
      <w:r w:rsidR="00F234CE" w:rsidRPr="004737C5">
        <w:rPr>
          <w:rFonts w:cstheme="minorHAnsi"/>
        </w:rPr>
        <w:t>: the o</w:t>
      </w:r>
      <w:r w:rsidRPr="004737C5">
        <w:rPr>
          <w:rFonts w:cstheme="minorHAnsi"/>
        </w:rPr>
        <w:t>mbudsman stood between and represented the citizen before th</w:t>
      </w:r>
      <w:r w:rsidR="00F234CE" w:rsidRPr="004737C5">
        <w:rPr>
          <w:rFonts w:cstheme="minorHAnsi"/>
        </w:rPr>
        <w:t>e government.</w:t>
      </w:r>
      <w:r w:rsidRPr="004737C5">
        <w:rPr>
          <w:rFonts w:cstheme="minorHAnsi"/>
        </w:rPr>
        <w:t xml:space="preserve"> The </w:t>
      </w:r>
      <w:r w:rsidR="00F234CE" w:rsidRPr="004737C5">
        <w:rPr>
          <w:rFonts w:cstheme="minorHAnsi"/>
        </w:rPr>
        <w:t xml:space="preserve">ombudsman’s </w:t>
      </w:r>
      <w:r w:rsidRPr="004737C5">
        <w:rPr>
          <w:rFonts w:cstheme="minorHAnsi"/>
        </w:rPr>
        <w:t xml:space="preserve">findings </w:t>
      </w:r>
      <w:r w:rsidR="00F234CE" w:rsidRPr="004737C5">
        <w:rPr>
          <w:rFonts w:cstheme="minorHAnsi"/>
        </w:rPr>
        <w:t>w</w:t>
      </w:r>
      <w:r w:rsidRPr="004737C5">
        <w:rPr>
          <w:rFonts w:cstheme="minorHAnsi"/>
        </w:rPr>
        <w:t>ere not necessarily on points of law; the most common tas</w:t>
      </w:r>
      <w:r w:rsidR="00F234CE" w:rsidRPr="004737C5">
        <w:rPr>
          <w:rFonts w:cstheme="minorHAnsi"/>
        </w:rPr>
        <w:t>k was to identify instances of “</w:t>
      </w:r>
      <w:r w:rsidRPr="004737C5">
        <w:rPr>
          <w:rFonts w:cstheme="minorHAnsi"/>
        </w:rPr>
        <w:t>maladministration</w:t>
      </w:r>
      <w:r w:rsidR="00F234CE" w:rsidRPr="004737C5">
        <w:rPr>
          <w:rFonts w:cstheme="minorHAnsi"/>
        </w:rPr>
        <w:t>”,</w:t>
      </w:r>
      <w:r w:rsidRPr="004737C5">
        <w:rPr>
          <w:rFonts w:cstheme="minorHAnsi"/>
        </w:rPr>
        <w:t xml:space="preserve"> partly because in those days, public services often had ill-defined legal powers. This concept was transplanted in this original fo</w:t>
      </w:r>
      <w:r w:rsidR="00F234CE" w:rsidRPr="004737C5">
        <w:rPr>
          <w:rFonts w:cstheme="minorHAnsi"/>
        </w:rPr>
        <w:t xml:space="preserve">rm to Latin America during the 1990s, under the name of </w:t>
      </w:r>
      <w:r w:rsidRPr="004737C5">
        <w:rPr>
          <w:rFonts w:cstheme="minorHAnsi"/>
          <w:i/>
          <w:iCs/>
        </w:rPr>
        <w:t>El Defensor del Pueblo</w:t>
      </w:r>
      <w:r w:rsidRPr="004737C5">
        <w:rPr>
          <w:rFonts w:cstheme="minorHAnsi"/>
        </w:rPr>
        <w:t xml:space="preserve"> who dealt with complaints by consumers against public services, notably in Argentina and Peru.</w:t>
      </w:r>
    </w:p>
    <w:p w14:paraId="1D114B3D" w14:textId="77777777" w:rsidR="00BE71E3" w:rsidRPr="004737C5" w:rsidRDefault="00BE71E3" w:rsidP="006D3BE8">
      <w:pPr>
        <w:rPr>
          <w:rFonts w:cstheme="minorHAnsi"/>
        </w:rPr>
      </w:pPr>
      <w:r w:rsidRPr="004737C5">
        <w:rPr>
          <w:rFonts w:cstheme="minorHAnsi"/>
        </w:rPr>
        <w:t>In the</w:t>
      </w:r>
      <w:r w:rsidR="00F234CE" w:rsidRPr="004737C5">
        <w:rPr>
          <w:rFonts w:cstheme="minorHAnsi"/>
        </w:rPr>
        <w:t xml:space="preserve"> 1970s, the institution of the consumer o</w:t>
      </w:r>
      <w:r w:rsidRPr="004737C5">
        <w:rPr>
          <w:rFonts w:cstheme="minorHAnsi"/>
        </w:rPr>
        <w:t>mbudsman was establ</w:t>
      </w:r>
      <w:r w:rsidR="00F234CE" w:rsidRPr="004737C5">
        <w:rPr>
          <w:rFonts w:cstheme="minorHAnsi"/>
        </w:rPr>
        <w:t>ished in the Nordic countries (</w:t>
      </w:r>
      <w:r w:rsidRPr="004737C5">
        <w:rPr>
          <w:rFonts w:cstheme="minorHAnsi"/>
        </w:rPr>
        <w:t>Denmark, Finland, Norway and Sweden</w:t>
      </w:r>
      <w:r w:rsidR="00F234CE" w:rsidRPr="004737C5">
        <w:rPr>
          <w:rFonts w:cstheme="minorHAnsi"/>
        </w:rPr>
        <w:t>). The consumer o</w:t>
      </w:r>
      <w:r w:rsidRPr="004737C5">
        <w:rPr>
          <w:rFonts w:cstheme="minorHAnsi"/>
        </w:rPr>
        <w:t>mbudsman is a development of the existing concept beyond the public sector, a supervisory body with the task of ensuring that methods used by a business when selling goods or providing services conform to the law. Ombudsmen can be statutory, underpinned by law (official recognition in retur</w:t>
      </w:r>
      <w:r w:rsidR="00F234CE" w:rsidRPr="004737C5">
        <w:rPr>
          <w:rFonts w:cstheme="minorHAnsi"/>
        </w:rPr>
        <w:t>n for meeting certain criteria)</w:t>
      </w:r>
      <w:r w:rsidRPr="004737C5">
        <w:rPr>
          <w:rFonts w:cstheme="minorHAnsi"/>
        </w:rPr>
        <w:t xml:space="preserve"> or voluntary. </w:t>
      </w:r>
    </w:p>
    <w:p w14:paraId="3B801849" w14:textId="77777777" w:rsidR="00BE71E3" w:rsidRPr="004737C5" w:rsidRDefault="00F234CE" w:rsidP="006D3BE8">
      <w:pPr>
        <w:rPr>
          <w:rFonts w:cstheme="minorHAnsi"/>
        </w:rPr>
      </w:pPr>
      <w:r w:rsidRPr="004737C5">
        <w:rPr>
          <w:rFonts w:cstheme="minorHAnsi"/>
        </w:rPr>
        <w:t>The statutory o</w:t>
      </w:r>
      <w:r w:rsidR="00BE71E3" w:rsidRPr="004737C5">
        <w:rPr>
          <w:rFonts w:cstheme="minorHAnsi"/>
        </w:rPr>
        <w:t>mbudsman does not act in a judicial capacity and usually has wide powers not only to</w:t>
      </w:r>
      <w:r w:rsidRPr="004737C5">
        <w:rPr>
          <w:rFonts w:cstheme="minorHAnsi"/>
        </w:rPr>
        <w:t xml:space="preserve"> weigh the merits of each party’</w:t>
      </w:r>
      <w:r w:rsidR="00BE71E3" w:rsidRPr="004737C5">
        <w:rPr>
          <w:rFonts w:cstheme="minorHAnsi"/>
        </w:rPr>
        <w:t>s case but also to investigate the matter. The decision arrived at is not pure</w:t>
      </w:r>
      <w:r w:rsidRPr="004737C5">
        <w:rPr>
          <w:rFonts w:cstheme="minorHAnsi"/>
        </w:rPr>
        <w:t>ly on legal points but also on “good industry practice”</w:t>
      </w:r>
      <w:r w:rsidR="00BE71E3" w:rsidRPr="004737C5">
        <w:rPr>
          <w:rFonts w:cstheme="minorHAnsi"/>
        </w:rPr>
        <w:t xml:space="preserve"> (echoes of maladministration in public services) and the need for change. Proceedings are usually informal and can include oral as well as written submissions. Legal representation is not usual, and the service is often free to consumers. The consumer is not req</w:t>
      </w:r>
      <w:r w:rsidRPr="004737C5">
        <w:rPr>
          <w:rFonts w:cstheme="minorHAnsi"/>
        </w:rPr>
        <w:t>uired to refer the case to the o</w:t>
      </w:r>
      <w:r w:rsidR="00BE71E3" w:rsidRPr="004737C5">
        <w:rPr>
          <w:rFonts w:cstheme="minorHAnsi"/>
        </w:rPr>
        <w:t xml:space="preserve">mbudsman and awards are not binding on the consumer though they often are on the other party.  </w:t>
      </w:r>
    </w:p>
    <w:p w14:paraId="3C307A0B" w14:textId="77777777" w:rsidR="00BE71E3" w:rsidRPr="004737C5" w:rsidRDefault="00F234CE" w:rsidP="006D3BE8">
      <w:pPr>
        <w:rPr>
          <w:rFonts w:cstheme="minorHAnsi"/>
        </w:rPr>
      </w:pPr>
      <w:r w:rsidRPr="004737C5">
        <w:rPr>
          <w:rFonts w:cstheme="minorHAnsi"/>
        </w:rPr>
        <w:t>As shown above, o</w:t>
      </w:r>
      <w:r w:rsidR="00BE71E3" w:rsidRPr="004737C5">
        <w:rPr>
          <w:rFonts w:cstheme="minorHAnsi"/>
        </w:rPr>
        <w:t xml:space="preserve">mbudsmen are widely known for resolving complaints of maladministration </w:t>
      </w:r>
      <w:r w:rsidRPr="004737C5">
        <w:rPr>
          <w:rFonts w:cstheme="minorHAnsi"/>
        </w:rPr>
        <w:t xml:space="preserve">by citizens </w:t>
      </w:r>
      <w:r w:rsidR="00BE71E3" w:rsidRPr="004737C5">
        <w:rPr>
          <w:rFonts w:cstheme="minorHAnsi"/>
        </w:rPr>
        <w:t>against public bodies and officials. However, for complaints on financial services, e</w:t>
      </w:r>
      <w:r w:rsidRPr="004737C5">
        <w:rPr>
          <w:rFonts w:cstheme="minorHAnsi"/>
        </w:rPr>
        <w:t>nergy, communications</w:t>
      </w:r>
      <w:r w:rsidR="00BE71E3" w:rsidRPr="004737C5">
        <w:rPr>
          <w:rFonts w:cstheme="minorHAnsi"/>
        </w:rPr>
        <w:t xml:space="preserve"> or </w:t>
      </w:r>
      <w:r w:rsidRPr="004737C5">
        <w:rPr>
          <w:rFonts w:cstheme="minorHAnsi"/>
        </w:rPr>
        <w:t>any consumer-trader complaint, o</w:t>
      </w:r>
      <w:r w:rsidR="00BE71E3" w:rsidRPr="004737C5">
        <w:rPr>
          <w:rFonts w:cstheme="minorHAnsi"/>
        </w:rPr>
        <w:t>mbudsmen are increasing</w:t>
      </w:r>
      <w:r w:rsidRPr="004737C5">
        <w:rPr>
          <w:rFonts w:cstheme="minorHAnsi"/>
        </w:rPr>
        <w:t>ly being developed in European s</w:t>
      </w:r>
      <w:r w:rsidR="00BE71E3" w:rsidRPr="004737C5">
        <w:rPr>
          <w:rFonts w:cstheme="minorHAnsi"/>
        </w:rPr>
        <w:t>tates, not least because they can be designed to provide func</w:t>
      </w:r>
      <w:r w:rsidRPr="004737C5">
        <w:rPr>
          <w:rFonts w:cstheme="minorHAnsi"/>
        </w:rPr>
        <w:t xml:space="preserve">tions of consumer advice and </w:t>
      </w:r>
      <w:r w:rsidR="00BE71E3" w:rsidRPr="004737C5">
        <w:rPr>
          <w:rFonts w:cstheme="minorHAnsi"/>
        </w:rPr>
        <w:t>feeding back aggregated data on consumer issues to regulators, markets and consumers, and hence assist in a quasi-regulatory capacity. Current examples are the (statutory) Financial Ombudsman Service and the private not-for-profit Ombudsman Services (which services energy, communications, property, general consumer and other dispute) in the United Kingdom</w:t>
      </w:r>
      <w:r w:rsidRPr="004737C5">
        <w:rPr>
          <w:rFonts w:cstheme="minorHAnsi"/>
        </w:rPr>
        <w:t xml:space="preserve"> of Great Britain and Northern Ireland</w:t>
      </w:r>
      <w:r w:rsidR="00BE71E3" w:rsidRPr="004737C5">
        <w:rPr>
          <w:rFonts w:cstheme="minorHAnsi"/>
        </w:rPr>
        <w:t xml:space="preserve"> and the Insurance Ombudsman and Transport Ombudsman in Germany. Regulatory bodies can also provide customer complaint and dispute resolution functions (Banca d’Italia is an example) although the trend appears to be that such functions are b</w:t>
      </w:r>
      <w:r w:rsidRPr="004737C5">
        <w:rPr>
          <w:rFonts w:cstheme="minorHAnsi"/>
        </w:rPr>
        <w:t>eing outsourced to independent o</w:t>
      </w:r>
      <w:r w:rsidR="00BE71E3" w:rsidRPr="004737C5">
        <w:rPr>
          <w:rFonts w:cstheme="minorHAnsi"/>
        </w:rPr>
        <w:t>mbu</w:t>
      </w:r>
      <w:r w:rsidRPr="004737C5">
        <w:rPr>
          <w:rFonts w:cstheme="minorHAnsi"/>
        </w:rPr>
        <w:t xml:space="preserve">dsmen. As models develop and </w:t>
      </w:r>
      <w:r w:rsidR="00BE71E3" w:rsidRPr="004737C5">
        <w:rPr>
          <w:rFonts w:cstheme="minorHAnsi"/>
        </w:rPr>
        <w:t>schemes seek recognition and official endorsement, the lines are becoming blurred.</w:t>
      </w:r>
    </w:p>
    <w:p w14:paraId="2AC6C373" w14:textId="77777777" w:rsidR="00BE71E3" w:rsidRPr="004737C5" w:rsidRDefault="00F234CE" w:rsidP="006D3BE8">
      <w:pPr>
        <w:rPr>
          <w:rFonts w:cstheme="minorHAnsi"/>
        </w:rPr>
      </w:pPr>
      <w:r w:rsidRPr="004737C5">
        <w:rPr>
          <w:rFonts w:cstheme="minorHAnsi"/>
        </w:rPr>
        <w:t>In light of the evolution</w:t>
      </w:r>
      <w:r w:rsidR="00BE71E3" w:rsidRPr="004737C5">
        <w:rPr>
          <w:rFonts w:cstheme="minorHAnsi"/>
        </w:rPr>
        <w:t xml:space="preserve"> of many different schemes and indeed conce</w:t>
      </w:r>
      <w:r w:rsidRPr="004737C5">
        <w:rPr>
          <w:rFonts w:cstheme="minorHAnsi"/>
        </w:rPr>
        <w:t>rn that the “brand name” of the o</w:t>
      </w:r>
      <w:r w:rsidR="00BE71E3" w:rsidRPr="004737C5">
        <w:rPr>
          <w:rFonts w:cstheme="minorHAnsi"/>
        </w:rPr>
        <w:t xml:space="preserve">mbudsman was in danger of becoming devalued, </w:t>
      </w:r>
      <w:r w:rsidRPr="004737C5">
        <w:rPr>
          <w:rFonts w:cstheme="minorHAnsi"/>
        </w:rPr>
        <w:t xml:space="preserve">in 2015 </w:t>
      </w:r>
      <w:r w:rsidR="00BE71E3" w:rsidRPr="004737C5">
        <w:rPr>
          <w:rFonts w:cstheme="minorHAnsi"/>
        </w:rPr>
        <w:t>the European Union established a regulatory system for any type of consumer ADR (or ombudsman) sch</w:t>
      </w:r>
      <w:r w:rsidRPr="004737C5">
        <w:rPr>
          <w:rFonts w:cstheme="minorHAnsi"/>
        </w:rPr>
        <w:t>eme, and required every member s</w:t>
      </w:r>
      <w:r w:rsidR="00BE71E3" w:rsidRPr="004737C5">
        <w:rPr>
          <w:rFonts w:cstheme="minorHAnsi"/>
        </w:rPr>
        <w:t>tate to have a system that can handle any type of consumer-trader dispute.</w:t>
      </w:r>
      <w:r w:rsidR="00BE71E3" w:rsidRPr="004737C5">
        <w:rPr>
          <w:rStyle w:val="FootnoteReference"/>
          <w:rFonts w:cstheme="minorHAnsi"/>
        </w:rPr>
        <w:footnoteReference w:id="197"/>
      </w:r>
      <w:r w:rsidR="00BE71E3" w:rsidRPr="004737C5">
        <w:rPr>
          <w:rFonts w:cstheme="minorHAnsi"/>
        </w:rPr>
        <w:t xml:space="preserve"> In 2016 it established an online portal for cross-border disputes</w:t>
      </w:r>
      <w:r w:rsidRPr="004737C5">
        <w:rPr>
          <w:rFonts w:cstheme="minorHAnsi"/>
        </w:rPr>
        <w:t>,</w:t>
      </w:r>
      <w:r w:rsidR="00BE71E3" w:rsidRPr="004737C5">
        <w:rPr>
          <w:rFonts w:cstheme="minorHAnsi"/>
        </w:rPr>
        <w:t xml:space="preserve"> clearly an appropriate role for the European Union in the context of the single market. Traders are required to provide information on which, if any, ADR scheme they belong to, and the system can in future be expected to extend by requiring traders to belong to ADR or ombudsmen schemes. Consumer ADR in the European Union is required to be free to consumers (which many schemes already are) or to involve minimal cost. This system </w:t>
      </w:r>
      <w:r w:rsidR="00BE71E3" w:rsidRPr="004737C5">
        <w:rPr>
          <w:rFonts w:cstheme="minorHAnsi"/>
        </w:rPr>
        <w:lastRenderedPageBreak/>
        <w:t>has considerable potential and is clearly congruent with the relevant sec</w:t>
      </w:r>
      <w:r w:rsidR="00A80CAC" w:rsidRPr="004737C5">
        <w:rPr>
          <w:rFonts w:cstheme="minorHAnsi"/>
        </w:rPr>
        <w:t>tion of the UNGCP (s</w:t>
      </w:r>
      <w:r w:rsidRPr="004737C5">
        <w:rPr>
          <w:rFonts w:cstheme="minorHAnsi"/>
        </w:rPr>
        <w:t>ection V.F</w:t>
      </w:r>
      <w:r w:rsidR="00291489" w:rsidRPr="004737C5">
        <w:rPr>
          <w:rFonts w:cstheme="minorHAnsi"/>
        </w:rPr>
        <w:t>,</w:t>
      </w:r>
      <w:r w:rsidRPr="004737C5">
        <w:rPr>
          <w:rFonts w:cstheme="minorHAnsi"/>
        </w:rPr>
        <w:t xml:space="preserve"> “</w:t>
      </w:r>
      <w:r w:rsidR="00BE71E3" w:rsidRPr="004737C5">
        <w:rPr>
          <w:rFonts w:cstheme="minorHAnsi"/>
        </w:rPr>
        <w:t>di</w:t>
      </w:r>
      <w:r w:rsidR="00A80CAC" w:rsidRPr="004737C5">
        <w:rPr>
          <w:rFonts w:cstheme="minorHAnsi"/>
        </w:rPr>
        <w:t>spute resolution and redress”, g</w:t>
      </w:r>
      <w:r w:rsidRPr="004737C5">
        <w:rPr>
          <w:rFonts w:cstheme="minorHAnsi"/>
        </w:rPr>
        <w:t>uidelines 37‒</w:t>
      </w:r>
      <w:r w:rsidR="00BE71E3" w:rsidRPr="004737C5">
        <w:rPr>
          <w:rFonts w:cstheme="minorHAnsi"/>
        </w:rPr>
        <w:t xml:space="preserve">41). The specific criteria are discussed below. </w:t>
      </w:r>
    </w:p>
    <w:p w14:paraId="2644E93F" w14:textId="77777777" w:rsidR="00BE71E3" w:rsidRPr="004737C5" w:rsidRDefault="00BE71E3" w:rsidP="00300B92">
      <w:pPr>
        <w:pStyle w:val="Heading3"/>
        <w:spacing w:after="160" w:line="240" w:lineRule="auto"/>
        <w:rPr>
          <w:rFonts w:cstheme="minorHAnsi"/>
          <w:color w:val="auto"/>
        </w:rPr>
      </w:pPr>
      <w:bookmarkStart w:id="210" w:name="_Toc454293850"/>
      <w:bookmarkStart w:id="211" w:name="_Toc489950286"/>
      <w:bookmarkStart w:id="212" w:name="_Toc492650073"/>
      <w:r w:rsidRPr="004737C5">
        <w:rPr>
          <w:rFonts w:cstheme="minorHAnsi"/>
          <w:color w:val="auto"/>
        </w:rPr>
        <w:t>6</w:t>
      </w:r>
      <w:r w:rsidR="00F234CE" w:rsidRPr="004737C5">
        <w:rPr>
          <w:rFonts w:cstheme="minorHAnsi"/>
          <w:color w:val="auto"/>
        </w:rPr>
        <w:t>.</w:t>
      </w:r>
      <w:r w:rsidRPr="004737C5">
        <w:rPr>
          <w:rFonts w:cstheme="minorHAnsi"/>
          <w:color w:val="auto"/>
        </w:rPr>
        <w:t xml:space="preserve"> Business customer care and complaint functions</w:t>
      </w:r>
      <w:bookmarkEnd w:id="210"/>
      <w:bookmarkEnd w:id="211"/>
      <w:bookmarkEnd w:id="212"/>
    </w:p>
    <w:p w14:paraId="3CB4E0E4" w14:textId="77777777" w:rsidR="00BE71E3" w:rsidRPr="004737C5" w:rsidRDefault="00BE71E3" w:rsidP="006D3BE8">
      <w:pPr>
        <w:rPr>
          <w:rFonts w:cstheme="minorHAnsi"/>
        </w:rPr>
      </w:pPr>
      <w:r w:rsidRPr="004737C5">
        <w:rPr>
          <w:rFonts w:cstheme="minorHAnsi"/>
        </w:rPr>
        <w:t>It should always be a requirement on traders to respond fairly, quickly and openly to customer feedback, queries and compla</w:t>
      </w:r>
      <w:r w:rsidR="00A80CAC" w:rsidRPr="004737C5">
        <w:rPr>
          <w:rFonts w:cstheme="minorHAnsi"/>
        </w:rPr>
        <w:t>ints, in line with g</w:t>
      </w:r>
      <w:r w:rsidR="00F234CE" w:rsidRPr="004737C5">
        <w:rPr>
          <w:rFonts w:cstheme="minorHAnsi"/>
        </w:rPr>
        <w:t>uideline 11f</w:t>
      </w:r>
      <w:r w:rsidRPr="004737C5">
        <w:rPr>
          <w:rFonts w:cstheme="minorHAnsi"/>
        </w:rPr>
        <w:t>. Many businesses have customer care departments that respond well in seeking customer satisfaction, especially where a competitive market requires them to maintain a high reputation. International standards (such as ISO) support customer care and complaint systems. Very many consumer contacts are enquiries that can be resolved in a few minutes – they may even not be disputes at all, but can turn into disputes if they are not handled sensitively and promptly. In-house care and complaint systems should not, however, be represented as being independent ADR or ombudsman schemes. The advantage of having effective indepen</w:t>
      </w:r>
      <w:r w:rsidR="00F234CE" w:rsidRPr="004737C5">
        <w:rPr>
          <w:rFonts w:cstheme="minorHAnsi"/>
        </w:rPr>
        <w:t>dent complaint systems such as b</w:t>
      </w:r>
      <w:r w:rsidRPr="004737C5">
        <w:rPr>
          <w:rFonts w:cstheme="minorHAnsi"/>
        </w:rPr>
        <w:t xml:space="preserve">oards and ombudsmen is that their presence and activities provide an incentive for traders to operate effective in-house consumer complaint functions. Having such functions is increasingly a regulatory requirement. Virtually all consumer ADR schemes require a consumer to contact the trader first before being able to access the ADR scheme, sometimes with a specific period for the trader to be able to resolve the issue. </w:t>
      </w:r>
    </w:p>
    <w:p w14:paraId="02245DDA" w14:textId="77777777" w:rsidR="00BE71E3" w:rsidRPr="004737C5" w:rsidRDefault="00BE71E3" w:rsidP="00300B92">
      <w:pPr>
        <w:pStyle w:val="Heading3"/>
        <w:spacing w:after="160" w:line="240" w:lineRule="auto"/>
        <w:rPr>
          <w:rFonts w:cstheme="minorHAnsi"/>
        </w:rPr>
      </w:pPr>
      <w:bookmarkStart w:id="213" w:name="_Toc454293851"/>
      <w:bookmarkStart w:id="214" w:name="_Toc489950287"/>
      <w:bookmarkStart w:id="215" w:name="_Toc492650074"/>
      <w:bookmarkEnd w:id="200"/>
      <w:r w:rsidRPr="004737C5">
        <w:rPr>
          <w:rFonts w:cstheme="minorHAnsi"/>
          <w:color w:val="auto"/>
        </w:rPr>
        <w:t>7</w:t>
      </w:r>
      <w:r w:rsidR="00F234CE" w:rsidRPr="004737C5">
        <w:rPr>
          <w:rFonts w:cstheme="minorHAnsi"/>
          <w:color w:val="auto"/>
        </w:rPr>
        <w:t>.</w:t>
      </w:r>
      <w:r w:rsidRPr="004737C5">
        <w:rPr>
          <w:rFonts w:cstheme="minorHAnsi"/>
          <w:color w:val="auto"/>
        </w:rPr>
        <w:t xml:space="preserve"> Online dispute resolution</w:t>
      </w:r>
      <w:bookmarkEnd w:id="213"/>
      <w:bookmarkEnd w:id="214"/>
      <w:bookmarkEnd w:id="215"/>
    </w:p>
    <w:p w14:paraId="48313190" w14:textId="77777777" w:rsidR="00BE71E3" w:rsidRPr="004737C5" w:rsidRDefault="00BE71E3" w:rsidP="006D3BE8">
      <w:pPr>
        <w:rPr>
          <w:rFonts w:cstheme="minorHAnsi"/>
        </w:rPr>
      </w:pPr>
      <w:r w:rsidRPr="004737C5">
        <w:rPr>
          <w:rFonts w:cstheme="minorHAnsi"/>
        </w:rPr>
        <w:t>Man</w:t>
      </w:r>
      <w:r w:rsidR="00351947" w:rsidRPr="004737C5">
        <w:rPr>
          <w:rFonts w:cstheme="minorHAnsi"/>
        </w:rPr>
        <w:t>y online traders have built-in “online dispute resolution”</w:t>
      </w:r>
      <w:r w:rsidRPr="004737C5">
        <w:rPr>
          <w:rFonts w:cstheme="minorHAnsi"/>
        </w:rPr>
        <w:t xml:space="preserve"> (ODR) arrangements, which can vary between using panels of legally-qualified and verifiable individuals on an arbitration model, to algorithmic generation of automated proposals based on the statistically most likely sum that both parties would be li</w:t>
      </w:r>
      <w:r w:rsidR="00351947" w:rsidRPr="004737C5">
        <w:rPr>
          <w:rFonts w:cstheme="minorHAnsi"/>
        </w:rPr>
        <w:t>kely to accept, to crowd-based “jury”</w:t>
      </w:r>
      <w:r w:rsidRPr="004737C5">
        <w:rPr>
          <w:rFonts w:cstheme="minorHAnsi"/>
        </w:rPr>
        <w:t xml:space="preserve"> decisions.</w:t>
      </w:r>
      <w:r w:rsidRPr="004737C5">
        <w:rPr>
          <w:rStyle w:val="FootnoteReference"/>
          <w:rFonts w:cstheme="minorHAnsi"/>
        </w:rPr>
        <w:footnoteReference w:id="198"/>
      </w:r>
      <w:r w:rsidRPr="004737C5">
        <w:rPr>
          <w:rFonts w:cstheme="minorHAnsi"/>
        </w:rPr>
        <w:t xml:space="preserve"> With the growth of e-commerce, it was natural that dispute resolution and redress would also move online. The United Nations Commission on International Trade Law (UNCITRAL) extended its earlier work on commercial arbitration and e-commerce to help enable ODR systems for cross-border e-commerce.</w:t>
      </w:r>
      <w:r w:rsidRPr="004737C5">
        <w:rPr>
          <w:rStyle w:val="FootnoteReference"/>
          <w:rFonts w:cstheme="minorHAnsi"/>
        </w:rPr>
        <w:footnoteReference w:id="199"/>
      </w:r>
      <w:r w:rsidRPr="004737C5">
        <w:rPr>
          <w:rFonts w:cstheme="minorHAnsi"/>
        </w:rPr>
        <w:t xml:space="preserve"> This raises the question as to whether ODR should be restricted to online transactions. While it is understandable that consumers who make online purchases might have an aptitude for ODR there is no a priori reason for such a restriction, providing the parties can communicate electronically.</w:t>
      </w:r>
    </w:p>
    <w:p w14:paraId="22473217" w14:textId="77777777" w:rsidR="00BE71E3" w:rsidRPr="004737C5" w:rsidRDefault="00BE71E3" w:rsidP="006D3BE8">
      <w:pPr>
        <w:rPr>
          <w:rFonts w:cstheme="minorHAnsi"/>
        </w:rPr>
      </w:pPr>
      <w:r w:rsidRPr="004737C5">
        <w:rPr>
          <w:rFonts w:cstheme="minorHAnsi"/>
        </w:rPr>
        <w:t>One relatively early ODR platform was based on transactions thro</w:t>
      </w:r>
      <w:r w:rsidR="00351947" w:rsidRPr="004737C5">
        <w:rPr>
          <w:rFonts w:cstheme="minorHAnsi"/>
        </w:rPr>
        <w:t>ugh eBay and PayPal. The latter’</w:t>
      </w:r>
      <w:r w:rsidRPr="004737C5">
        <w:rPr>
          <w:rFonts w:cstheme="minorHAnsi"/>
        </w:rPr>
        <w:t>s ODR director, Colin Rule</w:t>
      </w:r>
      <w:r w:rsidR="00351947" w:rsidRPr="004737C5">
        <w:rPr>
          <w:rFonts w:cstheme="minorHAnsi"/>
        </w:rPr>
        <w:t>,</w:t>
      </w:r>
      <w:r w:rsidRPr="004737C5">
        <w:rPr>
          <w:rFonts w:cstheme="minorHAnsi"/>
        </w:rPr>
        <w:t xml:space="preserve"> reports that having started from zero in 2003, by 2012 the platform was dealing with 60 million disputes per annum, compared with under 300,000 in the court system</w:t>
      </w:r>
      <w:r w:rsidR="00351947" w:rsidRPr="004737C5">
        <w:rPr>
          <w:rFonts w:cstheme="minorHAnsi"/>
        </w:rPr>
        <w:t xml:space="preserve"> of the United States of America</w:t>
      </w:r>
      <w:r w:rsidRPr="004737C5">
        <w:rPr>
          <w:rFonts w:cstheme="minorHAnsi"/>
        </w:rPr>
        <w:t>.</w:t>
      </w:r>
      <w:r w:rsidRPr="004737C5">
        <w:rPr>
          <w:rStyle w:val="FootnoteReference"/>
          <w:rFonts w:cstheme="minorHAnsi"/>
        </w:rPr>
        <w:footnoteReference w:id="200"/>
      </w:r>
      <w:r w:rsidRPr="004737C5">
        <w:rPr>
          <w:rFonts w:cstheme="minorHAnsi"/>
        </w:rPr>
        <w:t xml:space="preserve"> Faced with doubts about the cost-effectiveness for business of investing in ADR, a research team using large da</w:t>
      </w:r>
      <w:r w:rsidR="00351947" w:rsidRPr="004737C5">
        <w:rPr>
          <w:rFonts w:cstheme="minorHAnsi"/>
        </w:rPr>
        <w:t>ta sets generated by the system</w:t>
      </w:r>
      <w:r w:rsidRPr="004737C5">
        <w:rPr>
          <w:rFonts w:cstheme="minorHAnsi"/>
        </w:rPr>
        <w:t xml:space="preserve"> analysed ODR results and f</w:t>
      </w:r>
      <w:r w:rsidR="00351947" w:rsidRPr="004737C5">
        <w:rPr>
          <w:rFonts w:cstheme="minorHAnsi"/>
        </w:rPr>
        <w:t>ound, counter-intuitively, that “</w:t>
      </w:r>
      <w:r w:rsidRPr="004737C5">
        <w:rPr>
          <w:rFonts w:cstheme="minorHAnsi"/>
        </w:rPr>
        <w:t>users who reported a transaction and went through the ODR process increased their usage of the marketplace regardless of outcome</w:t>
      </w:r>
      <w:r w:rsidR="00351947" w:rsidRPr="004737C5">
        <w:rPr>
          <w:rFonts w:cstheme="minorHAnsi"/>
        </w:rPr>
        <w:t>”.</w:t>
      </w:r>
      <w:r w:rsidRPr="004737C5">
        <w:rPr>
          <w:rFonts w:cstheme="minorHAnsi"/>
        </w:rPr>
        <w:t xml:space="preserve"> The biggest subsequent increase in market participation by consumers came from those consumers who settled their case amicably, slightly greater in fact than those whose cases were upheld. It is interesting to note that even those who lost registered increased subsequent involvement. The only group whose participation in the market decreased were those whose resolution process took a very long time – a result that echoes the long standing comp</w:t>
      </w:r>
      <w:r w:rsidR="00351947" w:rsidRPr="004737C5">
        <w:rPr>
          <w:rFonts w:cstheme="minorHAnsi"/>
        </w:rPr>
        <w:t>laints about the “hassle factor”</w:t>
      </w:r>
      <w:r w:rsidRPr="004737C5">
        <w:rPr>
          <w:rFonts w:cstheme="minorHAnsi"/>
        </w:rPr>
        <w:t xml:space="preserve"> of court proceedings. This </w:t>
      </w:r>
      <w:r w:rsidRPr="004737C5">
        <w:rPr>
          <w:rFonts w:cstheme="minorHAnsi"/>
        </w:rPr>
        <w:lastRenderedPageBreak/>
        <w:t>confirms the familiar pattern that the worst possible response to discontented consumers is to ignore them.</w:t>
      </w:r>
    </w:p>
    <w:p w14:paraId="20595F7E" w14:textId="77777777" w:rsidR="00BE71E3" w:rsidRPr="004737C5" w:rsidRDefault="00BE71E3" w:rsidP="006D3BE8">
      <w:pPr>
        <w:rPr>
          <w:rFonts w:cstheme="minorHAnsi"/>
        </w:rPr>
      </w:pPr>
      <w:r w:rsidRPr="004737C5">
        <w:rPr>
          <w:rFonts w:cstheme="minorHAnsi"/>
        </w:rPr>
        <w:t>Other ODR platforms are not restricted to online transactions. One early version was established by the Mexican consumer protecti</w:t>
      </w:r>
      <w:r w:rsidR="004240DC" w:rsidRPr="004737C5">
        <w:rPr>
          <w:rFonts w:cstheme="minorHAnsi"/>
        </w:rPr>
        <w:t>on agency PROFECO (see chapter IV</w:t>
      </w:r>
      <w:r w:rsidRPr="004737C5">
        <w:rPr>
          <w:rFonts w:cstheme="minorHAnsi"/>
        </w:rPr>
        <w:t xml:space="preserve">) whose </w:t>
      </w:r>
      <w:r w:rsidRPr="004737C5">
        <w:rPr>
          <w:rFonts w:cstheme="minorHAnsi"/>
          <w:i/>
          <w:iCs/>
        </w:rPr>
        <w:t>Concilianet</w:t>
      </w:r>
      <w:r w:rsidRPr="004737C5">
        <w:rPr>
          <w:rFonts w:cstheme="minorHAnsi"/>
        </w:rPr>
        <w:t xml:space="preserve"> service opened for business in 2008. This followed amendment of the Federal Consumer Protection Law in 2004, enabling accepting and</w:t>
      </w:r>
      <w:r w:rsidR="00351947" w:rsidRPr="004737C5">
        <w:rPr>
          <w:rFonts w:cstheme="minorHAnsi"/>
        </w:rPr>
        <w:t xml:space="preserve"> filing of cases electronically</w:t>
      </w:r>
      <w:r w:rsidRPr="004737C5">
        <w:rPr>
          <w:rFonts w:cstheme="minorHAnsi"/>
        </w:rPr>
        <w:t xml:space="preserve"> and electronic (and telephonic) conduct of hearings. The service is open to the public, can be accessed from the PROFECO website and is free of charge. In reviewing the history of </w:t>
      </w:r>
      <w:r w:rsidRPr="004737C5">
        <w:rPr>
          <w:rFonts w:cstheme="minorHAnsi"/>
          <w:i/>
          <w:iCs/>
        </w:rPr>
        <w:t>Concilianet</w:t>
      </w:r>
      <w:r w:rsidRPr="004737C5">
        <w:rPr>
          <w:rFonts w:cstheme="minorHAnsi"/>
        </w:rPr>
        <w:t>, Gonzales-Martin makes the point that “one avenue to be explored is whether the principles of functional equivalence used to accept e-documents when the law requires them in writing might also be valid in allowing virtual presence to substitute the physical presence of parties</w:t>
      </w:r>
      <w:r w:rsidR="00351947" w:rsidRPr="004737C5">
        <w:rPr>
          <w:rFonts w:cstheme="minorHAnsi"/>
        </w:rPr>
        <w:t>”.</w:t>
      </w:r>
      <w:r w:rsidRPr="004737C5">
        <w:rPr>
          <w:rStyle w:val="FootnoteReference"/>
          <w:rFonts w:cstheme="minorHAnsi"/>
        </w:rPr>
        <w:footnoteReference w:id="201"/>
      </w:r>
      <w:r w:rsidRPr="004737C5">
        <w:rPr>
          <w:rFonts w:cstheme="minorHAnsi"/>
        </w:rPr>
        <w:t xml:space="preserve"> Recent experience suggests that this stage is being rapidly arrived at.</w:t>
      </w:r>
    </w:p>
    <w:p w14:paraId="1FB13506" w14:textId="43916E15" w:rsidR="00BE71E3" w:rsidRPr="004737C5" w:rsidRDefault="00BE71E3" w:rsidP="006D3BE8">
      <w:pPr>
        <w:rPr>
          <w:rStyle w:val="Emphasis"/>
          <w:rFonts w:cstheme="minorHAnsi"/>
          <w:i w:val="0"/>
          <w:iCs w:val="0"/>
        </w:rPr>
      </w:pPr>
      <w:r w:rsidRPr="004737C5">
        <w:rPr>
          <w:rFonts w:cstheme="minorHAnsi"/>
        </w:rPr>
        <w:t>In early 2016, the Eu</w:t>
      </w:r>
      <w:r w:rsidR="00BD2919" w:rsidRPr="004737C5">
        <w:rPr>
          <w:rFonts w:cstheme="minorHAnsi"/>
        </w:rPr>
        <w:t xml:space="preserve">ropean Commission set up a new </w:t>
      </w:r>
      <w:r w:rsidRPr="004737C5">
        <w:rPr>
          <w:rFonts w:cstheme="minorHAnsi"/>
        </w:rPr>
        <w:t>ODR platform. It was not restricted to onli</w:t>
      </w:r>
      <w:r w:rsidR="00351947" w:rsidRPr="004737C5">
        <w:rPr>
          <w:rFonts w:cstheme="minorHAnsi"/>
        </w:rPr>
        <w:t>ne transactions and around 117 alternative d</w:t>
      </w:r>
      <w:r w:rsidR="00D113A8" w:rsidRPr="004737C5">
        <w:rPr>
          <w:rFonts w:cstheme="minorHAnsi"/>
        </w:rPr>
        <w:t>ispute resolution bodies from 17</w:t>
      </w:r>
      <w:r w:rsidR="00351947" w:rsidRPr="004737C5">
        <w:rPr>
          <w:rFonts w:cstheme="minorHAnsi"/>
        </w:rPr>
        <w:t xml:space="preserve"> member s</w:t>
      </w:r>
      <w:r w:rsidRPr="004737C5">
        <w:rPr>
          <w:rFonts w:cstheme="minorHAnsi"/>
        </w:rPr>
        <w:t>tates were connected from day one. The European Comm</w:t>
      </w:r>
      <w:r w:rsidR="00351947" w:rsidRPr="004737C5">
        <w:rPr>
          <w:rFonts w:cstheme="minorHAnsi"/>
        </w:rPr>
        <w:t>issioner for Consumers reported that</w:t>
      </w:r>
      <w:r w:rsidRPr="004737C5">
        <w:rPr>
          <w:rFonts w:cstheme="minorHAnsi"/>
          <w:i/>
          <w:iCs/>
        </w:rPr>
        <w:t xml:space="preserve"> </w:t>
      </w:r>
      <w:r w:rsidR="00351947" w:rsidRPr="004737C5">
        <w:rPr>
          <w:rStyle w:val="Emphasis"/>
          <w:rFonts w:cstheme="minorHAnsi"/>
          <w:i w:val="0"/>
          <w:iCs w:val="0"/>
        </w:rPr>
        <w:t>“o</w:t>
      </w:r>
      <w:r w:rsidRPr="004737C5">
        <w:rPr>
          <w:rStyle w:val="Emphasis"/>
          <w:rFonts w:cstheme="minorHAnsi"/>
          <w:i w:val="0"/>
          <w:iCs w:val="0"/>
        </w:rPr>
        <w:t>ne in three consumers expe</w:t>
      </w:r>
      <w:r w:rsidRPr="004737C5">
        <w:rPr>
          <w:rStyle w:val="Emphasis"/>
          <w:rFonts w:cstheme="minorHAnsi"/>
          <w:i w:val="0"/>
          <w:iCs w:val="0"/>
        </w:rPr>
        <w:softHyphen/>
        <w:t>rienced a problem when buying online in the past year. But a quarter of these consumers did not complain – mainly because they thought the proce</w:t>
      </w:r>
      <w:r w:rsidRPr="004737C5">
        <w:rPr>
          <w:rStyle w:val="Emphasis"/>
          <w:rFonts w:cstheme="minorHAnsi"/>
          <w:i w:val="0"/>
          <w:iCs w:val="0"/>
        </w:rPr>
        <w:softHyphen/>
        <w:t>dure was too long or they w</w:t>
      </w:r>
      <w:r w:rsidR="00351947" w:rsidRPr="004737C5">
        <w:rPr>
          <w:rStyle w:val="Emphasis"/>
          <w:rFonts w:cstheme="minorHAnsi"/>
          <w:i w:val="0"/>
          <w:iCs w:val="0"/>
        </w:rPr>
        <w:t>ere unlikely to get a solution</w:t>
      </w:r>
      <w:r w:rsidR="00351947" w:rsidRPr="004737C5">
        <w:rPr>
          <w:rStyle w:val="Emphasis"/>
          <w:rFonts w:cstheme="minorHAnsi"/>
          <w:iCs w:val="0"/>
        </w:rPr>
        <w:t>”.</w:t>
      </w:r>
      <w:r w:rsidRPr="004737C5">
        <w:rPr>
          <w:rStyle w:val="FootnoteReference"/>
          <w:rFonts w:cstheme="minorHAnsi"/>
          <w:iCs/>
        </w:rPr>
        <w:footnoteReference w:id="202"/>
      </w:r>
      <w:r w:rsidRPr="004737C5">
        <w:rPr>
          <w:rStyle w:val="Emphasis"/>
          <w:rFonts w:cstheme="minorHAnsi"/>
          <w:i w:val="0"/>
          <w:iCs w:val="0"/>
        </w:rPr>
        <w:t xml:space="preserve"> The legal basis of the </w:t>
      </w:r>
      <w:r w:rsidR="00B05A08" w:rsidRPr="004737C5">
        <w:rPr>
          <w:rStyle w:val="Emphasis"/>
          <w:rFonts w:cstheme="minorHAnsi"/>
          <w:i w:val="0"/>
          <w:iCs w:val="0"/>
        </w:rPr>
        <w:t>ODR platform builds on the ADR d</w:t>
      </w:r>
      <w:r w:rsidRPr="004737C5">
        <w:rPr>
          <w:rStyle w:val="Emphasis"/>
          <w:rFonts w:cstheme="minorHAnsi"/>
          <w:i w:val="0"/>
          <w:iCs w:val="0"/>
        </w:rPr>
        <w:t xml:space="preserve">irective already referred to. The initial </w:t>
      </w:r>
      <w:r w:rsidR="00B05A08" w:rsidRPr="004737C5">
        <w:rPr>
          <w:rStyle w:val="Emphasis"/>
          <w:rFonts w:cstheme="minorHAnsi"/>
          <w:i w:val="0"/>
          <w:iCs w:val="0"/>
        </w:rPr>
        <w:t>complaint is sent to the trader</w:t>
      </w:r>
      <w:r w:rsidRPr="004737C5">
        <w:rPr>
          <w:rStyle w:val="Emphasis"/>
          <w:rFonts w:cstheme="minorHAnsi"/>
          <w:i w:val="0"/>
          <w:iCs w:val="0"/>
        </w:rPr>
        <w:t xml:space="preserve"> by the platform, which may prove to be an improvement on the more traditional ADRs which often stipulate that the initial complaint is taken directly to the trader. Time will tell if the new system is an improvement. According to the Commission</w:t>
      </w:r>
      <w:r w:rsidR="00B05A08" w:rsidRPr="004737C5">
        <w:rPr>
          <w:rStyle w:val="Emphasis"/>
          <w:rFonts w:cstheme="minorHAnsi"/>
          <w:i w:val="0"/>
          <w:iCs w:val="0"/>
        </w:rPr>
        <w:t>,</w:t>
      </w:r>
      <w:r w:rsidRPr="004737C5">
        <w:rPr>
          <w:rStyle w:val="Emphasis"/>
          <w:rFonts w:cstheme="minorHAnsi"/>
          <w:i w:val="0"/>
          <w:iCs w:val="0"/>
        </w:rPr>
        <w:t xml:space="preserve"> traders may also find the system an improvement as many (60</w:t>
      </w:r>
      <w:r w:rsidR="00B05A08" w:rsidRPr="004737C5">
        <w:rPr>
          <w:rStyle w:val="Emphasis"/>
          <w:rFonts w:cstheme="minorHAnsi"/>
          <w:i w:val="0"/>
          <w:iCs w:val="0"/>
        </w:rPr>
        <w:t xml:space="preserve"> percent, it</w:t>
      </w:r>
      <w:r w:rsidRPr="004737C5">
        <w:rPr>
          <w:rStyle w:val="Emphasis"/>
          <w:rFonts w:cstheme="minorHAnsi"/>
          <w:i w:val="0"/>
          <w:iCs w:val="0"/>
        </w:rPr>
        <w:t xml:space="preserve"> is estimated) do not sell online to other countries bec</w:t>
      </w:r>
      <w:r w:rsidR="00B05A08" w:rsidRPr="004737C5">
        <w:rPr>
          <w:rStyle w:val="Emphasis"/>
          <w:rFonts w:cstheme="minorHAnsi"/>
          <w:i w:val="0"/>
          <w:iCs w:val="0"/>
        </w:rPr>
        <w:t>ause of difficulties in problem-</w:t>
      </w:r>
      <w:r w:rsidRPr="004737C5">
        <w:rPr>
          <w:rStyle w:val="Emphasis"/>
          <w:rFonts w:cstheme="minorHAnsi"/>
          <w:i w:val="0"/>
          <w:iCs w:val="0"/>
        </w:rPr>
        <w:t>solving.</w:t>
      </w:r>
    </w:p>
    <w:p w14:paraId="6C4BEF42" w14:textId="77777777" w:rsidR="00BE71E3" w:rsidRPr="004737C5" w:rsidRDefault="00B05A08" w:rsidP="00BD2919">
      <w:pPr>
        <w:pStyle w:val="Heading2"/>
        <w:spacing w:after="160"/>
        <w:rPr>
          <w:rFonts w:cstheme="minorHAnsi"/>
          <w:color w:val="auto"/>
          <w:sz w:val="24"/>
          <w:szCs w:val="24"/>
        </w:rPr>
      </w:pPr>
      <w:bookmarkStart w:id="216" w:name="_Toc183930647"/>
      <w:bookmarkStart w:id="217" w:name="_Toc454293852"/>
      <w:bookmarkStart w:id="218" w:name="_Toc489950288"/>
      <w:bookmarkStart w:id="219" w:name="_Toc492650075"/>
      <w:r w:rsidRPr="004737C5">
        <w:rPr>
          <w:rFonts w:cstheme="minorHAnsi"/>
          <w:color w:val="auto"/>
          <w:sz w:val="24"/>
          <w:szCs w:val="24"/>
        </w:rPr>
        <w:t>D.</w:t>
      </w:r>
      <w:r w:rsidR="00BE71E3" w:rsidRPr="004737C5">
        <w:rPr>
          <w:rFonts w:cstheme="minorHAnsi"/>
          <w:color w:val="auto"/>
          <w:sz w:val="24"/>
          <w:szCs w:val="24"/>
        </w:rPr>
        <w:t xml:space="preserve"> Criteria for assessing consumer dispute resolution and redress systems</w:t>
      </w:r>
      <w:bookmarkEnd w:id="216"/>
      <w:bookmarkEnd w:id="217"/>
      <w:bookmarkEnd w:id="218"/>
      <w:bookmarkEnd w:id="219"/>
    </w:p>
    <w:p w14:paraId="3826AD24" w14:textId="77777777" w:rsidR="00BE71E3" w:rsidRPr="004737C5" w:rsidRDefault="00BE71E3" w:rsidP="006D3BE8">
      <w:pPr>
        <w:rPr>
          <w:rFonts w:cstheme="minorHAnsi"/>
        </w:rPr>
      </w:pPr>
      <w:r w:rsidRPr="004737C5">
        <w:rPr>
          <w:rFonts w:cstheme="minorHAnsi"/>
        </w:rPr>
        <w:t>The diversification and spread of consumer ADR schemes has been accompanied in some countries by a demand for quality criteria against which ADR, ombudsmen or other consumer-trader dispute reso</w:t>
      </w:r>
      <w:r w:rsidR="00B05A08" w:rsidRPr="004737C5">
        <w:rPr>
          <w:rFonts w:cstheme="minorHAnsi"/>
        </w:rPr>
        <w:t>lution schemes can be evaluated</w:t>
      </w:r>
      <w:r w:rsidRPr="004737C5">
        <w:rPr>
          <w:rFonts w:cstheme="minorHAnsi"/>
        </w:rPr>
        <w:t xml:space="preserve"> and regulated. The criteria in Directive 2013/11/EU, which were based on earlier </w:t>
      </w:r>
      <w:r w:rsidR="00B05A08" w:rsidRPr="004737C5">
        <w:rPr>
          <w:rFonts w:cstheme="minorHAnsi"/>
        </w:rPr>
        <w:t>and widely accepted r</w:t>
      </w:r>
      <w:r w:rsidRPr="004737C5">
        <w:rPr>
          <w:rFonts w:cstheme="minorHAnsi"/>
        </w:rPr>
        <w:t>ecommendations from 1998 and 2001, are as follows (with summaries of some of the more detailed requirements in brackets):</w:t>
      </w:r>
    </w:p>
    <w:p w14:paraId="3ECD02CA" w14:textId="77777777" w:rsidR="00BE71E3" w:rsidRPr="004737C5" w:rsidRDefault="00B05A08" w:rsidP="002473E9">
      <w:pPr>
        <w:pStyle w:val="ListParagraph"/>
        <w:numPr>
          <w:ilvl w:val="0"/>
          <w:numId w:val="72"/>
        </w:numPr>
        <w:ind w:left="709" w:hanging="425"/>
        <w:rPr>
          <w:rFonts w:cstheme="minorHAnsi"/>
        </w:rPr>
      </w:pPr>
      <w:r w:rsidRPr="004737C5">
        <w:rPr>
          <w:rFonts w:cstheme="minorHAnsi"/>
        </w:rPr>
        <w:t>Access</w:t>
      </w:r>
    </w:p>
    <w:p w14:paraId="59F0C883" w14:textId="77777777" w:rsidR="00BE71E3" w:rsidRPr="004737C5" w:rsidRDefault="00BE71E3" w:rsidP="002473E9">
      <w:pPr>
        <w:pStyle w:val="ListParagraph"/>
        <w:numPr>
          <w:ilvl w:val="0"/>
          <w:numId w:val="72"/>
        </w:numPr>
        <w:ind w:left="709" w:hanging="425"/>
        <w:rPr>
          <w:rFonts w:cstheme="minorHAnsi"/>
        </w:rPr>
      </w:pPr>
      <w:r w:rsidRPr="004737C5">
        <w:rPr>
          <w:rFonts w:cstheme="minorHAnsi"/>
        </w:rPr>
        <w:t>Expertise, independence and impartiality (independ</w:t>
      </w:r>
      <w:r w:rsidR="00B05A08" w:rsidRPr="004737C5">
        <w:rPr>
          <w:rFonts w:cstheme="minorHAnsi"/>
        </w:rPr>
        <w:t>ent governance and individuals)</w:t>
      </w:r>
    </w:p>
    <w:p w14:paraId="05492E39" w14:textId="77777777" w:rsidR="00BE71E3" w:rsidRPr="004737C5" w:rsidRDefault="00BE71E3" w:rsidP="002473E9">
      <w:pPr>
        <w:pStyle w:val="ListParagraph"/>
        <w:numPr>
          <w:ilvl w:val="0"/>
          <w:numId w:val="72"/>
        </w:numPr>
        <w:ind w:left="709" w:hanging="425"/>
        <w:rPr>
          <w:rFonts w:cstheme="minorHAnsi"/>
        </w:rPr>
      </w:pPr>
      <w:r w:rsidRPr="004737C5">
        <w:rPr>
          <w:rFonts w:cstheme="minorHAnsi"/>
        </w:rPr>
        <w:t>Transparency</w:t>
      </w:r>
      <w:r w:rsidR="00B05A08" w:rsidRPr="004737C5">
        <w:rPr>
          <w:rFonts w:cstheme="minorHAnsi"/>
        </w:rPr>
        <w:t xml:space="preserve"> (including rules of procedure)</w:t>
      </w:r>
    </w:p>
    <w:p w14:paraId="637EF202" w14:textId="77777777" w:rsidR="00BE71E3" w:rsidRPr="004737C5" w:rsidRDefault="00BE71E3" w:rsidP="002473E9">
      <w:pPr>
        <w:pStyle w:val="ListParagraph"/>
        <w:numPr>
          <w:ilvl w:val="0"/>
          <w:numId w:val="72"/>
        </w:numPr>
        <w:ind w:left="709" w:hanging="425"/>
        <w:rPr>
          <w:rFonts w:cstheme="minorHAnsi"/>
        </w:rPr>
      </w:pPr>
      <w:r w:rsidRPr="004737C5">
        <w:rPr>
          <w:rFonts w:cstheme="minorHAnsi"/>
        </w:rPr>
        <w:t>Effectiveness (</w:t>
      </w:r>
      <w:r w:rsidR="00B05A08" w:rsidRPr="004737C5">
        <w:rPr>
          <w:rFonts w:cstheme="minorHAnsi"/>
        </w:rPr>
        <w:t xml:space="preserve">online </w:t>
      </w:r>
      <w:r w:rsidRPr="004737C5">
        <w:rPr>
          <w:rFonts w:cstheme="minorHAnsi"/>
        </w:rPr>
        <w:t xml:space="preserve">accessibility, facility for a consumer to operate without a lawyer, free of charge or nominal cost to the consumer, prompt notification of the parties by the ADR </w:t>
      </w:r>
      <w:r w:rsidR="00B05A08" w:rsidRPr="004737C5">
        <w:rPr>
          <w:rFonts w:cstheme="minorHAnsi"/>
        </w:rPr>
        <w:t>entity, outcome within 90 days)</w:t>
      </w:r>
    </w:p>
    <w:p w14:paraId="18172480" w14:textId="77777777" w:rsidR="00BE71E3" w:rsidRPr="004737C5" w:rsidRDefault="00BE71E3" w:rsidP="002473E9">
      <w:pPr>
        <w:pStyle w:val="ListParagraph"/>
        <w:numPr>
          <w:ilvl w:val="0"/>
          <w:numId w:val="72"/>
        </w:numPr>
        <w:ind w:left="709" w:hanging="425"/>
        <w:rPr>
          <w:rFonts w:cstheme="minorHAnsi"/>
        </w:rPr>
      </w:pPr>
      <w:r w:rsidRPr="004737C5">
        <w:rPr>
          <w:rFonts w:cstheme="minorHAnsi"/>
        </w:rPr>
        <w:t>Fairness (reasonable possibility for parties to express their views, opportun</w:t>
      </w:r>
      <w:r w:rsidR="00B05A08" w:rsidRPr="004737C5">
        <w:rPr>
          <w:rFonts w:cstheme="minorHAnsi"/>
        </w:rPr>
        <w:t>ity to withdraw)</w:t>
      </w:r>
    </w:p>
    <w:p w14:paraId="4ADFF9F2" w14:textId="68A92F53" w:rsidR="00BE71E3" w:rsidRPr="004737C5" w:rsidRDefault="00BE71E3" w:rsidP="002473E9">
      <w:pPr>
        <w:pStyle w:val="ListParagraph"/>
        <w:numPr>
          <w:ilvl w:val="0"/>
          <w:numId w:val="72"/>
        </w:numPr>
        <w:ind w:left="709" w:hanging="425"/>
        <w:rPr>
          <w:rFonts w:cstheme="minorHAnsi"/>
        </w:rPr>
      </w:pPr>
      <w:r w:rsidRPr="004737C5">
        <w:rPr>
          <w:rFonts w:cstheme="minorHAnsi"/>
        </w:rPr>
        <w:t>Liberty (an agreement to submit to ADR is not binding if concluded</w:t>
      </w:r>
      <w:r w:rsidR="00B05A08" w:rsidRPr="004737C5">
        <w:rPr>
          <w:rFonts w:cstheme="minorHAnsi"/>
        </w:rPr>
        <w:t xml:space="preserve"> before the dispute has arisen </w:t>
      </w:r>
      <w:r w:rsidR="0017760A" w:rsidRPr="004737C5">
        <w:rPr>
          <w:rFonts w:cstheme="minorHAnsi"/>
        </w:rPr>
        <w:t>(</w:t>
      </w:r>
      <w:r w:rsidRPr="004737C5">
        <w:rPr>
          <w:rFonts w:cstheme="minorHAnsi"/>
        </w:rPr>
        <w:t>in contrast to practice</w:t>
      </w:r>
      <w:r w:rsidR="007F0A4A" w:rsidRPr="004737C5">
        <w:rPr>
          <w:rFonts w:cstheme="minorHAnsi"/>
        </w:rPr>
        <w:t xml:space="preserve"> in the United States of America</w:t>
      </w:r>
      <w:r w:rsidRPr="004737C5">
        <w:rPr>
          <w:rFonts w:cstheme="minorHAnsi"/>
        </w:rPr>
        <w:t>), schemes that impose a solution may only be binding if the parties were informed of that fact in adva</w:t>
      </w:r>
      <w:r w:rsidR="0017760A" w:rsidRPr="004737C5">
        <w:rPr>
          <w:rFonts w:cstheme="minorHAnsi"/>
        </w:rPr>
        <w:t>nce)</w:t>
      </w:r>
    </w:p>
    <w:p w14:paraId="0D84A2A4" w14:textId="77777777" w:rsidR="00BE71E3" w:rsidRPr="004737C5" w:rsidRDefault="00BE71E3" w:rsidP="002473E9">
      <w:pPr>
        <w:pStyle w:val="ListParagraph"/>
        <w:numPr>
          <w:ilvl w:val="0"/>
          <w:numId w:val="72"/>
        </w:numPr>
        <w:ind w:left="709" w:hanging="425"/>
        <w:rPr>
          <w:rFonts w:cstheme="minorHAnsi"/>
        </w:rPr>
      </w:pPr>
      <w:r w:rsidRPr="004737C5">
        <w:rPr>
          <w:rFonts w:cstheme="minorHAnsi"/>
        </w:rPr>
        <w:t>Legality (application of the law in cases of imposed soluti</w:t>
      </w:r>
      <w:r w:rsidR="0017760A" w:rsidRPr="004737C5">
        <w:rPr>
          <w:rFonts w:cstheme="minorHAnsi"/>
        </w:rPr>
        <w:t>ons, rules on conflict of laws)</w:t>
      </w:r>
    </w:p>
    <w:p w14:paraId="34602C5E" w14:textId="77777777" w:rsidR="00BE71E3" w:rsidRPr="004737C5" w:rsidRDefault="00BE71E3" w:rsidP="006D3BE8">
      <w:pPr>
        <w:rPr>
          <w:rFonts w:cstheme="minorHAnsi"/>
        </w:rPr>
      </w:pPr>
      <w:r w:rsidRPr="004737C5">
        <w:rPr>
          <w:rFonts w:cstheme="minorHAnsi"/>
        </w:rPr>
        <w:t xml:space="preserve">A further requirement of a well-designed consumer redress system is that it should be able to identify and address systemic problems, providing aggregated data that supports improvements in </w:t>
      </w:r>
      <w:r w:rsidRPr="004737C5">
        <w:rPr>
          <w:rFonts w:cstheme="minorHAnsi"/>
        </w:rPr>
        <w:lastRenderedPageBreak/>
        <w:t xml:space="preserve">performance. This </w:t>
      </w:r>
      <w:r w:rsidR="0017760A" w:rsidRPr="004737C5">
        <w:rPr>
          <w:rFonts w:cstheme="minorHAnsi"/>
        </w:rPr>
        <w:t>indeed is the growing trend in ombudsmen systems</w:t>
      </w:r>
      <w:r w:rsidRPr="004737C5">
        <w:rPr>
          <w:rFonts w:cstheme="minorHAnsi"/>
        </w:rPr>
        <w:t xml:space="preserve"> and has been particularly noticeable in the financial services sector.</w:t>
      </w:r>
    </w:p>
    <w:p w14:paraId="6892F43A" w14:textId="77777777" w:rsidR="00BE71E3" w:rsidRPr="004737C5" w:rsidRDefault="00BE71E3" w:rsidP="006D3BE8">
      <w:pPr>
        <w:rPr>
          <w:rFonts w:cstheme="minorHAnsi"/>
        </w:rPr>
      </w:pPr>
      <w:r w:rsidRPr="004737C5">
        <w:rPr>
          <w:rFonts w:cstheme="minorHAnsi"/>
        </w:rPr>
        <w:t>The emergence of a strong consensus can be gauged by the fact that the above criteria are broadly consistent with those set out by the OECD in its Reco</w:t>
      </w:r>
      <w:r w:rsidR="0017760A" w:rsidRPr="004737C5">
        <w:rPr>
          <w:rFonts w:cstheme="minorHAnsi"/>
        </w:rPr>
        <w:t>mmendation on Consumer Dispute Resolution and R</w:t>
      </w:r>
      <w:r w:rsidRPr="004737C5">
        <w:rPr>
          <w:rFonts w:cstheme="minorHAnsi"/>
        </w:rPr>
        <w:t>edress in 2007.</w:t>
      </w:r>
      <w:r w:rsidRPr="004737C5">
        <w:rPr>
          <w:rStyle w:val="FootnoteReference"/>
          <w:rFonts w:cstheme="minorHAnsi"/>
        </w:rPr>
        <w:footnoteReference w:id="203"/>
      </w:r>
      <w:r w:rsidRPr="004737C5">
        <w:rPr>
          <w:rFonts w:cstheme="minorHAnsi"/>
        </w:rPr>
        <w:t xml:space="preserve"> That recommendation</w:t>
      </w:r>
      <w:r w:rsidR="0017760A" w:rsidRPr="004737C5">
        <w:rPr>
          <w:rFonts w:cstheme="minorHAnsi"/>
        </w:rPr>
        <w:t>,</w:t>
      </w:r>
      <w:r w:rsidRPr="004737C5">
        <w:rPr>
          <w:rFonts w:cstheme="minorHAnsi"/>
        </w:rPr>
        <w:t xml:space="preserve"> while less detailed than the European Union criteria</w:t>
      </w:r>
      <w:r w:rsidR="0017760A" w:rsidRPr="004737C5">
        <w:rPr>
          <w:rFonts w:cstheme="minorHAnsi"/>
        </w:rPr>
        <w:t>,</w:t>
      </w:r>
      <w:r w:rsidRPr="004737C5">
        <w:rPr>
          <w:rFonts w:cstheme="minorHAnsi"/>
        </w:rPr>
        <w:t xml:space="preserve"> nevertheless dealt with matters of access, cost and transparency. </w:t>
      </w:r>
      <w:r w:rsidR="00A80CAC" w:rsidRPr="004737C5">
        <w:rPr>
          <w:rFonts w:cstheme="minorHAnsi"/>
        </w:rPr>
        <w:t>UNGCP g</w:t>
      </w:r>
      <w:r w:rsidR="0017760A" w:rsidRPr="004737C5">
        <w:rPr>
          <w:rFonts w:cstheme="minorHAnsi"/>
        </w:rPr>
        <w:t>uidelines 37‒</w:t>
      </w:r>
      <w:r w:rsidRPr="004737C5">
        <w:rPr>
          <w:rFonts w:cstheme="minorHAnsi"/>
        </w:rPr>
        <w:t xml:space="preserve">41 include most of the above with less emphasis on the two legality principles (a major jurisdictional issue in Europe) and reference to impartiality rather than independence. </w:t>
      </w:r>
      <w:r w:rsidR="0017760A" w:rsidRPr="004737C5">
        <w:rPr>
          <w:rFonts w:cstheme="minorHAnsi"/>
        </w:rPr>
        <w:t>T</w:t>
      </w:r>
      <w:r w:rsidRPr="004737C5">
        <w:rPr>
          <w:rFonts w:cstheme="minorHAnsi"/>
        </w:rPr>
        <w:t>hey place more emphasis on the protection of vulnerable and disadvantaged consumers, as does the OECD recommendation. All three sets of criteria emphasize the need for cross-border cooperation, particularly as this remains a constant challenge.</w:t>
      </w:r>
    </w:p>
    <w:p w14:paraId="68B04C5B" w14:textId="77777777" w:rsidR="00BE71E3" w:rsidRPr="004737C5" w:rsidRDefault="0017760A" w:rsidP="00BD2919">
      <w:pPr>
        <w:pStyle w:val="Heading2"/>
        <w:spacing w:after="160"/>
        <w:rPr>
          <w:rFonts w:cstheme="minorHAnsi"/>
          <w:color w:val="auto"/>
          <w:sz w:val="24"/>
          <w:szCs w:val="24"/>
        </w:rPr>
      </w:pPr>
      <w:bookmarkStart w:id="220" w:name="_Toc454293853"/>
      <w:bookmarkStart w:id="221" w:name="_Toc489950289"/>
      <w:bookmarkStart w:id="222" w:name="_Toc492650076"/>
      <w:r w:rsidRPr="004737C5">
        <w:rPr>
          <w:rFonts w:cstheme="minorHAnsi"/>
          <w:color w:val="auto"/>
          <w:sz w:val="24"/>
          <w:szCs w:val="24"/>
        </w:rPr>
        <w:t>E.</w:t>
      </w:r>
      <w:r w:rsidR="00BE71E3" w:rsidRPr="004737C5">
        <w:rPr>
          <w:rFonts w:cstheme="minorHAnsi"/>
          <w:color w:val="auto"/>
          <w:sz w:val="24"/>
          <w:szCs w:val="24"/>
        </w:rPr>
        <w:t xml:space="preserve"> Conclusion</w:t>
      </w:r>
      <w:bookmarkEnd w:id="220"/>
      <w:bookmarkEnd w:id="221"/>
      <w:bookmarkEnd w:id="222"/>
    </w:p>
    <w:p w14:paraId="4E6E1F7E" w14:textId="77777777" w:rsidR="00BE71E3" w:rsidRPr="004737C5" w:rsidRDefault="00BE71E3" w:rsidP="006D3BE8">
      <w:pPr>
        <w:rPr>
          <w:rFonts w:cstheme="minorHAnsi"/>
        </w:rPr>
      </w:pPr>
      <w:r w:rsidRPr="004737C5">
        <w:rPr>
          <w:rFonts w:cstheme="minorHAnsi"/>
        </w:rPr>
        <w:t>The period of development and innovation in methods of delivering consumer redress is far from over. The arrival of new technologies and architectures has opened up competition between options in place of the previous single court-based series of options. It is important to continue evaluating all options against criteria of cost, cost-proportionality, speed,</w:t>
      </w:r>
      <w:r w:rsidR="0017760A" w:rsidRPr="004737C5">
        <w:rPr>
          <w:rFonts w:cstheme="minorHAnsi"/>
        </w:rPr>
        <w:t xml:space="preserve"> number and quality of outcomes</w:t>
      </w:r>
      <w:r w:rsidRPr="004737C5">
        <w:rPr>
          <w:rFonts w:cstheme="minorHAnsi"/>
        </w:rPr>
        <w:t xml:space="preserve"> and user-friendliness. The current empirical evidence appears to indicate that combinations of consumer ombudsmen and regulators using redress powers, but usually resolving problems by negotiation, can satisfy the criteria well. </w:t>
      </w:r>
    </w:p>
    <w:p w14:paraId="71BAF5D8" w14:textId="77777777" w:rsidR="00BE71E3" w:rsidRPr="004737C5" w:rsidRDefault="0017760A" w:rsidP="006D3BE8">
      <w:pPr>
        <w:rPr>
          <w:rFonts w:cstheme="minorHAnsi"/>
        </w:rPr>
      </w:pPr>
      <w:r w:rsidRPr="004737C5">
        <w:rPr>
          <w:rFonts w:cstheme="minorHAnsi"/>
        </w:rPr>
        <w:t>And yet, the success of the o</w:t>
      </w:r>
      <w:r w:rsidR="00BE71E3" w:rsidRPr="004737C5">
        <w:rPr>
          <w:rFonts w:cstheme="minorHAnsi"/>
        </w:rPr>
        <w:t>mbudsman/ADR model in numeric terms raises the question as to whether too many cases are now going to these institutions, cases which might be better settled upstream. Indeed should the cases exist at all? A case in point is the Financial Services Ombudsman</w:t>
      </w:r>
      <w:r w:rsidRPr="004737C5">
        <w:rPr>
          <w:rFonts w:cstheme="minorHAnsi"/>
        </w:rPr>
        <w:t xml:space="preserve"> of the United Kingdom of Great Britain and Northern Ireland (</w:t>
      </w:r>
      <w:r w:rsidR="004240DC" w:rsidRPr="004737C5">
        <w:rPr>
          <w:rFonts w:cstheme="minorHAnsi"/>
        </w:rPr>
        <w:t>which is mentioned in chapter XIV</w:t>
      </w:r>
      <w:r w:rsidR="00BE71E3" w:rsidRPr="004737C5">
        <w:rPr>
          <w:rFonts w:cstheme="minorHAnsi"/>
        </w:rPr>
        <w:t xml:space="preserve"> on financial services</w:t>
      </w:r>
      <w:r w:rsidRPr="004737C5">
        <w:rPr>
          <w:rFonts w:cstheme="minorHAnsi"/>
        </w:rPr>
        <w:t>),</w:t>
      </w:r>
      <w:r w:rsidR="00BE71E3" w:rsidRPr="004737C5">
        <w:rPr>
          <w:rFonts w:cstheme="minorHAnsi"/>
        </w:rPr>
        <w:t xml:space="preserve"> where a vast number of remarkably similar cases concerning mis-selling of one particular financial product (payment protection insurance) were eventually resolved by regulatory intervention (at huge cost </w:t>
      </w:r>
      <w:r w:rsidRPr="004737C5">
        <w:rPr>
          <w:rFonts w:cstheme="minorHAnsi"/>
        </w:rPr>
        <w:t>to the financial institutions).</w:t>
      </w:r>
      <w:r w:rsidR="00BE71E3" w:rsidRPr="004737C5">
        <w:rPr>
          <w:rStyle w:val="FootnoteReference"/>
          <w:rFonts w:cstheme="minorHAnsi"/>
        </w:rPr>
        <w:footnoteReference w:id="204"/>
      </w:r>
      <w:r w:rsidRPr="004737C5">
        <w:rPr>
          <w:rFonts w:cstheme="minorHAnsi"/>
        </w:rPr>
        <w:t xml:space="preserve"> </w:t>
      </w:r>
      <w:r w:rsidR="00BE71E3" w:rsidRPr="004737C5">
        <w:rPr>
          <w:rFonts w:cstheme="minorHAnsi"/>
        </w:rPr>
        <w:t>The analogous institution from another jurisdiction, the Financial System Mediator of Armenia, was established in 2008 but by 201</w:t>
      </w:r>
      <w:r w:rsidRPr="004737C5">
        <w:rPr>
          <w:rFonts w:cstheme="minorHAnsi"/>
        </w:rPr>
        <w:t>3 it was still recording a year-on-</w:t>
      </w:r>
      <w:r w:rsidR="00BE71E3" w:rsidRPr="004737C5">
        <w:rPr>
          <w:rFonts w:cstheme="minorHAnsi"/>
        </w:rPr>
        <w:t>year doubling of case numbers, after several yea</w:t>
      </w:r>
      <w:r w:rsidRPr="004737C5">
        <w:rPr>
          <w:rFonts w:cstheme="minorHAnsi"/>
        </w:rPr>
        <w:t>rs of increases in excess of 50 percent</w:t>
      </w:r>
      <w:r w:rsidR="00BE71E3" w:rsidRPr="004737C5">
        <w:rPr>
          <w:rFonts w:cstheme="minorHAnsi"/>
        </w:rPr>
        <w:t>.</w:t>
      </w:r>
      <w:r w:rsidR="00BE71E3" w:rsidRPr="004737C5">
        <w:rPr>
          <w:rStyle w:val="FootnoteReference"/>
          <w:rFonts w:cstheme="minorHAnsi"/>
        </w:rPr>
        <w:footnoteReference w:id="205"/>
      </w:r>
      <w:r w:rsidR="00BE71E3" w:rsidRPr="004737C5">
        <w:rPr>
          <w:rFonts w:cstheme="minorHAnsi"/>
        </w:rPr>
        <w:t xml:space="preserve"> The Armenia</w:t>
      </w:r>
      <w:r w:rsidRPr="004737C5">
        <w:rPr>
          <w:rFonts w:cstheme="minorHAnsi"/>
        </w:rPr>
        <w:t>n</w:t>
      </w:r>
      <w:r w:rsidR="00BE71E3" w:rsidRPr="004737C5">
        <w:rPr>
          <w:rFonts w:cstheme="minorHAnsi"/>
        </w:rPr>
        <w:t xml:space="preserve"> Financial Services Ombudsman</w:t>
      </w:r>
      <w:r w:rsidRPr="004737C5">
        <w:rPr>
          <w:rFonts w:cstheme="minorHAnsi"/>
        </w:rPr>
        <w:t>’s response has been to engage i</w:t>
      </w:r>
      <w:r w:rsidR="00BE71E3" w:rsidRPr="004737C5">
        <w:rPr>
          <w:rFonts w:cstheme="minorHAnsi"/>
        </w:rPr>
        <w:t>n a programme of consumer and industry ed</w:t>
      </w:r>
      <w:r w:rsidRPr="004737C5">
        <w:rPr>
          <w:rFonts w:cstheme="minorHAnsi"/>
        </w:rPr>
        <w:t>ucation. Many cases that go to o</w:t>
      </w:r>
      <w:r w:rsidR="00BE71E3" w:rsidRPr="004737C5">
        <w:rPr>
          <w:rFonts w:cstheme="minorHAnsi"/>
        </w:rPr>
        <w:t>mbudsmen would be more simply resolved by better internal management of enquiries. Guideline 41 makes appropriate, if tangential, referenc</w:t>
      </w:r>
      <w:r w:rsidRPr="004737C5">
        <w:rPr>
          <w:rFonts w:cstheme="minorHAnsi"/>
        </w:rPr>
        <w:t>e to this issue in stating that</w:t>
      </w:r>
      <w:r w:rsidRPr="004737C5">
        <w:rPr>
          <w:rFonts w:cstheme="minorHAnsi"/>
          <w:b/>
          <w:bCs/>
          <w:sz w:val="23"/>
          <w:szCs w:val="23"/>
        </w:rPr>
        <w:t xml:space="preserve"> </w:t>
      </w:r>
      <w:r w:rsidRPr="004737C5">
        <w:rPr>
          <w:rFonts w:cstheme="minorHAnsi"/>
          <w:bCs/>
          <w:sz w:val="23"/>
          <w:szCs w:val="23"/>
        </w:rPr>
        <w:t>“</w:t>
      </w:r>
      <w:r w:rsidR="00BE71E3" w:rsidRPr="004737C5">
        <w:rPr>
          <w:rFonts w:cstheme="minorHAnsi"/>
          <w:bCs/>
        </w:rPr>
        <w:t>Member States should cooperate with businesses and consumer groups in furthering consumer and business understanding of how to avoid disputes, of dispute resolution and redress me</w:t>
      </w:r>
      <w:r w:rsidRPr="004737C5">
        <w:rPr>
          <w:rFonts w:cstheme="minorHAnsi"/>
          <w:bCs/>
        </w:rPr>
        <w:t>chanisms available to consumers,</w:t>
      </w:r>
      <w:r w:rsidR="00BE71E3" w:rsidRPr="004737C5">
        <w:rPr>
          <w:rFonts w:cstheme="minorHAnsi"/>
          <w:bCs/>
        </w:rPr>
        <w:t xml:space="preserve"> and of where consumers can file complaints</w:t>
      </w:r>
      <w:r w:rsidRPr="004737C5">
        <w:rPr>
          <w:rFonts w:cstheme="minorHAnsi"/>
          <w:bCs/>
        </w:rPr>
        <w:t>”.</w:t>
      </w:r>
      <w:r w:rsidR="00BE71E3" w:rsidRPr="004737C5">
        <w:rPr>
          <w:rFonts w:cstheme="minorHAnsi"/>
        </w:rPr>
        <w:t xml:space="preserve"> The scale of cases in the financial services</w:t>
      </w:r>
      <w:r w:rsidRPr="004737C5">
        <w:rPr>
          <w:rFonts w:cstheme="minorHAnsi"/>
        </w:rPr>
        <w:t xml:space="preserve"> sector and doubtless elsewhere</w:t>
      </w:r>
      <w:r w:rsidR="00BE71E3" w:rsidRPr="004737C5">
        <w:rPr>
          <w:rFonts w:cstheme="minorHAnsi"/>
        </w:rPr>
        <w:t xml:space="preserve"> gives rise to at least consideration of a twin-track approach: upstream reform of internal procedures on the one hand and external conduct regulation on the other.</w:t>
      </w:r>
      <w:r w:rsidR="00BE71E3" w:rsidRPr="004737C5">
        <w:rPr>
          <w:rFonts w:cstheme="minorHAnsi"/>
        </w:rPr>
        <w:br w:type="page"/>
      </w:r>
    </w:p>
    <w:p w14:paraId="2C764DD7" w14:textId="77777777" w:rsidR="00BE71E3" w:rsidRPr="004737C5" w:rsidRDefault="0017760A" w:rsidP="006D3BE8">
      <w:pPr>
        <w:rPr>
          <w:b/>
          <w:sz w:val="28"/>
          <w:szCs w:val="28"/>
        </w:rPr>
      </w:pPr>
      <w:bookmarkStart w:id="223" w:name="_Toc454293854"/>
      <w:bookmarkStart w:id="224" w:name="_Toc489950290"/>
      <w:bookmarkStart w:id="225" w:name="_Toc492650077"/>
      <w:bookmarkStart w:id="226" w:name="_Toc67071791"/>
      <w:bookmarkStart w:id="227" w:name="_Toc183930659"/>
      <w:bookmarkStart w:id="228" w:name="_Toc66786420"/>
      <w:bookmarkStart w:id="229" w:name="_Toc67071815"/>
      <w:bookmarkStart w:id="230" w:name="_Toc183930683"/>
      <w:r w:rsidRPr="004737C5">
        <w:rPr>
          <w:b/>
          <w:sz w:val="28"/>
          <w:szCs w:val="28"/>
        </w:rPr>
        <w:lastRenderedPageBreak/>
        <w:t xml:space="preserve">XII. </w:t>
      </w:r>
      <w:bookmarkStart w:id="231" w:name="_Toc183930672"/>
      <w:r w:rsidRPr="004737C5">
        <w:rPr>
          <w:b/>
          <w:sz w:val="28"/>
          <w:szCs w:val="28"/>
        </w:rPr>
        <w:t>Electronic c</w:t>
      </w:r>
      <w:r w:rsidR="00BE71E3" w:rsidRPr="004737C5">
        <w:rPr>
          <w:b/>
          <w:sz w:val="28"/>
          <w:szCs w:val="28"/>
        </w:rPr>
        <w:t>ommerce</w:t>
      </w:r>
      <w:bookmarkEnd w:id="223"/>
      <w:bookmarkEnd w:id="224"/>
      <w:bookmarkEnd w:id="225"/>
      <w:bookmarkEnd w:id="231"/>
    </w:p>
    <w:p w14:paraId="5194FA03" w14:textId="77777777" w:rsidR="00BE71E3" w:rsidRPr="004737C5" w:rsidRDefault="0017760A" w:rsidP="00BD2919">
      <w:pPr>
        <w:pStyle w:val="Heading2"/>
        <w:spacing w:before="0" w:after="160"/>
        <w:rPr>
          <w:rFonts w:cstheme="minorHAnsi"/>
          <w:color w:val="auto"/>
          <w:sz w:val="24"/>
          <w:szCs w:val="24"/>
        </w:rPr>
      </w:pPr>
      <w:bookmarkStart w:id="232" w:name="_Toc454293855"/>
      <w:bookmarkStart w:id="233" w:name="_Toc489950291"/>
      <w:bookmarkStart w:id="234" w:name="_Toc492650078"/>
      <w:bookmarkStart w:id="235" w:name="_Toc183930673"/>
      <w:r w:rsidRPr="004737C5">
        <w:rPr>
          <w:rFonts w:cstheme="minorHAnsi"/>
          <w:color w:val="auto"/>
          <w:sz w:val="24"/>
          <w:szCs w:val="24"/>
        </w:rPr>
        <w:t>A.</w:t>
      </w:r>
      <w:r w:rsidR="00BE71E3" w:rsidRPr="004737C5">
        <w:rPr>
          <w:rFonts w:cstheme="minorHAnsi"/>
          <w:color w:val="auto"/>
          <w:sz w:val="24"/>
          <w:szCs w:val="24"/>
        </w:rPr>
        <w:t xml:space="preserve"> Electronic commerce in the United Nations Guidelines for Consumer Protection</w:t>
      </w:r>
      <w:bookmarkEnd w:id="232"/>
      <w:bookmarkEnd w:id="233"/>
      <w:bookmarkEnd w:id="234"/>
    </w:p>
    <w:p w14:paraId="5B4814D0" w14:textId="77777777" w:rsidR="00BE71E3" w:rsidRPr="004737C5" w:rsidRDefault="00BE71E3" w:rsidP="006D3BE8">
      <w:pPr>
        <w:rPr>
          <w:rFonts w:cstheme="minorHAnsi"/>
        </w:rPr>
      </w:pPr>
      <w:r w:rsidRPr="004737C5">
        <w:rPr>
          <w:rFonts w:cstheme="minorHAnsi"/>
        </w:rPr>
        <w:t>From the start of the revision process, there was never much doubt that electronic commerce (e-commerce) would be included, and there was no opposition to its inclusion. Nevertheless, it now seems hard to believe that one searches in vain for any reference to e-commerce in the 1999 version of the UNGCP. That forms a very simple illustration of the way in which the consumer protection landscape has been transformed during the 16 year gap, for e-commerce is now the subject of an entire section (V.I) as well as two paragraphs in the resolutio</w:t>
      </w:r>
      <w:r w:rsidR="00A80CAC" w:rsidRPr="004737C5">
        <w:rPr>
          <w:rFonts w:cstheme="minorHAnsi"/>
        </w:rPr>
        <w:t>n and a new “legitimate need” (g</w:t>
      </w:r>
      <w:r w:rsidRPr="004737C5">
        <w:rPr>
          <w:rFonts w:cstheme="minorHAnsi"/>
        </w:rPr>
        <w:t>uideline 5j</w:t>
      </w:r>
      <w:r w:rsidR="00A80CAC" w:rsidRPr="004737C5">
        <w:rPr>
          <w:rFonts w:cstheme="minorHAnsi"/>
        </w:rPr>
        <w:t>). It features in g</w:t>
      </w:r>
      <w:r w:rsidR="0017760A" w:rsidRPr="004737C5">
        <w:rPr>
          <w:rFonts w:cstheme="minorHAnsi"/>
        </w:rPr>
        <w:t>uideline 44g</w:t>
      </w:r>
      <w:r w:rsidRPr="004737C5">
        <w:rPr>
          <w:rFonts w:cstheme="minorHAnsi"/>
        </w:rPr>
        <w:t xml:space="preserve"> under education and informat</w:t>
      </w:r>
      <w:r w:rsidR="00A80CAC" w:rsidRPr="004737C5">
        <w:rPr>
          <w:rFonts w:cstheme="minorHAnsi"/>
        </w:rPr>
        <w:t>ion and in the new section IV “p</w:t>
      </w:r>
      <w:r w:rsidRPr="004737C5">
        <w:rPr>
          <w:rFonts w:cstheme="minorHAnsi"/>
        </w:rPr>
        <w:t>rinciple</w:t>
      </w:r>
      <w:r w:rsidR="00A80CAC" w:rsidRPr="004737C5">
        <w:rPr>
          <w:rFonts w:cstheme="minorHAnsi"/>
        </w:rPr>
        <w:t>s for good business p</w:t>
      </w:r>
      <w:r w:rsidRPr="004737C5">
        <w:rPr>
          <w:rFonts w:cstheme="minorHAnsi"/>
        </w:rPr>
        <w:t>ractices”</w:t>
      </w:r>
      <w:r w:rsidRPr="004737C5">
        <w:rPr>
          <w:rFonts w:cstheme="minorHAnsi"/>
          <w:i/>
        </w:rPr>
        <w:t xml:space="preserve"> </w:t>
      </w:r>
      <w:r w:rsidRPr="004737C5">
        <w:rPr>
          <w:rFonts w:cstheme="minorHAnsi"/>
        </w:rPr>
        <w:t xml:space="preserve">which are clearly stated as applying to online and offline transactions and which also cover protection of privacy. </w:t>
      </w:r>
      <w:r w:rsidR="00A80CAC" w:rsidRPr="004737C5">
        <w:rPr>
          <w:rFonts w:cstheme="minorHAnsi"/>
        </w:rPr>
        <w:t>Similarly, s</w:t>
      </w:r>
      <w:r w:rsidR="0017760A" w:rsidRPr="004737C5">
        <w:rPr>
          <w:rFonts w:cstheme="minorHAnsi"/>
        </w:rPr>
        <w:t>ection V.A</w:t>
      </w:r>
      <w:r w:rsidR="00A80CAC" w:rsidRPr="004737C5">
        <w:rPr>
          <w:rFonts w:cstheme="minorHAnsi"/>
        </w:rPr>
        <w:t>, “national policies for c</w:t>
      </w:r>
      <w:r w:rsidRPr="004737C5">
        <w:rPr>
          <w:rFonts w:cstheme="minorHAnsi"/>
        </w:rPr>
        <w:t>on</w:t>
      </w:r>
      <w:r w:rsidR="00A80CAC" w:rsidRPr="004737C5">
        <w:rPr>
          <w:rFonts w:cstheme="minorHAnsi"/>
        </w:rPr>
        <w:t>sumer p</w:t>
      </w:r>
      <w:r w:rsidR="0017760A" w:rsidRPr="004737C5">
        <w:rPr>
          <w:rFonts w:cstheme="minorHAnsi"/>
        </w:rPr>
        <w:t>rotection”</w:t>
      </w:r>
      <w:r w:rsidR="00A80CAC" w:rsidRPr="004737C5">
        <w:rPr>
          <w:rFonts w:cstheme="minorHAnsi"/>
        </w:rPr>
        <w:t>,</w:t>
      </w:r>
      <w:r w:rsidR="0017760A" w:rsidRPr="004737C5">
        <w:rPr>
          <w:rFonts w:cstheme="minorHAnsi"/>
        </w:rPr>
        <w:t xml:space="preserve"> refers to web</w:t>
      </w:r>
      <w:r w:rsidR="00291489" w:rsidRPr="004737C5">
        <w:rPr>
          <w:rFonts w:cstheme="minorHAnsi"/>
        </w:rPr>
        <w:t>sites, e</w:t>
      </w:r>
      <w:r w:rsidR="0017760A" w:rsidRPr="004737C5">
        <w:rPr>
          <w:rFonts w:cstheme="minorHAnsi"/>
        </w:rPr>
        <w:t>mail and “</w:t>
      </w:r>
      <w:r w:rsidRPr="004737C5">
        <w:rPr>
          <w:rFonts w:cstheme="minorHAnsi"/>
        </w:rPr>
        <w:t>consumer privacy and data security</w:t>
      </w:r>
      <w:r w:rsidR="0017760A" w:rsidRPr="004737C5">
        <w:rPr>
          <w:rFonts w:cstheme="minorHAnsi"/>
        </w:rPr>
        <w:t>”.</w:t>
      </w:r>
    </w:p>
    <w:p w14:paraId="77535397" w14:textId="5F33875A" w:rsidR="00BE71E3" w:rsidRPr="004737C5" w:rsidRDefault="00BE71E3" w:rsidP="006D3BE8">
      <w:pPr>
        <w:rPr>
          <w:rFonts w:cstheme="minorHAnsi"/>
        </w:rPr>
      </w:pPr>
      <w:r w:rsidRPr="004737C5">
        <w:rPr>
          <w:rFonts w:cstheme="minorHAnsi"/>
        </w:rPr>
        <w:t>Section V</w:t>
      </w:r>
      <w:r w:rsidR="00A80CAC" w:rsidRPr="004737C5">
        <w:rPr>
          <w:rFonts w:cstheme="minorHAnsi"/>
        </w:rPr>
        <w:t>.I on e-commerce (g</w:t>
      </w:r>
      <w:r w:rsidR="0017760A" w:rsidRPr="004737C5">
        <w:rPr>
          <w:rFonts w:cstheme="minorHAnsi"/>
        </w:rPr>
        <w:t>uidelines 63‒</w:t>
      </w:r>
      <w:r w:rsidRPr="004737C5">
        <w:rPr>
          <w:rFonts w:cstheme="minorHAnsi"/>
        </w:rPr>
        <w:t>65) is the most substantive</w:t>
      </w:r>
      <w:r w:rsidR="0017760A" w:rsidRPr="004737C5">
        <w:rPr>
          <w:rFonts w:cstheme="minorHAnsi"/>
        </w:rPr>
        <w:t>.</w:t>
      </w:r>
      <w:r w:rsidRPr="004737C5">
        <w:rPr>
          <w:rFonts w:cstheme="minorHAnsi"/>
        </w:rPr>
        <w:t xml:space="preserve"> Guide</w:t>
      </w:r>
      <w:r w:rsidR="0017760A" w:rsidRPr="004737C5">
        <w:rPr>
          <w:rFonts w:cstheme="minorHAnsi"/>
        </w:rPr>
        <w:t>line 63 in effect restates the “</w:t>
      </w:r>
      <w:r w:rsidRPr="004737C5">
        <w:rPr>
          <w:rFonts w:cstheme="minorHAnsi"/>
        </w:rPr>
        <w:t>leg</w:t>
      </w:r>
      <w:r w:rsidR="00A80CAC" w:rsidRPr="004737C5">
        <w:rPr>
          <w:rFonts w:cstheme="minorHAnsi"/>
        </w:rPr>
        <w:t>itimate need” from g</w:t>
      </w:r>
      <w:r w:rsidR="0017760A" w:rsidRPr="004737C5">
        <w:rPr>
          <w:rFonts w:cstheme="minorHAnsi"/>
        </w:rPr>
        <w:t>uideline 5j which reads: “</w:t>
      </w:r>
      <w:r w:rsidRPr="004737C5">
        <w:rPr>
          <w:rFonts w:cstheme="minorHAnsi"/>
        </w:rPr>
        <w:t>a level of protection for consumers using e-commerce that is not less than that afforded in other forms of commerce</w:t>
      </w:r>
      <w:r w:rsidR="0017760A" w:rsidRPr="004737C5">
        <w:rPr>
          <w:rFonts w:cstheme="minorHAnsi"/>
        </w:rPr>
        <w:t>”.</w:t>
      </w:r>
      <w:r w:rsidRPr="004737C5">
        <w:rPr>
          <w:rStyle w:val="FootnoteReference"/>
          <w:rFonts w:cstheme="minorHAnsi"/>
          <w:bCs/>
        </w:rPr>
        <w:footnoteReference w:id="206"/>
      </w:r>
      <w:r w:rsidRPr="004737C5">
        <w:rPr>
          <w:rFonts w:cstheme="minorHAnsi"/>
          <w:i/>
        </w:rPr>
        <w:t xml:space="preserve"> </w:t>
      </w:r>
      <w:r w:rsidRPr="004737C5">
        <w:rPr>
          <w:rFonts w:cstheme="minorHAnsi"/>
        </w:rPr>
        <w:t>Guidel</w:t>
      </w:r>
      <w:r w:rsidR="0017760A" w:rsidRPr="004737C5">
        <w:rPr>
          <w:rFonts w:cstheme="minorHAnsi"/>
        </w:rPr>
        <w:t>ine 64 requests Members States “</w:t>
      </w:r>
      <w:r w:rsidRPr="004737C5">
        <w:rPr>
          <w:rFonts w:cstheme="minorHAnsi"/>
        </w:rPr>
        <w:t>to accommodate the special features of electronic commerce</w:t>
      </w:r>
      <w:r w:rsidR="0017760A" w:rsidRPr="004737C5">
        <w:rPr>
          <w:rFonts w:cstheme="minorHAnsi"/>
        </w:rPr>
        <w:t>”,</w:t>
      </w:r>
      <w:r w:rsidRPr="004737C5">
        <w:rPr>
          <w:rFonts w:cstheme="minorHAnsi"/>
          <w:b/>
        </w:rPr>
        <w:t xml:space="preserve"> </w:t>
      </w:r>
      <w:r w:rsidRPr="004737C5">
        <w:rPr>
          <w:rFonts w:cstheme="minorHAnsi"/>
        </w:rPr>
        <w:t>and emphasizes awareness of rights and obligations; in effect, a statement of the disclosure principle. Guideline 65 calls for collaboration across borders and suggests that Mem</w:t>
      </w:r>
      <w:r w:rsidR="00A80CAC" w:rsidRPr="004737C5">
        <w:rPr>
          <w:rFonts w:cstheme="minorHAnsi"/>
        </w:rPr>
        <w:t>ber States scrutinize the OECD e-commerce g</w:t>
      </w:r>
      <w:r w:rsidRPr="004737C5">
        <w:rPr>
          <w:rFonts w:cstheme="minorHAnsi"/>
        </w:rPr>
        <w:t xml:space="preserve">uidelines, which having first </w:t>
      </w:r>
      <w:r w:rsidR="00674419" w:rsidRPr="004737C5">
        <w:rPr>
          <w:rFonts w:cstheme="minorHAnsi"/>
        </w:rPr>
        <w:t>been produced in 1999, were</w:t>
      </w:r>
      <w:r w:rsidR="003F08AB" w:rsidRPr="004737C5">
        <w:rPr>
          <w:rFonts w:cstheme="minorHAnsi"/>
        </w:rPr>
        <w:t xml:space="preserve"> revised and re</w:t>
      </w:r>
      <w:r w:rsidRPr="004737C5">
        <w:rPr>
          <w:rFonts w:cstheme="minorHAnsi"/>
        </w:rPr>
        <w:t>issued in 2016.</w:t>
      </w:r>
      <w:r w:rsidRPr="004737C5">
        <w:rPr>
          <w:rStyle w:val="FootnoteReference"/>
          <w:rFonts w:cstheme="minorHAnsi"/>
          <w:bCs/>
        </w:rPr>
        <w:footnoteReference w:id="207"/>
      </w:r>
      <w:r w:rsidRPr="004737C5">
        <w:rPr>
          <w:rFonts w:cstheme="minorHAnsi"/>
        </w:rPr>
        <w:t xml:space="preserve"> </w:t>
      </w:r>
    </w:p>
    <w:p w14:paraId="52BAB480" w14:textId="77777777" w:rsidR="00BE71E3" w:rsidRPr="004737C5" w:rsidRDefault="00674419" w:rsidP="00BD2919">
      <w:pPr>
        <w:pStyle w:val="Heading2"/>
        <w:spacing w:after="160"/>
        <w:rPr>
          <w:rFonts w:cstheme="minorHAnsi"/>
          <w:color w:val="auto"/>
          <w:sz w:val="24"/>
          <w:szCs w:val="24"/>
        </w:rPr>
      </w:pPr>
      <w:bookmarkStart w:id="236" w:name="_Toc454293856"/>
      <w:bookmarkStart w:id="237" w:name="_Toc489950292"/>
      <w:bookmarkStart w:id="238" w:name="_Toc492650079"/>
      <w:r w:rsidRPr="004737C5">
        <w:rPr>
          <w:rFonts w:cstheme="minorHAnsi"/>
          <w:color w:val="auto"/>
          <w:sz w:val="24"/>
          <w:szCs w:val="24"/>
        </w:rPr>
        <w:t>B.</w:t>
      </w:r>
      <w:r w:rsidR="00BE71E3" w:rsidRPr="004737C5">
        <w:rPr>
          <w:rFonts w:cstheme="minorHAnsi"/>
          <w:color w:val="auto"/>
          <w:sz w:val="24"/>
          <w:szCs w:val="24"/>
        </w:rPr>
        <w:t xml:space="preserve"> The scope and extent of e-commerce</w:t>
      </w:r>
      <w:bookmarkEnd w:id="235"/>
      <w:bookmarkEnd w:id="236"/>
      <w:bookmarkEnd w:id="237"/>
      <w:bookmarkEnd w:id="238"/>
    </w:p>
    <w:p w14:paraId="5FAB7B06" w14:textId="77777777" w:rsidR="00BE71E3" w:rsidRPr="004737C5" w:rsidRDefault="00BE71E3" w:rsidP="006D3BE8">
      <w:pPr>
        <w:rPr>
          <w:rFonts w:cstheme="minorHAnsi"/>
        </w:rPr>
      </w:pPr>
      <w:r w:rsidRPr="004737C5">
        <w:rPr>
          <w:rFonts w:cstheme="minorHAnsi"/>
        </w:rPr>
        <w:t>E-commerce originally referred to transactions for sale and purchase</w:t>
      </w:r>
      <w:r w:rsidR="00674419" w:rsidRPr="004737C5">
        <w:rPr>
          <w:rFonts w:cstheme="minorHAnsi"/>
        </w:rPr>
        <w:t xml:space="preserve"> of goods and services via the internet, via “classical”</w:t>
      </w:r>
      <w:r w:rsidRPr="004737C5">
        <w:rPr>
          <w:rFonts w:cstheme="minorHAnsi"/>
        </w:rPr>
        <w:t xml:space="preserve"> computers.</w:t>
      </w:r>
      <w:r w:rsidRPr="004737C5">
        <w:rPr>
          <w:rStyle w:val="FootnoteReference"/>
          <w:rFonts w:cstheme="minorHAnsi"/>
        </w:rPr>
        <w:footnoteReference w:id="208"/>
      </w:r>
      <w:r w:rsidRPr="004737C5">
        <w:rPr>
          <w:rFonts w:cstheme="minorHAnsi"/>
        </w:rPr>
        <w:t xml:space="preserve"> It now has a wider context, covering transactions effected via mobile phones (m-commerce) and other devices such as tablets. It includes purchases us</w:t>
      </w:r>
      <w:r w:rsidR="00674419" w:rsidRPr="004737C5">
        <w:rPr>
          <w:rFonts w:cstheme="minorHAnsi"/>
        </w:rPr>
        <w:t>ing applications (a</w:t>
      </w:r>
      <w:r w:rsidRPr="004737C5">
        <w:rPr>
          <w:rFonts w:cstheme="minorHAnsi"/>
        </w:rPr>
        <w:t>pps) and platforms. It also should include the purchase of digital content, which is not easily categorized as either goods or services.</w:t>
      </w:r>
      <w:r w:rsidR="00674419" w:rsidRPr="004737C5">
        <w:rPr>
          <w:rFonts w:cstheme="minorHAnsi"/>
        </w:rPr>
        <w:t xml:space="preserve"> E-commerce and the use of the i</w:t>
      </w:r>
      <w:r w:rsidRPr="004737C5">
        <w:rPr>
          <w:rFonts w:cstheme="minorHAnsi"/>
        </w:rPr>
        <w:t>nternet have implications for the entire spectrum of consumer protection. Goods that are not safe may be bought online, and unfair or criminal commercial practices can take place via the use of distance communications (e.g. phishing emails).</w:t>
      </w:r>
      <w:r w:rsidRPr="004737C5">
        <w:rPr>
          <w:rStyle w:val="FootnoteReference"/>
          <w:rFonts w:cstheme="minorHAnsi"/>
        </w:rPr>
        <w:footnoteReference w:id="209"/>
      </w:r>
      <w:r w:rsidRPr="004737C5">
        <w:rPr>
          <w:rFonts w:cstheme="minorHAnsi"/>
        </w:rPr>
        <w:t xml:space="preserve"> The section of the UNGCP that deals with e-commerce should therefore not be read in isolation. </w:t>
      </w:r>
    </w:p>
    <w:p w14:paraId="509B7DEE" w14:textId="77777777" w:rsidR="00BE71E3" w:rsidRPr="004737C5" w:rsidRDefault="00BE71E3" w:rsidP="006D3BE8">
      <w:pPr>
        <w:rPr>
          <w:rFonts w:cstheme="minorHAnsi"/>
        </w:rPr>
      </w:pPr>
      <w:r w:rsidRPr="004737C5">
        <w:rPr>
          <w:rFonts w:cstheme="minorHAnsi"/>
        </w:rPr>
        <w:lastRenderedPageBreak/>
        <w:t>E-commerce is normally thought of in consumer pr</w:t>
      </w:r>
      <w:r w:rsidR="00674419" w:rsidRPr="004737C5">
        <w:rPr>
          <w:rFonts w:cstheme="minorHAnsi"/>
        </w:rPr>
        <w:t>otection terms in relation to “business-to-consumer” (B2C) transactions,</w:t>
      </w:r>
      <w:r w:rsidRPr="004737C5">
        <w:rPr>
          <w:rFonts w:cstheme="minorHAnsi"/>
        </w:rPr>
        <w:t xml:space="preserve"> but it</w:t>
      </w:r>
      <w:r w:rsidR="00674419" w:rsidRPr="004737C5">
        <w:rPr>
          <w:rFonts w:cstheme="minorHAnsi"/>
        </w:rPr>
        <w:t xml:space="preserve"> is important to note that the i</w:t>
      </w:r>
      <w:r w:rsidRPr="004737C5">
        <w:rPr>
          <w:rFonts w:cstheme="minorHAnsi"/>
        </w:rPr>
        <w:t>nternet has fac</w:t>
      </w:r>
      <w:r w:rsidR="00674419" w:rsidRPr="004737C5">
        <w:rPr>
          <w:rFonts w:cstheme="minorHAnsi"/>
        </w:rPr>
        <w:t>ilitated the emergence of the “sharing economy”</w:t>
      </w:r>
      <w:r w:rsidRPr="004737C5">
        <w:rPr>
          <w:rFonts w:cstheme="minorHAnsi"/>
        </w:rPr>
        <w:t xml:space="preserve"> where many paying transactions now occur between two consumers (C2C). E-commerce online auction giant eBay</w:t>
      </w:r>
      <w:r w:rsidRPr="004737C5">
        <w:rPr>
          <w:rStyle w:val="FootnoteReference"/>
          <w:rFonts w:cstheme="minorHAnsi"/>
        </w:rPr>
        <w:footnoteReference w:id="210"/>
      </w:r>
      <w:r w:rsidRPr="004737C5">
        <w:rPr>
          <w:rFonts w:cstheme="minorHAnsi"/>
        </w:rPr>
        <w:t xml:space="preserve"> was a precursor in this area but platforms such as Airbnb and Uber are making notable progress in recent years alongside platforms such as the Google App store or the </w:t>
      </w:r>
      <w:r w:rsidR="00674419" w:rsidRPr="004737C5">
        <w:rPr>
          <w:rFonts w:cstheme="minorHAnsi"/>
        </w:rPr>
        <w:t>Apple A</w:t>
      </w:r>
      <w:r w:rsidRPr="004737C5">
        <w:rPr>
          <w:rFonts w:cstheme="minorHAnsi"/>
        </w:rPr>
        <w:t>pp store.</w:t>
      </w:r>
      <w:r w:rsidRPr="004737C5">
        <w:rPr>
          <w:rStyle w:val="FootnoteReference"/>
          <w:rFonts w:cstheme="minorHAnsi"/>
        </w:rPr>
        <w:footnoteReference w:id="211"/>
      </w:r>
      <w:r w:rsidRPr="004737C5">
        <w:rPr>
          <w:rFonts w:cstheme="minorHAnsi"/>
        </w:rPr>
        <w:t xml:space="preserve"> Platforms also facilitate business-to-business (B2B) as well as B2C transactions, blurring the lines between al</w:t>
      </w:r>
      <w:r w:rsidR="00674419" w:rsidRPr="004737C5">
        <w:rPr>
          <w:rFonts w:cstheme="minorHAnsi"/>
        </w:rPr>
        <w:t>l forms of e-commerce. Peer-to-</w:t>
      </w:r>
      <w:r w:rsidRPr="004737C5">
        <w:rPr>
          <w:rFonts w:cstheme="minorHAnsi"/>
        </w:rPr>
        <w:t>pe</w:t>
      </w:r>
      <w:r w:rsidR="00674419" w:rsidRPr="004737C5">
        <w:rPr>
          <w:rFonts w:cstheme="minorHAnsi"/>
        </w:rPr>
        <w:t>er loans are also developing on</w:t>
      </w:r>
      <w:r w:rsidRPr="004737C5">
        <w:rPr>
          <w:rFonts w:cstheme="minorHAnsi"/>
        </w:rPr>
        <w:t xml:space="preserve">line and regulation is under development under several jurisdictions. </w:t>
      </w:r>
    </w:p>
    <w:p w14:paraId="783AEAC0" w14:textId="77777777" w:rsidR="00BE71E3" w:rsidRPr="004737C5" w:rsidRDefault="00BE71E3" w:rsidP="006D3BE8">
      <w:pPr>
        <w:rPr>
          <w:rFonts w:cstheme="minorHAnsi"/>
        </w:rPr>
      </w:pPr>
      <w:r w:rsidRPr="004737C5">
        <w:rPr>
          <w:rFonts w:cstheme="minorHAnsi"/>
        </w:rPr>
        <w:t xml:space="preserve">Precise estimates vary, but the percentage of </w:t>
      </w:r>
      <w:r w:rsidR="009F7AEF" w:rsidRPr="004737C5">
        <w:rPr>
          <w:rFonts w:cstheme="minorHAnsi"/>
        </w:rPr>
        <w:t xml:space="preserve">the </w:t>
      </w:r>
      <w:r w:rsidRPr="004737C5">
        <w:rPr>
          <w:rFonts w:cstheme="minorHAnsi"/>
        </w:rPr>
        <w:t>world</w:t>
      </w:r>
      <w:r w:rsidR="009F7AEF" w:rsidRPr="004737C5">
        <w:rPr>
          <w:rFonts w:cstheme="minorHAnsi"/>
        </w:rPr>
        <w:t>’s population with access to the internet has grown from 1 percent in 1995 to over 40 percent by 2015.</w:t>
      </w:r>
      <w:r w:rsidRPr="004737C5">
        <w:rPr>
          <w:rFonts w:cstheme="minorHAnsi"/>
        </w:rPr>
        <w:t xml:space="preserve"> The number of Internet users increased tenfold from 1999 to 2013. The first billion was reached in 2005, the second billion in 2010 and the third billion in 2014.  </w:t>
      </w:r>
      <w:r w:rsidR="009F7AEF" w:rsidRPr="004737C5">
        <w:rPr>
          <w:rFonts w:cstheme="minorHAnsi"/>
        </w:rPr>
        <w:t>C</w:t>
      </w:r>
      <w:r w:rsidRPr="004737C5">
        <w:rPr>
          <w:rFonts w:cstheme="minorHAnsi"/>
        </w:rPr>
        <w:t xml:space="preserve">hart </w:t>
      </w:r>
      <w:r w:rsidR="009F7AEF" w:rsidRPr="004737C5">
        <w:rPr>
          <w:rFonts w:cstheme="minorHAnsi"/>
        </w:rPr>
        <w:t>1 shows the number of global i</w:t>
      </w:r>
      <w:r w:rsidRPr="004737C5">
        <w:rPr>
          <w:rFonts w:cstheme="minorHAnsi"/>
        </w:rPr>
        <w:t>nt</w:t>
      </w:r>
      <w:r w:rsidR="009F7AEF" w:rsidRPr="004737C5">
        <w:rPr>
          <w:rFonts w:cstheme="minorHAnsi"/>
        </w:rPr>
        <w:t>ernet users per year since 1993.</w:t>
      </w:r>
      <w:r w:rsidRPr="004737C5">
        <w:rPr>
          <w:rFonts w:cstheme="minorHAnsi"/>
          <w:vertAlign w:val="superscript"/>
        </w:rPr>
        <w:footnoteReference w:id="212"/>
      </w:r>
    </w:p>
    <w:p w14:paraId="074CB90C" w14:textId="77777777" w:rsidR="009F7AEF" w:rsidRPr="004737C5" w:rsidRDefault="009F7AEF" w:rsidP="006D3BE8">
      <w:pPr>
        <w:rPr>
          <w:rFonts w:cstheme="minorHAnsi"/>
          <w:b/>
        </w:rPr>
      </w:pPr>
      <w:r w:rsidRPr="004737C5">
        <w:rPr>
          <w:rFonts w:cstheme="minorHAnsi"/>
          <w:b/>
        </w:rPr>
        <w:t>Chart 1. Internet users in the world</w:t>
      </w:r>
    </w:p>
    <w:p w14:paraId="2563A70D" w14:textId="77777777" w:rsidR="00BE71E3" w:rsidRPr="004737C5" w:rsidRDefault="00BE71E3" w:rsidP="006D3BE8">
      <w:pPr>
        <w:rPr>
          <w:rFonts w:cstheme="minorHAnsi"/>
        </w:rPr>
      </w:pPr>
      <w:r w:rsidRPr="004737C5">
        <w:rPr>
          <w:rFonts w:cstheme="minorHAnsi"/>
          <w:noProof/>
          <w:lang w:eastAsia="zh-CN"/>
        </w:rPr>
        <w:drawing>
          <wp:inline distT="0" distB="0" distL="0" distR="0" wp14:anchorId="03BC2944" wp14:editId="6487CE1F">
            <wp:extent cx="5476875" cy="35909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76875" cy="3590925"/>
                    </a:xfrm>
                    <a:prstGeom prst="rect">
                      <a:avLst/>
                    </a:prstGeom>
                    <a:noFill/>
                    <a:ln w="9525">
                      <a:noFill/>
                      <a:miter lim="800000"/>
                      <a:headEnd/>
                      <a:tailEnd/>
                    </a:ln>
                  </pic:spPr>
                </pic:pic>
              </a:graphicData>
            </a:graphic>
          </wp:inline>
        </w:drawing>
      </w:r>
    </w:p>
    <w:p w14:paraId="7B0C5F35" w14:textId="77777777" w:rsidR="00BE71E3" w:rsidRPr="004737C5" w:rsidRDefault="00BE71E3" w:rsidP="006D3BE8">
      <w:pPr>
        <w:rPr>
          <w:rFonts w:cstheme="minorHAnsi"/>
          <w:iCs/>
          <w:sz w:val="20"/>
          <w:szCs w:val="20"/>
        </w:rPr>
      </w:pPr>
      <w:r w:rsidRPr="004737C5">
        <w:rPr>
          <w:rFonts w:cstheme="minorHAnsi"/>
          <w:i/>
          <w:iCs/>
          <w:sz w:val="20"/>
          <w:szCs w:val="20"/>
        </w:rPr>
        <w:t>Source</w:t>
      </w:r>
      <w:r w:rsidRPr="004737C5">
        <w:rPr>
          <w:rFonts w:cstheme="minorHAnsi"/>
          <w:iCs/>
          <w:sz w:val="20"/>
          <w:szCs w:val="20"/>
        </w:rPr>
        <w:t xml:space="preserve">: Internet live stats: </w:t>
      </w:r>
      <w:hyperlink r:id="rId17" w:history="1">
        <w:r w:rsidR="009F7AEF" w:rsidRPr="004737C5">
          <w:rPr>
            <w:rStyle w:val="Hyperlink"/>
            <w:rFonts w:cstheme="minorHAnsi"/>
            <w:sz w:val="20"/>
            <w:szCs w:val="20"/>
          </w:rPr>
          <w:t>http://www.internetlivestats.com/internet-users/</w:t>
        </w:r>
      </w:hyperlink>
      <w:r w:rsidR="009F7AEF" w:rsidRPr="004737C5">
        <w:rPr>
          <w:rFonts w:cstheme="minorHAnsi"/>
          <w:iCs/>
          <w:sz w:val="20"/>
          <w:szCs w:val="20"/>
        </w:rPr>
        <w:t xml:space="preserve"> </w:t>
      </w:r>
      <w:r w:rsidRPr="004737C5">
        <w:rPr>
          <w:rFonts w:cstheme="minorHAnsi"/>
          <w:iCs/>
          <w:sz w:val="20"/>
          <w:szCs w:val="20"/>
        </w:rPr>
        <w:t xml:space="preserve"> </w:t>
      </w:r>
    </w:p>
    <w:p w14:paraId="24AD6B04" w14:textId="77777777" w:rsidR="00BE71E3" w:rsidRPr="004737C5" w:rsidRDefault="00BE71E3" w:rsidP="006D3BE8">
      <w:pPr>
        <w:tabs>
          <w:tab w:val="left" w:pos="6804"/>
        </w:tabs>
        <w:rPr>
          <w:rFonts w:cstheme="minorHAnsi"/>
        </w:rPr>
      </w:pPr>
      <w:r w:rsidRPr="004737C5">
        <w:rPr>
          <w:rFonts w:cstheme="minorHAnsi"/>
        </w:rPr>
        <w:t>Such increases in the number of peo</w:t>
      </w:r>
      <w:r w:rsidR="009F7AEF" w:rsidRPr="004737C5">
        <w:rPr>
          <w:rFonts w:cstheme="minorHAnsi"/>
        </w:rPr>
        <w:t>ple being able to access the i</w:t>
      </w:r>
      <w:r w:rsidRPr="004737C5">
        <w:rPr>
          <w:rFonts w:cstheme="minorHAnsi"/>
        </w:rPr>
        <w:t>nternet has contributed to the development of e-commerce</w:t>
      </w:r>
      <w:r w:rsidR="009F7AEF" w:rsidRPr="004737C5">
        <w:rPr>
          <w:rFonts w:cstheme="minorHAnsi"/>
        </w:rPr>
        <w:t xml:space="preserve">, although </w:t>
      </w:r>
      <w:r w:rsidRPr="004737C5">
        <w:rPr>
          <w:rFonts w:cstheme="minorHAnsi"/>
        </w:rPr>
        <w:t xml:space="preserve">the two </w:t>
      </w:r>
      <w:r w:rsidR="009F7AEF" w:rsidRPr="004737C5">
        <w:rPr>
          <w:rFonts w:cstheme="minorHAnsi"/>
        </w:rPr>
        <w:t xml:space="preserve">of course </w:t>
      </w:r>
      <w:r w:rsidRPr="004737C5">
        <w:rPr>
          <w:rFonts w:cstheme="minorHAnsi"/>
        </w:rPr>
        <w:t>are not identical. According to UNCTAD</w:t>
      </w:r>
      <w:r w:rsidR="009F7AEF" w:rsidRPr="004737C5">
        <w:rPr>
          <w:rFonts w:cstheme="minorHAnsi"/>
        </w:rPr>
        <w:t>’s</w:t>
      </w:r>
      <w:r w:rsidRPr="004737C5">
        <w:rPr>
          <w:rFonts w:cstheme="minorHAnsi"/>
        </w:rPr>
        <w:t xml:space="preserve"> Information Economy Report 2015,</w:t>
      </w:r>
      <w:r w:rsidRPr="004737C5">
        <w:rPr>
          <w:rStyle w:val="FootnoteReference"/>
          <w:rFonts w:cstheme="minorHAnsi"/>
        </w:rPr>
        <w:footnoteReference w:id="213"/>
      </w:r>
      <w:r w:rsidRPr="004737C5">
        <w:rPr>
          <w:rFonts w:cstheme="minorHAnsi"/>
        </w:rPr>
        <w:t xml:space="preserve"> B2C e-commerce is forecast to double from US$ 1.2 trillion in 2013 to US$ 2.4 trillion in 2018. The fastest growth is expected in the Asia and Oceania region, the market share o</w:t>
      </w:r>
      <w:r w:rsidR="009F7AEF" w:rsidRPr="004737C5">
        <w:rPr>
          <w:rFonts w:cstheme="minorHAnsi"/>
        </w:rPr>
        <w:t>f which is set to grow from 28 percent to 37 percent</w:t>
      </w:r>
      <w:r w:rsidRPr="004737C5">
        <w:rPr>
          <w:rFonts w:cstheme="minorHAnsi"/>
        </w:rPr>
        <w:t xml:space="preserve">. The only other region that is </w:t>
      </w:r>
      <w:r w:rsidRPr="004737C5">
        <w:rPr>
          <w:rFonts w:cstheme="minorHAnsi"/>
        </w:rPr>
        <w:lastRenderedPageBreak/>
        <w:t>forecast to increase its share of the global marke</w:t>
      </w:r>
      <w:r w:rsidR="009F7AEF" w:rsidRPr="004737C5">
        <w:rPr>
          <w:rFonts w:cstheme="minorHAnsi"/>
        </w:rPr>
        <w:t>t is the Middle East and Africa,</w:t>
      </w:r>
      <w:r w:rsidRPr="004737C5">
        <w:rPr>
          <w:rFonts w:cstheme="minorHAnsi"/>
        </w:rPr>
        <w:t xml:space="preserve"> </w:t>
      </w:r>
      <w:r w:rsidR="009F7AEF" w:rsidRPr="004737C5">
        <w:rPr>
          <w:rFonts w:cstheme="minorHAnsi"/>
        </w:rPr>
        <w:t>from 2.2 percent to 2.5 percent</w:t>
      </w:r>
      <w:r w:rsidRPr="004737C5">
        <w:rPr>
          <w:rFonts w:cstheme="minorHAnsi"/>
        </w:rPr>
        <w:t>. Conversely, the combined share of Western Europe and North Ameri</w:t>
      </w:r>
      <w:r w:rsidR="009F7AEF" w:rsidRPr="004737C5">
        <w:rPr>
          <w:rFonts w:cstheme="minorHAnsi"/>
        </w:rPr>
        <w:t>ca is expected to fall from 61 percent to 53 percent. It is reported that 40 percent of worldwide i</w:t>
      </w:r>
      <w:r w:rsidRPr="004737C5">
        <w:rPr>
          <w:rFonts w:cstheme="minorHAnsi"/>
        </w:rPr>
        <w:t>nternet users (over 1 billion people) have bought goods or services online via a variety of platforms and devices.</w:t>
      </w:r>
      <w:r w:rsidRPr="004737C5">
        <w:rPr>
          <w:rStyle w:val="FootnoteReference"/>
          <w:rFonts w:cstheme="minorHAnsi"/>
        </w:rPr>
        <w:footnoteReference w:id="214"/>
      </w:r>
      <w:r w:rsidR="009F7AEF" w:rsidRPr="004737C5">
        <w:rPr>
          <w:rFonts w:cstheme="minorHAnsi"/>
        </w:rPr>
        <w:t xml:space="preserve"> The</w:t>
      </w:r>
      <w:r w:rsidRPr="004737C5">
        <w:rPr>
          <w:rFonts w:cstheme="minorHAnsi"/>
        </w:rPr>
        <w:t xml:space="preserve">se figures are set to continue to grow as mobile commerce develops and reliable digital payment systems become more accessible. </w:t>
      </w:r>
    </w:p>
    <w:p w14:paraId="2BEF4E8C" w14:textId="5590F46B" w:rsidR="00BE71E3" w:rsidRPr="004737C5" w:rsidRDefault="009F7AEF" w:rsidP="006D3BE8">
      <w:pPr>
        <w:rPr>
          <w:rFonts w:cstheme="minorHAnsi"/>
        </w:rPr>
      </w:pPr>
      <w:r w:rsidRPr="004737C5">
        <w:rPr>
          <w:rFonts w:cstheme="minorHAnsi"/>
        </w:rPr>
        <w:t>T</w:t>
      </w:r>
      <w:r w:rsidR="00BE71E3" w:rsidRPr="004737C5">
        <w:rPr>
          <w:rFonts w:cstheme="minorHAnsi"/>
        </w:rPr>
        <w:t xml:space="preserve">able </w:t>
      </w:r>
      <w:r w:rsidRPr="004737C5">
        <w:rPr>
          <w:rFonts w:cstheme="minorHAnsi"/>
        </w:rPr>
        <w:t xml:space="preserve">1 </w:t>
      </w:r>
      <w:r w:rsidR="00BE71E3" w:rsidRPr="004737C5">
        <w:rPr>
          <w:rFonts w:cstheme="minorHAnsi"/>
        </w:rPr>
        <w:t xml:space="preserve">suggests that the annual rate of increase is starting to diminish. In other words, while volumes continue to rise, the rate at which they are doing so is moderating, in the same way as the rate of uptake of mobile phones is now approaching a plateau. Nevertheless, there is still plenty of upward </w:t>
      </w:r>
      <w:r w:rsidR="004737C5" w:rsidRPr="004737C5">
        <w:rPr>
          <w:rFonts w:cstheme="minorHAnsi"/>
        </w:rPr>
        <w:t>trends</w:t>
      </w:r>
      <w:r w:rsidR="00BE71E3" w:rsidRPr="004737C5">
        <w:rPr>
          <w:rFonts w:cstheme="minorHAnsi"/>
        </w:rPr>
        <w:t xml:space="preserve"> left in this market. For example, on</w:t>
      </w:r>
      <w:r w:rsidRPr="004737C5">
        <w:rPr>
          <w:rFonts w:cstheme="minorHAnsi"/>
        </w:rPr>
        <w:t>ly 32 percent</w:t>
      </w:r>
      <w:r w:rsidR="00BE71E3" w:rsidRPr="004737C5">
        <w:rPr>
          <w:rFonts w:cstheme="minorHAnsi"/>
        </w:rPr>
        <w:t xml:space="preserve"> of customers place a second order in</w:t>
      </w:r>
      <w:r w:rsidRPr="004737C5">
        <w:rPr>
          <w:rFonts w:cstheme="minorHAnsi"/>
        </w:rPr>
        <w:t xml:space="preserve"> their first year as a customer. F</w:t>
      </w:r>
      <w:r w:rsidR="00BE71E3" w:rsidRPr="004737C5">
        <w:rPr>
          <w:rFonts w:cstheme="minorHAnsi"/>
        </w:rPr>
        <w:t xml:space="preserve">amiliarity </w:t>
      </w:r>
      <w:r w:rsidRPr="004737C5">
        <w:rPr>
          <w:rFonts w:cstheme="minorHAnsi"/>
        </w:rPr>
        <w:t>is expected to</w:t>
      </w:r>
      <w:r w:rsidR="00BE71E3" w:rsidRPr="004737C5">
        <w:rPr>
          <w:rFonts w:cstheme="minorHAnsi"/>
        </w:rPr>
        <w:t xml:space="preserve"> generate further business.</w:t>
      </w:r>
      <w:r w:rsidR="00BE71E3" w:rsidRPr="004737C5">
        <w:rPr>
          <w:rFonts w:cstheme="minorHAnsi"/>
          <w:vertAlign w:val="superscript"/>
        </w:rPr>
        <w:footnoteReference w:id="215"/>
      </w:r>
    </w:p>
    <w:p w14:paraId="16A51F63" w14:textId="77777777" w:rsidR="009F7AEF" w:rsidRPr="004737C5" w:rsidRDefault="009F7AEF" w:rsidP="006D3BE8">
      <w:pPr>
        <w:rPr>
          <w:rFonts w:cstheme="minorHAnsi"/>
          <w:b/>
        </w:rPr>
      </w:pPr>
      <w:r w:rsidRPr="004737C5">
        <w:rPr>
          <w:rFonts w:cstheme="minorHAnsi"/>
          <w:b/>
        </w:rPr>
        <w:t>Table 1. B2C Economic sales worldwide, 2012-2017</w:t>
      </w:r>
    </w:p>
    <w:p w14:paraId="57B1DA3A" w14:textId="77777777" w:rsidR="00BE71E3" w:rsidRPr="004737C5" w:rsidRDefault="00BE71E3" w:rsidP="006D3BE8">
      <w:pPr>
        <w:rPr>
          <w:rFonts w:cstheme="minorHAnsi"/>
        </w:rPr>
      </w:pPr>
      <w:r w:rsidRPr="004737C5">
        <w:rPr>
          <w:rFonts w:cstheme="minorHAnsi"/>
          <w:noProof/>
          <w:lang w:eastAsia="zh-CN"/>
        </w:rPr>
        <w:drawing>
          <wp:inline distT="0" distB="0" distL="0" distR="0" wp14:anchorId="48FB72D9" wp14:editId="7171C4C6">
            <wp:extent cx="3095625" cy="3019425"/>
            <wp:effectExtent l="19050" t="0" r="9525" b="0"/>
            <wp:docPr id="8" name="Picture 8" descr="B2C Ecommerce Sales Worldwide, 2012-2017 (trillions and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C Ecommerce Sales Worldwide, 2012-2017 (trillions and % change)"/>
                    <pic:cNvPicPr>
                      <a:picLocks noChangeAspect="1" noChangeArrowheads="1"/>
                    </pic:cNvPicPr>
                  </pic:nvPicPr>
                  <pic:blipFill>
                    <a:blip r:embed="rId18" cstate="print"/>
                    <a:srcRect/>
                    <a:stretch>
                      <a:fillRect/>
                    </a:stretch>
                  </pic:blipFill>
                  <pic:spPr bwMode="auto">
                    <a:xfrm>
                      <a:off x="0" y="0"/>
                      <a:ext cx="3095625" cy="3019425"/>
                    </a:xfrm>
                    <a:prstGeom prst="rect">
                      <a:avLst/>
                    </a:prstGeom>
                    <a:noFill/>
                    <a:ln w="9525">
                      <a:noFill/>
                      <a:miter lim="800000"/>
                      <a:headEnd/>
                      <a:tailEnd/>
                    </a:ln>
                  </pic:spPr>
                </pic:pic>
              </a:graphicData>
            </a:graphic>
          </wp:inline>
        </w:drawing>
      </w:r>
    </w:p>
    <w:p w14:paraId="5D0DC4ED" w14:textId="77777777" w:rsidR="00BE71E3" w:rsidRPr="004737C5" w:rsidRDefault="009F7AEF" w:rsidP="006D3BE8">
      <w:pPr>
        <w:rPr>
          <w:rFonts w:cstheme="minorHAnsi"/>
          <w:sz w:val="20"/>
          <w:szCs w:val="20"/>
        </w:rPr>
      </w:pPr>
      <w:r w:rsidRPr="004737C5">
        <w:rPr>
          <w:rFonts w:cstheme="minorHAnsi"/>
          <w:i/>
          <w:sz w:val="20"/>
          <w:szCs w:val="20"/>
        </w:rPr>
        <w:t>Source</w:t>
      </w:r>
      <w:r w:rsidRPr="004737C5">
        <w:rPr>
          <w:rFonts w:cstheme="minorHAnsi"/>
          <w:sz w:val="20"/>
          <w:szCs w:val="20"/>
        </w:rPr>
        <w:t>:</w:t>
      </w:r>
      <w:r w:rsidR="00103B40" w:rsidRPr="004737C5">
        <w:rPr>
          <w:sz w:val="20"/>
          <w:szCs w:val="20"/>
        </w:rPr>
        <w:t xml:space="preserve"> eMarketer.com</w:t>
      </w:r>
    </w:p>
    <w:p w14:paraId="74489A7A" w14:textId="77777777" w:rsidR="00BE71E3" w:rsidRPr="004737C5" w:rsidRDefault="00BE71E3" w:rsidP="006D3BE8">
      <w:pPr>
        <w:rPr>
          <w:rFonts w:cstheme="minorHAnsi"/>
        </w:rPr>
      </w:pPr>
      <w:r w:rsidRPr="004737C5">
        <w:rPr>
          <w:rFonts w:cstheme="minorHAnsi"/>
        </w:rPr>
        <w:t>According to the Internation</w:t>
      </w:r>
      <w:r w:rsidR="009F7AEF" w:rsidRPr="004737C5">
        <w:rPr>
          <w:rFonts w:cstheme="minorHAnsi"/>
        </w:rPr>
        <w:t>al Telecommunications Union (ITU</w:t>
      </w:r>
      <w:r w:rsidRPr="004737C5">
        <w:rPr>
          <w:rFonts w:cstheme="minorHAnsi"/>
        </w:rPr>
        <w:t>)</w:t>
      </w:r>
      <w:r w:rsidR="009F7AEF" w:rsidRPr="004737C5">
        <w:rPr>
          <w:rFonts w:cstheme="minorHAnsi"/>
        </w:rPr>
        <w:t>, between 2000 and 2015 i</w:t>
      </w:r>
      <w:r w:rsidRPr="004737C5">
        <w:rPr>
          <w:rFonts w:cstheme="minorHAnsi"/>
        </w:rPr>
        <w:t>nternet penetration increased almost</w:t>
      </w:r>
      <w:r w:rsidR="009F7AEF" w:rsidRPr="004737C5">
        <w:rPr>
          <w:rFonts w:cstheme="minorHAnsi"/>
        </w:rPr>
        <w:t xml:space="preserve"> seven</w:t>
      </w:r>
      <w:r w:rsidRPr="004737C5">
        <w:rPr>
          <w:rFonts w:cstheme="minorHAnsi"/>
        </w:rPr>
        <w:t xml:space="preserve">fold from 6.5 </w:t>
      </w:r>
      <w:r w:rsidR="009F7AEF" w:rsidRPr="004737C5">
        <w:rPr>
          <w:rFonts w:cstheme="minorHAnsi"/>
        </w:rPr>
        <w:t>percent to 43 percent</w:t>
      </w:r>
      <w:r w:rsidRPr="004737C5">
        <w:rPr>
          <w:rFonts w:cstheme="minorHAnsi"/>
        </w:rPr>
        <w:t xml:space="preserve"> of the global population.</w:t>
      </w:r>
      <w:r w:rsidRPr="004737C5">
        <w:rPr>
          <w:rStyle w:val="FootnoteReference"/>
          <w:rFonts w:cstheme="minorHAnsi"/>
        </w:rPr>
        <w:footnoteReference w:id="216"/>
      </w:r>
      <w:r w:rsidRPr="004737C5">
        <w:rPr>
          <w:rFonts w:cstheme="minorHAnsi"/>
        </w:rPr>
        <w:t xml:space="preserve"> However, ITU figures also indicate that four billion people in the developing world remain offline. Out of the nearly one billion people living in Least Developed Countries (LDCs), 851 million do </w:t>
      </w:r>
      <w:r w:rsidR="009F7AEF" w:rsidRPr="004737C5">
        <w:rPr>
          <w:rFonts w:cstheme="minorHAnsi"/>
        </w:rPr>
        <w:t xml:space="preserve">not use the internet. </w:t>
      </w:r>
      <w:r w:rsidRPr="004737C5">
        <w:rPr>
          <w:rFonts w:cstheme="minorHAnsi"/>
        </w:rPr>
        <w:t>In Africa</w:t>
      </w:r>
      <w:r w:rsidR="009F7AEF" w:rsidRPr="004737C5">
        <w:rPr>
          <w:rFonts w:cstheme="minorHAnsi"/>
        </w:rPr>
        <w:t>,</w:t>
      </w:r>
      <w:r w:rsidRPr="004737C5">
        <w:rPr>
          <w:rFonts w:cstheme="minorHAnsi"/>
        </w:rPr>
        <w:t xml:space="preserve"> 28.6</w:t>
      </w:r>
      <w:r w:rsidR="009F7AEF" w:rsidRPr="004737C5">
        <w:rPr>
          <w:rFonts w:cstheme="minorHAnsi"/>
        </w:rPr>
        <w:t xml:space="preserve"> percent </w:t>
      </w:r>
      <w:r w:rsidRPr="004737C5">
        <w:rPr>
          <w:rFonts w:cstheme="minorHAnsi"/>
        </w:rPr>
        <w:t xml:space="preserve">of the population now </w:t>
      </w:r>
      <w:r w:rsidR="009F7AEF" w:rsidRPr="004737C5">
        <w:rPr>
          <w:rFonts w:cstheme="minorHAnsi"/>
        </w:rPr>
        <w:t>has access to the i</w:t>
      </w:r>
      <w:r w:rsidRPr="004737C5">
        <w:rPr>
          <w:rFonts w:cstheme="minorHAnsi"/>
        </w:rPr>
        <w:t>nternet, an increase of over 7,000</w:t>
      </w:r>
      <w:r w:rsidR="009F7AEF" w:rsidRPr="004737C5">
        <w:rPr>
          <w:rFonts w:cstheme="minorHAnsi"/>
        </w:rPr>
        <w:t xml:space="preserve"> percent in the period 2000‒</w:t>
      </w:r>
      <w:r w:rsidRPr="004737C5">
        <w:rPr>
          <w:rFonts w:cstheme="minorHAnsi"/>
        </w:rPr>
        <w:t>2015. Asia’s penetrati</w:t>
      </w:r>
      <w:r w:rsidR="009F7AEF" w:rsidRPr="004737C5">
        <w:rPr>
          <w:rFonts w:cstheme="minorHAnsi"/>
        </w:rPr>
        <w:t>on rate increased by over 1,000 percent</w:t>
      </w:r>
      <w:r w:rsidRPr="004737C5">
        <w:rPr>
          <w:rFonts w:cstheme="minorHAnsi"/>
        </w:rPr>
        <w:t xml:space="preserve"> over the same period and Asian users now represent nearly half of the worldwide population </w:t>
      </w:r>
      <w:r w:rsidR="009F7AEF" w:rsidRPr="004737C5">
        <w:rPr>
          <w:rFonts w:cstheme="minorHAnsi"/>
        </w:rPr>
        <w:t>with access to the i</w:t>
      </w:r>
      <w:r w:rsidRPr="004737C5">
        <w:rPr>
          <w:rFonts w:cstheme="minorHAnsi"/>
        </w:rPr>
        <w:t>nternet. Other regions have also witnessed exponential growth in penetration rates.</w:t>
      </w:r>
      <w:r w:rsidRPr="004737C5">
        <w:rPr>
          <w:rStyle w:val="FootnoteReference"/>
          <w:rFonts w:cstheme="minorHAnsi"/>
        </w:rPr>
        <w:footnoteReference w:id="217"/>
      </w:r>
      <w:r w:rsidRPr="004737C5">
        <w:rPr>
          <w:rFonts w:cstheme="minorHAnsi"/>
        </w:rPr>
        <w:t xml:space="preserve">  For e</w:t>
      </w:r>
      <w:r w:rsidR="009F7AEF" w:rsidRPr="004737C5">
        <w:rPr>
          <w:rFonts w:cstheme="minorHAnsi"/>
        </w:rPr>
        <w:t>xample, in one year alone (2010‒</w:t>
      </w:r>
      <w:r w:rsidRPr="004737C5">
        <w:rPr>
          <w:rFonts w:cstheme="minorHAnsi"/>
        </w:rPr>
        <w:t>2011)</w:t>
      </w:r>
      <w:r w:rsidR="009F7AEF" w:rsidRPr="004737C5">
        <w:rPr>
          <w:rFonts w:cstheme="minorHAnsi"/>
        </w:rPr>
        <w:t xml:space="preserve">, Brazil saw an increase of 26 </w:t>
      </w:r>
      <w:r w:rsidR="009F7AEF" w:rsidRPr="004737C5">
        <w:rPr>
          <w:rFonts w:cstheme="minorHAnsi"/>
        </w:rPr>
        <w:lastRenderedPageBreak/>
        <w:t>percent</w:t>
      </w:r>
      <w:r w:rsidRPr="004737C5">
        <w:rPr>
          <w:rFonts w:cstheme="minorHAnsi"/>
        </w:rPr>
        <w:t xml:space="preserve"> in the value of online sales, while China saw an i</w:t>
      </w:r>
      <w:r w:rsidR="009F7AEF" w:rsidRPr="004737C5">
        <w:rPr>
          <w:rFonts w:cstheme="minorHAnsi"/>
        </w:rPr>
        <w:t>ncrease of 500 percent</w:t>
      </w:r>
      <w:r w:rsidRPr="004737C5">
        <w:rPr>
          <w:rFonts w:cstheme="minorHAnsi"/>
        </w:rPr>
        <w:t xml:space="preserve"> between 2008 and 2011.</w:t>
      </w:r>
      <w:r w:rsidRPr="004737C5">
        <w:rPr>
          <w:rStyle w:val="FootnoteReference"/>
          <w:rFonts w:cstheme="minorHAnsi"/>
        </w:rPr>
        <w:footnoteReference w:id="218"/>
      </w:r>
      <w:r w:rsidRPr="004737C5">
        <w:rPr>
          <w:rFonts w:cstheme="minorHAnsi"/>
        </w:rPr>
        <w:t xml:space="preserve"> </w:t>
      </w:r>
    </w:p>
    <w:p w14:paraId="205B271E" w14:textId="77777777" w:rsidR="00BE71E3" w:rsidRPr="004737C5" w:rsidRDefault="00BE71E3" w:rsidP="006D3BE8">
      <w:pPr>
        <w:rPr>
          <w:rFonts w:cstheme="minorHAnsi"/>
        </w:rPr>
      </w:pPr>
      <w:r w:rsidRPr="004737C5">
        <w:rPr>
          <w:rFonts w:cstheme="minorHAnsi"/>
        </w:rPr>
        <w:t xml:space="preserve">Clearly, such spectacular trends </w:t>
      </w:r>
      <w:r w:rsidR="00103B40" w:rsidRPr="004737C5">
        <w:rPr>
          <w:rFonts w:cstheme="minorHAnsi"/>
        </w:rPr>
        <w:t>invite</w:t>
      </w:r>
      <w:r w:rsidRPr="004737C5">
        <w:rPr>
          <w:rFonts w:cstheme="minorHAnsi"/>
        </w:rPr>
        <w:t xml:space="preserve"> </w:t>
      </w:r>
      <w:r w:rsidR="00103B40" w:rsidRPr="004737C5">
        <w:rPr>
          <w:rFonts w:cstheme="minorHAnsi"/>
        </w:rPr>
        <w:t>assessment</w:t>
      </w:r>
      <w:r w:rsidRPr="004737C5">
        <w:rPr>
          <w:rFonts w:cstheme="minorHAnsi"/>
        </w:rPr>
        <w:t xml:space="preserve">. </w:t>
      </w:r>
      <w:r w:rsidR="000831DA" w:rsidRPr="004737C5">
        <w:rPr>
          <w:rFonts w:cstheme="minorHAnsi"/>
        </w:rPr>
        <w:t xml:space="preserve">In 2015 </w:t>
      </w:r>
      <w:r w:rsidRPr="004737C5">
        <w:rPr>
          <w:rFonts w:cstheme="minorHAnsi"/>
        </w:rPr>
        <w:t xml:space="preserve">UNCTAD launched </w:t>
      </w:r>
      <w:r w:rsidR="000831DA" w:rsidRPr="004737C5">
        <w:rPr>
          <w:rFonts w:cstheme="minorHAnsi"/>
        </w:rPr>
        <w:t>a B2C e-commerce i</w:t>
      </w:r>
      <w:r w:rsidRPr="004737C5">
        <w:rPr>
          <w:rFonts w:cstheme="minorHAnsi"/>
        </w:rPr>
        <w:t xml:space="preserve">ndex that explains the variations between countries. It is not </w:t>
      </w:r>
      <w:r w:rsidR="000831DA" w:rsidRPr="004737C5">
        <w:rPr>
          <w:rFonts w:cstheme="minorHAnsi"/>
        </w:rPr>
        <w:t>just a matter of access to the i</w:t>
      </w:r>
      <w:r w:rsidRPr="004737C5">
        <w:rPr>
          <w:rFonts w:cstheme="minorHAnsi"/>
        </w:rPr>
        <w:t>nternet, but a matter of all-r</w:t>
      </w:r>
      <w:r w:rsidR="000831DA" w:rsidRPr="004737C5">
        <w:rPr>
          <w:rFonts w:cstheme="minorHAnsi"/>
        </w:rPr>
        <w:t>ound readiness, setting the pre</w:t>
      </w:r>
      <w:r w:rsidRPr="004737C5">
        <w:rPr>
          <w:rFonts w:cstheme="minorHAnsi"/>
        </w:rPr>
        <w:t xml:space="preserve">conditions for </w:t>
      </w:r>
      <w:r w:rsidR="00103B40" w:rsidRPr="004737C5">
        <w:rPr>
          <w:rFonts w:cstheme="minorHAnsi"/>
        </w:rPr>
        <w:t xml:space="preserve">the </w:t>
      </w:r>
      <w:r w:rsidRPr="004737C5">
        <w:rPr>
          <w:rFonts w:cstheme="minorHAnsi"/>
        </w:rPr>
        <w:t>development</w:t>
      </w:r>
      <w:r w:rsidR="00103B40" w:rsidRPr="004737C5">
        <w:rPr>
          <w:rFonts w:cstheme="minorHAnsi"/>
        </w:rPr>
        <w:t xml:space="preserve"> of e-commerce</w:t>
      </w:r>
      <w:r w:rsidR="000831DA" w:rsidRPr="004737C5">
        <w:rPr>
          <w:rFonts w:cstheme="minorHAnsi"/>
        </w:rPr>
        <w:t>.</w:t>
      </w:r>
      <w:r w:rsidRPr="004737C5">
        <w:rPr>
          <w:rStyle w:val="FootnoteReference"/>
          <w:rFonts w:cstheme="minorHAnsi"/>
        </w:rPr>
        <w:footnoteReference w:id="219"/>
      </w:r>
    </w:p>
    <w:tbl>
      <w:tblPr>
        <w:tblStyle w:val="TableGrid"/>
        <w:tblW w:w="0" w:type="auto"/>
        <w:tblLook w:val="04A0" w:firstRow="1" w:lastRow="0" w:firstColumn="1" w:lastColumn="0" w:noHBand="0" w:noVBand="1"/>
      </w:tblPr>
      <w:tblGrid>
        <w:gridCol w:w="9243"/>
      </w:tblGrid>
      <w:tr w:rsidR="000831DA" w:rsidRPr="004737C5" w14:paraId="709F6150" w14:textId="77777777" w:rsidTr="000831DA">
        <w:tc>
          <w:tcPr>
            <w:tcW w:w="9628" w:type="dxa"/>
          </w:tcPr>
          <w:p w14:paraId="63F879D8" w14:textId="77777777" w:rsidR="000831DA" w:rsidRPr="004737C5" w:rsidRDefault="000831DA" w:rsidP="000831DA">
            <w:pPr>
              <w:rPr>
                <w:rFonts w:cstheme="minorHAnsi"/>
                <w:b/>
              </w:rPr>
            </w:pPr>
            <w:r w:rsidRPr="004737C5">
              <w:rPr>
                <w:rFonts w:cstheme="minorHAnsi"/>
                <w:b/>
              </w:rPr>
              <w:t>Box 11. Readiness for e-commerce</w:t>
            </w:r>
          </w:p>
          <w:p w14:paraId="4E674C67" w14:textId="77777777" w:rsidR="000831DA" w:rsidRPr="004737C5" w:rsidRDefault="000831DA" w:rsidP="00BD2919">
            <w:pPr>
              <w:spacing w:before="160"/>
              <w:rPr>
                <w:rFonts w:cstheme="minorHAnsi"/>
              </w:rPr>
            </w:pPr>
            <w:r w:rsidRPr="004737C5">
              <w:rPr>
                <w:rFonts w:cstheme="minorHAnsi"/>
              </w:rPr>
              <w:t>The UNCTAD B2C E-commerce Index is composed of four indicators: a) internet use penetration, b) secure servers per million inhabitants, c) credit card penetration and d) a postal reliability score. The 2016 index is based on a survey of 137 economies accounting for 96 percent of the world’s population and 99 percent of world GDP. The 2016 index follows on from that first introduced by UNCTAD in its “Information Economy Report 2015: Unlocking the Potential of Ecommerce for Developing Countries”.</w:t>
            </w:r>
          </w:p>
          <w:p w14:paraId="6BEAEBB3" w14:textId="77777777" w:rsidR="000831DA" w:rsidRPr="004737C5" w:rsidRDefault="000831DA" w:rsidP="000831DA">
            <w:pPr>
              <w:spacing w:before="240"/>
              <w:rPr>
                <w:rFonts w:cstheme="minorHAnsi"/>
              </w:rPr>
            </w:pPr>
            <w:r w:rsidRPr="004737C5">
              <w:rPr>
                <w:rFonts w:cstheme="minorHAnsi"/>
              </w:rPr>
              <w:t xml:space="preserve">The index measures the readiness of countries to engage in online commerce. Among the top ten economies in that regard, six are European, three are from the Asia-Pacific region and one is from North America. Among developing economies, three high-income economies – Republic of Korea, Hong Kong (China) and Singapore – rank the highest, followed by several Gulf states. Uruguay is the top performer in Latin America and the Caribbean. At 61st place in the index, South Africa is the front-runner in e-commerce readiness on the African continent. </w:t>
            </w:r>
          </w:p>
          <w:p w14:paraId="2E611B87" w14:textId="77777777" w:rsidR="000831DA" w:rsidRPr="004737C5" w:rsidRDefault="000831DA" w:rsidP="000831DA">
            <w:pPr>
              <w:spacing w:before="240"/>
              <w:rPr>
                <w:rFonts w:cstheme="minorHAnsi"/>
              </w:rPr>
            </w:pPr>
            <w:r w:rsidRPr="004737C5">
              <w:rPr>
                <w:rFonts w:cstheme="minorHAnsi"/>
              </w:rPr>
              <w:t>The report accompanying the index shows e-commerce readiness variation by region. For example, just over a fifth of the population in Africa uses the internet compared to two thirds in Western Asia. While Western Asia and transition economies fare well on most indicators, credit card availability is thought to be holding back further development of e-commerce. Asia as a whole needs to boost internet penetration, which currently stands at just over a third of the population, as well as the number of secure servers. In Latin America and the Caribbean, the main barriers appear to be low credit card penetration and relatively poor postal reliability. This last factor tends to be overlooked, but of course if physical products are ordered online they need to be delivered. Africa ranks the lowest in all the indicators and the report concludes that “unless there is improvement in the underlying transaction and logistics processes, African online shopping is likely to remain confined to wealthier populations in urban areas”. It is interesting to bear this finding in mind in the light of the rapid take-up of mobile payment systems in Africa, to be discussed later.</w:t>
            </w:r>
          </w:p>
          <w:p w14:paraId="5E69DA4A" w14:textId="77777777" w:rsidR="000831DA" w:rsidRPr="004737C5" w:rsidRDefault="000831DA" w:rsidP="000831DA">
            <w:pPr>
              <w:spacing w:before="240"/>
              <w:rPr>
                <w:rFonts w:cstheme="minorHAnsi"/>
              </w:rPr>
            </w:pPr>
            <w:r w:rsidRPr="004737C5">
              <w:rPr>
                <w:rFonts w:cstheme="minorHAnsi"/>
              </w:rPr>
              <w:t>Some countries reach “take off” in specific domains. Uruguay and the Russian Federation have seen sizable improvements in their share of individuals with credit cards, which jumped in one year by 13 percentage points in Uruguay (from 27 percent to 40 percent) and by 11 percentage points in the Russian Federation (from 10 percent to 21 percent). While improvements in secure internet servers per million people are slower to take place, this indicator moved up especially for Guinea, Lesotho and Liberia. But none of these three countries improved their overall ranking and Guinea’s improvement was accompanied by a significant fall in the overall rankings from 126 to 136, the penultimate position.</w:t>
            </w:r>
            <w:r w:rsidR="004016F4" w:rsidRPr="004737C5">
              <w:rPr>
                <w:rFonts w:cstheme="minorHAnsi"/>
              </w:rPr>
              <w:t xml:space="preserve"> As readiness is multi</w:t>
            </w:r>
            <w:r w:rsidRPr="004737C5">
              <w:rPr>
                <w:rFonts w:cstheme="minorHAnsi"/>
              </w:rPr>
              <w:t>factorial, progress has to be maintained on several fronts.</w:t>
            </w:r>
          </w:p>
          <w:p w14:paraId="1DE83754" w14:textId="517B8A31" w:rsidR="004016F4" w:rsidRPr="004737C5" w:rsidRDefault="004016F4" w:rsidP="000831DA">
            <w:pPr>
              <w:spacing w:before="240"/>
              <w:rPr>
                <w:rFonts w:cstheme="minorHAnsi"/>
                <w:sz w:val="20"/>
                <w:szCs w:val="20"/>
              </w:rPr>
            </w:pPr>
            <w:r w:rsidRPr="004737C5">
              <w:rPr>
                <w:rFonts w:cstheme="minorHAnsi"/>
                <w:i/>
                <w:sz w:val="20"/>
                <w:szCs w:val="20"/>
              </w:rPr>
              <w:t>Source</w:t>
            </w:r>
            <w:r w:rsidRPr="004737C5">
              <w:rPr>
                <w:rFonts w:cstheme="minorHAnsi"/>
                <w:sz w:val="20"/>
                <w:szCs w:val="20"/>
              </w:rPr>
              <w:t>: UNCTAD</w:t>
            </w:r>
            <w:r w:rsidR="00570703" w:rsidRPr="004737C5">
              <w:rPr>
                <w:rFonts w:cstheme="minorHAnsi"/>
                <w:sz w:val="20"/>
                <w:szCs w:val="20"/>
              </w:rPr>
              <w:t>, 2016, B2C E-commerce Index.</w:t>
            </w:r>
          </w:p>
        </w:tc>
      </w:tr>
    </w:tbl>
    <w:p w14:paraId="2D652510" w14:textId="77777777" w:rsidR="00BE71E3" w:rsidRPr="004737C5" w:rsidRDefault="00BE71E3" w:rsidP="004016F4">
      <w:pPr>
        <w:spacing w:before="240"/>
        <w:rPr>
          <w:rFonts w:cstheme="minorHAnsi"/>
        </w:rPr>
      </w:pPr>
      <w:r w:rsidRPr="004737C5">
        <w:rPr>
          <w:rFonts w:cstheme="minorHAnsi"/>
        </w:rPr>
        <w:lastRenderedPageBreak/>
        <w:t>The two largest populations in the world both make an important contribution to t</w:t>
      </w:r>
      <w:r w:rsidR="004016F4" w:rsidRPr="004737C5">
        <w:rPr>
          <w:rFonts w:cstheme="minorHAnsi"/>
        </w:rPr>
        <w:t>he growth trends. India is</w:t>
      </w:r>
      <w:r w:rsidRPr="004737C5">
        <w:rPr>
          <w:rFonts w:cstheme="minorHAnsi"/>
        </w:rPr>
        <w:t xml:space="preserve"> reported by </w:t>
      </w:r>
      <w:r w:rsidRPr="004737C5">
        <w:rPr>
          <w:rFonts w:cstheme="minorHAnsi"/>
          <w:i/>
        </w:rPr>
        <w:t>The Economist</w:t>
      </w:r>
      <w:r w:rsidRPr="004737C5">
        <w:rPr>
          <w:rFonts w:cstheme="minorHAnsi"/>
        </w:rPr>
        <w:t xml:space="preserve"> to be the world’s fastest-growing e-commerce market at the time of writing, with three more Indians experiencing the internet for the f</w:t>
      </w:r>
      <w:r w:rsidR="004016F4" w:rsidRPr="004737C5">
        <w:rPr>
          <w:rFonts w:cstheme="minorHAnsi"/>
        </w:rPr>
        <w:t xml:space="preserve">irst time every second and </w:t>
      </w:r>
      <w:r w:rsidRPr="004737C5">
        <w:rPr>
          <w:rFonts w:cstheme="minorHAnsi"/>
        </w:rPr>
        <w:t>one bill</w:t>
      </w:r>
      <w:r w:rsidR="004016F4" w:rsidRPr="004737C5">
        <w:rPr>
          <w:rFonts w:cstheme="minorHAnsi"/>
        </w:rPr>
        <w:t>ion consumers expected to be on</w:t>
      </w:r>
      <w:r w:rsidRPr="004737C5">
        <w:rPr>
          <w:rFonts w:cstheme="minorHAnsi"/>
        </w:rPr>
        <w:t>line by 2030.</w:t>
      </w:r>
      <w:r w:rsidRPr="004737C5">
        <w:rPr>
          <w:rStyle w:val="FootnoteReference"/>
          <w:rFonts w:cstheme="minorHAnsi"/>
          <w:bCs/>
        </w:rPr>
        <w:footnoteReference w:id="220"/>
      </w:r>
      <w:r w:rsidRPr="004737C5">
        <w:rPr>
          <w:rFonts w:cstheme="minorHAnsi"/>
        </w:rPr>
        <w:t xml:space="preserve"> Its online retail market has been estimated as being</w:t>
      </w:r>
      <w:r w:rsidR="004016F4" w:rsidRPr="004737C5">
        <w:rPr>
          <w:rFonts w:cstheme="minorHAnsi"/>
        </w:rPr>
        <w:t xml:space="preserve"> about to grow sevenfold </w:t>
      </w:r>
      <w:r w:rsidRPr="004737C5">
        <w:rPr>
          <w:rFonts w:cstheme="minorHAnsi"/>
        </w:rPr>
        <w:t>between 2015 and 2020.</w:t>
      </w:r>
    </w:p>
    <w:p w14:paraId="1C4B98FA" w14:textId="77777777" w:rsidR="00BE71E3" w:rsidRPr="004737C5" w:rsidRDefault="004016F4" w:rsidP="006D3BE8">
      <w:pPr>
        <w:rPr>
          <w:rFonts w:cstheme="minorHAnsi"/>
        </w:rPr>
      </w:pPr>
      <w:r w:rsidRPr="004737C5">
        <w:rPr>
          <w:rFonts w:cstheme="minorHAnsi"/>
        </w:rPr>
        <w:t>But while India has 32 percent</w:t>
      </w:r>
      <w:r w:rsidR="00BE71E3" w:rsidRPr="004737C5">
        <w:rPr>
          <w:rFonts w:cstheme="minorHAnsi"/>
        </w:rPr>
        <w:t xml:space="preserve"> of its population online as of 2015, the figure for China is 52</w:t>
      </w:r>
      <w:r w:rsidRPr="004737C5">
        <w:rPr>
          <w:rFonts w:cstheme="minorHAnsi"/>
        </w:rPr>
        <w:t xml:space="preserve"> percent</w:t>
      </w:r>
      <w:r w:rsidR="00BE71E3" w:rsidRPr="004737C5">
        <w:rPr>
          <w:rFonts w:cstheme="minorHAnsi"/>
        </w:rPr>
        <w:t>. Of the US$ 1.3 million spent online every 30 seconds, one fifth of that goes through the world’s biggest e-retailer, the Chinese company Alibaba.</w:t>
      </w:r>
      <w:r w:rsidR="00BE71E3" w:rsidRPr="004737C5">
        <w:rPr>
          <w:rFonts w:cstheme="minorHAnsi"/>
          <w:vertAlign w:val="superscript"/>
        </w:rPr>
        <w:footnoteReference w:id="221"/>
      </w:r>
      <w:r w:rsidR="00BE71E3" w:rsidRPr="004737C5">
        <w:rPr>
          <w:rFonts w:cstheme="minorHAnsi"/>
        </w:rPr>
        <w:t xml:space="preserve"> The stor</w:t>
      </w:r>
      <w:r w:rsidRPr="004737C5">
        <w:rPr>
          <w:rFonts w:cstheme="minorHAnsi"/>
        </w:rPr>
        <w:t>y of Alib</w:t>
      </w:r>
      <w:r w:rsidR="00BE71E3" w:rsidRPr="004737C5">
        <w:rPr>
          <w:rFonts w:cstheme="minorHAnsi"/>
        </w:rPr>
        <w:t>aba is of global importance not only because of its size but because of what it tells us about consumer behaviour in taking up e-commerce. The cornerstone of Alibaba’s success is the third party guarantee system, Alipay which accounts for half of all online payment transactions in China.</w:t>
      </w:r>
      <w:r w:rsidR="00BE71E3" w:rsidRPr="004737C5">
        <w:rPr>
          <w:rStyle w:val="FootnoteReference"/>
          <w:rFonts w:cstheme="minorHAnsi"/>
        </w:rPr>
        <w:footnoteReference w:id="222"/>
      </w:r>
      <w:r w:rsidRPr="004737C5">
        <w:rPr>
          <w:rFonts w:cstheme="minorHAnsi"/>
        </w:rPr>
        <w:t xml:space="preserve"> Yu and Shen observe that</w:t>
      </w:r>
      <w:r w:rsidR="00BE71E3" w:rsidRPr="004737C5">
        <w:rPr>
          <w:rFonts w:cstheme="minorHAnsi"/>
        </w:rPr>
        <w:t xml:space="preserve"> </w:t>
      </w:r>
      <w:r w:rsidRPr="004737C5">
        <w:rPr>
          <w:rFonts w:cstheme="minorHAnsi"/>
          <w:iCs/>
        </w:rPr>
        <w:t>“</w:t>
      </w:r>
      <w:r w:rsidR="00BE71E3" w:rsidRPr="004737C5">
        <w:rPr>
          <w:rFonts w:cstheme="minorHAnsi"/>
          <w:iCs/>
        </w:rPr>
        <w:t>it is ironic that Alipay, which represents the height of modernity, is achieving its prominence by use of the escrow system, a third party guarantee system that has been used for centuries in common law systems</w:t>
      </w:r>
      <w:r w:rsidRPr="004737C5">
        <w:rPr>
          <w:rFonts w:cstheme="minorHAnsi"/>
          <w:iCs/>
        </w:rPr>
        <w:t>”.</w:t>
      </w:r>
      <w:r w:rsidR="00BE71E3" w:rsidRPr="004737C5">
        <w:rPr>
          <w:rFonts w:cstheme="minorHAnsi"/>
          <w:iCs/>
        </w:rPr>
        <w:t xml:space="preserve"> Launched</w:t>
      </w:r>
      <w:r w:rsidR="00BE71E3" w:rsidRPr="004737C5">
        <w:rPr>
          <w:rFonts w:cstheme="minorHAnsi"/>
        </w:rPr>
        <w:t xml:space="preserve"> at the e</w:t>
      </w:r>
      <w:r w:rsidRPr="004737C5">
        <w:rPr>
          <w:rFonts w:cstheme="minorHAnsi"/>
        </w:rPr>
        <w:t>nd of 2003, it accounted for 84 percent</w:t>
      </w:r>
      <w:r w:rsidR="00BE71E3" w:rsidRPr="004737C5">
        <w:rPr>
          <w:rFonts w:cstheme="minorHAnsi"/>
        </w:rPr>
        <w:t xml:space="preserve"> of third party </w:t>
      </w:r>
      <w:r w:rsidRPr="004737C5">
        <w:rPr>
          <w:rFonts w:cstheme="minorHAnsi"/>
        </w:rPr>
        <w:t>online platform use by 2013</w:t>
      </w:r>
      <w:r w:rsidR="00BE71E3" w:rsidRPr="004737C5">
        <w:rPr>
          <w:rFonts w:cstheme="minorHAnsi"/>
        </w:rPr>
        <w:t xml:space="preserve"> (40</w:t>
      </w:r>
      <w:r w:rsidRPr="004737C5">
        <w:rPr>
          <w:rFonts w:cstheme="minorHAnsi"/>
        </w:rPr>
        <w:t xml:space="preserve"> percent of Chinese i</w:t>
      </w:r>
      <w:r w:rsidR="00BE71E3" w:rsidRPr="004737C5">
        <w:rPr>
          <w:rFonts w:cstheme="minorHAnsi"/>
        </w:rPr>
        <w:t>nternet users are frequent users of third party payment systems).</w:t>
      </w:r>
    </w:p>
    <w:p w14:paraId="1B387136" w14:textId="77777777" w:rsidR="00BE71E3" w:rsidRPr="004737C5" w:rsidRDefault="00BE71E3" w:rsidP="006D3BE8">
      <w:pPr>
        <w:rPr>
          <w:rFonts w:cstheme="minorHAnsi"/>
        </w:rPr>
      </w:pPr>
      <w:r w:rsidRPr="004737C5">
        <w:rPr>
          <w:rFonts w:cstheme="minorHAnsi"/>
        </w:rPr>
        <w:t xml:space="preserve">By any account, this is a remarkable increase but the reason is far </w:t>
      </w:r>
      <w:r w:rsidR="004016F4" w:rsidRPr="004737C5">
        <w:rPr>
          <w:rFonts w:cstheme="minorHAnsi"/>
        </w:rPr>
        <w:t>deeper than simply the rise of “consumerism”</w:t>
      </w:r>
      <w:r w:rsidRPr="004737C5">
        <w:rPr>
          <w:rFonts w:cstheme="minorHAnsi"/>
        </w:rPr>
        <w:t xml:space="preserve"> in China. It relates to consumer tr</w:t>
      </w:r>
      <w:r w:rsidR="004016F4" w:rsidRPr="004737C5">
        <w:rPr>
          <w:rFonts w:cstheme="minorHAnsi"/>
        </w:rPr>
        <w:t>ust. Yu and Sheng conclude that “</w:t>
      </w:r>
      <w:r w:rsidRPr="004737C5">
        <w:rPr>
          <w:rFonts w:cstheme="minorHAnsi"/>
        </w:rPr>
        <w:t>the lack of effective consumer protection law and the unwillingness of China’s banks to offer any payment protection of online transactions, has led to Alipay’s dominance of the online payment industry</w:t>
      </w:r>
      <w:r w:rsidR="004016F4" w:rsidRPr="004737C5">
        <w:rPr>
          <w:rFonts w:cstheme="minorHAnsi"/>
        </w:rPr>
        <w:t>”.</w:t>
      </w:r>
      <w:r w:rsidRPr="004737C5">
        <w:rPr>
          <w:rFonts w:cstheme="minorHAnsi"/>
        </w:rPr>
        <w:t xml:space="preserve"> Chinese banks do not make chargeback protection </w:t>
      </w:r>
      <w:r w:rsidR="004016F4" w:rsidRPr="004737C5">
        <w:rPr>
          <w:rFonts w:cstheme="minorHAnsi"/>
        </w:rPr>
        <w:t xml:space="preserve">available </w:t>
      </w:r>
      <w:r w:rsidRPr="004737C5">
        <w:rPr>
          <w:rFonts w:cstheme="minorHAnsi"/>
        </w:rPr>
        <w:t>to Chinese consumers, but Alipay guarantees the t</w:t>
      </w:r>
      <w:r w:rsidR="004016F4" w:rsidRPr="004737C5">
        <w:rPr>
          <w:rFonts w:cstheme="minorHAnsi"/>
        </w:rPr>
        <w:t>ransaction. Furthermore, unlike</w:t>
      </w:r>
      <w:r w:rsidRPr="004737C5">
        <w:rPr>
          <w:rFonts w:cstheme="minorHAnsi"/>
        </w:rPr>
        <w:t xml:space="preserve"> Paypal, which forwards the consumer payment to the seller b</w:t>
      </w:r>
      <w:r w:rsidR="004016F4" w:rsidRPr="004737C5">
        <w:rPr>
          <w:rFonts w:cstheme="minorHAnsi"/>
        </w:rPr>
        <w:t>efore the product is delivered,</w:t>
      </w:r>
      <w:r w:rsidRPr="004737C5">
        <w:rPr>
          <w:rFonts w:cstheme="minorHAnsi"/>
        </w:rPr>
        <w:t xml:space="preserve"> Alipay holds the payment by the consumer until goods purchased online have been delivered. By withholding payment until delivery of the goods, it provides </w:t>
      </w:r>
      <w:r w:rsidR="004016F4" w:rsidRPr="004737C5">
        <w:rPr>
          <w:rFonts w:cstheme="minorHAnsi"/>
        </w:rPr>
        <w:t>greater security than that provided by</w:t>
      </w:r>
      <w:r w:rsidRPr="004737C5">
        <w:rPr>
          <w:rFonts w:cstheme="minorHAnsi"/>
        </w:rPr>
        <w:t xml:space="preserve"> chargeback mechanis</w:t>
      </w:r>
      <w:r w:rsidR="004016F4" w:rsidRPr="004737C5">
        <w:rPr>
          <w:rFonts w:cstheme="minorHAnsi"/>
        </w:rPr>
        <w:t>ms</w:t>
      </w:r>
      <w:r w:rsidRPr="004737C5">
        <w:rPr>
          <w:rFonts w:cstheme="minorHAnsi"/>
        </w:rPr>
        <w:t xml:space="preserve"> to credit card</w:t>
      </w:r>
      <w:r w:rsidR="004016F4" w:rsidRPr="004737C5">
        <w:rPr>
          <w:rFonts w:cstheme="minorHAnsi"/>
        </w:rPr>
        <w:t>-</w:t>
      </w:r>
      <w:r w:rsidRPr="004737C5">
        <w:rPr>
          <w:rFonts w:cstheme="minorHAnsi"/>
        </w:rPr>
        <w:t>holders outside</w:t>
      </w:r>
      <w:r w:rsidR="004016F4" w:rsidRPr="004737C5">
        <w:rPr>
          <w:rFonts w:cstheme="minorHAnsi"/>
        </w:rPr>
        <w:t xml:space="preserve"> of China. It also provides an online dispute r</w:t>
      </w:r>
      <w:r w:rsidRPr="004737C5">
        <w:rPr>
          <w:rFonts w:cstheme="minorHAnsi"/>
        </w:rPr>
        <w:t>esolution service available to both parties financed by the revenue generated by the funds held in</w:t>
      </w:r>
      <w:r w:rsidR="004016F4" w:rsidRPr="004737C5">
        <w:rPr>
          <w:rFonts w:cstheme="minorHAnsi"/>
        </w:rPr>
        <w:t xml:space="preserve"> escrow. It is appropriate then</w:t>
      </w:r>
      <w:r w:rsidRPr="004737C5">
        <w:rPr>
          <w:rFonts w:cstheme="minorHAnsi"/>
        </w:rPr>
        <w:t xml:space="preserve"> that one of the amendments to the newly issued OECD Guidelines on E-commerce is the recognition of escrow services.</w:t>
      </w:r>
      <w:r w:rsidRPr="004737C5">
        <w:rPr>
          <w:rStyle w:val="FootnoteReference"/>
          <w:rFonts w:cstheme="minorHAnsi"/>
        </w:rPr>
        <w:footnoteReference w:id="223"/>
      </w:r>
    </w:p>
    <w:tbl>
      <w:tblPr>
        <w:tblStyle w:val="TableGrid"/>
        <w:tblW w:w="0" w:type="auto"/>
        <w:tblLook w:val="04A0" w:firstRow="1" w:lastRow="0" w:firstColumn="1" w:lastColumn="0" w:noHBand="0" w:noVBand="1"/>
      </w:tblPr>
      <w:tblGrid>
        <w:gridCol w:w="9243"/>
      </w:tblGrid>
      <w:tr w:rsidR="004016F4" w:rsidRPr="004737C5" w14:paraId="72CFC067" w14:textId="77777777" w:rsidTr="004016F4">
        <w:tc>
          <w:tcPr>
            <w:tcW w:w="9628" w:type="dxa"/>
          </w:tcPr>
          <w:p w14:paraId="5F5BD58B" w14:textId="77777777" w:rsidR="004016F4" w:rsidRPr="004737C5" w:rsidRDefault="004016F4" w:rsidP="004016F4">
            <w:pPr>
              <w:rPr>
                <w:rFonts w:cstheme="minorHAnsi"/>
                <w:b/>
              </w:rPr>
            </w:pPr>
            <w:r w:rsidRPr="004737C5">
              <w:rPr>
                <w:rFonts w:cstheme="minorHAnsi"/>
                <w:b/>
              </w:rPr>
              <w:t>Box 12. Mobile banking</w:t>
            </w:r>
          </w:p>
          <w:p w14:paraId="611C26C9" w14:textId="7DD641A4" w:rsidR="004016F4" w:rsidRPr="004737C5" w:rsidRDefault="004016F4" w:rsidP="00BD2919">
            <w:pPr>
              <w:spacing w:before="160"/>
              <w:rPr>
                <w:rFonts w:cstheme="minorHAnsi"/>
              </w:rPr>
            </w:pPr>
            <w:r w:rsidRPr="004737C5">
              <w:rPr>
                <w:rFonts w:cstheme="minorHAnsi"/>
              </w:rPr>
              <w:t>The UNGCP pay tribute to the benefits of innovation in the resolution</w:t>
            </w:r>
            <w:r w:rsidR="001A51FB" w:rsidRPr="004737C5">
              <w:rPr>
                <w:rFonts w:cstheme="minorHAnsi"/>
              </w:rPr>
              <w:t>, which also specifies that “</w:t>
            </w:r>
            <w:r w:rsidRPr="004737C5">
              <w:rPr>
                <w:rFonts w:cstheme="minorHAnsi"/>
              </w:rPr>
              <w:t>electronic commerce should be unders</w:t>
            </w:r>
            <w:r w:rsidR="001A51FB" w:rsidRPr="004737C5">
              <w:rPr>
                <w:rFonts w:cstheme="minorHAnsi"/>
              </w:rPr>
              <w:t>tood to include mobile commerce”</w:t>
            </w:r>
            <w:r w:rsidR="00AC004D" w:rsidRPr="004737C5">
              <w:rPr>
                <w:rFonts w:cstheme="minorHAnsi"/>
              </w:rPr>
              <w:t>. The G20 high-level p</w:t>
            </w:r>
            <w:r w:rsidRPr="004737C5">
              <w:rPr>
                <w:rFonts w:cstheme="minorHAnsi"/>
              </w:rPr>
              <w:t>rinciples on financial consumer pro</w:t>
            </w:r>
            <w:r w:rsidR="004240DC" w:rsidRPr="004737C5">
              <w:rPr>
                <w:rFonts w:cstheme="minorHAnsi"/>
              </w:rPr>
              <w:t>tection (discussed in chapter XIV</w:t>
            </w:r>
            <w:r w:rsidRPr="004737C5">
              <w:rPr>
                <w:rFonts w:cstheme="minorHAnsi"/>
              </w:rPr>
              <w:t xml:space="preserve">) also warn of </w:t>
            </w:r>
            <w:r w:rsidR="00D21110" w:rsidRPr="004737C5">
              <w:rPr>
                <w:rFonts w:cstheme="minorHAnsi"/>
              </w:rPr>
              <w:t xml:space="preserve">the </w:t>
            </w:r>
            <w:r w:rsidRPr="004737C5">
              <w:rPr>
                <w:rFonts w:cstheme="minorHAnsi"/>
              </w:rPr>
              <w:t xml:space="preserve">dangers </w:t>
            </w:r>
            <w:r w:rsidR="00D21110" w:rsidRPr="004737C5">
              <w:rPr>
                <w:rFonts w:cstheme="minorHAnsi"/>
              </w:rPr>
              <w:t xml:space="preserve">of mobile commerce </w:t>
            </w:r>
            <w:r w:rsidRPr="004737C5">
              <w:rPr>
                <w:rFonts w:cstheme="minorHAnsi"/>
              </w:rPr>
              <w:t>while making the poi</w:t>
            </w:r>
            <w:r w:rsidR="001A51FB" w:rsidRPr="004737C5">
              <w:rPr>
                <w:rFonts w:cstheme="minorHAnsi"/>
              </w:rPr>
              <w:t>nt that regulation needs to be “</w:t>
            </w:r>
            <w:r w:rsidRPr="004737C5">
              <w:rPr>
                <w:rFonts w:cstheme="minorHAnsi"/>
              </w:rPr>
              <w:t>responsive to new products, designs, technologies and delivery mechanisms</w:t>
            </w:r>
            <w:r w:rsidR="001A51FB" w:rsidRPr="004737C5">
              <w:rPr>
                <w:rFonts w:cstheme="minorHAnsi"/>
              </w:rPr>
              <w:t>”.</w:t>
            </w:r>
            <w:r w:rsidRPr="004737C5">
              <w:rPr>
                <w:rFonts w:cstheme="minorHAnsi"/>
              </w:rPr>
              <w:t xml:space="preserve"> Legislation must allow for innovation in the design of financial services products to ensure that service providers respond constructively to the changing needs of consumers. But while raising some issues, it is also clear that even basic services such as SMS money transfer have brought benefits to the large number of poor consumers in developing countries who do not have bank accounts but who do have mobile phones (a figure that had already reached one billion in 2010).  </w:t>
            </w:r>
          </w:p>
          <w:p w14:paraId="1008DF70" w14:textId="77777777" w:rsidR="004016F4" w:rsidRPr="004737C5" w:rsidRDefault="004016F4" w:rsidP="001A51FB">
            <w:pPr>
              <w:spacing w:before="240"/>
              <w:rPr>
                <w:rFonts w:cstheme="minorHAnsi"/>
              </w:rPr>
            </w:pPr>
            <w:r w:rsidRPr="004737C5">
              <w:rPr>
                <w:rFonts w:cstheme="minorHAnsi"/>
              </w:rPr>
              <w:t xml:space="preserve">Africa has led this technological revolution. Three quarters of the countries that use mobile money </w:t>
            </w:r>
            <w:r w:rsidRPr="004737C5">
              <w:rPr>
                <w:rFonts w:cstheme="minorHAnsi"/>
              </w:rPr>
              <w:lastRenderedPageBreak/>
              <w:t xml:space="preserve">most frequently are in Africa. The Kenyan example illustrates the potential of mobile phone technology to support the extension of access to financial services. The mobile phone money transfer service M-Pesa operated by Safaricom </w:t>
            </w:r>
            <w:r w:rsidR="001A51FB" w:rsidRPr="004737C5">
              <w:rPr>
                <w:rFonts w:cstheme="minorHAnsi"/>
              </w:rPr>
              <w:t>was launched in 2007 and by</w:t>
            </w:r>
            <w:r w:rsidRPr="004737C5">
              <w:rPr>
                <w:rFonts w:cstheme="minorHAnsi"/>
              </w:rPr>
              <w:t xml:space="preserve"> 2009, had over eight million registered users or 40</w:t>
            </w:r>
            <w:r w:rsidR="001A51FB" w:rsidRPr="004737C5">
              <w:rPr>
                <w:rFonts w:cstheme="minorHAnsi"/>
              </w:rPr>
              <w:t xml:space="preserve"> percent </w:t>
            </w:r>
            <w:r w:rsidRPr="004737C5">
              <w:rPr>
                <w:rFonts w:cstheme="minorHAnsi"/>
              </w:rPr>
              <w:t>of the adult population. In contrast, access to formal ban</w:t>
            </w:r>
            <w:r w:rsidR="001A51FB" w:rsidRPr="004737C5">
              <w:rPr>
                <w:rFonts w:cstheme="minorHAnsi"/>
              </w:rPr>
              <w:t>ks in Kenya only rose from 18.9 percent to 22.6 percent</w:t>
            </w:r>
            <w:r w:rsidRPr="004737C5">
              <w:rPr>
                <w:rFonts w:cstheme="minorHAnsi"/>
              </w:rPr>
              <w:t xml:space="preserve"> of adults between 2006 and 2009. The G20 Financial Inclusion Expert Group attributes the increase in non-bank financial access to M-Pesa. This chain reaction indicates that mobile telephony and mobile transfer of money is a catalyst for other financial services. Further benefits downstream are showing up in East Africa, where payment by mobile phone is being introduced for public utilities such as water and electricity. For example, Kenya Power has introduced a s</w:t>
            </w:r>
            <w:r w:rsidR="001A51FB" w:rsidRPr="004737C5">
              <w:rPr>
                <w:rFonts w:cstheme="minorHAnsi"/>
              </w:rPr>
              <w:t>ystem of payment through M-Pesa (t</w:t>
            </w:r>
            <w:r w:rsidRPr="004737C5">
              <w:rPr>
                <w:rFonts w:cstheme="minorHAnsi"/>
              </w:rPr>
              <w:t>he use of such payment syste</w:t>
            </w:r>
            <w:r w:rsidR="001A51FB" w:rsidRPr="004737C5">
              <w:rPr>
                <w:rFonts w:cstheme="minorHAnsi"/>
              </w:rPr>
              <w:t>ms for utilities is cross-referenced in ISO standard 14452 on network services b</w:t>
            </w:r>
            <w:r w:rsidRPr="004737C5">
              <w:rPr>
                <w:rFonts w:cstheme="minorHAnsi"/>
              </w:rPr>
              <w:t>illing). Such systems can help to avoid transitional problems such as those when poor consumers are connected to such servi</w:t>
            </w:r>
            <w:r w:rsidR="001A51FB" w:rsidRPr="004737C5">
              <w:rPr>
                <w:rFonts w:cstheme="minorHAnsi"/>
              </w:rPr>
              <w:t>ces for the first time. For low-</w:t>
            </w:r>
            <w:r w:rsidRPr="004737C5">
              <w:rPr>
                <w:rFonts w:cstheme="minorHAnsi"/>
              </w:rPr>
              <w:t>cost payments by mobile phone at short intervals, this may not only save consumers the time and expense associated with old-fashioned queuing systems, but can also improve payment levels and reduce arrears. This improved payment technology brings potential benefits to sectors far removed from financial services.</w:t>
            </w:r>
          </w:p>
          <w:p w14:paraId="3F708D2D" w14:textId="77777777" w:rsidR="004016F4" w:rsidRPr="004737C5" w:rsidRDefault="004016F4" w:rsidP="00BD2919">
            <w:pPr>
              <w:spacing w:before="160"/>
              <w:rPr>
                <w:rFonts w:cstheme="minorHAnsi"/>
              </w:rPr>
            </w:pPr>
            <w:r w:rsidRPr="004737C5">
              <w:rPr>
                <w:rFonts w:cstheme="minorHAnsi"/>
              </w:rPr>
              <w:t xml:space="preserve">Mobile payments </w:t>
            </w:r>
            <w:r w:rsidR="001A51FB" w:rsidRPr="004737C5">
              <w:rPr>
                <w:rFonts w:cstheme="minorHAnsi"/>
              </w:rPr>
              <w:t>are still only expected to represent 3 percent of e</w:t>
            </w:r>
            <w:r w:rsidRPr="004737C5">
              <w:rPr>
                <w:rFonts w:cstheme="minorHAnsi"/>
              </w:rPr>
              <w:t xml:space="preserve">-commerce payments by 2017. However, according to UNCTAD, it is </w:t>
            </w:r>
            <w:r w:rsidR="001A51FB" w:rsidRPr="004737C5">
              <w:rPr>
                <w:rFonts w:cstheme="minorHAnsi"/>
              </w:rPr>
              <w:t>already important in countries “characterized by limited i</w:t>
            </w:r>
            <w:r w:rsidRPr="004737C5">
              <w:rPr>
                <w:rFonts w:cstheme="minorHAnsi"/>
              </w:rPr>
              <w:t xml:space="preserve">nternet use but well-functioning mobile money systems. In several African countries mobile solutions represent the </w:t>
            </w:r>
            <w:r w:rsidR="001A51FB" w:rsidRPr="004737C5">
              <w:rPr>
                <w:rFonts w:cstheme="minorHAnsi"/>
              </w:rPr>
              <w:t>most viable infrastructure for e</w:t>
            </w:r>
            <w:r w:rsidRPr="004737C5">
              <w:rPr>
                <w:rFonts w:cstheme="minorHAnsi"/>
              </w:rPr>
              <w:t>-services</w:t>
            </w:r>
            <w:r w:rsidR="001A51FB" w:rsidRPr="004737C5">
              <w:rPr>
                <w:rFonts w:cstheme="minorHAnsi"/>
              </w:rPr>
              <w:t>”.</w:t>
            </w:r>
            <w:r w:rsidRPr="004737C5">
              <w:rPr>
                <w:rFonts w:cstheme="minorHAnsi"/>
              </w:rPr>
              <w:t xml:space="preserve"> The UNCTAD Information Economy Report 2015 states that in Kenya, online purchase payments from</w:t>
            </w:r>
            <w:r w:rsidR="001A51FB" w:rsidRPr="004737C5">
              <w:rPr>
                <w:rFonts w:cstheme="minorHAnsi"/>
              </w:rPr>
              <w:t xml:space="preserve"> mobile phones accounted for 19 percent</w:t>
            </w:r>
            <w:r w:rsidRPr="004737C5">
              <w:rPr>
                <w:rFonts w:cstheme="minorHAnsi"/>
              </w:rPr>
              <w:t xml:space="preserve"> of total e-commerce transaction value i</w:t>
            </w:r>
            <w:r w:rsidR="001A51FB" w:rsidRPr="004737C5">
              <w:rPr>
                <w:rFonts w:cstheme="minorHAnsi"/>
              </w:rPr>
              <w:t>n 2012. This was less than cash-on-</w:t>
            </w:r>
            <w:r w:rsidRPr="004737C5">
              <w:rPr>
                <w:rFonts w:cstheme="minorHAnsi"/>
              </w:rPr>
              <w:t>delivery but more than credit cards. The aptitude and enthusiasm of Kenyans for payment using household devices suggest that it will continue to grow.</w:t>
            </w:r>
          </w:p>
          <w:p w14:paraId="5BE4C7BF" w14:textId="09603BE2" w:rsidR="004016F4" w:rsidRPr="004737C5" w:rsidRDefault="001A51FB" w:rsidP="00BD2919">
            <w:pPr>
              <w:spacing w:before="160"/>
              <w:rPr>
                <w:rFonts w:cstheme="minorHAnsi"/>
                <w:sz w:val="20"/>
                <w:szCs w:val="20"/>
              </w:rPr>
            </w:pPr>
            <w:r w:rsidRPr="004737C5">
              <w:rPr>
                <w:rFonts w:cstheme="minorHAnsi"/>
                <w:i/>
                <w:sz w:val="20"/>
                <w:szCs w:val="20"/>
              </w:rPr>
              <w:t>Source</w:t>
            </w:r>
            <w:r w:rsidRPr="004737C5">
              <w:rPr>
                <w:rFonts w:cstheme="minorHAnsi"/>
                <w:sz w:val="20"/>
                <w:szCs w:val="20"/>
              </w:rPr>
              <w:t>: UNCTAD</w:t>
            </w:r>
            <w:r w:rsidR="00BD2919" w:rsidRPr="004737C5">
              <w:rPr>
                <w:rFonts w:cstheme="minorHAnsi"/>
                <w:sz w:val="20"/>
                <w:szCs w:val="20"/>
              </w:rPr>
              <w:t>, 2015,</w:t>
            </w:r>
            <w:r w:rsidRPr="004737C5">
              <w:rPr>
                <w:rFonts w:cstheme="minorHAnsi"/>
                <w:sz w:val="20"/>
                <w:szCs w:val="20"/>
              </w:rPr>
              <w:t xml:space="preserve"> </w:t>
            </w:r>
            <w:r w:rsidRPr="004737C5">
              <w:rPr>
                <w:rFonts w:cstheme="minorHAnsi"/>
                <w:i/>
                <w:sz w:val="20"/>
                <w:szCs w:val="20"/>
              </w:rPr>
              <w:t>Information Economy R</w:t>
            </w:r>
            <w:r w:rsidR="004016F4" w:rsidRPr="004737C5">
              <w:rPr>
                <w:rFonts w:cstheme="minorHAnsi"/>
                <w:i/>
                <w:sz w:val="20"/>
                <w:szCs w:val="20"/>
              </w:rPr>
              <w:t>eport</w:t>
            </w:r>
            <w:r w:rsidR="004016F4" w:rsidRPr="004737C5">
              <w:rPr>
                <w:rFonts w:cstheme="minorHAnsi"/>
                <w:sz w:val="20"/>
                <w:szCs w:val="20"/>
              </w:rPr>
              <w:t xml:space="preserve"> </w:t>
            </w:r>
            <w:r w:rsidRPr="004737C5">
              <w:rPr>
                <w:rFonts w:cstheme="minorHAnsi"/>
                <w:sz w:val="20"/>
                <w:szCs w:val="20"/>
              </w:rPr>
              <w:t>op</w:t>
            </w:r>
            <w:r w:rsidR="00BD2919" w:rsidRPr="004737C5">
              <w:rPr>
                <w:rFonts w:cstheme="minorHAnsi"/>
                <w:sz w:val="20"/>
                <w:szCs w:val="20"/>
              </w:rPr>
              <w:t>.</w:t>
            </w:r>
            <w:r w:rsidRPr="004737C5">
              <w:rPr>
                <w:rFonts w:cstheme="minorHAnsi"/>
                <w:sz w:val="20"/>
                <w:szCs w:val="20"/>
              </w:rPr>
              <w:t xml:space="preserve"> cit</w:t>
            </w:r>
            <w:r w:rsidR="00BD2919" w:rsidRPr="004737C5">
              <w:rPr>
                <w:rFonts w:cstheme="minorHAnsi"/>
                <w:sz w:val="20"/>
                <w:szCs w:val="20"/>
              </w:rPr>
              <w:t>.</w:t>
            </w:r>
            <w:r w:rsidRPr="004737C5">
              <w:rPr>
                <w:rFonts w:cstheme="minorHAnsi"/>
                <w:sz w:val="20"/>
                <w:szCs w:val="20"/>
              </w:rPr>
              <w:t>; OECD/G20</w:t>
            </w:r>
            <w:r w:rsidR="00BD2919" w:rsidRPr="004737C5">
              <w:rPr>
                <w:rFonts w:cstheme="minorHAnsi"/>
                <w:sz w:val="20"/>
                <w:szCs w:val="20"/>
              </w:rPr>
              <w:t>,</w:t>
            </w:r>
            <w:r w:rsidRPr="004737C5">
              <w:rPr>
                <w:rFonts w:cstheme="minorHAnsi"/>
                <w:sz w:val="20"/>
                <w:szCs w:val="20"/>
              </w:rPr>
              <w:t xml:space="preserve"> 2011</w:t>
            </w:r>
            <w:r w:rsidR="00BD2919" w:rsidRPr="004737C5">
              <w:rPr>
                <w:rFonts w:cstheme="minorHAnsi"/>
                <w:sz w:val="20"/>
                <w:szCs w:val="20"/>
              </w:rPr>
              <w:t>,</w:t>
            </w:r>
            <w:r w:rsidRPr="004737C5">
              <w:rPr>
                <w:rFonts w:cstheme="minorHAnsi"/>
                <w:sz w:val="20"/>
                <w:szCs w:val="20"/>
              </w:rPr>
              <w:t xml:space="preserve"> op</w:t>
            </w:r>
            <w:r w:rsidR="00BD2919" w:rsidRPr="004737C5">
              <w:rPr>
                <w:rFonts w:cstheme="minorHAnsi"/>
                <w:sz w:val="20"/>
                <w:szCs w:val="20"/>
              </w:rPr>
              <w:t>.</w:t>
            </w:r>
            <w:r w:rsidRPr="004737C5">
              <w:rPr>
                <w:rFonts w:cstheme="minorHAnsi"/>
                <w:sz w:val="20"/>
                <w:szCs w:val="20"/>
              </w:rPr>
              <w:t xml:space="preserve"> cit</w:t>
            </w:r>
            <w:r w:rsidR="00BD2919" w:rsidRPr="004737C5">
              <w:rPr>
                <w:rFonts w:cstheme="minorHAnsi"/>
                <w:sz w:val="20"/>
                <w:szCs w:val="20"/>
              </w:rPr>
              <w:t>.</w:t>
            </w:r>
            <w:r w:rsidRPr="004737C5">
              <w:rPr>
                <w:rFonts w:cstheme="minorHAnsi"/>
                <w:sz w:val="20"/>
                <w:szCs w:val="20"/>
              </w:rPr>
              <w:t>; G20</w:t>
            </w:r>
            <w:r w:rsidR="00BD2919" w:rsidRPr="004737C5">
              <w:rPr>
                <w:rFonts w:cstheme="minorHAnsi"/>
                <w:sz w:val="20"/>
                <w:szCs w:val="20"/>
              </w:rPr>
              <w:t>,</w:t>
            </w:r>
            <w:r w:rsidRPr="004737C5">
              <w:rPr>
                <w:rFonts w:cstheme="minorHAnsi"/>
                <w:sz w:val="20"/>
                <w:szCs w:val="20"/>
              </w:rPr>
              <w:t xml:space="preserve"> 2010</w:t>
            </w:r>
            <w:r w:rsidR="00BD2919" w:rsidRPr="004737C5">
              <w:rPr>
                <w:rFonts w:cstheme="minorHAnsi"/>
                <w:sz w:val="20"/>
                <w:szCs w:val="20"/>
              </w:rPr>
              <w:t>,</w:t>
            </w:r>
            <w:r w:rsidRPr="004737C5">
              <w:rPr>
                <w:rFonts w:cstheme="minorHAnsi"/>
                <w:sz w:val="20"/>
                <w:szCs w:val="20"/>
              </w:rPr>
              <w:t xml:space="preserve"> op</w:t>
            </w:r>
            <w:r w:rsidR="00BD2919" w:rsidRPr="004737C5">
              <w:rPr>
                <w:rFonts w:cstheme="minorHAnsi"/>
                <w:sz w:val="20"/>
                <w:szCs w:val="20"/>
              </w:rPr>
              <w:t>.</w:t>
            </w:r>
            <w:r w:rsidRPr="004737C5">
              <w:rPr>
                <w:rFonts w:cstheme="minorHAnsi"/>
                <w:sz w:val="20"/>
                <w:szCs w:val="20"/>
              </w:rPr>
              <w:t xml:space="preserve"> cit</w:t>
            </w:r>
            <w:r w:rsidR="00BD2919" w:rsidRPr="004737C5">
              <w:rPr>
                <w:rFonts w:cstheme="minorHAnsi"/>
                <w:sz w:val="20"/>
                <w:szCs w:val="20"/>
              </w:rPr>
              <w:t>.</w:t>
            </w:r>
          </w:p>
        </w:tc>
      </w:tr>
    </w:tbl>
    <w:p w14:paraId="27151D57" w14:textId="77777777" w:rsidR="00BE71E3" w:rsidRPr="004737C5" w:rsidRDefault="001A51FB" w:rsidP="00857811">
      <w:pPr>
        <w:pStyle w:val="Heading2"/>
        <w:spacing w:after="160"/>
        <w:rPr>
          <w:rFonts w:cstheme="minorHAnsi"/>
          <w:color w:val="auto"/>
          <w:sz w:val="24"/>
          <w:szCs w:val="24"/>
        </w:rPr>
      </w:pPr>
      <w:bookmarkStart w:id="239" w:name="_Toc183930674"/>
      <w:bookmarkStart w:id="240" w:name="_Toc454293857"/>
      <w:bookmarkStart w:id="241" w:name="_Toc489950293"/>
      <w:bookmarkStart w:id="242" w:name="_Toc492650080"/>
      <w:r w:rsidRPr="004737C5">
        <w:rPr>
          <w:rFonts w:cstheme="minorHAnsi"/>
          <w:color w:val="auto"/>
          <w:sz w:val="24"/>
          <w:szCs w:val="24"/>
        </w:rPr>
        <w:lastRenderedPageBreak/>
        <w:t>C.</w:t>
      </w:r>
      <w:r w:rsidR="00BE71E3" w:rsidRPr="004737C5">
        <w:rPr>
          <w:rFonts w:cstheme="minorHAnsi"/>
          <w:color w:val="auto"/>
          <w:sz w:val="24"/>
          <w:szCs w:val="24"/>
        </w:rPr>
        <w:t xml:space="preserve"> </w:t>
      </w:r>
      <w:bookmarkEnd w:id="239"/>
      <w:r w:rsidR="00BE71E3" w:rsidRPr="004737C5">
        <w:rPr>
          <w:rFonts w:cstheme="minorHAnsi"/>
          <w:color w:val="auto"/>
          <w:sz w:val="24"/>
          <w:szCs w:val="24"/>
        </w:rPr>
        <w:t>Consumer trust in the digital market</w:t>
      </w:r>
      <w:bookmarkEnd w:id="240"/>
      <w:bookmarkEnd w:id="241"/>
      <w:bookmarkEnd w:id="242"/>
    </w:p>
    <w:p w14:paraId="70135810" w14:textId="77777777" w:rsidR="00BE71E3" w:rsidRPr="004737C5" w:rsidRDefault="00BE71E3" w:rsidP="006D3BE8">
      <w:pPr>
        <w:rPr>
          <w:rFonts w:cstheme="minorHAnsi"/>
        </w:rPr>
      </w:pPr>
      <w:r w:rsidRPr="004737C5">
        <w:rPr>
          <w:rFonts w:cstheme="minorHAnsi"/>
        </w:rPr>
        <w:t>E-commerce has flourished due to a number of factors, including a wider range of products to choose from, easier access to more complete product information than is typically available offline, round-the-clock opening hours and the convenience of shopping from home. E-commerce also enables consumers to experience individually tailored and personalized treatment from businesses. But increasingly targeted advertising and buying experiences are not without their dangers and drawbacks, some of which may hamper consumer confidence. Mixed up orders, problems with refu</w:t>
      </w:r>
      <w:r w:rsidR="001A51FB" w:rsidRPr="004737C5">
        <w:rPr>
          <w:rFonts w:cstheme="minorHAnsi"/>
        </w:rPr>
        <w:t>nds, unanswered complaints and i</w:t>
      </w:r>
      <w:r w:rsidRPr="004737C5">
        <w:rPr>
          <w:rFonts w:cstheme="minorHAnsi"/>
        </w:rPr>
        <w:t>nternet scams are just some of the problems associated with online shopping. A European Commission survey found that consu</w:t>
      </w:r>
      <w:r w:rsidR="001A51FB" w:rsidRPr="004737C5">
        <w:rPr>
          <w:rFonts w:cstheme="minorHAnsi"/>
        </w:rPr>
        <w:t>mer confidence in cross-border i</w:t>
      </w:r>
      <w:r w:rsidRPr="004737C5">
        <w:rPr>
          <w:rFonts w:cstheme="minorHAnsi"/>
        </w:rPr>
        <w:t>nternet purchases within the European Union dropped between 2008 and 2011.</w:t>
      </w:r>
      <w:r w:rsidRPr="004737C5">
        <w:rPr>
          <w:rStyle w:val="FootnoteReference"/>
          <w:rFonts w:cstheme="minorHAnsi"/>
        </w:rPr>
        <w:footnoteReference w:id="224"/>
      </w:r>
      <w:r w:rsidRPr="004737C5">
        <w:rPr>
          <w:rFonts w:cstheme="minorHAnsi"/>
        </w:rPr>
        <w:t xml:space="preserve"> Despite the common body of law, there is notably less confidence among consumers about e-shopping across </w:t>
      </w:r>
      <w:r w:rsidR="001A51FB" w:rsidRPr="004737C5">
        <w:rPr>
          <w:rFonts w:cstheme="minorHAnsi"/>
        </w:rPr>
        <w:t>borders (38 percent</w:t>
      </w:r>
      <w:r w:rsidRPr="004737C5">
        <w:rPr>
          <w:rFonts w:cstheme="minorHAnsi"/>
        </w:rPr>
        <w:t xml:space="preserve"> felt confident in 2014) than about shopping within their</w:t>
      </w:r>
      <w:r w:rsidR="001A51FB" w:rsidRPr="004737C5">
        <w:rPr>
          <w:rFonts w:cstheme="minorHAnsi"/>
        </w:rPr>
        <w:t xml:space="preserve"> state (61 percent).</w:t>
      </w:r>
      <w:r w:rsidRPr="004737C5">
        <w:rPr>
          <w:rStyle w:val="FootnoteReference"/>
          <w:rFonts w:cstheme="minorHAnsi"/>
        </w:rPr>
        <w:footnoteReference w:id="225"/>
      </w:r>
      <w:r w:rsidRPr="004737C5">
        <w:rPr>
          <w:rFonts w:cstheme="minorHAnsi"/>
        </w:rPr>
        <w:t xml:space="preserve">  </w:t>
      </w:r>
    </w:p>
    <w:p w14:paraId="31264644" w14:textId="77777777" w:rsidR="00BE71E3" w:rsidRPr="004737C5" w:rsidRDefault="00BE71E3" w:rsidP="006D3BE8">
      <w:pPr>
        <w:rPr>
          <w:rFonts w:cstheme="minorHAnsi"/>
        </w:rPr>
      </w:pPr>
      <w:r w:rsidRPr="004737C5">
        <w:rPr>
          <w:rFonts w:cstheme="minorHAnsi"/>
        </w:rPr>
        <w:t xml:space="preserve">Even basic </w:t>
      </w:r>
      <w:r w:rsidR="001A51FB" w:rsidRPr="004737C5">
        <w:rPr>
          <w:rFonts w:cstheme="minorHAnsi"/>
          <w:color w:val="000000"/>
        </w:rPr>
        <w:t>“delivery issues”</w:t>
      </w:r>
      <w:r w:rsidRPr="004737C5">
        <w:rPr>
          <w:rFonts w:cstheme="minorHAnsi"/>
          <w:color w:val="000000"/>
        </w:rPr>
        <w:t xml:space="preserve"> matter. According to a European Union study, consumers reported problems in </w:t>
      </w:r>
      <w:r w:rsidR="001A51FB" w:rsidRPr="004737C5">
        <w:rPr>
          <w:rFonts w:cstheme="minorHAnsi"/>
          <w:color w:val="000000"/>
        </w:rPr>
        <w:t>Bulgaria, Poland, Romania</w:t>
      </w:r>
      <w:r w:rsidRPr="004737C5">
        <w:rPr>
          <w:rFonts w:cstheme="minorHAnsi"/>
          <w:color w:val="000000"/>
        </w:rPr>
        <w:t xml:space="preserve"> and the United Kingdom </w:t>
      </w:r>
      <w:r w:rsidR="001A51FB" w:rsidRPr="004737C5">
        <w:rPr>
          <w:rFonts w:cstheme="minorHAnsi"/>
          <w:color w:val="000000"/>
        </w:rPr>
        <w:t xml:space="preserve">of Great Britain and Northern Ireland </w:t>
      </w:r>
      <w:r w:rsidRPr="004737C5">
        <w:rPr>
          <w:rFonts w:cstheme="minorHAnsi"/>
          <w:color w:val="000000"/>
        </w:rPr>
        <w:t>in terms of long delivery times for online shopping from other European Union countri</w:t>
      </w:r>
      <w:r w:rsidR="001A51FB" w:rsidRPr="004737C5">
        <w:rPr>
          <w:rFonts w:cstheme="minorHAnsi"/>
          <w:color w:val="000000"/>
        </w:rPr>
        <w:t>es. This concern featured in 40‒50 percent</w:t>
      </w:r>
      <w:r w:rsidRPr="004737C5">
        <w:rPr>
          <w:rFonts w:cstheme="minorHAnsi"/>
          <w:color w:val="000000"/>
        </w:rPr>
        <w:t xml:space="preserve"> of responses to the 2012 survey mentioned above.</w:t>
      </w:r>
      <w:r w:rsidRPr="004737C5">
        <w:rPr>
          <w:rStyle w:val="FootnoteReference"/>
          <w:rFonts w:cstheme="minorHAnsi"/>
          <w:color w:val="000000"/>
        </w:rPr>
        <w:footnoteReference w:id="226"/>
      </w:r>
      <w:r w:rsidR="00AB2007" w:rsidRPr="004737C5">
        <w:rPr>
          <w:rFonts w:cstheme="minorHAnsi"/>
          <w:color w:val="000000"/>
        </w:rPr>
        <w:t xml:space="preserve"> As </w:t>
      </w:r>
      <w:r w:rsidR="00AB2007" w:rsidRPr="004737C5">
        <w:rPr>
          <w:rFonts w:cstheme="minorHAnsi"/>
          <w:color w:val="000000"/>
        </w:rPr>
        <w:lastRenderedPageBreak/>
        <w:t>discussed in b</w:t>
      </w:r>
      <w:r w:rsidRPr="004737C5">
        <w:rPr>
          <w:rFonts w:cstheme="minorHAnsi"/>
          <w:color w:val="000000"/>
        </w:rPr>
        <w:t xml:space="preserve">ox 11, UNCTAD lists postal reliability as one of four indicators of internet-readiness and it reports that </w:t>
      </w:r>
      <w:r w:rsidR="00AB2007" w:rsidRPr="004737C5">
        <w:rPr>
          <w:rFonts w:cstheme="minorHAnsi"/>
        </w:rPr>
        <w:t>i</w:t>
      </w:r>
      <w:r w:rsidRPr="004737C5">
        <w:rPr>
          <w:rFonts w:cstheme="minorHAnsi"/>
        </w:rPr>
        <w:t>nternational postal deliveries of small packets have seen rapid growth, which it attributes mainly to e-comme</w:t>
      </w:r>
      <w:r w:rsidR="00AB2007" w:rsidRPr="004737C5">
        <w:rPr>
          <w:rFonts w:cstheme="minorHAnsi"/>
        </w:rPr>
        <w:t>rce, the volume having risen by 48 percent</w:t>
      </w:r>
      <w:r w:rsidRPr="004737C5">
        <w:rPr>
          <w:rFonts w:cstheme="minorHAnsi"/>
        </w:rPr>
        <w:t xml:space="preserve"> between 2011 and 2014.</w:t>
      </w:r>
      <w:r w:rsidRPr="004737C5">
        <w:rPr>
          <w:rStyle w:val="FootnoteReference"/>
          <w:rFonts w:cstheme="minorHAnsi"/>
        </w:rPr>
        <w:footnoteReference w:id="227"/>
      </w:r>
      <w:r w:rsidRPr="004737C5">
        <w:rPr>
          <w:rFonts w:cstheme="minorHAnsi"/>
        </w:rPr>
        <w:t xml:space="preserve"> The growth of e-commerce, while undoubtedly having an impact on letter post may well bring new in revenue into the postal delivery service. </w:t>
      </w:r>
    </w:p>
    <w:p w14:paraId="24625A46" w14:textId="77777777" w:rsidR="00BE71E3" w:rsidRPr="004737C5" w:rsidRDefault="00BE71E3" w:rsidP="006D3BE8">
      <w:pPr>
        <w:rPr>
          <w:rFonts w:cstheme="minorHAnsi"/>
        </w:rPr>
      </w:pPr>
      <w:r w:rsidRPr="004737C5">
        <w:rPr>
          <w:rFonts w:cstheme="minorHAnsi"/>
        </w:rPr>
        <w:t>As the Chinese experience shows, the trust-building imperative is as compelling today as it was in the early days of e-commerce. Nevertheless, it is worth noting tha</w:t>
      </w:r>
      <w:r w:rsidR="00AB2007" w:rsidRPr="004737C5">
        <w:rPr>
          <w:rFonts w:cstheme="minorHAnsi"/>
        </w:rPr>
        <w:t>t,</w:t>
      </w:r>
      <w:r w:rsidRPr="004737C5">
        <w:rPr>
          <w:rFonts w:cstheme="minorHAnsi"/>
        </w:rPr>
        <w:t xml:space="preserve"> even </w:t>
      </w:r>
      <w:r w:rsidR="00AB2007" w:rsidRPr="004737C5">
        <w:rPr>
          <w:rFonts w:cstheme="minorHAnsi"/>
        </w:rPr>
        <w:t>in the rich European market, 50 percent of households use the i</w:t>
      </w:r>
      <w:r w:rsidRPr="004737C5">
        <w:rPr>
          <w:rFonts w:cstheme="minorHAnsi"/>
        </w:rPr>
        <w:t>nternet every day, while 30</w:t>
      </w:r>
      <w:r w:rsidR="00AB2007" w:rsidRPr="004737C5">
        <w:rPr>
          <w:rFonts w:cstheme="minorHAnsi"/>
        </w:rPr>
        <w:t xml:space="preserve"> percent</w:t>
      </w:r>
      <w:r w:rsidRPr="004737C5">
        <w:rPr>
          <w:rFonts w:cstheme="minorHAnsi"/>
        </w:rPr>
        <w:t xml:space="preserve"> have never used it a</w:t>
      </w:r>
      <w:r w:rsidR="00AB2007" w:rsidRPr="004737C5">
        <w:rPr>
          <w:rFonts w:cstheme="minorHAnsi"/>
        </w:rPr>
        <w:t>t all; a stark reminder of the “</w:t>
      </w:r>
      <w:r w:rsidRPr="004737C5">
        <w:rPr>
          <w:rFonts w:cstheme="minorHAnsi"/>
        </w:rPr>
        <w:t>digital divide</w:t>
      </w:r>
      <w:r w:rsidR="00AB2007" w:rsidRPr="004737C5">
        <w:rPr>
          <w:rFonts w:cstheme="minorHAnsi"/>
        </w:rPr>
        <w:t>”.</w:t>
      </w:r>
      <w:r w:rsidRPr="004737C5">
        <w:rPr>
          <w:rStyle w:val="FootnoteReference"/>
          <w:rFonts w:cstheme="minorHAnsi"/>
        </w:rPr>
        <w:footnoteReference w:id="228"/>
      </w:r>
    </w:p>
    <w:p w14:paraId="6C2DF26A" w14:textId="77777777" w:rsidR="00BE71E3" w:rsidRPr="004737C5" w:rsidRDefault="00BE71E3" w:rsidP="006D3BE8">
      <w:pPr>
        <w:rPr>
          <w:rFonts w:cstheme="minorHAnsi"/>
        </w:rPr>
      </w:pPr>
      <w:r w:rsidRPr="004737C5">
        <w:rPr>
          <w:rFonts w:cstheme="minorHAnsi"/>
        </w:rPr>
        <w:t>Mindful of its growing importa</w:t>
      </w:r>
      <w:r w:rsidR="00AB2007" w:rsidRPr="004737C5">
        <w:rPr>
          <w:rFonts w:cstheme="minorHAnsi"/>
        </w:rPr>
        <w:t>nce, the G20, under the German p</w:t>
      </w:r>
      <w:r w:rsidRPr="004737C5">
        <w:rPr>
          <w:rFonts w:cstheme="minorHAnsi"/>
        </w:rPr>
        <w:t>residency, held the first G20 Con</w:t>
      </w:r>
      <w:r w:rsidR="00AB2007" w:rsidRPr="004737C5">
        <w:rPr>
          <w:rFonts w:cstheme="minorHAnsi"/>
        </w:rPr>
        <w:t>sumer Protection Summit on 15 March 2017 on “</w:t>
      </w:r>
      <w:r w:rsidR="00AB2007" w:rsidRPr="004737C5">
        <w:rPr>
          <w:rFonts w:cstheme="minorHAnsi"/>
          <w:iCs/>
        </w:rPr>
        <w:t>b</w:t>
      </w:r>
      <w:r w:rsidRPr="004737C5">
        <w:rPr>
          <w:rFonts w:cstheme="minorHAnsi"/>
          <w:iCs/>
        </w:rPr>
        <w:t>uilding a digital world that consumers can trust</w:t>
      </w:r>
      <w:r w:rsidR="00AB2007" w:rsidRPr="004737C5">
        <w:rPr>
          <w:rFonts w:cstheme="minorHAnsi"/>
        </w:rPr>
        <w:t>”.</w:t>
      </w:r>
      <w:r w:rsidRPr="004737C5">
        <w:rPr>
          <w:rStyle w:val="FootnoteReference"/>
          <w:rFonts w:cstheme="minorHAnsi"/>
        </w:rPr>
        <w:footnoteReference w:id="229"/>
      </w:r>
      <w:r w:rsidRPr="004737C5">
        <w:rPr>
          <w:rFonts w:cstheme="minorHAnsi"/>
        </w:rPr>
        <w:t xml:space="preserve"> </w:t>
      </w:r>
      <w:r w:rsidR="00AB2007" w:rsidRPr="004737C5">
        <w:rPr>
          <w:rFonts w:cstheme="minorHAnsi"/>
        </w:rPr>
        <w:t>It</w:t>
      </w:r>
      <w:r w:rsidRPr="004737C5">
        <w:rPr>
          <w:rFonts w:cstheme="minorHAnsi"/>
        </w:rPr>
        <w:t xml:space="preserve"> address</w:t>
      </w:r>
      <w:r w:rsidR="00AB2007" w:rsidRPr="004737C5">
        <w:rPr>
          <w:rFonts w:cstheme="minorHAnsi"/>
        </w:rPr>
        <w:t xml:space="preserve">ed </w:t>
      </w:r>
      <w:r w:rsidRPr="004737C5">
        <w:rPr>
          <w:rFonts w:cstheme="minorHAnsi"/>
        </w:rPr>
        <w:t>issues</w:t>
      </w:r>
      <w:r w:rsidR="00AB2007" w:rsidRPr="004737C5">
        <w:rPr>
          <w:rFonts w:cstheme="minorHAnsi"/>
        </w:rPr>
        <w:t xml:space="preserve"> such</w:t>
      </w:r>
      <w:r w:rsidRPr="004737C5">
        <w:rPr>
          <w:rFonts w:cstheme="minorHAnsi"/>
        </w:rPr>
        <w:t xml:space="preserve"> as fair contract terms, secure payments, clear, accessible information, data security and data protection.</w:t>
      </w:r>
    </w:p>
    <w:p w14:paraId="39B9B52F" w14:textId="77777777" w:rsidR="00BE71E3" w:rsidRPr="004737C5" w:rsidRDefault="00AB2007" w:rsidP="00857811">
      <w:pPr>
        <w:pStyle w:val="Heading2"/>
        <w:spacing w:after="160"/>
        <w:rPr>
          <w:rFonts w:cstheme="minorHAnsi"/>
          <w:color w:val="auto"/>
          <w:sz w:val="24"/>
          <w:szCs w:val="24"/>
        </w:rPr>
      </w:pPr>
      <w:bookmarkStart w:id="243" w:name="_Toc454293858"/>
      <w:bookmarkStart w:id="244" w:name="_Toc489950294"/>
      <w:bookmarkStart w:id="245" w:name="_Toc492650081"/>
      <w:r w:rsidRPr="004737C5">
        <w:rPr>
          <w:rFonts w:cstheme="minorHAnsi"/>
          <w:color w:val="auto"/>
          <w:sz w:val="24"/>
          <w:szCs w:val="24"/>
        </w:rPr>
        <w:t>D.</w:t>
      </w:r>
      <w:r w:rsidR="00BE71E3" w:rsidRPr="004737C5">
        <w:rPr>
          <w:rFonts w:cstheme="minorHAnsi"/>
          <w:color w:val="auto"/>
          <w:sz w:val="24"/>
          <w:szCs w:val="24"/>
        </w:rPr>
        <w:t xml:space="preserve"> Guidelines from t</w:t>
      </w:r>
      <w:r w:rsidRPr="004737C5">
        <w:rPr>
          <w:rFonts w:cstheme="minorHAnsi"/>
          <w:color w:val="auto"/>
          <w:sz w:val="24"/>
          <w:szCs w:val="24"/>
        </w:rPr>
        <w:t>he Organis</w:t>
      </w:r>
      <w:r w:rsidR="00BE71E3" w:rsidRPr="004737C5">
        <w:rPr>
          <w:rFonts w:cstheme="minorHAnsi"/>
          <w:color w:val="auto"/>
          <w:sz w:val="24"/>
          <w:szCs w:val="24"/>
        </w:rPr>
        <w:t>ation for Economic Cooperation and Development</w:t>
      </w:r>
      <w:bookmarkEnd w:id="243"/>
      <w:bookmarkEnd w:id="244"/>
      <w:bookmarkEnd w:id="245"/>
    </w:p>
    <w:p w14:paraId="24689C79" w14:textId="77777777" w:rsidR="00BE71E3" w:rsidRPr="004737C5" w:rsidRDefault="00BE71E3" w:rsidP="006D3BE8">
      <w:pPr>
        <w:rPr>
          <w:rFonts w:cstheme="minorHAnsi"/>
        </w:rPr>
      </w:pPr>
      <w:r w:rsidRPr="004737C5">
        <w:rPr>
          <w:rFonts w:cstheme="minorHAnsi"/>
        </w:rPr>
        <w:t>Among internat</w:t>
      </w:r>
      <w:r w:rsidR="00AB2007" w:rsidRPr="004737C5">
        <w:rPr>
          <w:rFonts w:cstheme="minorHAnsi"/>
        </w:rPr>
        <w:t>ional organizations, the Organis</w:t>
      </w:r>
      <w:r w:rsidRPr="004737C5">
        <w:rPr>
          <w:rFonts w:cstheme="minorHAnsi"/>
        </w:rPr>
        <w:t>ation for Economic Cooperation and Development (OECD) has been engaged since the early days of e-commerce in promoting policies aimed at helping to build</w:t>
      </w:r>
      <w:r w:rsidR="00AB2007" w:rsidRPr="004737C5">
        <w:rPr>
          <w:rFonts w:cstheme="minorHAnsi"/>
        </w:rPr>
        <w:t xml:space="preserve"> trust. The g</w:t>
      </w:r>
      <w:r w:rsidRPr="004737C5">
        <w:rPr>
          <w:rFonts w:cstheme="minorHAnsi"/>
        </w:rPr>
        <w:t>uidelines created by the OECD in 1999 reflected existing legal protection available to consumers in more traditional forms of commerce, encouraged private sector initiatives including participation by consumer representatives and emphasized th</w:t>
      </w:r>
      <w:r w:rsidR="00AB2007" w:rsidRPr="004737C5">
        <w:rPr>
          <w:rFonts w:cstheme="minorHAnsi"/>
        </w:rPr>
        <w:t>e need for cooperation among g</w:t>
      </w:r>
      <w:r w:rsidRPr="004737C5">
        <w:rPr>
          <w:rFonts w:cstheme="minorHAnsi"/>
        </w:rPr>
        <w:t>overnments, businesses and consumers.</w:t>
      </w:r>
      <w:r w:rsidRPr="004737C5">
        <w:rPr>
          <w:rStyle w:val="FootnoteReference"/>
          <w:rFonts w:cstheme="minorHAnsi"/>
        </w:rPr>
        <w:footnoteReference w:id="230"/>
      </w:r>
      <w:r w:rsidRPr="004737C5">
        <w:rPr>
          <w:rFonts w:cstheme="minorHAnsi"/>
        </w:rPr>
        <w:t xml:space="preserve"> They aimed to encourage: </w:t>
      </w:r>
    </w:p>
    <w:p w14:paraId="5C47A3F9" w14:textId="6D347EAE" w:rsidR="00BE71E3" w:rsidRPr="004737C5" w:rsidRDefault="00BE71E3" w:rsidP="002473E9">
      <w:pPr>
        <w:pStyle w:val="ListParagraph"/>
        <w:numPr>
          <w:ilvl w:val="0"/>
          <w:numId w:val="95"/>
        </w:numPr>
        <w:spacing w:before="120" w:after="120"/>
        <w:ind w:left="709" w:hanging="425"/>
        <w:rPr>
          <w:rFonts w:cstheme="minorHAnsi"/>
          <w:b/>
        </w:rPr>
      </w:pPr>
      <w:r w:rsidRPr="004737C5">
        <w:rPr>
          <w:rFonts w:cstheme="minorHAnsi"/>
        </w:rPr>
        <w:t>Fair business adve</w:t>
      </w:r>
      <w:r w:rsidR="003F08AB" w:rsidRPr="004737C5">
        <w:rPr>
          <w:rFonts w:cstheme="minorHAnsi"/>
        </w:rPr>
        <w:t>rtising and marketing practic</w:t>
      </w:r>
      <w:r w:rsidR="00AB2007" w:rsidRPr="004737C5">
        <w:rPr>
          <w:rFonts w:cstheme="minorHAnsi"/>
        </w:rPr>
        <w:t>es</w:t>
      </w:r>
    </w:p>
    <w:p w14:paraId="436A7560" w14:textId="77777777" w:rsidR="00BE71E3" w:rsidRPr="004737C5" w:rsidRDefault="00BE71E3" w:rsidP="002473E9">
      <w:pPr>
        <w:pStyle w:val="ListParagraph"/>
        <w:numPr>
          <w:ilvl w:val="0"/>
          <w:numId w:val="95"/>
        </w:numPr>
        <w:spacing w:before="120" w:after="120"/>
        <w:ind w:left="709" w:hanging="425"/>
        <w:rPr>
          <w:rFonts w:cstheme="minorHAnsi"/>
          <w:b/>
        </w:rPr>
      </w:pPr>
      <w:r w:rsidRPr="004737C5">
        <w:rPr>
          <w:rFonts w:cstheme="minorHAnsi"/>
        </w:rPr>
        <w:t>Clear information</w:t>
      </w:r>
      <w:r w:rsidR="00AB2007" w:rsidRPr="004737C5">
        <w:rPr>
          <w:rFonts w:cstheme="minorHAnsi"/>
        </w:rPr>
        <w:t xml:space="preserve"> about online business identity</w:t>
      </w:r>
    </w:p>
    <w:p w14:paraId="6625CF9F" w14:textId="77777777" w:rsidR="00BE71E3" w:rsidRPr="004737C5" w:rsidRDefault="00BE71E3" w:rsidP="002473E9">
      <w:pPr>
        <w:pStyle w:val="ListParagraph"/>
        <w:numPr>
          <w:ilvl w:val="0"/>
          <w:numId w:val="95"/>
        </w:numPr>
        <w:spacing w:before="120" w:after="120"/>
        <w:rPr>
          <w:rFonts w:cstheme="minorHAnsi"/>
          <w:b/>
        </w:rPr>
      </w:pPr>
      <w:r w:rsidRPr="004737C5">
        <w:rPr>
          <w:rFonts w:cstheme="minorHAnsi"/>
        </w:rPr>
        <w:t>Information about the goods or services on offer and the terms an</w:t>
      </w:r>
      <w:r w:rsidR="00AB2007" w:rsidRPr="004737C5">
        <w:rPr>
          <w:rFonts w:cstheme="minorHAnsi"/>
        </w:rPr>
        <w:t>d conditions of any transaction</w:t>
      </w:r>
    </w:p>
    <w:p w14:paraId="539AE83E" w14:textId="77777777" w:rsidR="00BE71E3" w:rsidRPr="004737C5" w:rsidRDefault="00BE71E3" w:rsidP="002473E9">
      <w:pPr>
        <w:pStyle w:val="ListParagraph"/>
        <w:numPr>
          <w:ilvl w:val="0"/>
          <w:numId w:val="95"/>
        </w:numPr>
        <w:spacing w:before="120" w:after="120"/>
        <w:rPr>
          <w:rFonts w:cstheme="minorHAnsi"/>
          <w:b/>
        </w:rPr>
      </w:pPr>
      <w:r w:rsidRPr="004737C5">
        <w:rPr>
          <w:rFonts w:cstheme="minorHAnsi"/>
        </w:rPr>
        <w:t>Transparent processes for t</w:t>
      </w:r>
      <w:r w:rsidR="00AB2007" w:rsidRPr="004737C5">
        <w:rPr>
          <w:rFonts w:cstheme="minorHAnsi"/>
        </w:rPr>
        <w:t>he confirmation of transactions</w:t>
      </w:r>
    </w:p>
    <w:p w14:paraId="78CC786C" w14:textId="77777777" w:rsidR="00BE71E3" w:rsidRPr="004737C5" w:rsidRDefault="00AB2007" w:rsidP="002473E9">
      <w:pPr>
        <w:pStyle w:val="ListParagraph"/>
        <w:numPr>
          <w:ilvl w:val="0"/>
          <w:numId w:val="95"/>
        </w:numPr>
        <w:spacing w:before="120" w:after="120"/>
        <w:rPr>
          <w:rFonts w:cstheme="minorHAnsi"/>
          <w:b/>
        </w:rPr>
      </w:pPr>
      <w:r w:rsidRPr="004737C5">
        <w:rPr>
          <w:rFonts w:cstheme="minorHAnsi"/>
        </w:rPr>
        <w:t>Secure payment mechanisms</w:t>
      </w:r>
    </w:p>
    <w:p w14:paraId="5734C8A2" w14:textId="77777777" w:rsidR="00BE71E3" w:rsidRPr="004737C5" w:rsidRDefault="00BE71E3" w:rsidP="002473E9">
      <w:pPr>
        <w:pStyle w:val="ListParagraph"/>
        <w:numPr>
          <w:ilvl w:val="0"/>
          <w:numId w:val="95"/>
        </w:numPr>
        <w:spacing w:before="120" w:after="120"/>
        <w:rPr>
          <w:rFonts w:cstheme="minorHAnsi"/>
          <w:b/>
        </w:rPr>
      </w:pPr>
      <w:r w:rsidRPr="004737C5">
        <w:rPr>
          <w:rFonts w:cstheme="minorHAnsi"/>
        </w:rPr>
        <w:t>Fair, timely and affordable</w:t>
      </w:r>
      <w:r w:rsidR="00AB2007" w:rsidRPr="004737C5">
        <w:rPr>
          <w:rFonts w:cstheme="minorHAnsi"/>
        </w:rPr>
        <w:t xml:space="preserve"> dispute resolution and redress</w:t>
      </w:r>
    </w:p>
    <w:p w14:paraId="1F01E35E" w14:textId="77777777" w:rsidR="00BE71E3" w:rsidRPr="004737C5" w:rsidRDefault="00AB2007" w:rsidP="002473E9">
      <w:pPr>
        <w:pStyle w:val="ListParagraph"/>
        <w:numPr>
          <w:ilvl w:val="0"/>
          <w:numId w:val="95"/>
        </w:numPr>
        <w:spacing w:before="120" w:after="120"/>
        <w:rPr>
          <w:rFonts w:cstheme="minorHAnsi"/>
          <w:b/>
        </w:rPr>
      </w:pPr>
      <w:r w:rsidRPr="004737C5">
        <w:rPr>
          <w:rFonts w:cstheme="minorHAnsi"/>
        </w:rPr>
        <w:t>Privacy protection</w:t>
      </w:r>
    </w:p>
    <w:p w14:paraId="267C51EF" w14:textId="77777777" w:rsidR="00BE71E3" w:rsidRPr="004737C5" w:rsidRDefault="00AB2007" w:rsidP="002473E9">
      <w:pPr>
        <w:pStyle w:val="ListParagraph"/>
        <w:numPr>
          <w:ilvl w:val="0"/>
          <w:numId w:val="95"/>
        </w:numPr>
        <w:spacing w:before="120" w:after="120"/>
        <w:rPr>
          <w:rFonts w:cstheme="minorHAnsi"/>
          <w:b/>
        </w:rPr>
      </w:pPr>
      <w:r w:rsidRPr="004737C5">
        <w:rPr>
          <w:rFonts w:cstheme="minorHAnsi"/>
        </w:rPr>
        <w:t>Consumer and business education</w:t>
      </w:r>
    </w:p>
    <w:p w14:paraId="0A600DED" w14:textId="77777777" w:rsidR="00BE71E3" w:rsidRPr="004737C5" w:rsidRDefault="00BE71E3" w:rsidP="006D3BE8">
      <w:pPr>
        <w:rPr>
          <w:rFonts w:cstheme="minorHAnsi"/>
        </w:rPr>
      </w:pPr>
      <w:r w:rsidRPr="004737C5">
        <w:rPr>
          <w:rFonts w:cstheme="minorHAnsi"/>
        </w:rPr>
        <w:t>These guidelines have carried weight, which will doubtless have been increase</w:t>
      </w:r>
      <w:r w:rsidR="00AB2007" w:rsidRPr="004737C5">
        <w:rPr>
          <w:rFonts w:cstheme="minorHAnsi"/>
        </w:rPr>
        <w:t>d by the expansion of the OECD’s m</w:t>
      </w:r>
      <w:r w:rsidRPr="004737C5">
        <w:rPr>
          <w:rFonts w:cstheme="minorHAnsi"/>
        </w:rPr>
        <w:t xml:space="preserve">embership since 1999 and the participation of non-OECD countries in </w:t>
      </w:r>
      <w:r w:rsidR="00AB2007" w:rsidRPr="004737C5">
        <w:rPr>
          <w:rFonts w:cstheme="minorHAnsi"/>
        </w:rPr>
        <w:t>the revision process that ended</w:t>
      </w:r>
      <w:r w:rsidRPr="004737C5">
        <w:rPr>
          <w:rFonts w:cstheme="minorHAnsi"/>
        </w:rPr>
        <w:t xml:space="preserve"> in 2016.</w:t>
      </w:r>
      <w:r w:rsidRPr="004737C5">
        <w:rPr>
          <w:rStyle w:val="FootnoteReference"/>
          <w:rFonts w:cstheme="minorHAnsi"/>
        </w:rPr>
        <w:footnoteReference w:id="231"/>
      </w:r>
    </w:p>
    <w:p w14:paraId="2202F73F" w14:textId="77777777" w:rsidR="00BE71E3" w:rsidRPr="004737C5" w:rsidRDefault="00AB2007" w:rsidP="006D3BE8">
      <w:pPr>
        <w:rPr>
          <w:rFonts w:cstheme="minorHAnsi"/>
        </w:rPr>
      </w:pPr>
      <w:r w:rsidRPr="004737C5">
        <w:rPr>
          <w:rFonts w:cstheme="minorHAnsi"/>
        </w:rPr>
        <w:t>The reference to the OECD g</w:t>
      </w:r>
      <w:r w:rsidR="00BE71E3" w:rsidRPr="004737C5">
        <w:rPr>
          <w:rFonts w:cstheme="minorHAnsi"/>
        </w:rPr>
        <w:t>uidelines in the UNGCP is</w:t>
      </w:r>
      <w:r w:rsidRPr="004737C5">
        <w:rPr>
          <w:rFonts w:cstheme="minorHAnsi"/>
        </w:rPr>
        <w:t xml:space="preserve"> a reference to more than the g</w:t>
      </w:r>
      <w:r w:rsidR="00BE71E3" w:rsidRPr="004737C5">
        <w:rPr>
          <w:rFonts w:cstheme="minorHAnsi"/>
        </w:rPr>
        <w:t xml:space="preserve">uidelines themselves. </w:t>
      </w:r>
      <w:r w:rsidRPr="004737C5">
        <w:rPr>
          <w:rFonts w:cstheme="minorHAnsi"/>
        </w:rPr>
        <w:t>In turn the e-commerce g</w:t>
      </w:r>
      <w:r w:rsidR="00BE71E3" w:rsidRPr="004737C5">
        <w:rPr>
          <w:rFonts w:cstheme="minorHAnsi"/>
        </w:rPr>
        <w:t>uidelines refer t</w:t>
      </w:r>
      <w:r w:rsidRPr="004737C5">
        <w:rPr>
          <w:rFonts w:cstheme="minorHAnsi"/>
        </w:rPr>
        <w:t>o a set of other OECD documents</w:t>
      </w:r>
      <w:r w:rsidR="00BE71E3" w:rsidRPr="004737C5">
        <w:rPr>
          <w:rFonts w:cstheme="minorHAnsi"/>
        </w:rPr>
        <w:t xml:space="preserve"> concerned with fraud, dispute resolution, privacy, risk</w:t>
      </w:r>
      <w:r w:rsidRPr="004737C5">
        <w:rPr>
          <w:rFonts w:cstheme="minorHAnsi"/>
        </w:rPr>
        <w:t xml:space="preserve"> management and internet policy</w:t>
      </w:r>
      <w:r w:rsidR="00BE71E3" w:rsidRPr="004737C5">
        <w:rPr>
          <w:rFonts w:cstheme="minorHAnsi"/>
        </w:rPr>
        <w:t>making.</w:t>
      </w:r>
      <w:r w:rsidR="00BE71E3" w:rsidRPr="004737C5">
        <w:rPr>
          <w:rStyle w:val="FootnoteReference"/>
          <w:rFonts w:cstheme="minorHAnsi"/>
        </w:rPr>
        <w:footnoteReference w:id="232"/>
      </w:r>
    </w:p>
    <w:p w14:paraId="66D3DD90" w14:textId="77777777" w:rsidR="00BE71E3" w:rsidRPr="004737C5" w:rsidRDefault="00BE71E3" w:rsidP="00857811">
      <w:pPr>
        <w:pStyle w:val="Heading3"/>
        <w:spacing w:after="160" w:line="240" w:lineRule="auto"/>
        <w:rPr>
          <w:rFonts w:cstheme="minorHAnsi"/>
          <w:color w:val="auto"/>
        </w:rPr>
      </w:pPr>
      <w:bookmarkStart w:id="246" w:name="_Toc454293859"/>
      <w:bookmarkStart w:id="247" w:name="_Toc489950295"/>
      <w:bookmarkStart w:id="248" w:name="_Toc492650082"/>
      <w:r w:rsidRPr="004737C5">
        <w:rPr>
          <w:rFonts w:cstheme="minorHAnsi"/>
          <w:color w:val="auto"/>
        </w:rPr>
        <w:lastRenderedPageBreak/>
        <w:t>1</w:t>
      </w:r>
      <w:r w:rsidR="00AB2007" w:rsidRPr="004737C5">
        <w:rPr>
          <w:rFonts w:cstheme="minorHAnsi"/>
          <w:color w:val="auto"/>
        </w:rPr>
        <w:t>.</w:t>
      </w:r>
      <w:r w:rsidRPr="004737C5">
        <w:rPr>
          <w:rFonts w:cstheme="minorHAnsi"/>
          <w:color w:val="auto"/>
        </w:rPr>
        <w:t xml:space="preserve"> Applicable law for cross-border redress</w:t>
      </w:r>
      <w:bookmarkEnd w:id="246"/>
      <w:bookmarkEnd w:id="247"/>
      <w:bookmarkEnd w:id="248"/>
    </w:p>
    <w:p w14:paraId="68E7C78F" w14:textId="77777777" w:rsidR="00BE71E3" w:rsidRPr="004737C5" w:rsidRDefault="00BE71E3" w:rsidP="006D3BE8">
      <w:pPr>
        <w:rPr>
          <w:rFonts w:cstheme="minorHAnsi"/>
        </w:rPr>
      </w:pPr>
      <w:r w:rsidRPr="004737C5">
        <w:rPr>
          <w:rFonts w:cstheme="minorHAnsi"/>
        </w:rPr>
        <w:t>As suggested above, the lack of effective consumer redress when parties are in different countries remains a major barrier to consumer confidence and the problems of consumer redress in the event of cross-border disputes, which thus need to be resolved. But the problem of applicable law and its enforcement in the context o</w:t>
      </w:r>
      <w:r w:rsidR="00AB2007" w:rsidRPr="004737C5">
        <w:rPr>
          <w:rFonts w:cstheme="minorHAnsi"/>
        </w:rPr>
        <w:t>f an increasing number of cross-</w:t>
      </w:r>
      <w:r w:rsidRPr="004737C5">
        <w:rPr>
          <w:rFonts w:cstheme="minorHAnsi"/>
        </w:rPr>
        <w:t xml:space="preserve">border transactions is proving to be intractable. </w:t>
      </w:r>
    </w:p>
    <w:p w14:paraId="1EDFA885" w14:textId="77777777" w:rsidR="00BE71E3" w:rsidRPr="004737C5" w:rsidRDefault="00AB2007" w:rsidP="006D3BE8">
      <w:pPr>
        <w:rPr>
          <w:rFonts w:cstheme="minorHAnsi"/>
        </w:rPr>
      </w:pPr>
      <w:r w:rsidRPr="004737C5">
        <w:rPr>
          <w:rFonts w:cstheme="minorHAnsi"/>
        </w:rPr>
        <w:t>While both appeal to g</w:t>
      </w:r>
      <w:r w:rsidR="00BE71E3" w:rsidRPr="004737C5">
        <w:rPr>
          <w:rFonts w:cstheme="minorHAnsi"/>
        </w:rPr>
        <w:t>overnments to coopera</w:t>
      </w:r>
      <w:r w:rsidR="00BF5195" w:rsidRPr="004737C5">
        <w:rPr>
          <w:rFonts w:cstheme="minorHAnsi"/>
        </w:rPr>
        <w:t xml:space="preserve">te, neither the OECD </w:t>
      </w:r>
      <w:r w:rsidR="00BE71E3" w:rsidRPr="004737C5">
        <w:rPr>
          <w:rFonts w:cstheme="minorHAnsi"/>
        </w:rPr>
        <w:t xml:space="preserve">nor </w:t>
      </w:r>
      <w:r w:rsidR="00BF5195" w:rsidRPr="004737C5">
        <w:rPr>
          <w:rFonts w:cstheme="minorHAnsi"/>
        </w:rPr>
        <w:t>United Nations g</w:t>
      </w:r>
      <w:r w:rsidR="00BE71E3" w:rsidRPr="004737C5">
        <w:rPr>
          <w:rFonts w:cstheme="minorHAnsi"/>
        </w:rPr>
        <w:t xml:space="preserve">uidelines have come up with a definitive solution in </w:t>
      </w:r>
      <w:r w:rsidR="00BF5195" w:rsidRPr="004737C5">
        <w:rPr>
          <w:rFonts w:cstheme="minorHAnsi"/>
        </w:rPr>
        <w:t>jurisdictional terms. The OECD g</w:t>
      </w:r>
      <w:r w:rsidR="00BE71E3" w:rsidRPr="004737C5">
        <w:rPr>
          <w:rFonts w:cstheme="minorHAnsi"/>
        </w:rPr>
        <w:t>ui</w:t>
      </w:r>
      <w:r w:rsidR="00BF5195" w:rsidRPr="004737C5">
        <w:rPr>
          <w:rFonts w:cstheme="minorHAnsi"/>
        </w:rPr>
        <w:t>delines in paragraph 54.vi ask governments to “</w:t>
      </w:r>
      <w:r w:rsidR="00BE71E3" w:rsidRPr="004737C5">
        <w:rPr>
          <w:rFonts w:cstheme="minorHAnsi"/>
        </w:rPr>
        <w:t>consider the role of applicable law and jurisdiction in enhanci</w:t>
      </w:r>
      <w:r w:rsidR="00BF5195" w:rsidRPr="004737C5">
        <w:rPr>
          <w:rFonts w:cstheme="minorHAnsi"/>
        </w:rPr>
        <w:t>ng consumer trust in e-commerce.”</w:t>
      </w:r>
      <w:r w:rsidR="00BE71E3" w:rsidRPr="004737C5">
        <w:rPr>
          <w:rFonts w:cstheme="minorHAnsi"/>
        </w:rPr>
        <w:t xml:space="preserve"> </w:t>
      </w:r>
      <w:r w:rsidR="00BF5195" w:rsidRPr="004737C5">
        <w:rPr>
          <w:rFonts w:cstheme="minorHAnsi"/>
        </w:rPr>
        <w:t>The same phrase,</w:t>
      </w:r>
      <w:r w:rsidR="00BE71E3" w:rsidRPr="004737C5">
        <w:rPr>
          <w:rFonts w:cstheme="minorHAnsi"/>
        </w:rPr>
        <w:t xml:space="preserve"> “applicable law and jurisdiction”</w:t>
      </w:r>
      <w:r w:rsidR="00BF5195" w:rsidRPr="004737C5">
        <w:rPr>
          <w:rFonts w:cstheme="minorHAnsi"/>
        </w:rPr>
        <w:t>,</w:t>
      </w:r>
      <w:r w:rsidR="00BE71E3" w:rsidRPr="004737C5">
        <w:rPr>
          <w:rFonts w:cstheme="minorHAnsi"/>
        </w:rPr>
        <w:t xml:space="preserve"> is used in the resolution part of the</w:t>
      </w:r>
      <w:r w:rsidR="00BF5195" w:rsidRPr="004737C5">
        <w:rPr>
          <w:rFonts w:cstheme="minorHAnsi"/>
        </w:rPr>
        <w:t xml:space="preserve"> UNGCP with a similar plea for “</w:t>
      </w:r>
      <w:r w:rsidR="00BE71E3" w:rsidRPr="004737C5">
        <w:rPr>
          <w:rFonts w:cstheme="minorHAnsi"/>
        </w:rPr>
        <w:t>special attention</w:t>
      </w:r>
      <w:r w:rsidR="00BF5195" w:rsidRPr="004737C5">
        <w:rPr>
          <w:rFonts w:cstheme="minorHAnsi"/>
        </w:rPr>
        <w:t>”.</w:t>
      </w:r>
      <w:r w:rsidR="00BE71E3" w:rsidRPr="004737C5">
        <w:rPr>
          <w:rFonts w:cstheme="minorHAnsi"/>
        </w:rPr>
        <w:t xml:space="preserve"> This lack of clarity is likely to increase the salience of such mechanisms as A</w:t>
      </w:r>
      <w:r w:rsidR="00BF5195" w:rsidRPr="004737C5">
        <w:rPr>
          <w:rFonts w:cstheme="minorHAnsi"/>
        </w:rPr>
        <w:t>lipay and chargeback which are “</w:t>
      </w:r>
      <w:r w:rsidR="00BE71E3" w:rsidRPr="004737C5">
        <w:rPr>
          <w:rFonts w:cstheme="minorHAnsi"/>
        </w:rPr>
        <w:t>propr</w:t>
      </w:r>
      <w:r w:rsidR="00BF5195" w:rsidRPr="004737C5">
        <w:rPr>
          <w:rFonts w:cstheme="minorHAnsi"/>
        </w:rPr>
        <w:t>ietary” rather than jurisdiction-</w:t>
      </w:r>
      <w:r w:rsidR="00BE71E3" w:rsidRPr="004737C5">
        <w:rPr>
          <w:rFonts w:cstheme="minorHAnsi"/>
        </w:rPr>
        <w:t>based.</w:t>
      </w:r>
    </w:p>
    <w:p w14:paraId="0550BB8E" w14:textId="77777777" w:rsidR="00BE71E3" w:rsidRPr="004737C5" w:rsidRDefault="00BE71E3" w:rsidP="00857811">
      <w:pPr>
        <w:pStyle w:val="Heading3"/>
        <w:spacing w:after="160" w:line="240" w:lineRule="auto"/>
        <w:rPr>
          <w:rFonts w:cstheme="minorHAnsi"/>
        </w:rPr>
      </w:pPr>
      <w:bookmarkStart w:id="249" w:name="_Toc454293860"/>
      <w:bookmarkStart w:id="250" w:name="_Toc489950296"/>
      <w:bookmarkStart w:id="251" w:name="_Toc492650083"/>
      <w:r w:rsidRPr="004737C5">
        <w:rPr>
          <w:rFonts w:cstheme="minorHAnsi"/>
          <w:color w:val="auto"/>
        </w:rPr>
        <w:t>2</w:t>
      </w:r>
      <w:r w:rsidR="00BF5195" w:rsidRPr="004737C5">
        <w:rPr>
          <w:rFonts w:cstheme="minorHAnsi"/>
          <w:color w:val="auto"/>
        </w:rPr>
        <w:t>.</w:t>
      </w:r>
      <w:r w:rsidRPr="004737C5">
        <w:rPr>
          <w:rFonts w:cstheme="minorHAnsi"/>
          <w:color w:val="auto"/>
        </w:rPr>
        <w:t xml:space="preserve"> Identification of the provider</w:t>
      </w:r>
      <w:bookmarkEnd w:id="249"/>
      <w:bookmarkEnd w:id="250"/>
      <w:bookmarkEnd w:id="251"/>
      <w:r w:rsidRPr="004737C5">
        <w:rPr>
          <w:rFonts w:cstheme="minorHAnsi"/>
          <w:color w:val="auto"/>
        </w:rPr>
        <w:t xml:space="preserve"> </w:t>
      </w:r>
    </w:p>
    <w:p w14:paraId="0537E3C6" w14:textId="77777777" w:rsidR="00BE71E3" w:rsidRPr="004737C5" w:rsidRDefault="00BE71E3" w:rsidP="006D3BE8">
      <w:pPr>
        <w:rPr>
          <w:rFonts w:cstheme="minorHAnsi"/>
        </w:rPr>
      </w:pPr>
      <w:r w:rsidRPr="004737C5">
        <w:rPr>
          <w:rFonts w:cstheme="minorHAnsi"/>
        </w:rPr>
        <w:t>Consumers can be faced with the difficulty of establishing the identity and location of the provider with whom they are dealing, although this may be the most important issue that contributes to establishing confidence in</w:t>
      </w:r>
      <w:r w:rsidR="00BF5195" w:rsidRPr="004737C5">
        <w:rPr>
          <w:rFonts w:cstheme="minorHAnsi"/>
        </w:rPr>
        <w:t xml:space="preserve"> the consumer’s mind. Paragraphs 28‒30 of the OECD guidelines set out detailed requirements for “information about the business” including “</w:t>
      </w:r>
      <w:r w:rsidRPr="004737C5">
        <w:rPr>
          <w:rFonts w:cstheme="minorHAnsi"/>
        </w:rPr>
        <w:t>appropriate domain name registration information for websites that are promoting or engaging in commercial transactions with consumers</w:t>
      </w:r>
      <w:r w:rsidR="00BF5195" w:rsidRPr="004737C5">
        <w:rPr>
          <w:rFonts w:cstheme="minorHAnsi"/>
        </w:rPr>
        <w:t>”.</w:t>
      </w:r>
      <w:r w:rsidRPr="004737C5">
        <w:rPr>
          <w:rFonts w:cstheme="minorHAnsi"/>
        </w:rPr>
        <w:t xml:space="preserve"> Paragraph 30 makes the link to self-regulation schemes and the need for consumers to be able to verify membership. This p</w:t>
      </w:r>
      <w:r w:rsidR="00A80CAC" w:rsidRPr="004737C5">
        <w:rPr>
          <w:rFonts w:cstheme="minorHAnsi"/>
        </w:rPr>
        <w:t>rovision is backed up by UNGCP g</w:t>
      </w:r>
      <w:r w:rsidRPr="004737C5">
        <w:rPr>
          <w:rFonts w:cstheme="minorHAnsi"/>
        </w:rPr>
        <w:t>uideline 14b under national policies for consumer protection (except for the mention of domain name registration).</w:t>
      </w:r>
    </w:p>
    <w:p w14:paraId="4C29C459" w14:textId="77777777" w:rsidR="00BE71E3" w:rsidRPr="004737C5" w:rsidRDefault="00BE71E3" w:rsidP="00857811">
      <w:pPr>
        <w:pStyle w:val="Heading3"/>
        <w:spacing w:after="160" w:line="240" w:lineRule="auto"/>
        <w:rPr>
          <w:rFonts w:cstheme="minorHAnsi"/>
          <w:color w:val="auto"/>
        </w:rPr>
      </w:pPr>
      <w:bookmarkStart w:id="252" w:name="_Toc454293861"/>
      <w:bookmarkStart w:id="253" w:name="_Toc489950297"/>
      <w:bookmarkStart w:id="254" w:name="_Toc492650084"/>
      <w:r w:rsidRPr="004737C5">
        <w:rPr>
          <w:rFonts w:cstheme="minorHAnsi"/>
          <w:color w:val="auto"/>
        </w:rPr>
        <w:t>3</w:t>
      </w:r>
      <w:r w:rsidR="00BF5195" w:rsidRPr="004737C5">
        <w:rPr>
          <w:rFonts w:cstheme="minorHAnsi"/>
          <w:color w:val="auto"/>
        </w:rPr>
        <w:t>.</w:t>
      </w:r>
      <w:r w:rsidRPr="004737C5">
        <w:rPr>
          <w:rFonts w:cstheme="minorHAnsi"/>
          <w:color w:val="auto"/>
        </w:rPr>
        <w:t xml:space="preserve"> Authentication of the consumer</w:t>
      </w:r>
      <w:bookmarkEnd w:id="252"/>
      <w:bookmarkEnd w:id="253"/>
      <w:bookmarkEnd w:id="254"/>
    </w:p>
    <w:p w14:paraId="795E649E" w14:textId="77777777" w:rsidR="00BE71E3" w:rsidRPr="004737C5" w:rsidRDefault="00BE71E3" w:rsidP="006D3BE8">
      <w:pPr>
        <w:rPr>
          <w:rFonts w:cstheme="minorHAnsi"/>
          <w:color w:val="000000"/>
        </w:rPr>
      </w:pPr>
      <w:r w:rsidRPr="004737C5">
        <w:rPr>
          <w:rFonts w:cstheme="minorHAnsi"/>
          <w:color w:val="000000"/>
        </w:rPr>
        <w:t>Faced with growing awareness of the risk of identity theft, t</w:t>
      </w:r>
      <w:r w:rsidRPr="004737C5">
        <w:rPr>
          <w:rFonts w:cstheme="minorHAnsi"/>
        </w:rPr>
        <w:t>he European Union’s Paym</w:t>
      </w:r>
      <w:r w:rsidR="00BF5195" w:rsidRPr="004737C5">
        <w:rPr>
          <w:rFonts w:cstheme="minorHAnsi"/>
        </w:rPr>
        <w:t>ent Services Directive defines “</w:t>
      </w:r>
      <w:r w:rsidRPr="004737C5">
        <w:rPr>
          <w:rFonts w:cstheme="minorHAnsi"/>
        </w:rPr>
        <w:t>strong customer identification</w:t>
      </w:r>
      <w:r w:rsidR="00BF5195" w:rsidRPr="004737C5">
        <w:rPr>
          <w:rFonts w:cstheme="minorHAnsi"/>
        </w:rPr>
        <w:t>”. Article 4(30) PSD2 states that “</w:t>
      </w:r>
      <w:r w:rsidRPr="004737C5">
        <w:rPr>
          <w:rFonts w:cstheme="minorHAnsi"/>
        </w:rPr>
        <w:t>an authentication based on the use of two or more elements categorized as knowledge</w:t>
      </w:r>
      <w:r w:rsidR="00BF5195" w:rsidRPr="004737C5">
        <w:rPr>
          <w:rFonts w:cstheme="minorHAnsi"/>
        </w:rPr>
        <w:t xml:space="preserve"> (something only the user knows</w:t>
      </w:r>
      <w:r w:rsidRPr="004737C5">
        <w:rPr>
          <w:rFonts w:cstheme="minorHAnsi"/>
        </w:rPr>
        <w:t>)</w:t>
      </w:r>
      <w:r w:rsidR="00BF5195" w:rsidRPr="004737C5">
        <w:rPr>
          <w:rFonts w:cstheme="minorHAnsi"/>
        </w:rPr>
        <w:t>,</w:t>
      </w:r>
      <w:r w:rsidRPr="004737C5">
        <w:rPr>
          <w:rFonts w:cstheme="minorHAnsi"/>
        </w:rPr>
        <w:t xml:space="preserve"> possession (something only the user possesses) and inherence (something the user is) that are independent, in that the breach of one does not compromise the reliability of the others, and is designed in such a way as to protect the confidentiality of the authentication data</w:t>
      </w:r>
      <w:r w:rsidR="00BF5195" w:rsidRPr="004737C5">
        <w:rPr>
          <w:rFonts w:cstheme="minorHAnsi"/>
        </w:rPr>
        <w:t>”.</w:t>
      </w:r>
    </w:p>
    <w:p w14:paraId="3546FCE2" w14:textId="77777777" w:rsidR="00BE71E3" w:rsidRPr="004737C5" w:rsidRDefault="00BF5195" w:rsidP="006D3BE8">
      <w:pPr>
        <w:rPr>
          <w:rFonts w:cstheme="minorHAnsi"/>
          <w:color w:val="000000"/>
        </w:rPr>
      </w:pPr>
      <w:r w:rsidRPr="004737C5">
        <w:rPr>
          <w:rFonts w:cstheme="minorHAnsi"/>
          <w:color w:val="000000"/>
        </w:rPr>
        <w:t>The OECD g</w:t>
      </w:r>
      <w:r w:rsidR="00BE71E3" w:rsidRPr="004737C5">
        <w:rPr>
          <w:rFonts w:cstheme="minorHAnsi"/>
          <w:color w:val="000000"/>
        </w:rPr>
        <w:t>uidelines are silent on the specifics of authentication, although it might be argued that the issue is present in spirit in paragraph 40 under payment mechanisms and section G on privacy and security. It does however have a specific meaning as the European Union tex</w:t>
      </w:r>
      <w:r w:rsidRPr="004737C5">
        <w:rPr>
          <w:rFonts w:cstheme="minorHAnsi"/>
          <w:color w:val="000000"/>
        </w:rPr>
        <w:t>t indicates. The UNGCP are then</w:t>
      </w:r>
      <w:r w:rsidR="00BE71E3" w:rsidRPr="004737C5">
        <w:rPr>
          <w:rFonts w:cstheme="minorHAnsi"/>
          <w:color w:val="000000"/>
        </w:rPr>
        <w:t xml:space="preserve"> by e</w:t>
      </w:r>
      <w:r w:rsidR="00A80CAC" w:rsidRPr="004737C5">
        <w:rPr>
          <w:rFonts w:cstheme="minorHAnsi"/>
          <w:color w:val="000000"/>
        </w:rPr>
        <w:t>xtension equally indirect, the section on financial s</w:t>
      </w:r>
      <w:r w:rsidR="00BE71E3" w:rsidRPr="004737C5">
        <w:rPr>
          <w:rFonts w:cstheme="minorHAnsi"/>
          <w:color w:val="000000"/>
        </w:rPr>
        <w:t>ervices</w:t>
      </w:r>
      <w:r w:rsidR="00A80CAC" w:rsidRPr="004737C5">
        <w:rPr>
          <w:rFonts w:cstheme="minorHAnsi"/>
          <w:color w:val="000000"/>
        </w:rPr>
        <w:t xml:space="preserve"> (V.J) calling in g</w:t>
      </w:r>
      <w:r w:rsidRPr="004737C5">
        <w:rPr>
          <w:rFonts w:cstheme="minorHAnsi"/>
          <w:color w:val="000000"/>
        </w:rPr>
        <w:t>uideline 66g on Member States to “</w:t>
      </w:r>
      <w:r w:rsidR="00BE71E3" w:rsidRPr="004737C5">
        <w:rPr>
          <w:rFonts w:cstheme="minorHAnsi"/>
          <w:color w:val="000000"/>
        </w:rPr>
        <w:t xml:space="preserve">establish or encourage as </w:t>
      </w:r>
      <w:r w:rsidRPr="004737C5">
        <w:rPr>
          <w:rFonts w:cstheme="minorHAnsi"/>
          <w:bCs/>
        </w:rPr>
        <w:t>appropriate …</w:t>
      </w:r>
      <w:r w:rsidR="00BE71E3" w:rsidRPr="004737C5">
        <w:rPr>
          <w:rFonts w:cstheme="minorHAnsi"/>
          <w:bCs/>
        </w:rPr>
        <w:t xml:space="preserve"> controls to protect consumer financial data, including from fraud and abuse</w:t>
      </w:r>
      <w:r w:rsidRPr="004737C5">
        <w:rPr>
          <w:rFonts w:cstheme="minorHAnsi"/>
          <w:bCs/>
        </w:rPr>
        <w:t>”.</w:t>
      </w:r>
    </w:p>
    <w:p w14:paraId="7F602AC3" w14:textId="77777777" w:rsidR="00BE71E3" w:rsidRPr="004737C5" w:rsidRDefault="00BE71E3" w:rsidP="00857811">
      <w:pPr>
        <w:pStyle w:val="Heading3"/>
        <w:spacing w:before="0" w:after="160" w:line="240" w:lineRule="auto"/>
        <w:rPr>
          <w:rFonts w:cstheme="minorHAnsi"/>
          <w:color w:val="auto"/>
        </w:rPr>
      </w:pPr>
      <w:bookmarkStart w:id="255" w:name="_Toc454293862"/>
      <w:bookmarkStart w:id="256" w:name="_Toc489950298"/>
      <w:bookmarkStart w:id="257" w:name="_Toc492650085"/>
      <w:r w:rsidRPr="004737C5">
        <w:rPr>
          <w:rFonts w:cstheme="minorHAnsi"/>
          <w:color w:val="auto"/>
        </w:rPr>
        <w:lastRenderedPageBreak/>
        <w:t>4</w:t>
      </w:r>
      <w:r w:rsidR="00BF5195" w:rsidRPr="004737C5">
        <w:rPr>
          <w:rFonts w:cstheme="minorHAnsi"/>
          <w:color w:val="auto"/>
        </w:rPr>
        <w:t>.</w:t>
      </w:r>
      <w:r w:rsidRPr="004737C5">
        <w:rPr>
          <w:rFonts w:cstheme="minorHAnsi"/>
          <w:color w:val="auto"/>
        </w:rPr>
        <w:t xml:space="preserve"> Privacy issues</w:t>
      </w:r>
      <w:bookmarkEnd w:id="255"/>
      <w:bookmarkEnd w:id="256"/>
      <w:bookmarkEnd w:id="257"/>
    </w:p>
    <w:p w14:paraId="275571AE" w14:textId="77777777" w:rsidR="00BE71E3" w:rsidRPr="004737C5" w:rsidRDefault="00BE71E3" w:rsidP="006D3BE8">
      <w:pPr>
        <w:rPr>
          <w:rFonts w:cstheme="minorHAnsi"/>
        </w:rPr>
      </w:pPr>
      <w:r w:rsidRPr="004737C5">
        <w:rPr>
          <w:rFonts w:cstheme="minorHAnsi"/>
        </w:rPr>
        <w:t xml:space="preserve">The growth of e-commerce and </w:t>
      </w:r>
      <w:r w:rsidR="00BF5195" w:rsidRPr="004737C5">
        <w:rPr>
          <w:rFonts w:cstheme="minorHAnsi"/>
        </w:rPr>
        <w:t xml:space="preserve">the </w:t>
      </w:r>
      <w:r w:rsidRPr="004737C5">
        <w:rPr>
          <w:rFonts w:cstheme="minorHAnsi"/>
        </w:rPr>
        <w:t>rapid development of networking technologies have revolutionized the way in whi</w:t>
      </w:r>
      <w:r w:rsidR="00BF5195" w:rsidRPr="004737C5">
        <w:rPr>
          <w:rFonts w:cstheme="minorHAnsi"/>
        </w:rPr>
        <w:t>ch data can be stored, accessed</w:t>
      </w:r>
      <w:r w:rsidRPr="004737C5">
        <w:rPr>
          <w:rFonts w:cstheme="minorHAnsi"/>
        </w:rPr>
        <w:t xml:space="preserve"> and processed. Consumers are not likely to participate in the global marketpla</w:t>
      </w:r>
      <w:r w:rsidR="00BF5195" w:rsidRPr="004737C5">
        <w:rPr>
          <w:rFonts w:cstheme="minorHAnsi"/>
        </w:rPr>
        <w:t>ce without assurances that the</w:t>
      </w:r>
      <w:r w:rsidRPr="004737C5">
        <w:rPr>
          <w:rFonts w:cstheme="minorHAnsi"/>
        </w:rPr>
        <w:t xml:space="preserve"> personal data exchanged during a transaction will be protecte</w:t>
      </w:r>
      <w:r w:rsidR="00BF5195" w:rsidRPr="004737C5">
        <w:rPr>
          <w:rFonts w:cstheme="minorHAnsi"/>
        </w:rPr>
        <w:t>d. However, the development of “data mining”</w:t>
      </w:r>
      <w:r w:rsidRPr="004737C5">
        <w:rPr>
          <w:rFonts w:cstheme="minorHAnsi"/>
        </w:rPr>
        <w:t xml:space="preserve"> in recent years has led to concerns about the sheer volume of data collected and a strengthening of the requirements for consent. The OECD first drew up privacy guidelines </w:t>
      </w:r>
      <w:r w:rsidR="00BF5195" w:rsidRPr="004737C5">
        <w:rPr>
          <w:rFonts w:cstheme="minorHAnsi"/>
        </w:rPr>
        <w:t>in 1980; these were revised in 2013.</w:t>
      </w:r>
      <w:r w:rsidRPr="004737C5">
        <w:rPr>
          <w:rStyle w:val="FootnoteReference"/>
          <w:rFonts w:cstheme="minorHAnsi"/>
        </w:rPr>
        <w:footnoteReference w:id="233"/>
      </w:r>
      <w:r w:rsidRPr="004737C5">
        <w:rPr>
          <w:rFonts w:cstheme="minorHAnsi"/>
        </w:rPr>
        <w:t xml:space="preserve"> Paragraph </w:t>
      </w:r>
      <w:r w:rsidR="00BF5195" w:rsidRPr="004737C5">
        <w:rPr>
          <w:rFonts w:cstheme="minorHAnsi"/>
        </w:rPr>
        <w:t>48 of the 2016 OECD e-commerce g</w:t>
      </w:r>
      <w:r w:rsidRPr="004737C5">
        <w:rPr>
          <w:rFonts w:cstheme="minorHAnsi"/>
        </w:rPr>
        <w:t xml:space="preserve">uidelines provides a rough summary of these principles without actually referring to them specifically. Businesses are enjoined to </w:t>
      </w:r>
      <w:r w:rsidR="00BF5195" w:rsidRPr="004737C5">
        <w:rPr>
          <w:rFonts w:cstheme="minorHAnsi"/>
        </w:rPr>
        <w:t>ensure that their practices are</w:t>
      </w:r>
      <w:r w:rsidRPr="004737C5">
        <w:rPr>
          <w:rFonts w:cstheme="minorHAnsi"/>
        </w:rPr>
        <w:t xml:space="preserve"> </w:t>
      </w:r>
      <w:r w:rsidR="00BF5195" w:rsidRPr="004737C5">
        <w:rPr>
          <w:rFonts w:cstheme="minorHAnsi"/>
        </w:rPr>
        <w:t>“</w:t>
      </w:r>
      <w:r w:rsidRPr="004737C5">
        <w:rPr>
          <w:rFonts w:cstheme="minorHAnsi"/>
        </w:rPr>
        <w:t>lawful, transparent and fair, enable consumer participation and choice and provide</w:t>
      </w:r>
      <w:r w:rsidR="00BF5195" w:rsidRPr="004737C5">
        <w:rPr>
          <w:rFonts w:cstheme="minorHAnsi"/>
        </w:rPr>
        <w:t xml:space="preserve"> reasonable security safeguards”</w:t>
      </w:r>
      <w:r w:rsidRPr="004737C5">
        <w:rPr>
          <w:rFonts w:cstheme="minorHAnsi"/>
        </w:rPr>
        <w:t xml:space="preserve">. These issues are </w:t>
      </w:r>
      <w:r w:rsidR="004240DC" w:rsidRPr="004737C5">
        <w:rPr>
          <w:rFonts w:cstheme="minorHAnsi"/>
        </w:rPr>
        <w:t>discussed in chapter XIII</w:t>
      </w:r>
      <w:r w:rsidRPr="004737C5">
        <w:rPr>
          <w:rFonts w:cstheme="minorHAnsi"/>
        </w:rPr>
        <w:t xml:space="preserve"> on data protection and privacy.</w:t>
      </w:r>
    </w:p>
    <w:p w14:paraId="13F6D6FD" w14:textId="77777777" w:rsidR="00BE71E3" w:rsidRPr="004737C5" w:rsidRDefault="00BE71E3" w:rsidP="00857811">
      <w:pPr>
        <w:pStyle w:val="Heading3"/>
        <w:spacing w:after="160" w:line="240" w:lineRule="auto"/>
        <w:rPr>
          <w:rFonts w:cstheme="minorHAnsi"/>
          <w:color w:val="auto"/>
        </w:rPr>
      </w:pPr>
      <w:bookmarkStart w:id="258" w:name="_Toc454293863"/>
      <w:bookmarkStart w:id="259" w:name="_Toc489950299"/>
      <w:bookmarkStart w:id="260" w:name="_Toc492650086"/>
      <w:r w:rsidRPr="004737C5">
        <w:rPr>
          <w:rFonts w:cstheme="minorHAnsi"/>
          <w:color w:val="auto"/>
        </w:rPr>
        <w:t>5</w:t>
      </w:r>
      <w:r w:rsidR="00BF5195" w:rsidRPr="004737C5">
        <w:rPr>
          <w:rFonts w:cstheme="minorHAnsi"/>
          <w:color w:val="auto"/>
        </w:rPr>
        <w:t>.</w:t>
      </w:r>
      <w:r w:rsidRPr="004737C5">
        <w:rPr>
          <w:rFonts w:cstheme="minorHAnsi"/>
          <w:color w:val="auto"/>
        </w:rPr>
        <w:t xml:space="preserve"> Security issues</w:t>
      </w:r>
      <w:bookmarkEnd w:id="258"/>
      <w:bookmarkEnd w:id="259"/>
      <w:bookmarkEnd w:id="260"/>
    </w:p>
    <w:p w14:paraId="7FA252EA" w14:textId="38E2A0EC" w:rsidR="00BE71E3" w:rsidRPr="004737C5" w:rsidRDefault="00BE71E3" w:rsidP="006D3BE8">
      <w:pPr>
        <w:rPr>
          <w:rFonts w:cstheme="minorHAnsi"/>
        </w:rPr>
      </w:pPr>
      <w:r w:rsidRPr="004737C5">
        <w:rPr>
          <w:rFonts w:cstheme="minorHAnsi"/>
        </w:rPr>
        <w:t>Security concerns emerge at two stages of transactions: first, during transfer of the payment inform</w:t>
      </w:r>
      <w:r w:rsidR="00BF5195" w:rsidRPr="004737C5">
        <w:rPr>
          <w:rFonts w:cstheme="minorHAnsi"/>
        </w:rPr>
        <w:t>ation over the network; second</w:t>
      </w:r>
      <w:r w:rsidRPr="004737C5">
        <w:rPr>
          <w:rFonts w:cstheme="minorHAnsi"/>
        </w:rPr>
        <w:t xml:space="preserve">, </w:t>
      </w:r>
      <w:r w:rsidR="00BF5195" w:rsidRPr="004737C5">
        <w:rPr>
          <w:rFonts w:cstheme="minorHAnsi"/>
        </w:rPr>
        <w:t xml:space="preserve">in </w:t>
      </w:r>
      <w:r w:rsidRPr="004737C5">
        <w:rPr>
          <w:rFonts w:cstheme="minorHAnsi"/>
        </w:rPr>
        <w:t>storage of payment data, where data transmitted should not be accessible to unauthorized third parties. Such concerns are recognized for example by Recital 7 of the European Union Payment Service</w:t>
      </w:r>
      <w:r w:rsidR="00BF5195" w:rsidRPr="004737C5">
        <w:rPr>
          <w:rFonts w:cstheme="minorHAnsi"/>
        </w:rPr>
        <w:t>s Directive 2, which notes that “</w:t>
      </w:r>
      <w:r w:rsidRPr="004737C5">
        <w:rPr>
          <w:rFonts w:cstheme="minorHAnsi"/>
        </w:rPr>
        <w:t>in recent years, the security risks relating to electronic payments have increased. This is due to the growing technical complexity of electronic payments, the continuously growing volumes of electronic payments worldwide and emerging types of payment services</w:t>
      </w:r>
      <w:r w:rsidR="00BF5195" w:rsidRPr="004737C5">
        <w:rPr>
          <w:rFonts w:cstheme="minorHAnsi"/>
        </w:rPr>
        <w:t>”.</w:t>
      </w:r>
      <w:r w:rsidRPr="004737C5">
        <w:rPr>
          <w:rFonts w:cstheme="minorHAnsi"/>
        </w:rPr>
        <w:t xml:space="preserve"> In addition to concerns about security in transactions (involving </w:t>
      </w:r>
      <w:r w:rsidR="00BF5195" w:rsidRPr="004737C5">
        <w:rPr>
          <w:rFonts w:cstheme="minorHAnsi"/>
        </w:rPr>
        <w:t>credit card numbers,</w:t>
      </w:r>
      <w:r w:rsidRPr="004737C5">
        <w:rPr>
          <w:rFonts w:cstheme="minorHAnsi"/>
        </w:rPr>
        <w:t xml:space="preserve"> expiry dates, etc.) is the danger of post-transaction data breaches, such as those associated with phishing (see footnote to </w:t>
      </w:r>
      <w:r w:rsidR="00D113A8" w:rsidRPr="004737C5">
        <w:rPr>
          <w:rFonts w:cstheme="minorHAnsi"/>
        </w:rPr>
        <w:t>chapter XII</w:t>
      </w:r>
      <w:r w:rsidR="00857811" w:rsidRPr="004737C5">
        <w:rPr>
          <w:rFonts w:cstheme="minorHAnsi"/>
        </w:rPr>
        <w:t>,</w:t>
      </w:r>
      <w:r w:rsidR="00D113A8" w:rsidRPr="004737C5">
        <w:rPr>
          <w:rFonts w:cstheme="minorHAnsi"/>
        </w:rPr>
        <w:t xml:space="preserve"> section B</w:t>
      </w:r>
      <w:r w:rsidRPr="004737C5">
        <w:rPr>
          <w:rFonts w:cstheme="minorHAnsi"/>
        </w:rPr>
        <w:t>).</w:t>
      </w:r>
    </w:p>
    <w:p w14:paraId="1153E541" w14:textId="77777777" w:rsidR="00BE71E3" w:rsidRPr="004737C5" w:rsidRDefault="00BF5195" w:rsidP="006D3BE8">
      <w:pPr>
        <w:rPr>
          <w:rFonts w:cstheme="minorHAnsi"/>
        </w:rPr>
      </w:pPr>
      <w:r w:rsidRPr="004737C5">
        <w:rPr>
          <w:rFonts w:cstheme="minorHAnsi"/>
        </w:rPr>
        <w:t>In the OECD g</w:t>
      </w:r>
      <w:r w:rsidR="00BE71E3" w:rsidRPr="004737C5">
        <w:rPr>
          <w:rFonts w:cstheme="minorHAnsi"/>
        </w:rPr>
        <w:t>uidelines, paragraph 49 is the most relevant to secur</w:t>
      </w:r>
      <w:r w:rsidRPr="004737C5">
        <w:rPr>
          <w:rFonts w:cstheme="minorHAnsi"/>
        </w:rPr>
        <w:t>ity and it is extremely brief: “</w:t>
      </w:r>
      <w:r w:rsidR="00BE71E3" w:rsidRPr="004737C5">
        <w:rPr>
          <w:rFonts w:cstheme="minorHAnsi"/>
        </w:rPr>
        <w:t>businesses should manage digital security risk and implement security measures for reducing or mitigating adverse effects relating to consumer participation in e-commerce</w:t>
      </w:r>
      <w:r w:rsidRPr="004737C5">
        <w:rPr>
          <w:rFonts w:cstheme="minorHAnsi"/>
        </w:rPr>
        <w:t>”.</w:t>
      </w:r>
      <w:r w:rsidR="00BE71E3" w:rsidRPr="004737C5">
        <w:rPr>
          <w:rFonts w:cstheme="minorHAnsi"/>
        </w:rPr>
        <w:t xml:space="preserve"> Much more substantive is the referen</w:t>
      </w:r>
      <w:r w:rsidR="00291489" w:rsidRPr="004737C5">
        <w:rPr>
          <w:rFonts w:cstheme="minorHAnsi"/>
        </w:rPr>
        <w:t>ce to security in s</w:t>
      </w:r>
      <w:r w:rsidRPr="004737C5">
        <w:rPr>
          <w:rFonts w:cstheme="minorHAnsi"/>
        </w:rPr>
        <w:t>ection E on p</w:t>
      </w:r>
      <w:r w:rsidR="00BE71E3" w:rsidRPr="004737C5">
        <w:rPr>
          <w:rFonts w:cstheme="minorHAnsi"/>
        </w:rPr>
        <w:t>ayment wh</w:t>
      </w:r>
      <w:r w:rsidRPr="004737C5">
        <w:rPr>
          <w:rFonts w:cstheme="minorHAnsi"/>
        </w:rPr>
        <w:t>ich refers in paragraph 40 to “</w:t>
      </w:r>
      <w:r w:rsidR="00BE71E3" w:rsidRPr="004737C5">
        <w:rPr>
          <w:rFonts w:cstheme="minorHAnsi"/>
        </w:rPr>
        <w:t>security measures</w:t>
      </w:r>
      <w:r w:rsidRPr="004737C5">
        <w:rPr>
          <w:rFonts w:cstheme="minorHAnsi"/>
        </w:rPr>
        <w:t xml:space="preserve"> </w:t>
      </w:r>
      <w:r w:rsidR="00BE71E3" w:rsidRPr="004737C5">
        <w:rPr>
          <w:rFonts w:cstheme="minorHAnsi"/>
        </w:rPr>
        <w:t>...</w:t>
      </w:r>
      <w:r w:rsidRPr="004737C5">
        <w:rPr>
          <w:rFonts w:cstheme="minorHAnsi"/>
        </w:rPr>
        <w:t xml:space="preserve"> </w:t>
      </w:r>
      <w:r w:rsidR="00BE71E3" w:rsidRPr="004737C5">
        <w:rPr>
          <w:rFonts w:cstheme="minorHAnsi"/>
        </w:rPr>
        <w:t>commensurate with payment related risks, including those resulting from unauthorized access or use of personal data, fraud and identity theft</w:t>
      </w:r>
      <w:r w:rsidRPr="004737C5">
        <w:rPr>
          <w:rFonts w:cstheme="minorHAnsi"/>
        </w:rPr>
        <w:t>”.</w:t>
      </w:r>
      <w:r w:rsidR="00BE71E3" w:rsidRPr="004737C5">
        <w:rPr>
          <w:rFonts w:cstheme="minorHAnsi"/>
        </w:rPr>
        <w:t xml:space="preserve">  Paragraph 41 goes on to restate the pre-existing (i.e. 1999) reference to chargeback and to repeat the endorsement of limitation of liability for consumer</w:t>
      </w:r>
      <w:r w:rsidRPr="004737C5">
        <w:rPr>
          <w:rFonts w:cstheme="minorHAnsi"/>
        </w:rPr>
        <w:t>s: “g</w:t>
      </w:r>
      <w:r w:rsidR="00BE71E3" w:rsidRPr="004737C5">
        <w:rPr>
          <w:rFonts w:cstheme="minorHAnsi"/>
        </w:rPr>
        <w:t>overnments and stakeholders should work together to develop minimum levels of consumer protection for e-commerce payments, regardless of the payment mechanism used. Such protection should include regulatory or industry-led limitations on consumer liability for unauthorized or fraudulent charges, as well as chargeback mechanisms, when appropriate</w:t>
      </w:r>
      <w:r w:rsidRPr="004737C5">
        <w:rPr>
          <w:rFonts w:cstheme="minorHAnsi"/>
        </w:rPr>
        <w:t>”.</w:t>
      </w:r>
      <w:r w:rsidR="00BE71E3" w:rsidRPr="004737C5">
        <w:rPr>
          <w:rFonts w:cstheme="minorHAnsi"/>
        </w:rPr>
        <w:t xml:space="preserve"> As a practical example of the measures envisaged, the European Union Payment Services Directive reduces consumer liability for non-authorized payments to </w:t>
      </w:r>
      <w:r w:rsidR="00F75E1D" w:rsidRPr="004737C5">
        <w:rPr>
          <w:rFonts w:cstheme="minorHAnsi"/>
        </w:rPr>
        <w:t>€</w:t>
      </w:r>
      <w:r w:rsidR="00BE71E3" w:rsidRPr="004737C5">
        <w:rPr>
          <w:rFonts w:cstheme="minorHAnsi"/>
        </w:rPr>
        <w:t xml:space="preserve">50 (from the previous </w:t>
      </w:r>
      <w:r w:rsidR="00F75E1D" w:rsidRPr="004737C5">
        <w:rPr>
          <w:rFonts w:cstheme="minorHAnsi"/>
        </w:rPr>
        <w:t>€</w:t>
      </w:r>
      <w:r w:rsidR="00BE71E3" w:rsidRPr="004737C5">
        <w:rPr>
          <w:rFonts w:cstheme="minorHAnsi"/>
        </w:rPr>
        <w:t>150 threshold).</w:t>
      </w:r>
      <w:r w:rsidR="00BE71E3" w:rsidRPr="004737C5">
        <w:rPr>
          <w:rStyle w:val="FootnoteReference"/>
          <w:rFonts w:cstheme="minorHAnsi"/>
        </w:rPr>
        <w:footnoteReference w:id="234"/>
      </w:r>
      <w:r w:rsidR="00F75E1D" w:rsidRPr="004737C5">
        <w:rPr>
          <w:rFonts w:cstheme="minorHAnsi"/>
        </w:rPr>
        <w:t xml:space="preserve"> The d</w:t>
      </w:r>
      <w:r w:rsidR="00BE71E3" w:rsidRPr="004737C5">
        <w:rPr>
          <w:rFonts w:cstheme="minorHAnsi"/>
        </w:rPr>
        <w:t>irective also tightens the security measures that need to be applied to all electronic payment requiring in particular the use of strong customer identification.</w:t>
      </w:r>
      <w:r w:rsidR="00BE71E3" w:rsidRPr="004737C5">
        <w:rPr>
          <w:rStyle w:val="FootnoteReference"/>
          <w:rFonts w:cstheme="minorHAnsi"/>
        </w:rPr>
        <w:footnoteReference w:id="235"/>
      </w:r>
      <w:r w:rsidR="00BE71E3" w:rsidRPr="004737C5">
        <w:rPr>
          <w:rFonts w:cstheme="minorHAnsi"/>
        </w:rPr>
        <w:t xml:space="preserve"> </w:t>
      </w:r>
    </w:p>
    <w:p w14:paraId="5A8EA708" w14:textId="77777777" w:rsidR="00BE71E3" w:rsidRPr="004737C5" w:rsidRDefault="00F75E1D" w:rsidP="006D3BE8">
      <w:pPr>
        <w:rPr>
          <w:rFonts w:cstheme="minorHAnsi"/>
        </w:rPr>
      </w:pPr>
      <w:r w:rsidRPr="004737C5">
        <w:rPr>
          <w:rFonts w:cstheme="minorHAnsi"/>
        </w:rPr>
        <w:t>The OECD g</w:t>
      </w:r>
      <w:r w:rsidR="00BE71E3" w:rsidRPr="004737C5">
        <w:rPr>
          <w:rFonts w:cstheme="minorHAnsi"/>
        </w:rPr>
        <w:t>uidelines go on to widen the scope of</w:t>
      </w:r>
      <w:r w:rsidRPr="004737C5">
        <w:rPr>
          <w:rFonts w:cstheme="minorHAnsi"/>
        </w:rPr>
        <w:t xml:space="preserve"> guarantee beyond chargeback: “t</w:t>
      </w:r>
      <w:r w:rsidR="00BE71E3" w:rsidRPr="004737C5">
        <w:rPr>
          <w:rFonts w:cstheme="minorHAnsi"/>
        </w:rPr>
        <w:t xml:space="preserve">he development of other payment arrangements that may </w:t>
      </w:r>
      <w:r w:rsidRPr="004737C5">
        <w:rPr>
          <w:rFonts w:cstheme="minorHAnsi"/>
        </w:rPr>
        <w:t>enhance consumer confidence in e</w:t>
      </w:r>
      <w:r w:rsidR="00BE71E3" w:rsidRPr="004737C5">
        <w:rPr>
          <w:rFonts w:cstheme="minorHAnsi"/>
        </w:rPr>
        <w:t>-commerce, such as escrow servi</w:t>
      </w:r>
      <w:r w:rsidRPr="004737C5">
        <w:rPr>
          <w:rFonts w:cstheme="minorHAnsi"/>
        </w:rPr>
        <w:t>ces, should also be encouraged”.</w:t>
      </w:r>
      <w:r w:rsidR="00BE71E3" w:rsidRPr="004737C5">
        <w:rPr>
          <w:rFonts w:cstheme="minorHAnsi"/>
        </w:rPr>
        <w:t xml:space="preserve"> The reference to escrow is significant in the context of the Chinese experience, although it is worth noting that escrow is also used in other jurisdictions </w:t>
      </w:r>
      <w:r w:rsidR="00BE71E3" w:rsidRPr="004737C5">
        <w:rPr>
          <w:rFonts w:cstheme="minorHAnsi"/>
        </w:rPr>
        <w:lastRenderedPageBreak/>
        <w:t>including Argentina and California. But the issue is not w</w:t>
      </w:r>
      <w:r w:rsidRPr="004737C5">
        <w:rPr>
          <w:rFonts w:cstheme="minorHAnsi"/>
        </w:rPr>
        <w:t>hich particular method is used. Escrow in China</w:t>
      </w:r>
      <w:r w:rsidR="00BE71E3" w:rsidRPr="004737C5">
        <w:rPr>
          <w:rFonts w:cstheme="minorHAnsi"/>
        </w:rPr>
        <w:t xml:space="preserve"> (which was unknown when introduced and may even not have been legal)</w:t>
      </w:r>
      <w:r w:rsidR="00BE71E3" w:rsidRPr="004737C5">
        <w:rPr>
          <w:rStyle w:val="FootnoteReference"/>
          <w:rFonts w:cstheme="minorHAnsi"/>
        </w:rPr>
        <w:footnoteReference w:id="236"/>
      </w:r>
      <w:r w:rsidR="00BE71E3" w:rsidRPr="004737C5">
        <w:rPr>
          <w:rFonts w:cstheme="minorHAnsi"/>
        </w:rPr>
        <w:t xml:space="preserve"> was a response to entirely understandable consumer concerns which were not being met by the existing banking regime. Indeed, this is being taken even further by systems which only require email and delivery addresses, thus involving lower levels of electronic risk.</w:t>
      </w:r>
      <w:r w:rsidR="00BE71E3" w:rsidRPr="004737C5">
        <w:rPr>
          <w:rStyle w:val="FootnoteReference"/>
          <w:rFonts w:cstheme="minorHAnsi"/>
        </w:rPr>
        <w:footnoteReference w:id="237"/>
      </w:r>
      <w:r w:rsidR="00BE71E3" w:rsidRPr="004737C5">
        <w:rPr>
          <w:rFonts w:cstheme="minorHAnsi"/>
        </w:rPr>
        <w:t xml:space="preserve"> This issue is rapidly evolving.</w:t>
      </w:r>
    </w:p>
    <w:p w14:paraId="2DAAD57E" w14:textId="77777777" w:rsidR="00BE71E3" w:rsidRPr="004737C5" w:rsidRDefault="00BE71E3" w:rsidP="00857811">
      <w:pPr>
        <w:pStyle w:val="Heading3"/>
        <w:spacing w:after="160" w:line="240" w:lineRule="auto"/>
        <w:rPr>
          <w:rFonts w:cstheme="minorHAnsi"/>
          <w:color w:val="auto"/>
        </w:rPr>
      </w:pPr>
      <w:bookmarkStart w:id="261" w:name="_Toc454293864"/>
      <w:bookmarkStart w:id="262" w:name="_Toc489950300"/>
      <w:bookmarkStart w:id="263" w:name="_Toc492650087"/>
      <w:r w:rsidRPr="004737C5">
        <w:rPr>
          <w:rFonts w:cstheme="minorHAnsi"/>
          <w:color w:val="auto"/>
        </w:rPr>
        <w:t>6</w:t>
      </w:r>
      <w:r w:rsidR="00F75E1D" w:rsidRPr="004737C5">
        <w:rPr>
          <w:rFonts w:cstheme="minorHAnsi"/>
          <w:color w:val="auto"/>
        </w:rPr>
        <w:t>.</w:t>
      </w:r>
      <w:r w:rsidRPr="004737C5">
        <w:rPr>
          <w:rFonts w:cstheme="minorHAnsi"/>
          <w:color w:val="auto"/>
        </w:rPr>
        <w:t xml:space="preserve"> Electronic contracting</w:t>
      </w:r>
      <w:bookmarkEnd w:id="261"/>
      <w:bookmarkEnd w:id="262"/>
      <w:bookmarkEnd w:id="263"/>
    </w:p>
    <w:p w14:paraId="0DCD18B8" w14:textId="77777777" w:rsidR="00BE71E3" w:rsidRPr="004737C5" w:rsidRDefault="00BE71E3" w:rsidP="006D3BE8">
      <w:pPr>
        <w:rPr>
          <w:rFonts w:cstheme="minorHAnsi"/>
        </w:rPr>
      </w:pPr>
      <w:r w:rsidRPr="004737C5">
        <w:rPr>
          <w:rFonts w:cstheme="minorHAnsi"/>
        </w:rPr>
        <w:t>Different legal and private sector rules may apply to B2C transactions. The global nature of e-commerce poses questions about what requirements are necessary f</w:t>
      </w:r>
      <w:r w:rsidR="00F75E1D" w:rsidRPr="004737C5">
        <w:rPr>
          <w:rFonts w:cstheme="minorHAnsi"/>
        </w:rPr>
        <w:t>or writing, carrying out</w:t>
      </w:r>
      <w:r w:rsidRPr="004737C5">
        <w:rPr>
          <w:rFonts w:cstheme="minorHAnsi"/>
        </w:rPr>
        <w:t xml:space="preserve"> and enforcing contracts and ju</w:t>
      </w:r>
      <w:r w:rsidR="00F75E1D" w:rsidRPr="004737C5">
        <w:rPr>
          <w:rFonts w:cstheme="minorHAnsi"/>
        </w:rPr>
        <w:t>risdiction. The development of “cloud computing”</w:t>
      </w:r>
      <w:r w:rsidRPr="004737C5">
        <w:rPr>
          <w:rFonts w:cstheme="minorHAnsi"/>
        </w:rPr>
        <w:t xml:space="preserve"> raises new issues about contracts. Cloud computing uses a network o</w:t>
      </w:r>
      <w:r w:rsidR="00F75E1D" w:rsidRPr="004737C5">
        <w:rPr>
          <w:rFonts w:cstheme="minorHAnsi"/>
        </w:rPr>
        <w:t>f remote servers hosted on the internet to store, manage</w:t>
      </w:r>
      <w:r w:rsidRPr="004737C5">
        <w:rPr>
          <w:rFonts w:cstheme="minorHAnsi"/>
        </w:rPr>
        <w:t xml:space="preserve"> and process data, rather than a local server or a personal computer. It offers great economies of scale, allowing users to store and process data in th</w:t>
      </w:r>
      <w:r w:rsidR="00F75E1D" w:rsidRPr="004737C5">
        <w:rPr>
          <w:rFonts w:cstheme="minorHAnsi"/>
        </w:rPr>
        <w:t>ird party data centres using a “pay as you go”</w:t>
      </w:r>
      <w:r w:rsidRPr="004737C5">
        <w:rPr>
          <w:rFonts w:cstheme="minorHAnsi"/>
        </w:rPr>
        <w:t xml:space="preserve"> metered charging structure using otherwise redundant server time and network storage</w:t>
      </w:r>
      <w:r w:rsidR="00F75E1D" w:rsidRPr="004737C5">
        <w:rPr>
          <w:rFonts w:cstheme="minorHAnsi"/>
        </w:rPr>
        <w:t xml:space="preserve"> in response to user demand.</w:t>
      </w:r>
      <w:r w:rsidRPr="004737C5">
        <w:rPr>
          <w:rFonts w:cstheme="minorHAnsi"/>
        </w:rPr>
        <w:t xml:space="preserve"> Computing capabilities can be flexibly commissioned and released. Cloud computing may be used to store and lease copyright products to consumers for a certain period of time. The ep</w:t>
      </w:r>
      <w:r w:rsidR="00F75E1D" w:rsidRPr="004737C5">
        <w:rPr>
          <w:rFonts w:cstheme="minorHAnsi"/>
        </w:rPr>
        <w:t>hemeral nature of such digital “products”</w:t>
      </w:r>
      <w:r w:rsidRPr="004737C5">
        <w:rPr>
          <w:rFonts w:cstheme="minorHAnsi"/>
        </w:rPr>
        <w:t xml:space="preserve"> and</w:t>
      </w:r>
      <w:r w:rsidR="00F75E1D" w:rsidRPr="004737C5">
        <w:rPr>
          <w:rFonts w:cstheme="minorHAnsi"/>
        </w:rPr>
        <w:t xml:space="preserve"> the periods during which they “belong”</w:t>
      </w:r>
      <w:r w:rsidRPr="004737C5">
        <w:rPr>
          <w:rFonts w:cstheme="minorHAnsi"/>
        </w:rPr>
        <w:t xml:space="preserve"> to consumers could well turn out to be a source of contractual confusion</w:t>
      </w:r>
      <w:r w:rsidR="00F75E1D" w:rsidRPr="004737C5">
        <w:rPr>
          <w:rFonts w:cstheme="minorHAnsi"/>
        </w:rPr>
        <w:t>,</w:t>
      </w:r>
      <w:r w:rsidRPr="004737C5">
        <w:rPr>
          <w:rFonts w:cstheme="minorHAnsi"/>
        </w:rPr>
        <w:t xml:space="preserve"> while the varying levels of security around public or private clouds can also be an issue.</w:t>
      </w:r>
    </w:p>
    <w:p w14:paraId="103A0B6F" w14:textId="77777777" w:rsidR="00BE71E3" w:rsidRPr="004737C5" w:rsidRDefault="00F75E1D" w:rsidP="006D3BE8">
      <w:pPr>
        <w:rPr>
          <w:rFonts w:cstheme="minorHAnsi"/>
          <w:bCs/>
        </w:rPr>
      </w:pPr>
      <w:r w:rsidRPr="004737C5">
        <w:rPr>
          <w:rFonts w:cstheme="minorHAnsi"/>
        </w:rPr>
        <w:t>The OECD g</w:t>
      </w:r>
      <w:r w:rsidR="00BE71E3" w:rsidRPr="004737C5">
        <w:rPr>
          <w:rFonts w:cstheme="minorHAnsi"/>
        </w:rPr>
        <w:t>uidelines open by restating, in slightly different language</w:t>
      </w:r>
      <w:r w:rsidRPr="004737C5">
        <w:rPr>
          <w:rFonts w:cstheme="minorHAnsi"/>
        </w:rPr>
        <w:t>,</w:t>
      </w:r>
      <w:r w:rsidR="00BE71E3" w:rsidRPr="004737C5">
        <w:rPr>
          <w:rFonts w:cstheme="minorHAnsi"/>
        </w:rPr>
        <w:t xml:space="preserve"> the </w:t>
      </w:r>
      <w:r w:rsidRPr="004737C5">
        <w:rPr>
          <w:rFonts w:cstheme="minorHAnsi"/>
        </w:rPr>
        <w:t>principle set out i</w:t>
      </w:r>
      <w:r w:rsidR="00A80CAC" w:rsidRPr="004737C5">
        <w:rPr>
          <w:rFonts w:cstheme="minorHAnsi"/>
        </w:rPr>
        <w:t>n the UNGCP “legitimate needs” g</w:t>
      </w:r>
      <w:r w:rsidRPr="004737C5">
        <w:rPr>
          <w:rFonts w:cstheme="minorHAnsi"/>
        </w:rPr>
        <w:t>uideline 5j, namely</w:t>
      </w:r>
      <w:r w:rsidR="00BE71E3" w:rsidRPr="004737C5">
        <w:rPr>
          <w:rFonts w:cstheme="minorHAnsi"/>
          <w:b/>
          <w:bCs/>
          <w:sz w:val="23"/>
          <w:szCs w:val="23"/>
        </w:rPr>
        <w:t xml:space="preserve"> </w:t>
      </w:r>
      <w:r w:rsidRPr="004737C5">
        <w:rPr>
          <w:rFonts w:cstheme="minorHAnsi"/>
          <w:b/>
          <w:bCs/>
        </w:rPr>
        <w:t>“</w:t>
      </w:r>
      <w:r w:rsidR="00BE71E3" w:rsidRPr="004737C5">
        <w:rPr>
          <w:rFonts w:cstheme="minorHAnsi"/>
          <w:bCs/>
        </w:rPr>
        <w:t>consumers who participate in e-commerce should be afforded transparent and effective consumer protection that is not less than the level of protection affo</w:t>
      </w:r>
      <w:r w:rsidRPr="004737C5">
        <w:rPr>
          <w:rFonts w:cstheme="minorHAnsi"/>
          <w:bCs/>
        </w:rPr>
        <w:t>rded in other forms of commerce” (</w:t>
      </w:r>
      <w:r w:rsidRPr="004737C5">
        <w:rPr>
          <w:rFonts w:cstheme="minorHAnsi"/>
        </w:rPr>
        <w:t>paragraph A.1).</w:t>
      </w:r>
      <w:r w:rsidR="00BE71E3" w:rsidRPr="004737C5">
        <w:rPr>
          <w:rFonts w:cstheme="minorHAnsi"/>
          <w:bCs/>
        </w:rPr>
        <w:t xml:space="preserve"> This strong statement of principle is not</w:t>
      </w:r>
      <w:r w:rsidRPr="004737C5">
        <w:rPr>
          <w:rFonts w:cstheme="minorHAnsi"/>
          <w:bCs/>
        </w:rPr>
        <w:t>,</w:t>
      </w:r>
      <w:r w:rsidR="00BE71E3" w:rsidRPr="004737C5">
        <w:rPr>
          <w:rFonts w:cstheme="minorHAnsi"/>
          <w:bCs/>
        </w:rPr>
        <w:t xml:space="preserve"> however, followed up by consideration of the enforcemen</w:t>
      </w:r>
      <w:r w:rsidRPr="004737C5">
        <w:rPr>
          <w:rFonts w:cstheme="minorHAnsi"/>
          <w:bCs/>
        </w:rPr>
        <w:t>t issues which are peculiar to e</w:t>
      </w:r>
      <w:r w:rsidR="00BE71E3" w:rsidRPr="004737C5">
        <w:rPr>
          <w:rFonts w:cstheme="minorHAnsi"/>
          <w:bCs/>
        </w:rPr>
        <w:t>-commerce, namely the potential for contractual issues to be dealt with electronically and company sanctions against consumers to be applied directly without passing through judicial processes</w:t>
      </w:r>
      <w:r w:rsidRPr="004737C5">
        <w:rPr>
          <w:rFonts w:cstheme="minorHAnsi"/>
          <w:bCs/>
        </w:rPr>
        <w:t>,</w:t>
      </w:r>
      <w:r w:rsidR="004240DC" w:rsidRPr="004737C5">
        <w:rPr>
          <w:rFonts w:cstheme="minorHAnsi"/>
          <w:bCs/>
        </w:rPr>
        <w:t xml:space="preserve"> as described in chapter III</w:t>
      </w:r>
      <w:r w:rsidR="00BE71E3" w:rsidRPr="004737C5">
        <w:rPr>
          <w:rFonts w:cstheme="minorHAnsi"/>
          <w:bCs/>
        </w:rPr>
        <w:t>.</w:t>
      </w:r>
    </w:p>
    <w:p w14:paraId="1DD56AD5" w14:textId="77777777" w:rsidR="00BE71E3" w:rsidRPr="004737C5" w:rsidRDefault="00BE71E3" w:rsidP="006D3BE8">
      <w:pPr>
        <w:rPr>
          <w:rFonts w:cstheme="minorHAnsi"/>
          <w:bCs/>
        </w:rPr>
      </w:pPr>
      <w:r w:rsidRPr="004737C5">
        <w:rPr>
          <w:rFonts w:cstheme="minorHAnsi"/>
          <w:bCs/>
        </w:rPr>
        <w:t>The provisions of part B relating to fair business, advertising and marketing practices are in many ways the same fair trading principle</w:t>
      </w:r>
      <w:r w:rsidR="00F75E1D" w:rsidRPr="004737C5">
        <w:rPr>
          <w:rFonts w:cstheme="minorHAnsi"/>
          <w:bCs/>
        </w:rPr>
        <w:t>s that have long applied to off</w:t>
      </w:r>
      <w:r w:rsidRPr="004737C5">
        <w:rPr>
          <w:rFonts w:cstheme="minorHAnsi"/>
          <w:bCs/>
        </w:rPr>
        <w:t>line transactions. For example, unfair contracts</w:t>
      </w:r>
      <w:r w:rsidR="00F75E1D" w:rsidRPr="004737C5">
        <w:rPr>
          <w:rFonts w:cstheme="minorHAnsi"/>
          <w:bCs/>
        </w:rPr>
        <w:t xml:space="preserve"> are mentioned in paragraph 7: “</w:t>
      </w:r>
      <w:r w:rsidRPr="004737C5">
        <w:rPr>
          <w:rFonts w:cstheme="minorHAnsi"/>
          <w:bCs/>
        </w:rPr>
        <w:t>if contract terms stipulate monetary remedies in the case of consumer’s breach of contract, such remedies should be proportionate to the damage likely to be caused</w:t>
      </w:r>
      <w:r w:rsidR="00F75E1D" w:rsidRPr="004737C5">
        <w:rPr>
          <w:rFonts w:cstheme="minorHAnsi"/>
          <w:bCs/>
        </w:rPr>
        <w:t>”.</w:t>
      </w:r>
      <w:r w:rsidRPr="004737C5">
        <w:rPr>
          <w:rFonts w:cstheme="minorHAnsi"/>
          <w:bCs/>
        </w:rPr>
        <w:t xml:space="preserve"> This principle of proportionality is important, for example, in the financial services domain where it can apply to the disproportionate bank charges which can be executed directly through electronic means as happens for example with payday loans, or conventional current account charges (see c</w:t>
      </w:r>
      <w:r w:rsidR="004240DC" w:rsidRPr="004737C5">
        <w:rPr>
          <w:rFonts w:cstheme="minorHAnsi"/>
          <w:bCs/>
        </w:rPr>
        <w:t>hapter XIV</w:t>
      </w:r>
      <w:r w:rsidR="00F75E1D" w:rsidRPr="004737C5">
        <w:rPr>
          <w:rFonts w:cstheme="minorHAnsi"/>
          <w:bCs/>
        </w:rPr>
        <w:t>). The stipulation of “monetary remedies”</w:t>
      </w:r>
      <w:r w:rsidRPr="004737C5">
        <w:rPr>
          <w:rFonts w:cstheme="minorHAnsi"/>
          <w:bCs/>
        </w:rPr>
        <w:t xml:space="preserve"> (for example, financial penalties against consumers) means that n</w:t>
      </w:r>
      <w:r w:rsidR="00F75E1D" w:rsidRPr="004737C5">
        <w:rPr>
          <w:rFonts w:cstheme="minorHAnsi"/>
          <w:bCs/>
        </w:rPr>
        <w:t>on-financial penalties such as “</w:t>
      </w:r>
      <w:r w:rsidRPr="004737C5">
        <w:rPr>
          <w:rFonts w:cstheme="minorHAnsi"/>
          <w:bCs/>
        </w:rPr>
        <w:t>technical protection measu</w:t>
      </w:r>
      <w:r w:rsidR="00F75E1D" w:rsidRPr="004737C5">
        <w:rPr>
          <w:rFonts w:cstheme="minorHAnsi"/>
          <w:bCs/>
        </w:rPr>
        <w:t>res”</w:t>
      </w:r>
      <w:r w:rsidRPr="004737C5">
        <w:rPr>
          <w:rFonts w:cstheme="minorHAnsi"/>
          <w:bCs/>
        </w:rPr>
        <w:t xml:space="preserve"> which might damage the functionality of consumers’ computers are not dealt with and are not constrained by any principle of proportionality. The only envisaged safeguard for consumers is the requirement of advance disclosure of such measures (which unfortunately many consumers may find hard to understand).</w:t>
      </w:r>
    </w:p>
    <w:p w14:paraId="1F702820" w14:textId="77777777" w:rsidR="00BE71E3" w:rsidRPr="004737C5" w:rsidRDefault="00BE71E3" w:rsidP="00857811">
      <w:pPr>
        <w:pStyle w:val="Heading3"/>
        <w:spacing w:after="160" w:line="240" w:lineRule="auto"/>
        <w:rPr>
          <w:rFonts w:cstheme="minorHAnsi"/>
          <w:color w:val="auto"/>
        </w:rPr>
      </w:pPr>
      <w:bookmarkStart w:id="264" w:name="_Toc454293865"/>
      <w:bookmarkStart w:id="265" w:name="_Toc489950301"/>
      <w:bookmarkStart w:id="266" w:name="_Toc492650088"/>
      <w:r w:rsidRPr="004737C5">
        <w:rPr>
          <w:rFonts w:cstheme="minorHAnsi"/>
          <w:color w:val="auto"/>
        </w:rPr>
        <w:t>7</w:t>
      </w:r>
      <w:r w:rsidR="00F75E1D" w:rsidRPr="004737C5">
        <w:rPr>
          <w:rFonts w:cstheme="minorHAnsi"/>
          <w:color w:val="auto"/>
        </w:rPr>
        <w:t>.</w:t>
      </w:r>
      <w:r w:rsidRPr="004737C5">
        <w:rPr>
          <w:rFonts w:cstheme="minorHAnsi"/>
          <w:color w:val="auto"/>
        </w:rPr>
        <w:t xml:space="preserve"> Other issues</w:t>
      </w:r>
      <w:bookmarkEnd w:id="264"/>
      <w:bookmarkEnd w:id="265"/>
      <w:bookmarkEnd w:id="266"/>
    </w:p>
    <w:p w14:paraId="2CC016B0" w14:textId="0182E7AC" w:rsidR="00BE71E3" w:rsidRPr="004737C5" w:rsidRDefault="00BE71E3" w:rsidP="006D3BE8">
      <w:pPr>
        <w:rPr>
          <w:rFonts w:cstheme="minorHAnsi"/>
          <w:b/>
          <w:bCs/>
        </w:rPr>
      </w:pPr>
      <w:r w:rsidRPr="004737C5">
        <w:rPr>
          <w:rFonts w:cstheme="minorHAnsi"/>
          <w:bCs/>
        </w:rPr>
        <w:t>Ot</w:t>
      </w:r>
      <w:r w:rsidR="00F75E1D" w:rsidRPr="004737C5">
        <w:rPr>
          <w:rFonts w:cstheme="minorHAnsi"/>
          <w:bCs/>
        </w:rPr>
        <w:t>her issues covered by the OECD g</w:t>
      </w:r>
      <w:r w:rsidRPr="004737C5">
        <w:rPr>
          <w:rFonts w:cstheme="minorHAnsi"/>
          <w:bCs/>
        </w:rPr>
        <w:t>uidelines include d</w:t>
      </w:r>
      <w:r w:rsidRPr="004737C5">
        <w:rPr>
          <w:rFonts w:cstheme="minorHAnsi"/>
        </w:rPr>
        <w:t>ispute resolution and redress</w:t>
      </w:r>
      <w:r w:rsidR="004240DC" w:rsidRPr="004737C5">
        <w:rPr>
          <w:rFonts w:cstheme="minorHAnsi"/>
          <w:bCs/>
        </w:rPr>
        <w:t xml:space="preserve"> (dealt with in chapter XI</w:t>
      </w:r>
      <w:r w:rsidRPr="004737C5">
        <w:rPr>
          <w:rFonts w:cstheme="minorHAnsi"/>
          <w:bCs/>
        </w:rPr>
        <w:t>)</w:t>
      </w:r>
      <w:r w:rsidR="00F75E1D" w:rsidRPr="004737C5">
        <w:rPr>
          <w:rFonts w:cstheme="minorHAnsi"/>
          <w:bCs/>
        </w:rPr>
        <w:t>,</w:t>
      </w:r>
      <w:r w:rsidRPr="004737C5">
        <w:rPr>
          <w:rFonts w:cstheme="minorHAnsi"/>
          <w:bCs/>
        </w:rPr>
        <w:t xml:space="preserve"> </w:t>
      </w:r>
      <w:r w:rsidRPr="004737C5">
        <w:rPr>
          <w:rFonts w:cstheme="minorHAnsi"/>
        </w:rPr>
        <w:t>pricing transparency</w:t>
      </w:r>
      <w:r w:rsidRPr="004737C5">
        <w:rPr>
          <w:rFonts w:cstheme="minorHAnsi"/>
          <w:bCs/>
        </w:rPr>
        <w:t xml:space="preserve">, dealt with in the </w:t>
      </w:r>
      <w:r w:rsidR="00A8689C" w:rsidRPr="004737C5">
        <w:rPr>
          <w:rFonts w:cstheme="minorHAnsi"/>
        </w:rPr>
        <w:t>OECD/G20 High-</w:t>
      </w:r>
      <w:r w:rsidRPr="004737C5">
        <w:rPr>
          <w:rFonts w:cstheme="minorHAnsi"/>
        </w:rPr>
        <w:t xml:space="preserve">Level Principles for Consumer </w:t>
      </w:r>
      <w:r w:rsidRPr="004737C5">
        <w:rPr>
          <w:rFonts w:cstheme="minorHAnsi"/>
        </w:rPr>
        <w:lastRenderedPageBreak/>
        <w:t xml:space="preserve">Protection in Financial Services </w:t>
      </w:r>
      <w:r w:rsidR="008848B8" w:rsidRPr="004737C5">
        <w:rPr>
          <w:rFonts w:cstheme="minorHAnsi"/>
        </w:rPr>
        <w:t>(and by extension in chapter XIV</w:t>
      </w:r>
      <w:r w:rsidRPr="004737C5">
        <w:rPr>
          <w:rFonts w:cstheme="minorHAnsi"/>
        </w:rPr>
        <w:t>) and consumer ed</w:t>
      </w:r>
      <w:r w:rsidR="008848B8" w:rsidRPr="004737C5">
        <w:rPr>
          <w:rFonts w:cstheme="minorHAnsi"/>
        </w:rPr>
        <w:t>ucation dealt with in chapter X</w:t>
      </w:r>
      <w:r w:rsidR="00A80CAC" w:rsidRPr="004737C5">
        <w:rPr>
          <w:rFonts w:cstheme="minorHAnsi"/>
        </w:rPr>
        <w:t>. In all these cases, the OECD g</w:t>
      </w:r>
      <w:r w:rsidRPr="004737C5">
        <w:rPr>
          <w:rFonts w:cstheme="minorHAnsi"/>
        </w:rPr>
        <w:t>uidelines are entirely consistent with the UNGCP.</w:t>
      </w:r>
      <w:r w:rsidRPr="004737C5">
        <w:rPr>
          <w:rStyle w:val="FootnoteReference"/>
          <w:rFonts w:cstheme="minorHAnsi"/>
        </w:rPr>
        <w:footnoteReference w:id="238"/>
      </w:r>
    </w:p>
    <w:p w14:paraId="60332737" w14:textId="77777777" w:rsidR="00BE71E3" w:rsidRPr="004737C5" w:rsidRDefault="00F75E1D" w:rsidP="00857811">
      <w:pPr>
        <w:pStyle w:val="Heading2"/>
        <w:spacing w:after="160"/>
        <w:rPr>
          <w:rFonts w:cstheme="minorHAnsi"/>
          <w:color w:val="auto"/>
          <w:sz w:val="24"/>
          <w:szCs w:val="24"/>
        </w:rPr>
      </w:pPr>
      <w:bookmarkStart w:id="267" w:name="_Toc183930676"/>
      <w:bookmarkStart w:id="268" w:name="_Toc454293866"/>
      <w:bookmarkStart w:id="269" w:name="_Toc489950302"/>
      <w:bookmarkStart w:id="270" w:name="_Toc492650089"/>
      <w:r w:rsidRPr="004737C5">
        <w:rPr>
          <w:rFonts w:cstheme="minorHAnsi"/>
          <w:color w:val="auto"/>
          <w:sz w:val="24"/>
          <w:szCs w:val="24"/>
        </w:rPr>
        <w:t>E.</w:t>
      </w:r>
      <w:r w:rsidR="00BE71E3" w:rsidRPr="004737C5">
        <w:rPr>
          <w:rFonts w:cstheme="minorHAnsi"/>
          <w:color w:val="auto"/>
          <w:sz w:val="24"/>
          <w:szCs w:val="24"/>
        </w:rPr>
        <w:t xml:space="preserve"> Other international guidelines for the regulation of e-commerce</w:t>
      </w:r>
      <w:bookmarkEnd w:id="267"/>
      <w:bookmarkEnd w:id="268"/>
      <w:bookmarkEnd w:id="269"/>
      <w:bookmarkEnd w:id="270"/>
    </w:p>
    <w:p w14:paraId="25745B8C" w14:textId="77777777" w:rsidR="00BE71E3" w:rsidRPr="004737C5" w:rsidRDefault="00F75E1D" w:rsidP="006D3BE8">
      <w:pPr>
        <w:rPr>
          <w:rFonts w:cstheme="minorHAnsi"/>
        </w:rPr>
      </w:pPr>
      <w:r w:rsidRPr="004737C5">
        <w:rPr>
          <w:rFonts w:cstheme="minorHAnsi"/>
        </w:rPr>
        <w:t>As explained in UNCTAD’</w:t>
      </w:r>
      <w:r w:rsidR="00BE71E3" w:rsidRPr="004737C5">
        <w:rPr>
          <w:rFonts w:cstheme="minorHAnsi"/>
        </w:rPr>
        <w:t>s Global Cyberlaw Tracker, there are four main areas of regulation in e-commerce: e-transaction laws, d</w:t>
      </w:r>
      <w:r w:rsidRPr="004737C5">
        <w:rPr>
          <w:rFonts w:cstheme="minorHAnsi"/>
        </w:rPr>
        <w:t>ata protection and privacy laws, cyber-crime laws</w:t>
      </w:r>
      <w:r w:rsidR="00BE71E3" w:rsidRPr="004737C5">
        <w:rPr>
          <w:rFonts w:cstheme="minorHAnsi"/>
        </w:rPr>
        <w:t xml:space="preserve"> and consumer protection laws.</w:t>
      </w:r>
      <w:r w:rsidR="00BE71E3" w:rsidRPr="004737C5">
        <w:rPr>
          <w:rStyle w:val="FootnoteReference"/>
          <w:rFonts w:cstheme="minorHAnsi"/>
        </w:rPr>
        <w:footnoteReference w:id="239"/>
      </w:r>
      <w:r w:rsidR="00BE71E3" w:rsidRPr="004737C5">
        <w:rPr>
          <w:rFonts w:cstheme="minorHAnsi"/>
        </w:rPr>
        <w:t xml:space="preserve"> In order to enhance cross-b</w:t>
      </w:r>
      <w:r w:rsidRPr="004737C5">
        <w:rPr>
          <w:rFonts w:cstheme="minorHAnsi"/>
        </w:rPr>
        <w:t>order e-commerce, and consumers’</w:t>
      </w:r>
      <w:r w:rsidR="00BE71E3" w:rsidRPr="004737C5">
        <w:rPr>
          <w:rFonts w:cstheme="minorHAnsi"/>
        </w:rPr>
        <w:t xml:space="preserve"> trust therein, there needs to be compatibility of e-transaction laws. Two organizations have don</w:t>
      </w:r>
      <w:r w:rsidRPr="004737C5">
        <w:rPr>
          <w:rFonts w:cstheme="minorHAnsi"/>
        </w:rPr>
        <w:t>e extensive work in this regard.</w:t>
      </w:r>
    </w:p>
    <w:p w14:paraId="7BE8D948" w14:textId="77777777" w:rsidR="00BE71E3" w:rsidRPr="004737C5" w:rsidRDefault="00BE71E3" w:rsidP="00857811">
      <w:pPr>
        <w:pStyle w:val="Heading3"/>
        <w:spacing w:after="160" w:line="240" w:lineRule="auto"/>
        <w:rPr>
          <w:rFonts w:cstheme="minorHAnsi"/>
          <w:color w:val="auto"/>
        </w:rPr>
      </w:pPr>
      <w:bookmarkStart w:id="271" w:name="_Toc454293867"/>
      <w:bookmarkStart w:id="272" w:name="_Toc489950303"/>
      <w:bookmarkStart w:id="273" w:name="_Toc492650090"/>
      <w:r w:rsidRPr="004737C5">
        <w:rPr>
          <w:rFonts w:cstheme="minorHAnsi"/>
          <w:color w:val="auto"/>
        </w:rPr>
        <w:t>1</w:t>
      </w:r>
      <w:r w:rsidR="00F75E1D" w:rsidRPr="004737C5">
        <w:rPr>
          <w:rFonts w:cstheme="minorHAnsi"/>
          <w:color w:val="auto"/>
        </w:rPr>
        <w:t>.</w:t>
      </w:r>
      <w:r w:rsidRPr="004737C5">
        <w:rPr>
          <w:rFonts w:cstheme="minorHAnsi"/>
          <w:color w:val="auto"/>
        </w:rPr>
        <w:t xml:space="preserve"> The United Nations Commission on International Trade Law</w:t>
      </w:r>
      <w:bookmarkEnd w:id="271"/>
      <w:bookmarkEnd w:id="272"/>
      <w:bookmarkEnd w:id="273"/>
      <w:r w:rsidRPr="004737C5">
        <w:rPr>
          <w:rFonts w:cstheme="minorHAnsi"/>
          <w:color w:val="auto"/>
        </w:rPr>
        <w:t xml:space="preserve"> </w:t>
      </w:r>
    </w:p>
    <w:p w14:paraId="2EE48DAD" w14:textId="77777777" w:rsidR="00BE71E3" w:rsidRPr="004737C5" w:rsidRDefault="00BE71E3" w:rsidP="00300B92">
      <w:pPr>
        <w:rPr>
          <w:rFonts w:cstheme="minorHAnsi"/>
        </w:rPr>
      </w:pPr>
      <w:r w:rsidRPr="004737C5">
        <w:rPr>
          <w:rFonts w:cstheme="minorHAnsi"/>
        </w:rPr>
        <w:t>In 1996, the United Nations Commission on International Trade Law (UNCITRAL) developed a Model Law on Electronic Commerce, which was superseded by the 200</w:t>
      </w:r>
      <w:r w:rsidR="00F75E1D" w:rsidRPr="004737C5">
        <w:rPr>
          <w:rFonts w:cstheme="minorHAnsi"/>
        </w:rPr>
        <w:t>5 United Nations Convention on Electronic Communications in International C</w:t>
      </w:r>
      <w:r w:rsidRPr="004737C5">
        <w:rPr>
          <w:rFonts w:cstheme="minorHAnsi"/>
        </w:rPr>
        <w:t>ontracts,</w:t>
      </w:r>
      <w:r w:rsidRPr="004737C5">
        <w:rPr>
          <w:rStyle w:val="FootnoteReference"/>
          <w:rFonts w:cstheme="minorHAnsi"/>
        </w:rPr>
        <w:footnoteReference w:id="240"/>
      </w:r>
      <w:r w:rsidRPr="004737C5">
        <w:rPr>
          <w:rFonts w:cstheme="minorHAnsi"/>
        </w:rPr>
        <w:t xml:space="preserve"> establishing:</w:t>
      </w:r>
    </w:p>
    <w:p w14:paraId="111BFCB1" w14:textId="77777777" w:rsidR="00BE71E3" w:rsidRPr="004737C5" w:rsidRDefault="00BE71E3" w:rsidP="002473E9">
      <w:pPr>
        <w:pStyle w:val="ListParagraph"/>
        <w:numPr>
          <w:ilvl w:val="0"/>
          <w:numId w:val="83"/>
        </w:numPr>
        <w:spacing w:before="120" w:after="120"/>
        <w:ind w:left="709" w:hanging="425"/>
        <w:rPr>
          <w:rFonts w:cstheme="minorHAnsi"/>
        </w:rPr>
      </w:pPr>
      <w:r w:rsidRPr="004737C5">
        <w:rPr>
          <w:rFonts w:cstheme="minorHAnsi"/>
        </w:rPr>
        <w:t>Rules and accepted practices that define the characteristics</w:t>
      </w:r>
      <w:r w:rsidR="00F75E1D" w:rsidRPr="004737C5">
        <w:rPr>
          <w:rFonts w:cstheme="minorHAnsi"/>
        </w:rPr>
        <w:t xml:space="preserve"> of a valid electronic contract</w:t>
      </w:r>
    </w:p>
    <w:p w14:paraId="79B9D9C7" w14:textId="77777777" w:rsidR="00BE71E3" w:rsidRPr="004737C5" w:rsidRDefault="00BE71E3" w:rsidP="002473E9">
      <w:pPr>
        <w:pStyle w:val="ListParagraph"/>
        <w:numPr>
          <w:ilvl w:val="0"/>
          <w:numId w:val="83"/>
        </w:numPr>
        <w:spacing w:before="120" w:after="120"/>
        <w:ind w:left="709" w:hanging="425"/>
        <w:rPr>
          <w:rFonts w:cstheme="minorHAnsi"/>
        </w:rPr>
      </w:pPr>
      <w:r w:rsidRPr="004737C5">
        <w:rPr>
          <w:rFonts w:cstheme="minorHAnsi"/>
        </w:rPr>
        <w:t>Guidelines for the acceptable use of digital signatures for le</w:t>
      </w:r>
      <w:r w:rsidR="00F75E1D" w:rsidRPr="004737C5">
        <w:rPr>
          <w:rFonts w:cstheme="minorHAnsi"/>
        </w:rPr>
        <w:t>gal and commercial purposes</w:t>
      </w:r>
    </w:p>
    <w:p w14:paraId="69E4B26F" w14:textId="77777777" w:rsidR="00BE71E3" w:rsidRPr="004737C5" w:rsidRDefault="00BE71E3" w:rsidP="00300B92">
      <w:pPr>
        <w:pStyle w:val="ListParagraph"/>
        <w:numPr>
          <w:ilvl w:val="0"/>
          <w:numId w:val="83"/>
        </w:numPr>
        <w:spacing w:before="120"/>
        <w:ind w:left="709" w:hanging="425"/>
        <w:rPr>
          <w:rFonts w:cstheme="minorHAnsi"/>
        </w:rPr>
      </w:pPr>
      <w:r w:rsidRPr="004737C5">
        <w:rPr>
          <w:rFonts w:cstheme="minorHAnsi"/>
        </w:rPr>
        <w:t xml:space="preserve">Supporting the use of computer evidence in legal disputes </w:t>
      </w:r>
      <w:r w:rsidR="00F75E1D" w:rsidRPr="004737C5">
        <w:rPr>
          <w:rFonts w:cstheme="minorHAnsi"/>
        </w:rPr>
        <w:t>over the validity of a contract</w:t>
      </w:r>
    </w:p>
    <w:p w14:paraId="059E3201" w14:textId="77777777" w:rsidR="00BE71E3" w:rsidRPr="004737C5" w:rsidRDefault="00BE71E3" w:rsidP="006D3BE8">
      <w:pPr>
        <w:rPr>
          <w:rFonts w:cstheme="minorHAnsi"/>
        </w:rPr>
      </w:pPr>
      <w:r w:rsidRPr="004737C5">
        <w:rPr>
          <w:rFonts w:cstheme="minorHAnsi"/>
        </w:rPr>
        <w:t>In</w:t>
      </w:r>
      <w:r w:rsidR="00F75E1D" w:rsidRPr="004737C5">
        <w:rPr>
          <w:rFonts w:cstheme="minorHAnsi"/>
        </w:rPr>
        <w:t xml:space="preserve"> addition, the c</w:t>
      </w:r>
      <w:r w:rsidRPr="004737C5">
        <w:rPr>
          <w:rFonts w:cstheme="minorHAnsi"/>
        </w:rPr>
        <w:t>onvention defines the default rules for contract formation and the governance of contract performance. Many c</w:t>
      </w:r>
      <w:r w:rsidR="00F75E1D" w:rsidRPr="004737C5">
        <w:rPr>
          <w:rFonts w:cstheme="minorHAnsi"/>
        </w:rPr>
        <w:t>ountries have already used the model l</w:t>
      </w:r>
      <w:r w:rsidRPr="004737C5">
        <w:rPr>
          <w:rFonts w:cstheme="minorHAnsi"/>
        </w:rPr>
        <w:t>aw to update their commercial laws to accommodate the electronic medium and at the time of writing, UNICITRAL reports that legislation</w:t>
      </w:r>
      <w:r w:rsidR="00F75E1D" w:rsidRPr="004737C5">
        <w:rPr>
          <w:rFonts w:cstheme="minorHAnsi"/>
        </w:rPr>
        <w:t xml:space="preserve"> based on or influenced by the model law has been adopted in 66 s</w:t>
      </w:r>
      <w:r w:rsidRPr="004737C5">
        <w:rPr>
          <w:rFonts w:cstheme="minorHAnsi"/>
        </w:rPr>
        <w:t xml:space="preserve">tates (and more individual jurisdictions) at various levels of development. </w:t>
      </w:r>
    </w:p>
    <w:p w14:paraId="20F11680" w14:textId="77777777" w:rsidR="00BE71E3" w:rsidRPr="004737C5" w:rsidRDefault="00BE71E3" w:rsidP="00300B92">
      <w:pPr>
        <w:pStyle w:val="Heading3"/>
        <w:spacing w:after="160" w:line="240" w:lineRule="auto"/>
        <w:rPr>
          <w:rFonts w:cstheme="minorHAnsi"/>
          <w:color w:val="auto"/>
        </w:rPr>
      </w:pPr>
      <w:bookmarkStart w:id="274" w:name="_Toc454293868"/>
      <w:bookmarkStart w:id="275" w:name="_Toc489950304"/>
      <w:bookmarkStart w:id="276" w:name="_Toc492650091"/>
      <w:r w:rsidRPr="004737C5">
        <w:rPr>
          <w:rFonts w:cstheme="minorHAnsi"/>
          <w:color w:val="auto"/>
        </w:rPr>
        <w:t>2</w:t>
      </w:r>
      <w:r w:rsidR="00F75E1D" w:rsidRPr="004737C5">
        <w:rPr>
          <w:rFonts w:cstheme="minorHAnsi"/>
          <w:color w:val="auto"/>
        </w:rPr>
        <w:t>.</w:t>
      </w:r>
      <w:r w:rsidRPr="004737C5">
        <w:rPr>
          <w:rFonts w:cstheme="minorHAnsi"/>
          <w:color w:val="auto"/>
        </w:rPr>
        <w:t xml:space="preserve"> UNCTAD’s e-commerce and law reform project</w:t>
      </w:r>
      <w:bookmarkEnd w:id="274"/>
      <w:bookmarkEnd w:id="275"/>
      <w:bookmarkEnd w:id="276"/>
    </w:p>
    <w:p w14:paraId="5BF8E093" w14:textId="527C383B" w:rsidR="00BE71E3" w:rsidRPr="004737C5" w:rsidRDefault="00F75E1D" w:rsidP="006D3BE8">
      <w:pPr>
        <w:autoSpaceDE w:val="0"/>
        <w:autoSpaceDN w:val="0"/>
        <w:adjustRightInd w:val="0"/>
        <w:rPr>
          <w:rFonts w:cstheme="minorHAnsi"/>
          <w:color w:val="000000"/>
        </w:rPr>
      </w:pPr>
      <w:r w:rsidRPr="004737C5">
        <w:rPr>
          <w:rFonts w:cstheme="minorHAnsi"/>
        </w:rPr>
        <w:t>Since 2002</w:t>
      </w:r>
      <w:r w:rsidR="00300B92" w:rsidRPr="004737C5">
        <w:rPr>
          <w:rFonts w:cstheme="minorHAnsi"/>
        </w:rPr>
        <w:t xml:space="preserve"> </w:t>
      </w:r>
      <w:r w:rsidR="00BE71E3" w:rsidRPr="004737C5">
        <w:rPr>
          <w:rFonts w:cstheme="minorHAnsi"/>
        </w:rPr>
        <w:t>UNCTAD has been running a capacity-building programme on e-commerce and law reform. The programme</w:t>
      </w:r>
      <w:r w:rsidRPr="004737C5">
        <w:rPr>
          <w:rFonts w:cstheme="minorHAnsi"/>
        </w:rPr>
        <w:t xml:space="preserve"> assists developing countries in</w:t>
      </w:r>
      <w:r w:rsidR="00BE71E3" w:rsidRPr="004737C5">
        <w:rPr>
          <w:rFonts w:cstheme="minorHAnsi"/>
        </w:rPr>
        <w:t xml:space="preserve"> Africa, Asia and Latin America in the development of e-commerce legislation at both regional and national levels.</w:t>
      </w:r>
      <w:r w:rsidR="00BE71E3" w:rsidRPr="004737C5">
        <w:rPr>
          <w:rFonts w:cstheme="minorHAnsi"/>
          <w:vertAlign w:val="superscript"/>
        </w:rPr>
        <w:footnoteReference w:id="241"/>
      </w:r>
      <w:r w:rsidR="00BE71E3" w:rsidRPr="004737C5">
        <w:rPr>
          <w:rFonts w:cstheme="minorHAnsi"/>
        </w:rPr>
        <w:t xml:space="preserve"> Relevant laws should ensure trust in online transactions, ease the conduct of domestic</w:t>
      </w:r>
      <w:r w:rsidRPr="004737C5">
        <w:rPr>
          <w:rFonts w:cstheme="minorHAnsi"/>
        </w:rPr>
        <w:t xml:space="preserve"> and international trade online</w:t>
      </w:r>
      <w:r w:rsidR="00BE71E3" w:rsidRPr="004737C5">
        <w:rPr>
          <w:rFonts w:cstheme="minorHAnsi"/>
        </w:rPr>
        <w:t xml:space="preserve"> and offer legal protection for users and providers of e-commerce and e-government service</w:t>
      </w:r>
      <w:r w:rsidRPr="004737C5">
        <w:rPr>
          <w:rFonts w:cstheme="minorHAnsi"/>
        </w:rPr>
        <w:t>s. Assistance includes capacity-</w:t>
      </w:r>
      <w:r w:rsidR="00BE71E3" w:rsidRPr="004737C5">
        <w:rPr>
          <w:rFonts w:cstheme="minorHAnsi"/>
        </w:rPr>
        <w:t>building workshops, reviews of draft o</w:t>
      </w:r>
      <w:r w:rsidRPr="004737C5">
        <w:rPr>
          <w:rFonts w:cstheme="minorHAnsi"/>
        </w:rPr>
        <w:t>r existing legislation,</w:t>
      </w:r>
      <w:r w:rsidR="00BE71E3" w:rsidRPr="004737C5">
        <w:rPr>
          <w:rFonts w:cstheme="minorHAnsi"/>
        </w:rPr>
        <w:t xml:space="preserve"> drafting of legislation harmonized with regional and</w:t>
      </w:r>
      <w:r w:rsidRPr="004737C5">
        <w:rPr>
          <w:rFonts w:cstheme="minorHAnsi"/>
        </w:rPr>
        <w:t xml:space="preserve"> international legal frameworks</w:t>
      </w:r>
      <w:r w:rsidR="00BE71E3" w:rsidRPr="004737C5">
        <w:rPr>
          <w:rFonts w:cstheme="minorHAnsi"/>
        </w:rPr>
        <w:t xml:space="preserve"> and comparative reviews of e-commerce legislation harmonization such as those undertaken in cooperation with the Association of South East Nations (ASEAN) published in 2013,</w:t>
      </w:r>
      <w:r w:rsidRPr="004737C5">
        <w:rPr>
          <w:rFonts w:cstheme="minorHAnsi"/>
        </w:rPr>
        <w:t xml:space="preserve"> the Community of West African S</w:t>
      </w:r>
      <w:r w:rsidR="00BE71E3" w:rsidRPr="004737C5">
        <w:rPr>
          <w:rFonts w:cstheme="minorHAnsi"/>
        </w:rPr>
        <w:t>tates (2015) and for Latin America (2016).</w:t>
      </w:r>
      <w:r w:rsidR="00BE71E3" w:rsidRPr="004737C5">
        <w:rPr>
          <w:rStyle w:val="FootnoteReference"/>
          <w:rFonts w:cstheme="minorHAnsi"/>
          <w:color w:val="000000"/>
        </w:rPr>
        <w:footnoteReference w:id="242"/>
      </w:r>
      <w:r w:rsidR="00BE71E3" w:rsidRPr="004737C5">
        <w:rPr>
          <w:rFonts w:cstheme="minorHAnsi"/>
          <w:color w:val="000000"/>
        </w:rPr>
        <w:t xml:space="preserve"> </w:t>
      </w:r>
    </w:p>
    <w:p w14:paraId="75CC4A74" w14:textId="77777777" w:rsidR="00BE71E3" w:rsidRPr="004737C5" w:rsidRDefault="00BE71E3" w:rsidP="006D3BE8">
      <w:pPr>
        <w:autoSpaceDE w:val="0"/>
        <w:autoSpaceDN w:val="0"/>
        <w:adjustRightInd w:val="0"/>
        <w:rPr>
          <w:rFonts w:cstheme="minorHAnsi"/>
        </w:rPr>
      </w:pPr>
      <w:r w:rsidRPr="004737C5">
        <w:rPr>
          <w:rFonts w:cstheme="minorHAnsi"/>
        </w:rPr>
        <w:t>Under the programme, the East African Community established a Task Force on Cyberlaws in 2007, w</w:t>
      </w:r>
      <w:r w:rsidR="00F75E1D" w:rsidRPr="004737C5">
        <w:rPr>
          <w:rFonts w:cstheme="minorHAnsi"/>
        </w:rPr>
        <w:t>hich prepared and endorsed two c</w:t>
      </w:r>
      <w:r w:rsidRPr="004737C5">
        <w:rPr>
          <w:rFonts w:cstheme="minorHAnsi"/>
        </w:rPr>
        <w:t xml:space="preserve">yberlaw frameworks. </w:t>
      </w:r>
    </w:p>
    <w:p w14:paraId="3951494A" w14:textId="77777777" w:rsidR="00BE71E3" w:rsidRPr="004737C5" w:rsidRDefault="00BE71E3" w:rsidP="006D3BE8">
      <w:pPr>
        <w:rPr>
          <w:rFonts w:cstheme="minorHAnsi"/>
        </w:rPr>
      </w:pPr>
      <w:r w:rsidRPr="004737C5">
        <w:rPr>
          <w:rFonts w:cstheme="minorHAnsi"/>
        </w:rPr>
        <w:t>In 2015, UNCTAD launched its Cyberlaw Tracker,</w:t>
      </w:r>
      <w:r w:rsidRPr="004737C5">
        <w:rPr>
          <w:rStyle w:val="FootnoteReference"/>
          <w:rFonts w:cstheme="minorHAnsi"/>
        </w:rPr>
        <w:t xml:space="preserve"> </w:t>
      </w:r>
      <w:r w:rsidRPr="004737C5">
        <w:rPr>
          <w:rFonts w:cstheme="minorHAnsi"/>
        </w:rPr>
        <w:t>a global mapping of e-commerce laws in the area of e-transactions, the protection of consumers online, cybercrime and data protection.</w:t>
      </w:r>
      <w:r w:rsidRPr="004737C5">
        <w:rPr>
          <w:rStyle w:val="FootnoteReference"/>
          <w:rFonts w:cstheme="minorHAnsi"/>
        </w:rPr>
        <w:footnoteReference w:id="243"/>
      </w:r>
      <w:r w:rsidR="00F75E1D" w:rsidRPr="004737C5">
        <w:rPr>
          <w:rFonts w:cstheme="minorHAnsi"/>
        </w:rPr>
        <w:t xml:space="preserve"> </w:t>
      </w:r>
      <w:r w:rsidRPr="004737C5">
        <w:rPr>
          <w:rFonts w:cstheme="minorHAnsi"/>
        </w:rPr>
        <w:t xml:space="preserve">While </w:t>
      </w:r>
      <w:r w:rsidRPr="004737C5">
        <w:rPr>
          <w:rFonts w:cstheme="minorHAnsi"/>
        </w:rPr>
        <w:lastRenderedPageBreak/>
        <w:t xml:space="preserve">legislation covering those areas is already in place in developed countries, developing ones are lagging behind. The share of countries that have adopted </w:t>
      </w:r>
      <w:r w:rsidR="004F224D" w:rsidRPr="004737C5">
        <w:rPr>
          <w:rFonts w:cstheme="minorHAnsi"/>
        </w:rPr>
        <w:t>a law is generally highest for e</w:t>
      </w:r>
      <w:r w:rsidRPr="004737C5">
        <w:rPr>
          <w:rFonts w:cstheme="minorHAnsi"/>
        </w:rPr>
        <w:t xml:space="preserve">-transactions and lowest for the </w:t>
      </w:r>
      <w:r w:rsidR="004F224D" w:rsidRPr="004737C5">
        <w:rPr>
          <w:rFonts w:cstheme="minorHAnsi"/>
        </w:rPr>
        <w:t>protection of consumers online.</w:t>
      </w:r>
      <w:r w:rsidRPr="004737C5">
        <w:rPr>
          <w:rFonts w:cstheme="minorHAnsi"/>
        </w:rPr>
        <w:t xml:space="preserve"> For example, in Central America seven out of ten countries have consumer protection laws in place but more than half</w:t>
      </w:r>
      <w:r w:rsidRPr="004737C5">
        <w:rPr>
          <w:rFonts w:cstheme="minorHAnsi"/>
          <w:sz w:val="21"/>
          <w:szCs w:val="21"/>
        </w:rPr>
        <w:t xml:space="preserve"> </w:t>
      </w:r>
      <w:r w:rsidRPr="004737C5">
        <w:rPr>
          <w:rFonts w:cstheme="minorHAnsi"/>
        </w:rPr>
        <w:t xml:space="preserve">do not have a law on data protection and cybercrime. In </w:t>
      </w:r>
      <w:r w:rsidR="004F224D" w:rsidRPr="004737C5">
        <w:rPr>
          <w:rFonts w:cstheme="minorHAnsi"/>
        </w:rPr>
        <w:t>Central</w:t>
      </w:r>
      <w:r w:rsidRPr="004737C5">
        <w:rPr>
          <w:rFonts w:cstheme="minorHAnsi"/>
        </w:rPr>
        <w:t xml:space="preserve"> Africa, out of nine countries, </w:t>
      </w:r>
      <w:r w:rsidR="004F224D" w:rsidRPr="004737C5">
        <w:rPr>
          <w:rFonts w:cstheme="minorHAnsi"/>
        </w:rPr>
        <w:t>only two have laws relating to e</w:t>
      </w:r>
      <w:r w:rsidRPr="004737C5">
        <w:rPr>
          <w:rFonts w:cstheme="minorHAnsi"/>
        </w:rPr>
        <w:t xml:space="preserve">-transactions, consumer protection and data protection and only one </w:t>
      </w:r>
      <w:r w:rsidR="004F224D" w:rsidRPr="004737C5">
        <w:rPr>
          <w:rFonts w:cstheme="minorHAnsi"/>
        </w:rPr>
        <w:t xml:space="preserve">has </w:t>
      </w:r>
      <w:r w:rsidRPr="004737C5">
        <w:rPr>
          <w:rFonts w:cstheme="minorHAnsi"/>
        </w:rPr>
        <w:t xml:space="preserve">adopted cyber-legislation. </w:t>
      </w:r>
    </w:p>
    <w:p w14:paraId="7E756D2D" w14:textId="77777777" w:rsidR="00BE71E3" w:rsidRPr="004737C5" w:rsidRDefault="00BE71E3" w:rsidP="00CF7FD2">
      <w:pPr>
        <w:pStyle w:val="Heading3"/>
        <w:spacing w:after="160" w:line="240" w:lineRule="auto"/>
        <w:rPr>
          <w:rFonts w:cstheme="minorHAnsi"/>
          <w:color w:val="auto"/>
        </w:rPr>
      </w:pPr>
      <w:bookmarkStart w:id="277" w:name="_Toc489950305"/>
      <w:bookmarkStart w:id="278" w:name="_Toc492650092"/>
      <w:r w:rsidRPr="004737C5">
        <w:rPr>
          <w:rFonts w:cstheme="minorHAnsi"/>
          <w:color w:val="auto"/>
        </w:rPr>
        <w:t>3</w:t>
      </w:r>
      <w:r w:rsidR="004F224D" w:rsidRPr="004737C5">
        <w:rPr>
          <w:rFonts w:cstheme="minorHAnsi"/>
          <w:color w:val="auto"/>
        </w:rPr>
        <w:t>.</w:t>
      </w:r>
      <w:r w:rsidRPr="004737C5">
        <w:rPr>
          <w:rFonts w:cstheme="minorHAnsi"/>
          <w:color w:val="auto"/>
        </w:rPr>
        <w:t xml:space="preserve"> Access for consumers with disabilities</w:t>
      </w:r>
      <w:bookmarkEnd w:id="277"/>
      <w:bookmarkEnd w:id="278"/>
    </w:p>
    <w:p w14:paraId="79EA5A9E" w14:textId="77777777" w:rsidR="00BE71E3" w:rsidRPr="004737C5" w:rsidRDefault="00BE71E3" w:rsidP="006D3BE8">
      <w:pPr>
        <w:rPr>
          <w:rFonts w:cstheme="minorHAnsi"/>
        </w:rPr>
      </w:pPr>
      <w:r w:rsidRPr="004737C5">
        <w:rPr>
          <w:rFonts w:cstheme="minorHAnsi"/>
        </w:rPr>
        <w:t>One potential advantage of e-commerce is the access it can provide for people suffering from physical disabilities, including visual han</w:t>
      </w:r>
      <w:r w:rsidR="000E580C" w:rsidRPr="004737C5">
        <w:rPr>
          <w:rFonts w:cstheme="minorHAnsi"/>
        </w:rPr>
        <w:t>dicaps. The World Health Organiz</w:t>
      </w:r>
      <w:r w:rsidRPr="004737C5">
        <w:rPr>
          <w:rFonts w:cstheme="minorHAnsi"/>
        </w:rPr>
        <w:t>ation estimated in 2011 that 15.3</w:t>
      </w:r>
      <w:r w:rsidR="000E580C" w:rsidRPr="004737C5">
        <w:rPr>
          <w:rFonts w:cstheme="minorHAnsi"/>
        </w:rPr>
        <w:t xml:space="preserve"> percent </w:t>
      </w:r>
      <w:r w:rsidRPr="004737C5">
        <w:rPr>
          <w:rFonts w:cstheme="minorHAnsi"/>
        </w:rPr>
        <w:t>of the world</w:t>
      </w:r>
      <w:r w:rsidR="000E580C" w:rsidRPr="004737C5">
        <w:rPr>
          <w:rFonts w:cstheme="minorHAnsi"/>
        </w:rPr>
        <w:t>’s population has</w:t>
      </w:r>
      <w:r w:rsidRPr="004737C5">
        <w:rPr>
          <w:rFonts w:cstheme="minorHAnsi"/>
        </w:rPr>
        <w:t xml:space="preserve"> a “moderate or severe disability”.</w:t>
      </w:r>
      <w:r w:rsidRPr="004737C5">
        <w:rPr>
          <w:rStyle w:val="FootnoteReference"/>
          <w:rFonts w:cstheme="minorHAnsi"/>
        </w:rPr>
        <w:footnoteReference w:id="244"/>
      </w:r>
      <w:r w:rsidRPr="004737C5">
        <w:rPr>
          <w:rFonts w:cstheme="minorHAnsi"/>
        </w:rPr>
        <w:t xml:space="preserve"> These consumers are excluded to some extent from around </w:t>
      </w:r>
      <w:r w:rsidRPr="004737C5">
        <w:rPr>
          <w:rFonts w:eastAsia="Times New Roman" w:cstheme="minorHAnsi"/>
          <w:color w:val="000000"/>
          <w:kern w:val="32"/>
          <w:lang w:eastAsia="en-GB"/>
        </w:rPr>
        <w:t>80</w:t>
      </w:r>
      <w:r w:rsidR="000E580C" w:rsidRPr="004737C5">
        <w:rPr>
          <w:rFonts w:eastAsia="Times New Roman" w:cstheme="minorHAnsi"/>
          <w:color w:val="000000"/>
          <w:kern w:val="32"/>
          <w:lang w:eastAsia="en-GB"/>
        </w:rPr>
        <w:t xml:space="preserve"> percent of retail websites.</w:t>
      </w:r>
      <w:r w:rsidRPr="004737C5">
        <w:rPr>
          <w:rFonts w:eastAsia="Times New Roman" w:cstheme="minorHAnsi"/>
          <w:color w:val="000000"/>
          <w:kern w:val="32"/>
          <w:vertAlign w:val="superscript"/>
          <w:lang w:eastAsia="en-GB"/>
        </w:rPr>
        <w:footnoteReference w:id="245"/>
      </w:r>
      <w:r w:rsidRPr="004737C5">
        <w:rPr>
          <w:rFonts w:eastAsia="Times New Roman" w:cstheme="minorHAnsi"/>
          <w:color w:val="000000"/>
          <w:kern w:val="32"/>
          <w:lang w:eastAsia="en-GB"/>
        </w:rPr>
        <w:t xml:space="preserve"> </w:t>
      </w:r>
      <w:r w:rsidRPr="004737C5">
        <w:rPr>
          <w:rFonts w:cstheme="minorHAnsi"/>
        </w:rPr>
        <w:t>The United Nations Convention on the Rights of Persons with Disabilities upholds the rights of people with disabilities to access information and services online. We note that the European Commission has raised the possibility of a European Accessibility Act, which would set common accessibility requirements for e-commerce websites.</w:t>
      </w:r>
      <w:r w:rsidRPr="004737C5">
        <w:rPr>
          <w:rStyle w:val="FootnoteReference"/>
          <w:rFonts w:cstheme="minorHAnsi"/>
        </w:rPr>
        <w:footnoteReference w:id="246"/>
      </w:r>
      <w:r w:rsidRPr="004737C5">
        <w:rPr>
          <w:rFonts w:cstheme="minorHAnsi"/>
        </w:rPr>
        <w:t xml:space="preserve"> Legal obligations aside, it makes business sense to have an accessible website to avoid turning away approaching one billion potential customers. </w:t>
      </w:r>
    </w:p>
    <w:p w14:paraId="2EA36898" w14:textId="77777777" w:rsidR="00BE71E3" w:rsidRPr="004737C5" w:rsidRDefault="00BE71E3" w:rsidP="00CF7FD2">
      <w:pPr>
        <w:pStyle w:val="Heading3"/>
        <w:spacing w:after="160" w:line="240" w:lineRule="auto"/>
        <w:rPr>
          <w:rFonts w:cstheme="minorHAnsi"/>
          <w:color w:val="auto"/>
        </w:rPr>
      </w:pPr>
      <w:bookmarkStart w:id="279" w:name="_Toc489950306"/>
      <w:bookmarkStart w:id="280" w:name="_Toc492650093"/>
      <w:r w:rsidRPr="004737C5">
        <w:rPr>
          <w:rFonts w:cstheme="minorHAnsi"/>
          <w:color w:val="auto"/>
        </w:rPr>
        <w:t>4</w:t>
      </w:r>
      <w:r w:rsidR="000E580C" w:rsidRPr="004737C5">
        <w:rPr>
          <w:rFonts w:cstheme="minorHAnsi"/>
          <w:color w:val="auto"/>
        </w:rPr>
        <w:t>.</w:t>
      </w:r>
      <w:r w:rsidRPr="004737C5">
        <w:rPr>
          <w:rFonts w:cstheme="minorHAnsi"/>
          <w:color w:val="auto"/>
        </w:rPr>
        <w:t xml:space="preserve"> Best practice recommendations from International Chamber of Commerce</w:t>
      </w:r>
      <w:bookmarkEnd w:id="279"/>
      <w:bookmarkEnd w:id="280"/>
    </w:p>
    <w:p w14:paraId="4DF0592C" w14:textId="77777777" w:rsidR="000E580C" w:rsidRPr="004737C5" w:rsidRDefault="00BE71E3" w:rsidP="006D3BE8">
      <w:pPr>
        <w:rPr>
          <w:rFonts w:cstheme="minorHAnsi"/>
        </w:rPr>
      </w:pPr>
      <w:r w:rsidRPr="004737C5">
        <w:rPr>
          <w:rFonts w:cstheme="minorHAnsi"/>
        </w:rPr>
        <w:t>The</w:t>
      </w:r>
      <w:r w:rsidR="000E580C" w:rsidRPr="004737C5">
        <w:rPr>
          <w:rFonts w:cstheme="minorHAnsi"/>
        </w:rPr>
        <w:t xml:space="preserve"> International Chamber of Commerce</w:t>
      </w:r>
      <w:r w:rsidRPr="004737C5">
        <w:rPr>
          <w:rFonts w:cstheme="minorHAnsi"/>
        </w:rPr>
        <w:t xml:space="preserve"> </w:t>
      </w:r>
      <w:r w:rsidR="000E580C" w:rsidRPr="004737C5">
        <w:rPr>
          <w:rFonts w:cstheme="minorHAnsi"/>
        </w:rPr>
        <w:t>(</w:t>
      </w:r>
      <w:r w:rsidRPr="004737C5">
        <w:rPr>
          <w:rFonts w:cstheme="minorHAnsi"/>
        </w:rPr>
        <w:t>ICC</w:t>
      </w:r>
      <w:r w:rsidR="000E580C" w:rsidRPr="004737C5">
        <w:rPr>
          <w:rFonts w:cstheme="minorHAnsi"/>
        </w:rPr>
        <w:t>) campaign,</w:t>
      </w:r>
      <w:r w:rsidRPr="004737C5">
        <w:rPr>
          <w:rFonts w:cstheme="minorHAnsi"/>
        </w:rPr>
        <w:t xml:space="preserve"> Business Action to Stop Coun</w:t>
      </w:r>
      <w:r w:rsidR="000E580C" w:rsidRPr="004737C5">
        <w:rPr>
          <w:rFonts w:cstheme="minorHAnsi"/>
        </w:rPr>
        <w:t xml:space="preserve">terfeiting and Piracy (BASCAP), </w:t>
      </w:r>
      <w:r w:rsidRPr="004737C5">
        <w:rPr>
          <w:rFonts w:cstheme="minorHAnsi"/>
        </w:rPr>
        <w:t xml:space="preserve">warns that:  </w:t>
      </w:r>
    </w:p>
    <w:p w14:paraId="1899D18A" w14:textId="77777777" w:rsidR="00BE71E3" w:rsidRPr="004737C5" w:rsidRDefault="00BE71E3" w:rsidP="00CF7FD2">
      <w:pPr>
        <w:ind w:left="567" w:right="567"/>
        <w:rPr>
          <w:rFonts w:cstheme="minorHAnsi"/>
          <w:i/>
          <w:iCs/>
        </w:rPr>
      </w:pPr>
      <w:r w:rsidRPr="004737C5">
        <w:rPr>
          <w:rFonts w:cstheme="minorHAnsi"/>
          <w:iCs/>
        </w:rPr>
        <w:t>Alongside the billions of legitimate online transactions, e-commerce platforms have become vulnerable to misuse and the infiltration of fake and potentially unsafe products. As in the physical world, criminal actors have seized opportunities to gain further profits from distributing counterfeit goods in the online supply chain. In blurring the distinction between genuine products and fakes, they succeed in selling staggering quantities of infringing items. There is an urgent need to address the prevalence of counterfeits available to online consumers and to put in place protections to safeguard them from a variety of new online risks.</w:t>
      </w:r>
      <w:r w:rsidRPr="004737C5">
        <w:rPr>
          <w:rStyle w:val="FootnoteReference"/>
          <w:rFonts w:cstheme="minorHAnsi"/>
          <w:iCs/>
        </w:rPr>
        <w:footnoteReference w:id="247"/>
      </w:r>
    </w:p>
    <w:p w14:paraId="60086BD4" w14:textId="77777777" w:rsidR="00BE71E3" w:rsidRPr="004737C5" w:rsidRDefault="00BE71E3" w:rsidP="00CF7FD2">
      <w:pPr>
        <w:pStyle w:val="Default"/>
        <w:spacing w:after="160" w:line="240" w:lineRule="auto"/>
        <w:rPr>
          <w:rFonts w:asciiTheme="minorHAnsi" w:hAnsiTheme="minorHAnsi" w:cstheme="minorHAnsi"/>
          <w:sz w:val="22"/>
          <w:szCs w:val="22"/>
        </w:rPr>
      </w:pPr>
      <w:r w:rsidRPr="004737C5">
        <w:rPr>
          <w:rFonts w:asciiTheme="minorHAnsi" w:hAnsiTheme="minorHAnsi" w:cstheme="minorHAnsi"/>
          <w:sz w:val="22"/>
          <w:szCs w:val="22"/>
        </w:rPr>
        <w:t>The suggested best practices for business</w:t>
      </w:r>
      <w:r w:rsidR="000E580C" w:rsidRPr="004737C5">
        <w:rPr>
          <w:rFonts w:asciiTheme="minorHAnsi" w:hAnsiTheme="minorHAnsi" w:cstheme="minorHAnsi"/>
          <w:sz w:val="22"/>
          <w:szCs w:val="22"/>
        </w:rPr>
        <w:t xml:space="preserve"> that ICC puts forward</w:t>
      </w:r>
      <w:r w:rsidRPr="004737C5">
        <w:rPr>
          <w:rFonts w:asciiTheme="minorHAnsi" w:hAnsiTheme="minorHAnsi" w:cstheme="minorHAnsi"/>
          <w:sz w:val="22"/>
          <w:szCs w:val="22"/>
        </w:rPr>
        <w:t xml:space="preserve"> include: </w:t>
      </w:r>
    </w:p>
    <w:p w14:paraId="3E1D95E8" w14:textId="77777777" w:rsidR="00BE71E3" w:rsidRPr="004737C5" w:rsidRDefault="00BE71E3" w:rsidP="00CF7FD2">
      <w:pPr>
        <w:pStyle w:val="Default"/>
        <w:numPr>
          <w:ilvl w:val="0"/>
          <w:numId w:val="91"/>
        </w:numPr>
        <w:suppressAutoHyphens w:val="0"/>
        <w:autoSpaceDE w:val="0"/>
        <w:autoSpaceDN w:val="0"/>
        <w:adjustRightInd w:val="0"/>
        <w:spacing w:line="240" w:lineRule="auto"/>
        <w:ind w:left="992" w:right="567" w:hanging="425"/>
        <w:jc w:val="both"/>
        <w:rPr>
          <w:rFonts w:asciiTheme="minorHAnsi" w:hAnsiTheme="minorHAnsi" w:cstheme="minorHAnsi"/>
          <w:sz w:val="22"/>
          <w:szCs w:val="22"/>
        </w:rPr>
      </w:pPr>
      <w:r w:rsidRPr="004737C5">
        <w:rPr>
          <w:rFonts w:asciiTheme="minorHAnsi" w:hAnsiTheme="minorHAnsi" w:cstheme="minorHAnsi"/>
          <w:iCs/>
          <w:sz w:val="22"/>
          <w:szCs w:val="22"/>
        </w:rPr>
        <w:t xml:space="preserve">Development of programmes and mechanisms to assist consumers to understand the risks of using e-commerce platforms and to take informed decisions. </w:t>
      </w:r>
    </w:p>
    <w:p w14:paraId="100CC2B8" w14:textId="77777777" w:rsidR="00BE71E3" w:rsidRPr="004737C5" w:rsidRDefault="000E580C" w:rsidP="00CF7FD2">
      <w:pPr>
        <w:pStyle w:val="Default"/>
        <w:numPr>
          <w:ilvl w:val="0"/>
          <w:numId w:val="91"/>
        </w:numPr>
        <w:suppressAutoHyphens w:val="0"/>
        <w:autoSpaceDE w:val="0"/>
        <w:autoSpaceDN w:val="0"/>
        <w:adjustRightInd w:val="0"/>
        <w:spacing w:line="240" w:lineRule="auto"/>
        <w:ind w:left="992" w:right="567" w:hanging="425"/>
        <w:jc w:val="both"/>
        <w:rPr>
          <w:rFonts w:asciiTheme="minorHAnsi" w:hAnsiTheme="minorHAnsi" w:cstheme="minorHAnsi"/>
          <w:iCs/>
          <w:sz w:val="22"/>
          <w:szCs w:val="22"/>
        </w:rPr>
      </w:pPr>
      <w:r w:rsidRPr="004737C5">
        <w:rPr>
          <w:rFonts w:asciiTheme="minorHAnsi" w:hAnsiTheme="minorHAnsi" w:cstheme="minorHAnsi"/>
          <w:iCs/>
          <w:sz w:val="22"/>
          <w:szCs w:val="22"/>
        </w:rPr>
        <w:t>Encouragement of</w:t>
      </w:r>
      <w:r w:rsidR="00BE71E3" w:rsidRPr="004737C5">
        <w:rPr>
          <w:rFonts w:asciiTheme="minorHAnsi" w:hAnsiTheme="minorHAnsi" w:cstheme="minorHAnsi"/>
          <w:iCs/>
          <w:sz w:val="22"/>
          <w:szCs w:val="22"/>
        </w:rPr>
        <w:t xml:space="preserve"> online shopping platforms to adopt and adhere to comprehensive, robust and recognisable due-diligence systems across all platforms and services including checks by platform owners to ensure a basic understanding of who is trading on their platform, such as ‘Know Your Supplier’ and</w:t>
      </w:r>
      <w:r w:rsidRPr="004737C5">
        <w:rPr>
          <w:rFonts w:asciiTheme="minorHAnsi" w:hAnsiTheme="minorHAnsi" w:cstheme="minorHAnsi"/>
          <w:iCs/>
          <w:sz w:val="22"/>
          <w:szCs w:val="22"/>
        </w:rPr>
        <w:t xml:space="preserve"> ‘Know Your Consumer’ protocols.</w:t>
      </w:r>
      <w:r w:rsidR="00BE71E3" w:rsidRPr="004737C5">
        <w:rPr>
          <w:rFonts w:asciiTheme="minorHAnsi" w:hAnsiTheme="minorHAnsi" w:cstheme="minorHAnsi"/>
          <w:iCs/>
          <w:sz w:val="22"/>
          <w:szCs w:val="22"/>
        </w:rPr>
        <w:t xml:space="preserve"> </w:t>
      </w:r>
    </w:p>
    <w:p w14:paraId="5496D3BA" w14:textId="77777777" w:rsidR="00BE71E3" w:rsidRPr="004737C5" w:rsidRDefault="00BE71E3" w:rsidP="00CF7FD2">
      <w:pPr>
        <w:pStyle w:val="Default"/>
        <w:numPr>
          <w:ilvl w:val="0"/>
          <w:numId w:val="91"/>
        </w:numPr>
        <w:suppressAutoHyphens w:val="0"/>
        <w:autoSpaceDE w:val="0"/>
        <w:autoSpaceDN w:val="0"/>
        <w:adjustRightInd w:val="0"/>
        <w:spacing w:line="240" w:lineRule="auto"/>
        <w:ind w:left="992" w:right="567" w:hanging="425"/>
        <w:jc w:val="both"/>
        <w:rPr>
          <w:rFonts w:asciiTheme="minorHAnsi" w:hAnsiTheme="minorHAnsi" w:cstheme="minorHAnsi"/>
          <w:sz w:val="22"/>
          <w:szCs w:val="22"/>
        </w:rPr>
      </w:pPr>
      <w:r w:rsidRPr="004737C5">
        <w:rPr>
          <w:rFonts w:asciiTheme="minorHAnsi" w:hAnsiTheme="minorHAnsi" w:cstheme="minorHAnsi"/>
          <w:iCs/>
          <w:sz w:val="22"/>
          <w:szCs w:val="22"/>
        </w:rPr>
        <w:t xml:space="preserve">Development of automated tools to prevent high risk offers being presented to consumers. </w:t>
      </w:r>
    </w:p>
    <w:p w14:paraId="394559F7" w14:textId="77777777" w:rsidR="00BE71E3" w:rsidRPr="004737C5" w:rsidRDefault="00BE71E3" w:rsidP="00CF7FD2">
      <w:pPr>
        <w:pStyle w:val="Default"/>
        <w:numPr>
          <w:ilvl w:val="0"/>
          <w:numId w:val="91"/>
        </w:numPr>
        <w:suppressAutoHyphens w:val="0"/>
        <w:autoSpaceDE w:val="0"/>
        <w:autoSpaceDN w:val="0"/>
        <w:adjustRightInd w:val="0"/>
        <w:spacing w:after="160" w:line="240" w:lineRule="auto"/>
        <w:ind w:left="992" w:right="567" w:hanging="425"/>
        <w:jc w:val="both"/>
        <w:rPr>
          <w:rFonts w:asciiTheme="minorHAnsi" w:hAnsiTheme="minorHAnsi" w:cstheme="minorHAnsi"/>
          <w:sz w:val="22"/>
          <w:szCs w:val="22"/>
        </w:rPr>
      </w:pPr>
      <w:r w:rsidRPr="004737C5">
        <w:rPr>
          <w:rFonts w:asciiTheme="minorHAnsi" w:hAnsiTheme="minorHAnsi" w:cstheme="minorHAnsi"/>
          <w:iCs/>
          <w:sz w:val="22"/>
          <w:szCs w:val="22"/>
        </w:rPr>
        <w:t>Encouragement of e-commerce platforms to take appropriate steps to address advertisements that lead consumers to sites that sell illicit goods.</w:t>
      </w:r>
    </w:p>
    <w:p w14:paraId="349938F0" w14:textId="77777777" w:rsidR="00BE71E3" w:rsidRPr="004737C5" w:rsidRDefault="000E580C" w:rsidP="00CF7FD2">
      <w:pPr>
        <w:pStyle w:val="Heading2"/>
        <w:spacing w:after="160"/>
        <w:rPr>
          <w:rFonts w:cstheme="minorHAnsi"/>
          <w:color w:val="auto"/>
          <w:sz w:val="24"/>
          <w:szCs w:val="24"/>
        </w:rPr>
      </w:pPr>
      <w:bookmarkStart w:id="281" w:name="_Toc454293869"/>
      <w:bookmarkStart w:id="282" w:name="_Toc489950307"/>
      <w:bookmarkStart w:id="283" w:name="_Toc492650094"/>
      <w:r w:rsidRPr="004737C5">
        <w:rPr>
          <w:rFonts w:cstheme="minorHAnsi"/>
          <w:color w:val="auto"/>
          <w:sz w:val="24"/>
          <w:szCs w:val="24"/>
        </w:rPr>
        <w:lastRenderedPageBreak/>
        <w:t>F.</w:t>
      </w:r>
      <w:r w:rsidR="00BE71E3" w:rsidRPr="004737C5">
        <w:rPr>
          <w:rFonts w:cstheme="minorHAnsi"/>
          <w:color w:val="auto"/>
          <w:sz w:val="24"/>
          <w:szCs w:val="24"/>
        </w:rPr>
        <w:t xml:space="preserve"> Conclusion</w:t>
      </w:r>
      <w:bookmarkEnd w:id="281"/>
      <w:bookmarkEnd w:id="282"/>
      <w:bookmarkEnd w:id="283"/>
    </w:p>
    <w:p w14:paraId="752A31B7" w14:textId="77777777" w:rsidR="00BE71E3" w:rsidRPr="004737C5" w:rsidRDefault="00BE71E3" w:rsidP="006D3BE8">
      <w:pPr>
        <w:rPr>
          <w:rFonts w:cstheme="minorHAnsi"/>
        </w:rPr>
      </w:pPr>
      <w:r w:rsidRPr="004737C5">
        <w:rPr>
          <w:rFonts w:cstheme="minorHAnsi"/>
        </w:rPr>
        <w:t>E-commerce shows staggering growth rates</w:t>
      </w:r>
      <w:r w:rsidR="000E580C" w:rsidRPr="004737C5">
        <w:rPr>
          <w:rFonts w:cstheme="minorHAnsi"/>
        </w:rPr>
        <w:t>,</w:t>
      </w:r>
      <w:r w:rsidRPr="004737C5">
        <w:rPr>
          <w:rFonts w:cstheme="minorHAnsi"/>
        </w:rPr>
        <w:t xml:space="preserve"> </w:t>
      </w:r>
      <w:r w:rsidR="000E580C" w:rsidRPr="004737C5">
        <w:rPr>
          <w:rFonts w:cstheme="minorHAnsi"/>
        </w:rPr>
        <w:t>yet</w:t>
      </w:r>
      <w:r w:rsidRPr="004737C5">
        <w:rPr>
          <w:rFonts w:cstheme="minorHAnsi"/>
        </w:rPr>
        <w:t xml:space="preserve"> the electronic environment continues to pose new challenges for the consumer and new strategies are needed to protect consumers shopping online and to foster consumer confidence </w:t>
      </w:r>
      <w:r w:rsidR="000E580C" w:rsidRPr="004737C5">
        <w:rPr>
          <w:rFonts w:cstheme="minorHAnsi"/>
        </w:rPr>
        <w:t>in e-commerce, especially cross-border e-commerce.</w:t>
      </w:r>
      <w:r w:rsidRPr="004737C5">
        <w:rPr>
          <w:rFonts w:cstheme="minorHAnsi"/>
        </w:rPr>
        <w:t xml:space="preserve"> Many of the issues are common to all forms of commerce; e-commerce simply provides a ne</w:t>
      </w:r>
      <w:r w:rsidR="000E580C" w:rsidRPr="004737C5">
        <w:rPr>
          <w:rFonts w:cstheme="minorHAnsi"/>
        </w:rPr>
        <w:t>w context, particularly</w:t>
      </w:r>
      <w:r w:rsidRPr="004737C5">
        <w:rPr>
          <w:rFonts w:cstheme="minorHAnsi"/>
        </w:rPr>
        <w:t xml:space="preserve"> in </w:t>
      </w:r>
      <w:r w:rsidR="000E580C" w:rsidRPr="004737C5">
        <w:rPr>
          <w:rFonts w:cstheme="minorHAnsi"/>
        </w:rPr>
        <w:t xml:space="preserve">relation to </w:t>
      </w:r>
      <w:r w:rsidRPr="004737C5">
        <w:rPr>
          <w:rFonts w:cstheme="minorHAnsi"/>
        </w:rPr>
        <w:t xml:space="preserve">data security and cross-border electronic trade. </w:t>
      </w:r>
    </w:p>
    <w:p w14:paraId="6EC23436" w14:textId="77777777" w:rsidR="00BE71E3" w:rsidRPr="004737C5" w:rsidRDefault="00BE71E3" w:rsidP="00CF7FD2">
      <w:pPr>
        <w:autoSpaceDE w:val="0"/>
        <w:autoSpaceDN w:val="0"/>
        <w:adjustRightInd w:val="0"/>
        <w:rPr>
          <w:rFonts w:cstheme="minorHAnsi"/>
        </w:rPr>
      </w:pPr>
      <w:r w:rsidRPr="004737C5">
        <w:rPr>
          <w:rFonts w:cstheme="minorHAnsi"/>
        </w:rPr>
        <w:t>Christine Riefa sets out a clear definition of the legal framework needed for e-commerce, composed of two sets of provisions:</w:t>
      </w:r>
      <w:r w:rsidRPr="004737C5">
        <w:rPr>
          <w:rStyle w:val="FootnoteReference"/>
          <w:rFonts w:cstheme="minorHAnsi"/>
        </w:rPr>
        <w:footnoteReference w:id="248"/>
      </w:r>
    </w:p>
    <w:p w14:paraId="2B59E9D7" w14:textId="77777777" w:rsidR="00BE71E3" w:rsidRPr="004737C5" w:rsidRDefault="000E580C" w:rsidP="00CF7FD2">
      <w:pPr>
        <w:pStyle w:val="Text2"/>
        <w:numPr>
          <w:ilvl w:val="0"/>
          <w:numId w:val="81"/>
        </w:numPr>
        <w:tabs>
          <w:tab w:val="clear" w:pos="2161"/>
          <w:tab w:val="left" w:pos="1418"/>
          <w:tab w:val="left" w:pos="2835"/>
        </w:tabs>
        <w:spacing w:after="160"/>
        <w:ind w:left="709" w:hanging="425"/>
        <w:rPr>
          <w:rFonts w:asciiTheme="minorHAnsi" w:hAnsiTheme="minorHAnsi" w:cstheme="minorHAnsi"/>
          <w:sz w:val="22"/>
          <w:szCs w:val="22"/>
        </w:rPr>
      </w:pPr>
      <w:r w:rsidRPr="004737C5">
        <w:rPr>
          <w:rFonts w:asciiTheme="minorHAnsi" w:hAnsiTheme="minorHAnsi" w:cstheme="minorHAnsi"/>
          <w:sz w:val="22"/>
          <w:szCs w:val="22"/>
        </w:rPr>
        <w:t>Vertical legislation focus</w:t>
      </w:r>
      <w:r w:rsidR="00BE71E3" w:rsidRPr="004737C5">
        <w:rPr>
          <w:rFonts w:asciiTheme="minorHAnsi" w:hAnsiTheme="minorHAnsi" w:cstheme="minorHAnsi"/>
          <w:sz w:val="22"/>
          <w:szCs w:val="22"/>
        </w:rPr>
        <w:t>ing on the particularities of the medium. This includes legislation creating a framework for electronic transactions (enabling electronic contracts and signatures, framing intermediaries’ liability) and specific consumer rights for distance sales (including informat</w:t>
      </w:r>
      <w:r w:rsidRPr="004737C5">
        <w:rPr>
          <w:rFonts w:asciiTheme="minorHAnsi" w:hAnsiTheme="minorHAnsi" w:cstheme="minorHAnsi"/>
          <w:sz w:val="22"/>
          <w:szCs w:val="22"/>
        </w:rPr>
        <w:t>ion and the right to withdraw</w:t>
      </w:r>
      <w:r w:rsidR="00BE71E3" w:rsidRPr="004737C5">
        <w:rPr>
          <w:rFonts w:asciiTheme="minorHAnsi" w:hAnsiTheme="minorHAnsi" w:cstheme="minorHAnsi"/>
          <w:sz w:val="22"/>
          <w:szCs w:val="22"/>
        </w:rPr>
        <w:t>). These would form the backbone of an effic</w:t>
      </w:r>
      <w:r w:rsidRPr="004737C5">
        <w:rPr>
          <w:rFonts w:asciiTheme="minorHAnsi" w:hAnsiTheme="minorHAnsi" w:cstheme="minorHAnsi"/>
          <w:sz w:val="22"/>
          <w:szCs w:val="22"/>
        </w:rPr>
        <w:t>ient e-commerce legal framework.</w:t>
      </w:r>
      <w:r w:rsidR="00BE71E3" w:rsidRPr="004737C5">
        <w:rPr>
          <w:rFonts w:asciiTheme="minorHAnsi" w:hAnsiTheme="minorHAnsi" w:cstheme="minorHAnsi"/>
          <w:sz w:val="22"/>
          <w:szCs w:val="22"/>
        </w:rPr>
        <w:t xml:space="preserve"> </w:t>
      </w:r>
    </w:p>
    <w:p w14:paraId="336C9813" w14:textId="77777777" w:rsidR="00BE71E3" w:rsidRPr="004737C5" w:rsidRDefault="00BE71E3" w:rsidP="00CF7FD2">
      <w:pPr>
        <w:pStyle w:val="Text2"/>
        <w:numPr>
          <w:ilvl w:val="0"/>
          <w:numId w:val="81"/>
        </w:numPr>
        <w:tabs>
          <w:tab w:val="left" w:pos="2835"/>
        </w:tabs>
        <w:spacing w:after="160"/>
        <w:ind w:left="709" w:hanging="425"/>
        <w:rPr>
          <w:rFonts w:asciiTheme="minorHAnsi" w:hAnsiTheme="minorHAnsi" w:cstheme="minorHAnsi"/>
          <w:sz w:val="22"/>
          <w:szCs w:val="22"/>
        </w:rPr>
      </w:pPr>
      <w:r w:rsidRPr="004737C5">
        <w:rPr>
          <w:rFonts w:asciiTheme="minorHAnsi" w:hAnsiTheme="minorHAnsi" w:cstheme="minorHAnsi"/>
          <w:sz w:val="22"/>
          <w:szCs w:val="22"/>
        </w:rPr>
        <w:t>Horizontal legislation applicable regardless of the medium used and typically including provisions on unfair contract terms, unfair commercial practices, misleading and comparative advertising, payment protection, data protection, market surveillance and enforcement, dispute resolution and conflicts of laws and jurisdiction, criminal sanctions. These are largely traditional measures</w:t>
      </w:r>
      <w:r w:rsidR="000E580C" w:rsidRPr="004737C5">
        <w:rPr>
          <w:rFonts w:asciiTheme="minorHAnsi" w:hAnsiTheme="minorHAnsi" w:cstheme="minorHAnsi"/>
          <w:sz w:val="22"/>
          <w:szCs w:val="22"/>
        </w:rPr>
        <w:t>, many pre</w:t>
      </w:r>
      <w:r w:rsidRPr="004737C5">
        <w:rPr>
          <w:rFonts w:asciiTheme="minorHAnsi" w:hAnsiTheme="minorHAnsi" w:cstheme="minorHAnsi"/>
          <w:sz w:val="22"/>
          <w:szCs w:val="22"/>
        </w:rPr>
        <w:t>dating e-commerce.</w:t>
      </w:r>
    </w:p>
    <w:p w14:paraId="6812E8DE" w14:textId="77777777" w:rsidR="00BE71E3" w:rsidRPr="004737C5" w:rsidRDefault="00BE71E3" w:rsidP="006D3BE8">
      <w:pPr>
        <w:tabs>
          <w:tab w:val="num" w:pos="0"/>
        </w:tabs>
        <w:autoSpaceDE w:val="0"/>
        <w:autoSpaceDN w:val="0"/>
        <w:adjustRightInd w:val="0"/>
        <w:rPr>
          <w:rFonts w:cstheme="minorHAnsi"/>
          <w:color w:val="000000"/>
        </w:rPr>
      </w:pPr>
      <w:r w:rsidRPr="004737C5">
        <w:rPr>
          <w:rFonts w:cstheme="minorHAnsi"/>
          <w:color w:val="000000"/>
        </w:rPr>
        <w:t>Seen from this point of view</w:t>
      </w:r>
      <w:r w:rsidR="000E580C" w:rsidRPr="004737C5">
        <w:rPr>
          <w:rFonts w:cstheme="minorHAnsi"/>
          <w:color w:val="000000"/>
        </w:rPr>
        <w:t>, the OECD guidelines have focu</w:t>
      </w:r>
      <w:r w:rsidRPr="004737C5">
        <w:rPr>
          <w:rFonts w:cstheme="minorHAnsi"/>
          <w:color w:val="000000"/>
        </w:rPr>
        <w:t xml:space="preserve">sed on the more traditional horizontal dimensions. Even the innovatory introduction of escrow draws upon a device which has </w:t>
      </w:r>
      <w:r w:rsidR="000E580C" w:rsidRPr="004737C5">
        <w:rPr>
          <w:rFonts w:cstheme="minorHAnsi"/>
          <w:color w:val="000000"/>
        </w:rPr>
        <w:t>existed quite independently of e</w:t>
      </w:r>
      <w:r w:rsidRPr="004737C5">
        <w:rPr>
          <w:rFonts w:cstheme="minorHAnsi"/>
          <w:color w:val="000000"/>
        </w:rPr>
        <w:t xml:space="preserve">-commerce for centuries. </w:t>
      </w:r>
    </w:p>
    <w:p w14:paraId="387C6FEE" w14:textId="77777777" w:rsidR="00BE71E3" w:rsidRPr="004737C5" w:rsidRDefault="00BE71E3" w:rsidP="00CF7FD2">
      <w:pPr>
        <w:rPr>
          <w:rFonts w:cstheme="minorHAnsi"/>
        </w:rPr>
      </w:pPr>
      <w:r w:rsidRPr="004737C5">
        <w:rPr>
          <w:rFonts w:cstheme="minorHAnsi"/>
        </w:rPr>
        <w:t>Certain consumers are always vulnerable but e-commerce risks exposing that vulnerability in new ways:</w:t>
      </w:r>
    </w:p>
    <w:p w14:paraId="18DECACA" w14:textId="77777777" w:rsidR="00BE71E3" w:rsidRPr="004737C5" w:rsidRDefault="00BE71E3" w:rsidP="002473E9">
      <w:pPr>
        <w:pStyle w:val="ListParagraph"/>
        <w:numPr>
          <w:ilvl w:val="0"/>
          <w:numId w:val="80"/>
        </w:numPr>
        <w:spacing w:after="120"/>
        <w:ind w:left="709" w:hanging="425"/>
        <w:rPr>
          <w:rFonts w:cstheme="minorHAnsi"/>
        </w:rPr>
      </w:pPr>
      <w:r w:rsidRPr="004737C5">
        <w:rPr>
          <w:rFonts w:cstheme="minorHAnsi"/>
        </w:rPr>
        <w:t>The access of children to computers is an issue, especially as the latter have become more miniaturized and personalized. This poses additional concerns regarding irresponsible advertisement or sales to m</w:t>
      </w:r>
      <w:r w:rsidR="000E580C" w:rsidRPr="004737C5">
        <w:rPr>
          <w:rFonts w:cstheme="minorHAnsi"/>
        </w:rPr>
        <w:t>inors without parental control.</w:t>
      </w:r>
    </w:p>
    <w:p w14:paraId="36166C3E" w14:textId="77777777" w:rsidR="00BE71E3" w:rsidRPr="004737C5" w:rsidRDefault="00BE71E3" w:rsidP="00CF7FD2">
      <w:pPr>
        <w:pStyle w:val="ListParagraph"/>
        <w:numPr>
          <w:ilvl w:val="0"/>
          <w:numId w:val="80"/>
        </w:numPr>
        <w:ind w:left="709" w:hanging="425"/>
        <w:rPr>
          <w:rFonts w:cstheme="minorHAnsi"/>
        </w:rPr>
      </w:pPr>
      <w:r w:rsidRPr="004737C5">
        <w:rPr>
          <w:rFonts w:cstheme="minorHAnsi"/>
        </w:rPr>
        <w:t>Miniaturization and increased access has been accompanied by introductio</w:t>
      </w:r>
      <w:r w:rsidR="000E580C" w:rsidRPr="004737C5">
        <w:rPr>
          <w:rFonts w:cstheme="minorHAnsi"/>
        </w:rPr>
        <w:t>n of mobile devices and mobile a</w:t>
      </w:r>
      <w:r w:rsidRPr="004737C5">
        <w:rPr>
          <w:rFonts w:cstheme="minorHAnsi"/>
        </w:rPr>
        <w:t>pps which are now accessible to vulnerable populations that may be unfamiliar with commercial transactions</w:t>
      </w:r>
      <w:r w:rsidR="000E580C" w:rsidRPr="004737C5">
        <w:rPr>
          <w:rFonts w:cstheme="minorHAnsi"/>
        </w:rPr>
        <w:t>,</w:t>
      </w:r>
      <w:r w:rsidRPr="004737C5">
        <w:rPr>
          <w:rFonts w:cstheme="minorHAnsi"/>
        </w:rPr>
        <w:t xml:space="preserve"> may have limited literacy and </w:t>
      </w:r>
      <w:r w:rsidR="000E580C" w:rsidRPr="004737C5">
        <w:rPr>
          <w:rFonts w:cstheme="minorHAnsi"/>
        </w:rPr>
        <w:t>may be</w:t>
      </w:r>
      <w:r w:rsidRPr="004737C5">
        <w:rPr>
          <w:rFonts w:cstheme="minorHAnsi"/>
        </w:rPr>
        <w:t xml:space="preserve"> less able to identify potential hidden costs or fraud.</w:t>
      </w:r>
    </w:p>
    <w:p w14:paraId="15435D98" w14:textId="77777777" w:rsidR="00BE71E3" w:rsidRPr="004737C5" w:rsidRDefault="00BE71E3" w:rsidP="006D3BE8">
      <w:pPr>
        <w:rPr>
          <w:rFonts w:cstheme="minorHAnsi"/>
        </w:rPr>
      </w:pPr>
      <w:r w:rsidRPr="004737C5">
        <w:rPr>
          <w:rFonts w:cstheme="minorHAnsi"/>
        </w:rPr>
        <w:t>The impersonality of e-commerce can be a problem. On the other hand</w:t>
      </w:r>
      <w:r w:rsidR="000E580C" w:rsidRPr="004737C5">
        <w:rPr>
          <w:rFonts w:cstheme="minorHAnsi"/>
        </w:rPr>
        <w:t>,</w:t>
      </w:r>
      <w:r w:rsidRPr="004737C5">
        <w:rPr>
          <w:rFonts w:cstheme="minorHAnsi"/>
        </w:rPr>
        <w:t xml:space="preserve"> it </w:t>
      </w:r>
      <w:r w:rsidR="000E580C" w:rsidRPr="004737C5">
        <w:rPr>
          <w:rFonts w:cstheme="minorHAnsi"/>
        </w:rPr>
        <w:t>can</w:t>
      </w:r>
      <w:r w:rsidRPr="004737C5">
        <w:rPr>
          <w:rFonts w:cstheme="minorHAnsi"/>
        </w:rPr>
        <w:t xml:space="preserve"> also be seen as an improvement from high pressure face-to-face sales. But new forms of pressure have emerged:</w:t>
      </w:r>
    </w:p>
    <w:p w14:paraId="546A463E" w14:textId="1D6C3FFD" w:rsidR="00BE71E3" w:rsidRPr="004737C5" w:rsidRDefault="00BE71E3" w:rsidP="002473E9">
      <w:pPr>
        <w:pStyle w:val="ListParagraph"/>
        <w:numPr>
          <w:ilvl w:val="0"/>
          <w:numId w:val="82"/>
        </w:numPr>
        <w:spacing w:before="120" w:after="120"/>
        <w:ind w:left="709" w:hanging="425"/>
        <w:rPr>
          <w:rFonts w:cstheme="minorHAnsi"/>
        </w:rPr>
      </w:pPr>
      <w:r w:rsidRPr="004737C5">
        <w:rPr>
          <w:rFonts w:cstheme="minorHAnsi"/>
        </w:rPr>
        <w:t>Speed of transaction in the face of computer time-outs is one reason why consumers may hasten to accept a transa</w:t>
      </w:r>
      <w:r w:rsidR="00BB0960" w:rsidRPr="004737C5">
        <w:rPr>
          <w:rFonts w:cstheme="minorHAnsi"/>
        </w:rPr>
        <w:t>ction because they have spent so</w:t>
      </w:r>
      <w:r w:rsidRPr="004737C5">
        <w:rPr>
          <w:rFonts w:cstheme="minorHAnsi"/>
        </w:rPr>
        <w:t xml:space="preserve"> long on the co</w:t>
      </w:r>
      <w:r w:rsidR="00CF7FD2" w:rsidRPr="004737C5">
        <w:rPr>
          <w:rFonts w:cstheme="minorHAnsi"/>
        </w:rPr>
        <w:t>mputer which keeps timing out.</w:t>
      </w:r>
    </w:p>
    <w:p w14:paraId="0C1590F1" w14:textId="77777777" w:rsidR="00BE71E3" w:rsidRPr="004737C5" w:rsidRDefault="00BE71E3" w:rsidP="00CF7FD2">
      <w:pPr>
        <w:pStyle w:val="ListParagraph"/>
        <w:numPr>
          <w:ilvl w:val="0"/>
          <w:numId w:val="82"/>
        </w:numPr>
        <w:spacing w:before="120"/>
        <w:ind w:left="709" w:hanging="425"/>
        <w:rPr>
          <w:rFonts w:cstheme="minorHAnsi"/>
        </w:rPr>
      </w:pPr>
      <w:r w:rsidRPr="004737C5">
        <w:rPr>
          <w:rFonts w:cstheme="minorHAnsi"/>
        </w:rPr>
        <w:t>Additional pressures to make a purchase online comes from the price changing during the c</w:t>
      </w:r>
      <w:r w:rsidR="00BB0960" w:rsidRPr="004737C5">
        <w:rPr>
          <w:rFonts w:cstheme="minorHAnsi"/>
        </w:rPr>
        <w:t>ourse of a consumer inquiry, for example “last two or three</w:t>
      </w:r>
      <w:r w:rsidRPr="004737C5">
        <w:rPr>
          <w:rFonts w:cstheme="minorHAnsi"/>
        </w:rPr>
        <w:t xml:space="preserve"> tickets available at this price</w:t>
      </w:r>
      <w:r w:rsidR="00BB0960" w:rsidRPr="004737C5">
        <w:rPr>
          <w:rFonts w:cstheme="minorHAnsi"/>
        </w:rPr>
        <w:t>”.</w:t>
      </w:r>
    </w:p>
    <w:p w14:paraId="32662DEA" w14:textId="77777777" w:rsidR="00BE71E3" w:rsidRPr="004737C5" w:rsidRDefault="00BE71E3" w:rsidP="006D3BE8">
      <w:pPr>
        <w:rPr>
          <w:rFonts w:cstheme="minorHAnsi"/>
        </w:rPr>
      </w:pPr>
      <w:r w:rsidRPr="004737C5">
        <w:rPr>
          <w:rFonts w:cstheme="minorHAnsi"/>
        </w:rPr>
        <w:t>These pressures increase the importance of the now w</w:t>
      </w:r>
      <w:r w:rsidR="00BB0960" w:rsidRPr="004737C5">
        <w:rPr>
          <w:rFonts w:cstheme="minorHAnsi"/>
        </w:rPr>
        <w:t>ell-established concept of the “</w:t>
      </w:r>
      <w:r w:rsidRPr="004737C5">
        <w:rPr>
          <w:rFonts w:cstheme="minorHAnsi"/>
        </w:rPr>
        <w:t>cooling off period</w:t>
      </w:r>
      <w:r w:rsidR="00BB0960" w:rsidRPr="004737C5">
        <w:rPr>
          <w:rFonts w:cstheme="minorHAnsi"/>
        </w:rPr>
        <w:t>”. This is a good example of a “traditional”</w:t>
      </w:r>
      <w:r w:rsidRPr="004737C5">
        <w:rPr>
          <w:rFonts w:cstheme="minorHAnsi"/>
        </w:rPr>
        <w:t xml:space="preserve"> consumer protection measure (originally introduced to deal with high pressure sales in person) which has increased in salience as a result of the new pressures brought about by e-commerce. However, it is suggested here that the issue of cross-border jurisdiction has shown such lack of p</w:t>
      </w:r>
      <w:r w:rsidR="00A80CAC" w:rsidRPr="004737C5">
        <w:rPr>
          <w:rFonts w:cstheme="minorHAnsi"/>
        </w:rPr>
        <w:t>rogress (and both sets of OECD g</w:t>
      </w:r>
      <w:r w:rsidRPr="004737C5">
        <w:rPr>
          <w:rFonts w:cstheme="minorHAnsi"/>
        </w:rPr>
        <w:t xml:space="preserve">uidelines in 1999 </w:t>
      </w:r>
      <w:r w:rsidRPr="004737C5">
        <w:rPr>
          <w:rFonts w:cstheme="minorHAnsi"/>
        </w:rPr>
        <w:lastRenderedPageBreak/>
        <w:t xml:space="preserve">and 2016 </w:t>
      </w:r>
      <w:r w:rsidR="00BB0960" w:rsidRPr="004737C5">
        <w:rPr>
          <w:rFonts w:cstheme="minorHAnsi"/>
        </w:rPr>
        <w:t xml:space="preserve">in effect </w:t>
      </w:r>
      <w:r w:rsidRPr="004737C5">
        <w:rPr>
          <w:rFonts w:cstheme="minorHAnsi"/>
        </w:rPr>
        <w:t>record an</w:t>
      </w:r>
      <w:r w:rsidR="00BB0960" w:rsidRPr="004737C5">
        <w:rPr>
          <w:rFonts w:cstheme="minorHAnsi"/>
        </w:rPr>
        <w:t xml:space="preserve"> inability to resolve the issue</w:t>
      </w:r>
      <w:r w:rsidRPr="004737C5">
        <w:rPr>
          <w:rFonts w:cstheme="minorHAnsi"/>
        </w:rPr>
        <w:t>) that the obstacle of consumer mistrust require</w:t>
      </w:r>
      <w:r w:rsidR="00BB0960" w:rsidRPr="004737C5">
        <w:rPr>
          <w:rFonts w:cstheme="minorHAnsi"/>
        </w:rPr>
        <w:t>s innovative action outside of g</w:t>
      </w:r>
      <w:r w:rsidRPr="004737C5">
        <w:rPr>
          <w:rFonts w:cstheme="minorHAnsi"/>
        </w:rPr>
        <w:t>overnment.</w:t>
      </w:r>
    </w:p>
    <w:p w14:paraId="14FC44F9" w14:textId="77777777" w:rsidR="00BE71E3" w:rsidRPr="004737C5" w:rsidRDefault="00BE71E3" w:rsidP="006D3BE8">
      <w:pPr>
        <w:rPr>
          <w:rFonts w:cstheme="minorHAnsi"/>
        </w:rPr>
      </w:pPr>
      <w:r w:rsidRPr="004737C5">
        <w:rPr>
          <w:rFonts w:cstheme="minorHAnsi"/>
        </w:rPr>
        <w:t xml:space="preserve">Liability for breach of security is proving to be a major commercial consideration as the Alipay story demonstrates. It is also demonstrated by the history of chargeback under which the consumer has the right to pursue a claim against </w:t>
      </w:r>
      <w:r w:rsidR="00BB0960" w:rsidRPr="004737C5">
        <w:rPr>
          <w:rFonts w:cstheme="minorHAnsi"/>
        </w:rPr>
        <w:t>the card issuer as well as the i</w:t>
      </w:r>
      <w:r w:rsidRPr="004737C5">
        <w:rPr>
          <w:rFonts w:cstheme="minorHAnsi"/>
        </w:rPr>
        <w:t>nternet trader. This means, for example, that if goods do not arrive, a claim for a refund of the cost can be lodged against the card issuer in the</w:t>
      </w:r>
      <w:r w:rsidR="00BB0960" w:rsidRPr="004737C5">
        <w:rPr>
          <w:rFonts w:cstheme="minorHAnsi"/>
        </w:rPr>
        <w:t xml:space="preserve"> event of no response from the i</w:t>
      </w:r>
      <w:r w:rsidRPr="004737C5">
        <w:rPr>
          <w:rFonts w:cstheme="minorHAnsi"/>
        </w:rPr>
        <w:t>nternet trader. When this was initiated under consumer</w:t>
      </w:r>
      <w:r w:rsidR="00BB0960" w:rsidRPr="004737C5">
        <w:rPr>
          <w:rFonts w:cstheme="minorHAnsi"/>
        </w:rPr>
        <w:t xml:space="preserve"> credit legislation during the 1970s and 19</w:t>
      </w:r>
      <w:r w:rsidRPr="004737C5">
        <w:rPr>
          <w:rFonts w:cstheme="minorHAnsi"/>
        </w:rPr>
        <w:t>80s, it was strongly resisted as a regulatory imposi</w:t>
      </w:r>
      <w:r w:rsidR="00BB0960" w:rsidRPr="004737C5">
        <w:rPr>
          <w:rFonts w:cstheme="minorHAnsi"/>
        </w:rPr>
        <w:t>tion. As cross-border purchases</w:t>
      </w:r>
      <w:r w:rsidRPr="004737C5">
        <w:rPr>
          <w:rFonts w:cstheme="minorHAnsi"/>
        </w:rPr>
        <w:t xml:space="preserve"> have taken off, it has come to be seen as market advantage, </w:t>
      </w:r>
      <w:r w:rsidR="00BB0960" w:rsidRPr="004737C5">
        <w:rPr>
          <w:rFonts w:cstheme="minorHAnsi"/>
        </w:rPr>
        <w:t xml:space="preserve">providing </w:t>
      </w:r>
      <w:r w:rsidRPr="004737C5">
        <w:rPr>
          <w:rFonts w:cstheme="minorHAnsi"/>
        </w:rPr>
        <w:t>an incentive for the consumer to use credit cards.</w:t>
      </w:r>
    </w:p>
    <w:p w14:paraId="2CEECB91" w14:textId="79A233E0" w:rsidR="00BE71E3" w:rsidRPr="004737C5" w:rsidRDefault="00BB0960" w:rsidP="006D3BE8">
      <w:pPr>
        <w:rPr>
          <w:rFonts w:cstheme="minorHAnsi"/>
        </w:rPr>
      </w:pPr>
      <w:r w:rsidRPr="004737C5">
        <w:rPr>
          <w:rFonts w:cstheme="minorHAnsi"/>
        </w:rPr>
        <w:t>L</w:t>
      </w:r>
      <w:r w:rsidR="00BE71E3" w:rsidRPr="004737C5">
        <w:rPr>
          <w:rFonts w:cstheme="minorHAnsi"/>
        </w:rPr>
        <w:t xml:space="preserve">imiting consumer liability could </w:t>
      </w:r>
      <w:r w:rsidRPr="004737C5">
        <w:rPr>
          <w:rFonts w:cstheme="minorHAnsi"/>
        </w:rPr>
        <w:t xml:space="preserve">thus </w:t>
      </w:r>
      <w:r w:rsidR="00BE71E3" w:rsidRPr="004737C5">
        <w:rPr>
          <w:rFonts w:cstheme="minorHAnsi"/>
        </w:rPr>
        <w:t>prove to be a business opportunity, despite having been seen as an imposition. When negotiations have taken place around mobile payments</w:t>
      </w:r>
      <w:r w:rsidRPr="004737C5">
        <w:rPr>
          <w:rFonts w:cstheme="minorHAnsi"/>
        </w:rPr>
        <w:t>,</w:t>
      </w:r>
      <w:r w:rsidR="00BE71E3" w:rsidRPr="004737C5">
        <w:rPr>
          <w:rFonts w:cstheme="minorHAnsi"/>
        </w:rPr>
        <w:t xml:space="preserve"> as has been the case within ISO </w:t>
      </w:r>
      <w:r w:rsidRPr="004737C5">
        <w:rPr>
          <w:rFonts w:cstheme="minorHAnsi"/>
        </w:rPr>
        <w:t>for example</w:t>
      </w:r>
      <w:r w:rsidR="00BE71E3" w:rsidRPr="004737C5">
        <w:rPr>
          <w:rFonts w:cstheme="minorHAnsi"/>
        </w:rPr>
        <w:t xml:space="preserve"> in the five years up to 2015, indust</w:t>
      </w:r>
      <w:r w:rsidRPr="004737C5">
        <w:rPr>
          <w:rFonts w:cstheme="minorHAnsi"/>
        </w:rPr>
        <w:t>ry has pushed back against the “limited liability”</w:t>
      </w:r>
      <w:r w:rsidR="00BE71E3" w:rsidRPr="004737C5">
        <w:rPr>
          <w:rFonts w:cstheme="minorHAnsi"/>
        </w:rPr>
        <w:t xml:space="preserve"> concept endorsed, for e</w:t>
      </w:r>
      <w:r w:rsidR="003F4B7F" w:rsidRPr="004737C5">
        <w:rPr>
          <w:rFonts w:cstheme="minorHAnsi"/>
        </w:rPr>
        <w:t>xample, for the second time in a</w:t>
      </w:r>
      <w:r w:rsidR="00BE71E3" w:rsidRPr="004737C5">
        <w:rPr>
          <w:rFonts w:cstheme="minorHAnsi"/>
        </w:rPr>
        <w:t>rticle 41 of the OECD E-commerce Guidelines 2016.</w:t>
      </w:r>
      <w:r w:rsidR="00BE71E3" w:rsidRPr="004737C5">
        <w:rPr>
          <w:rStyle w:val="FootnoteReference"/>
          <w:rFonts w:cstheme="minorHAnsi"/>
        </w:rPr>
        <w:footnoteReference w:id="249"/>
      </w:r>
      <w:r w:rsidR="00BE71E3" w:rsidRPr="004737C5">
        <w:rPr>
          <w:rFonts w:cstheme="minorHAnsi"/>
        </w:rPr>
        <w:t xml:space="preserve"> The proble</w:t>
      </w:r>
      <w:r w:rsidR="00CF7FD2" w:rsidRPr="004737C5">
        <w:rPr>
          <w:rFonts w:cstheme="minorHAnsi"/>
        </w:rPr>
        <w:t>m that</w:t>
      </w:r>
      <w:r w:rsidRPr="004737C5">
        <w:rPr>
          <w:rFonts w:cstheme="minorHAnsi"/>
        </w:rPr>
        <w:t xml:space="preserve"> industry faces is that</w:t>
      </w:r>
      <w:r w:rsidR="00BE71E3" w:rsidRPr="004737C5">
        <w:rPr>
          <w:rFonts w:cstheme="minorHAnsi"/>
        </w:rPr>
        <w:t xml:space="preserve"> arguing that the burden of limited consumer liability would be too great might suggest that the risks to consumers are high as well. Were businesses to accept liability they would send a signal to consum</w:t>
      </w:r>
      <w:r w:rsidRPr="004737C5">
        <w:rPr>
          <w:rFonts w:cstheme="minorHAnsi"/>
        </w:rPr>
        <w:t>ers about their confidence.</w:t>
      </w:r>
      <w:r w:rsidR="00BE71E3" w:rsidRPr="004737C5">
        <w:rPr>
          <w:rFonts w:cstheme="minorHAnsi"/>
        </w:rPr>
        <w:t xml:space="preserve"> </w:t>
      </w:r>
      <w:r w:rsidRPr="004737C5">
        <w:rPr>
          <w:rFonts w:cstheme="minorHAnsi"/>
        </w:rPr>
        <w:t>T</w:t>
      </w:r>
      <w:r w:rsidR="00BE71E3" w:rsidRPr="004737C5">
        <w:rPr>
          <w:rFonts w:cstheme="minorHAnsi"/>
        </w:rPr>
        <w:t>hey would also have strong incentives to maximize security.</w:t>
      </w:r>
    </w:p>
    <w:p w14:paraId="60043B9C" w14:textId="77777777" w:rsidR="00BE71E3" w:rsidRPr="004737C5" w:rsidRDefault="00BE71E3" w:rsidP="006D3BE8">
      <w:pPr>
        <w:rPr>
          <w:rFonts w:cstheme="minorHAnsi"/>
        </w:rPr>
      </w:pPr>
      <w:r w:rsidRPr="004737C5">
        <w:rPr>
          <w:rFonts w:cstheme="minorHAnsi"/>
        </w:rPr>
        <w:t>As noted earlier, there are already innovative adaptations to escrow available in the marketplace under which shopp</w:t>
      </w:r>
      <w:r w:rsidR="00BB0960" w:rsidRPr="004737C5">
        <w:rPr>
          <w:rFonts w:cstheme="minorHAnsi"/>
        </w:rPr>
        <w:t xml:space="preserve">ers do not have to share credit </w:t>
      </w:r>
      <w:r w:rsidRPr="004737C5">
        <w:rPr>
          <w:rFonts w:cstheme="minorHAnsi"/>
        </w:rPr>
        <w:t>card details or remember a new password. Instead,</w:t>
      </w:r>
      <w:r w:rsidR="00BB0960" w:rsidRPr="004737C5">
        <w:rPr>
          <w:rFonts w:cstheme="minorHAnsi"/>
        </w:rPr>
        <w:t xml:space="preserve"> consumers can simply give an e</w:t>
      </w:r>
      <w:r w:rsidRPr="004737C5">
        <w:rPr>
          <w:rFonts w:cstheme="minorHAnsi"/>
        </w:rPr>
        <w:t>mail and a delivery address, and leave the payment to be sorted out later.</w:t>
      </w:r>
      <w:r w:rsidRPr="004737C5">
        <w:rPr>
          <w:rStyle w:val="FootnoteReference"/>
          <w:rFonts w:cstheme="minorHAnsi"/>
        </w:rPr>
        <w:footnoteReference w:id="250"/>
      </w:r>
      <w:r w:rsidRPr="004737C5">
        <w:rPr>
          <w:rFonts w:cstheme="minorHAnsi"/>
        </w:rPr>
        <w:t xml:space="preserve"> Customers who have previously used such escrow checkouts can be electronically recognized when they visit another online business, further reducing the</w:t>
      </w:r>
      <w:r w:rsidR="00BB0960" w:rsidRPr="004737C5">
        <w:rPr>
          <w:rFonts w:cstheme="minorHAnsi"/>
        </w:rPr>
        <w:t xml:space="preserve"> need to fill out online forms.</w:t>
      </w:r>
      <w:r w:rsidRPr="004737C5">
        <w:rPr>
          <w:rFonts w:cstheme="minorHAnsi"/>
        </w:rPr>
        <w:t xml:space="preserve"> This not only allows the firm to bear the risk that customers fail to pay when invoiced, but also to of</w:t>
      </w:r>
      <w:r w:rsidR="00BB0960" w:rsidRPr="004737C5">
        <w:rPr>
          <w:rFonts w:cstheme="minorHAnsi"/>
        </w:rPr>
        <w:t>fer them extended payment plans</w:t>
      </w:r>
      <w:r w:rsidRPr="004737C5">
        <w:rPr>
          <w:rFonts w:cstheme="minorHAnsi"/>
        </w:rPr>
        <w:t xml:space="preserve"> for a fee. While these loans have higher margins th</w:t>
      </w:r>
      <w:r w:rsidR="00BB0960" w:rsidRPr="004737C5">
        <w:rPr>
          <w:rFonts w:cstheme="minorHAnsi"/>
        </w:rPr>
        <w:t xml:space="preserve">an the competitive online </w:t>
      </w:r>
      <w:r w:rsidRPr="004737C5">
        <w:rPr>
          <w:rFonts w:cstheme="minorHAnsi"/>
        </w:rPr>
        <w:t>payment business and may thus present</w:t>
      </w:r>
      <w:r w:rsidR="00BB0960" w:rsidRPr="004737C5">
        <w:rPr>
          <w:rFonts w:cstheme="minorHAnsi"/>
        </w:rPr>
        <w:t xml:space="preserve"> a new regulatory challenge to g</w:t>
      </w:r>
      <w:r w:rsidRPr="004737C5">
        <w:rPr>
          <w:rFonts w:cstheme="minorHAnsi"/>
        </w:rPr>
        <w:t xml:space="preserve">overnments, the paradox here is that </w:t>
      </w:r>
      <w:r w:rsidRPr="004737C5">
        <w:rPr>
          <w:rFonts w:cstheme="minorHAnsi"/>
          <w:color w:val="000000"/>
        </w:rPr>
        <w:t>consumers who seem nervous about b</w:t>
      </w:r>
      <w:r w:rsidR="00BB0960" w:rsidRPr="004737C5">
        <w:rPr>
          <w:rFonts w:cstheme="minorHAnsi"/>
          <w:color w:val="000000"/>
        </w:rPr>
        <w:t>uying across borders, as</w:t>
      </w:r>
      <w:r w:rsidRPr="004737C5">
        <w:rPr>
          <w:rFonts w:cstheme="minorHAnsi"/>
          <w:color w:val="000000"/>
        </w:rPr>
        <w:t xml:space="preserve"> noted above, are prepared to entrust their money to multinational third party intermediaries. The resort to trusted intermediaries is the flip side of the fear of direct trading across borders. The third party bears the risk</w:t>
      </w:r>
      <w:r w:rsidR="00BB0960" w:rsidRPr="004737C5">
        <w:rPr>
          <w:rFonts w:cstheme="minorHAnsi"/>
          <w:color w:val="000000"/>
        </w:rPr>
        <w:t xml:space="preserve"> and is well placed to prevent “accidents”</w:t>
      </w:r>
      <w:r w:rsidRPr="004737C5">
        <w:rPr>
          <w:rFonts w:cstheme="minorHAnsi"/>
          <w:color w:val="000000"/>
        </w:rPr>
        <w:t>.</w:t>
      </w:r>
      <w:r w:rsidRPr="004737C5">
        <w:rPr>
          <w:rFonts w:cstheme="minorHAnsi"/>
          <w:b/>
          <w:color w:val="000000"/>
        </w:rPr>
        <w:t xml:space="preserve"> </w:t>
      </w:r>
      <w:r w:rsidRPr="004737C5">
        <w:rPr>
          <w:rFonts w:cstheme="minorHAnsi"/>
        </w:rPr>
        <w:br w:type="page"/>
      </w:r>
    </w:p>
    <w:p w14:paraId="1D6FC9E2" w14:textId="77777777" w:rsidR="00BE71E3" w:rsidRPr="004737C5" w:rsidRDefault="00BB0960" w:rsidP="00CF7FD2">
      <w:pPr>
        <w:rPr>
          <w:b/>
          <w:sz w:val="28"/>
          <w:szCs w:val="28"/>
          <w:shd w:val="clear" w:color="auto" w:fill="FFFFFF"/>
        </w:rPr>
      </w:pPr>
      <w:bookmarkStart w:id="284" w:name="_Toc454293870"/>
      <w:bookmarkStart w:id="285" w:name="_Toc489950308"/>
      <w:bookmarkStart w:id="286" w:name="_Toc492650095"/>
      <w:r w:rsidRPr="004737C5">
        <w:rPr>
          <w:b/>
          <w:sz w:val="28"/>
          <w:szCs w:val="28"/>
          <w:shd w:val="clear" w:color="auto" w:fill="FFFFFF"/>
        </w:rPr>
        <w:lastRenderedPageBreak/>
        <w:t>XIII. Privacy and data p</w:t>
      </w:r>
      <w:r w:rsidR="00BE71E3" w:rsidRPr="004737C5">
        <w:rPr>
          <w:b/>
          <w:sz w:val="28"/>
          <w:szCs w:val="28"/>
          <w:shd w:val="clear" w:color="auto" w:fill="FFFFFF"/>
        </w:rPr>
        <w:t>rotection</w:t>
      </w:r>
      <w:bookmarkEnd w:id="284"/>
      <w:bookmarkEnd w:id="285"/>
      <w:bookmarkEnd w:id="286"/>
    </w:p>
    <w:p w14:paraId="64A0A064" w14:textId="77777777" w:rsidR="00BE71E3" w:rsidRPr="004737C5" w:rsidRDefault="00BB0960" w:rsidP="00857811">
      <w:pPr>
        <w:pStyle w:val="Heading2"/>
        <w:spacing w:before="0" w:after="160"/>
        <w:rPr>
          <w:rFonts w:cstheme="minorHAnsi"/>
          <w:color w:val="auto"/>
          <w:sz w:val="24"/>
          <w:szCs w:val="24"/>
        </w:rPr>
      </w:pPr>
      <w:bookmarkStart w:id="287" w:name="_Toc454293871"/>
      <w:bookmarkStart w:id="288" w:name="_Toc489950309"/>
      <w:bookmarkStart w:id="289" w:name="_Toc492650096"/>
      <w:r w:rsidRPr="004737C5">
        <w:rPr>
          <w:rFonts w:cstheme="minorHAnsi"/>
          <w:color w:val="auto"/>
          <w:sz w:val="24"/>
          <w:szCs w:val="24"/>
        </w:rPr>
        <w:t>A.</w:t>
      </w:r>
      <w:r w:rsidR="00BE71E3" w:rsidRPr="004737C5">
        <w:rPr>
          <w:rFonts w:cstheme="minorHAnsi"/>
          <w:color w:val="auto"/>
          <w:sz w:val="24"/>
          <w:szCs w:val="24"/>
        </w:rPr>
        <w:t xml:space="preserve"> Privacy in the United Nations Guidelines for Consumer Protection</w:t>
      </w:r>
      <w:bookmarkEnd w:id="287"/>
      <w:bookmarkEnd w:id="288"/>
      <w:bookmarkEnd w:id="289"/>
    </w:p>
    <w:p w14:paraId="01360C80" w14:textId="25453DD4" w:rsidR="00BE71E3" w:rsidRPr="004737C5" w:rsidRDefault="00BE71E3" w:rsidP="006D3BE8">
      <w:pPr>
        <w:rPr>
          <w:rFonts w:cstheme="minorHAnsi"/>
          <w:lang w:eastAsia="en-GB"/>
        </w:rPr>
      </w:pPr>
      <w:r w:rsidRPr="004737C5">
        <w:rPr>
          <w:rFonts w:cstheme="minorHAnsi"/>
          <w:lang w:eastAsia="en-GB"/>
        </w:rPr>
        <w:t xml:space="preserve">The revised </w:t>
      </w:r>
      <w:r w:rsidR="00BB0960" w:rsidRPr="004737C5">
        <w:rPr>
          <w:rFonts w:cstheme="minorHAnsi"/>
          <w:lang w:eastAsia="en-GB"/>
        </w:rPr>
        <w:t>UNGCP</w:t>
      </w:r>
      <w:r w:rsidRPr="004737C5">
        <w:rPr>
          <w:rFonts w:cstheme="minorHAnsi"/>
          <w:lang w:eastAsia="en-GB"/>
        </w:rPr>
        <w:t xml:space="preserve"> incorporate matters of </w:t>
      </w:r>
      <w:r w:rsidR="00857811" w:rsidRPr="004737C5">
        <w:rPr>
          <w:rFonts w:cstheme="minorHAnsi"/>
          <w:lang w:eastAsia="en-GB"/>
        </w:rPr>
        <w:t xml:space="preserve">privacy for the first time. </w:t>
      </w:r>
      <w:r w:rsidRPr="004737C5">
        <w:rPr>
          <w:rFonts w:cstheme="minorHAnsi"/>
          <w:lang w:eastAsia="en-GB"/>
        </w:rPr>
        <w:t>General Assembly Re</w:t>
      </w:r>
      <w:r w:rsidR="00BB0960" w:rsidRPr="004737C5">
        <w:rPr>
          <w:rFonts w:cstheme="minorHAnsi"/>
          <w:lang w:eastAsia="en-GB"/>
        </w:rPr>
        <w:t>solution 70/186 recognizes that “</w:t>
      </w:r>
      <w:r w:rsidR="00CF7FD2" w:rsidRPr="004737C5">
        <w:rPr>
          <w:rFonts w:cstheme="minorHAnsi"/>
          <w:lang w:eastAsia="en-GB"/>
        </w:rPr>
        <w:t xml:space="preserve">Member States </w:t>
      </w:r>
      <w:r w:rsidRPr="004737C5">
        <w:rPr>
          <w:rFonts w:cstheme="minorHAnsi"/>
          <w:lang w:eastAsia="en-GB"/>
        </w:rPr>
        <w:t>have a common interest in promoting and protecting consumer privacy and the global free flow of information</w:t>
      </w:r>
      <w:r w:rsidR="00CF7FD2" w:rsidRPr="004737C5">
        <w:rPr>
          <w:rFonts w:cstheme="minorHAnsi"/>
          <w:lang w:eastAsia="en-GB"/>
        </w:rPr>
        <w:t>”, while</w:t>
      </w:r>
      <w:r w:rsidR="00BB0960" w:rsidRPr="004737C5">
        <w:rPr>
          <w:rFonts w:cstheme="minorHAnsi"/>
          <w:lang w:eastAsia="en-GB"/>
        </w:rPr>
        <w:t xml:space="preserve"> the substantive guidelines establish both a new “legitimate need” (Guideline 5k) around “</w:t>
      </w:r>
      <w:r w:rsidRPr="004737C5">
        <w:rPr>
          <w:rFonts w:cstheme="minorHAnsi"/>
          <w:lang w:eastAsia="en-GB"/>
        </w:rPr>
        <w:t>the protection of consumer privacy and the global free flow of information</w:t>
      </w:r>
      <w:r w:rsidR="00BB0960" w:rsidRPr="004737C5">
        <w:rPr>
          <w:rFonts w:cstheme="minorHAnsi"/>
          <w:lang w:eastAsia="en-GB"/>
        </w:rPr>
        <w:t>”,</w:t>
      </w:r>
      <w:r w:rsidRPr="004737C5">
        <w:rPr>
          <w:rFonts w:cstheme="minorHAnsi"/>
          <w:lang w:eastAsia="en-GB"/>
        </w:rPr>
        <w:t xml:space="preserve"> a</w:t>
      </w:r>
      <w:r w:rsidR="00BB0960" w:rsidRPr="004737C5">
        <w:rPr>
          <w:rFonts w:cstheme="minorHAnsi"/>
          <w:lang w:eastAsia="en-GB"/>
        </w:rPr>
        <w:t xml:space="preserve">nd a new section IV </w:t>
      </w:r>
      <w:r w:rsidR="00D27634" w:rsidRPr="004737C5">
        <w:rPr>
          <w:rFonts w:cstheme="minorHAnsi"/>
          <w:lang w:eastAsia="en-GB"/>
        </w:rPr>
        <w:t>on</w:t>
      </w:r>
      <w:r w:rsidR="00BB0960" w:rsidRPr="004737C5">
        <w:rPr>
          <w:rFonts w:cstheme="minorHAnsi"/>
          <w:lang w:eastAsia="en-GB"/>
        </w:rPr>
        <w:t xml:space="preserve"> “</w:t>
      </w:r>
      <w:r w:rsidR="00291489" w:rsidRPr="004737C5">
        <w:rPr>
          <w:rFonts w:cstheme="minorHAnsi"/>
          <w:lang w:eastAsia="en-GB"/>
        </w:rPr>
        <w:t>p</w:t>
      </w:r>
      <w:r w:rsidRPr="004737C5">
        <w:rPr>
          <w:rFonts w:cstheme="minorHAnsi"/>
          <w:lang w:eastAsia="en-GB"/>
        </w:rPr>
        <w:t>rinciples for good business practice</w:t>
      </w:r>
      <w:r w:rsidR="00D27634" w:rsidRPr="004737C5">
        <w:rPr>
          <w:rFonts w:cstheme="minorHAnsi"/>
          <w:lang w:eastAsia="en-GB"/>
        </w:rPr>
        <w:t>”</w:t>
      </w:r>
      <w:r w:rsidRPr="004737C5">
        <w:rPr>
          <w:rFonts w:cstheme="minorHAnsi"/>
          <w:lang w:eastAsia="en-GB"/>
        </w:rPr>
        <w:t xml:space="preserve"> that seek to require busi</w:t>
      </w:r>
      <w:r w:rsidR="00BB0960" w:rsidRPr="004737C5">
        <w:rPr>
          <w:rFonts w:cstheme="minorHAnsi"/>
          <w:lang w:eastAsia="en-GB"/>
        </w:rPr>
        <w:t>ness to protect privacy through “</w:t>
      </w:r>
      <w:r w:rsidRPr="004737C5">
        <w:rPr>
          <w:rFonts w:cstheme="minorHAnsi"/>
          <w:lang w:eastAsia="en-GB"/>
        </w:rPr>
        <w:t xml:space="preserve">a combination of appropriate control, security, transparency and consent mechanisms relating to the collection </w:t>
      </w:r>
      <w:r w:rsidR="00BB0960" w:rsidRPr="004737C5">
        <w:rPr>
          <w:rFonts w:cstheme="minorHAnsi"/>
          <w:lang w:eastAsia="en-GB"/>
        </w:rPr>
        <w:t xml:space="preserve">and use of their personal data”. </w:t>
      </w:r>
      <w:r w:rsidRPr="004737C5">
        <w:rPr>
          <w:rFonts w:cstheme="minorHAnsi"/>
          <w:lang w:eastAsia="en-GB"/>
        </w:rPr>
        <w:t>While the term o</w:t>
      </w:r>
      <w:r w:rsidR="00BB0960" w:rsidRPr="004737C5">
        <w:rPr>
          <w:rFonts w:cstheme="minorHAnsi"/>
          <w:lang w:eastAsia="en-GB"/>
        </w:rPr>
        <w:t>f art “data protection”</w:t>
      </w:r>
      <w:r w:rsidRPr="004737C5">
        <w:rPr>
          <w:rFonts w:cstheme="minorHAnsi"/>
          <w:lang w:eastAsia="en-GB"/>
        </w:rPr>
        <w:t xml:space="preserve"> does not appear in</w:t>
      </w:r>
      <w:r w:rsidR="00291489" w:rsidRPr="004737C5">
        <w:rPr>
          <w:rFonts w:cstheme="minorHAnsi"/>
          <w:lang w:eastAsia="en-GB"/>
        </w:rPr>
        <w:t xml:space="preserve"> the UNGCP, new s</w:t>
      </w:r>
      <w:r w:rsidR="00BB0960" w:rsidRPr="004737C5">
        <w:rPr>
          <w:rFonts w:cstheme="minorHAnsi"/>
          <w:lang w:eastAsia="en-GB"/>
        </w:rPr>
        <w:t>ection V.A on “</w:t>
      </w:r>
      <w:r w:rsidR="00291489" w:rsidRPr="004737C5">
        <w:rPr>
          <w:rFonts w:cstheme="minorHAnsi"/>
          <w:lang w:eastAsia="en-GB"/>
        </w:rPr>
        <w:t>national policies for consumer p</w:t>
      </w:r>
      <w:r w:rsidR="00BB0960" w:rsidRPr="004737C5">
        <w:rPr>
          <w:rFonts w:cstheme="minorHAnsi"/>
          <w:lang w:eastAsia="en-GB"/>
        </w:rPr>
        <w:t>rotection” contains in g</w:t>
      </w:r>
      <w:r w:rsidR="00291489" w:rsidRPr="004737C5">
        <w:rPr>
          <w:rFonts w:cstheme="minorHAnsi"/>
          <w:lang w:eastAsia="en-GB"/>
        </w:rPr>
        <w:t>uideline 14h</w:t>
      </w:r>
      <w:r w:rsidRPr="004737C5">
        <w:rPr>
          <w:rFonts w:cstheme="minorHAnsi"/>
          <w:lang w:eastAsia="en-GB"/>
        </w:rPr>
        <w:t xml:space="preserve"> an exhortation to members to e</w:t>
      </w:r>
      <w:r w:rsidR="00BB0960" w:rsidRPr="004737C5">
        <w:rPr>
          <w:rFonts w:cstheme="minorHAnsi"/>
          <w:lang w:eastAsia="en-GB"/>
        </w:rPr>
        <w:t>stablish policies that envisage “</w:t>
      </w:r>
      <w:r w:rsidRPr="004737C5">
        <w:rPr>
          <w:rFonts w:cstheme="minorHAnsi"/>
          <w:lang w:eastAsia="en-GB"/>
        </w:rPr>
        <w:t>consumer privacy and data security</w:t>
      </w:r>
      <w:r w:rsidR="00BB0960" w:rsidRPr="004737C5">
        <w:rPr>
          <w:rFonts w:cstheme="minorHAnsi"/>
          <w:lang w:eastAsia="en-GB"/>
        </w:rPr>
        <w:t>”.</w:t>
      </w:r>
    </w:p>
    <w:p w14:paraId="118A3AC2" w14:textId="029E0353" w:rsidR="00BE71E3" w:rsidRPr="004737C5" w:rsidRDefault="00BE71E3" w:rsidP="006D3BE8">
      <w:pPr>
        <w:rPr>
          <w:rFonts w:cstheme="minorHAnsi"/>
          <w:lang w:eastAsia="en-GB"/>
        </w:rPr>
      </w:pPr>
      <w:r w:rsidRPr="004737C5">
        <w:rPr>
          <w:rFonts w:cstheme="minorHAnsi"/>
          <w:lang w:eastAsia="en-GB"/>
        </w:rPr>
        <w:t>New section</w:t>
      </w:r>
      <w:r w:rsidR="00BB0960" w:rsidRPr="004737C5">
        <w:rPr>
          <w:rFonts w:cstheme="minorHAnsi"/>
          <w:lang w:eastAsia="en-GB"/>
        </w:rPr>
        <w:t xml:space="preserve"> I on e</w:t>
      </w:r>
      <w:r w:rsidRPr="004737C5">
        <w:rPr>
          <w:rFonts w:cstheme="minorHAnsi"/>
          <w:lang w:eastAsia="en-GB"/>
        </w:rPr>
        <w:t>-commerce does not mention data protection or privacy but does suggest tha</w:t>
      </w:r>
      <w:r w:rsidR="00BB0960" w:rsidRPr="004737C5">
        <w:rPr>
          <w:rFonts w:cstheme="minorHAnsi"/>
          <w:lang w:eastAsia="en-GB"/>
        </w:rPr>
        <w:t>t Member States study the OECD g</w:t>
      </w:r>
      <w:r w:rsidRPr="004737C5">
        <w:rPr>
          <w:rFonts w:cstheme="minorHAnsi"/>
          <w:lang w:eastAsia="en-GB"/>
        </w:rPr>
        <w:t>uidelines on e-c</w:t>
      </w:r>
      <w:r w:rsidR="00BB0960" w:rsidRPr="004737C5">
        <w:rPr>
          <w:rFonts w:cstheme="minorHAnsi"/>
          <w:lang w:eastAsia="en-GB"/>
        </w:rPr>
        <w:t>ommerce (described in chapter XII</w:t>
      </w:r>
      <w:r w:rsidRPr="004737C5">
        <w:rPr>
          <w:rFonts w:cstheme="minorHAnsi"/>
          <w:lang w:eastAsia="en-GB"/>
        </w:rPr>
        <w:t xml:space="preserve">). These in turn contain two very brief paragraphs on privacy and security (paragraphs 48 and 49) but also </w:t>
      </w:r>
      <w:r w:rsidR="00CF7FD2" w:rsidRPr="004737C5">
        <w:rPr>
          <w:rFonts w:cstheme="minorHAnsi"/>
          <w:lang w:eastAsia="en-GB"/>
        </w:rPr>
        <w:t xml:space="preserve">refer </w:t>
      </w:r>
      <w:r w:rsidR="00BB0960" w:rsidRPr="004737C5">
        <w:rPr>
          <w:rFonts w:cstheme="minorHAnsi"/>
          <w:lang w:eastAsia="en-GB"/>
        </w:rPr>
        <w:t>to the OECD’s revised p</w:t>
      </w:r>
      <w:r w:rsidRPr="004737C5">
        <w:rPr>
          <w:rFonts w:cstheme="minorHAnsi"/>
          <w:lang w:eastAsia="en-GB"/>
        </w:rPr>
        <w:t>rivacy guidelines, which is quite a long chain of referral.</w:t>
      </w:r>
      <w:r w:rsidRPr="004737C5">
        <w:rPr>
          <w:rStyle w:val="FootnoteReference"/>
          <w:rFonts w:cstheme="minorHAnsi"/>
          <w:lang w:eastAsia="en-GB"/>
        </w:rPr>
        <w:footnoteReference w:id="251"/>
      </w:r>
    </w:p>
    <w:p w14:paraId="7EFCD70D" w14:textId="77777777" w:rsidR="00BE71E3" w:rsidRPr="004737C5" w:rsidRDefault="00BB0960" w:rsidP="00CF7FD2">
      <w:pPr>
        <w:pStyle w:val="Heading2"/>
        <w:spacing w:after="160"/>
        <w:rPr>
          <w:rFonts w:cstheme="minorHAnsi"/>
          <w:color w:val="auto"/>
          <w:sz w:val="24"/>
          <w:szCs w:val="24"/>
        </w:rPr>
      </w:pPr>
      <w:bookmarkStart w:id="290" w:name="_Toc454293872"/>
      <w:bookmarkStart w:id="291" w:name="_Toc489950310"/>
      <w:bookmarkStart w:id="292" w:name="_Toc492650097"/>
      <w:r w:rsidRPr="004737C5">
        <w:rPr>
          <w:rFonts w:cstheme="minorHAnsi"/>
          <w:color w:val="auto"/>
          <w:sz w:val="24"/>
          <w:szCs w:val="24"/>
        </w:rPr>
        <w:t>B.</w:t>
      </w:r>
      <w:r w:rsidR="00BE71E3" w:rsidRPr="004737C5">
        <w:rPr>
          <w:rFonts w:cstheme="minorHAnsi"/>
          <w:color w:val="auto"/>
          <w:sz w:val="24"/>
          <w:szCs w:val="24"/>
        </w:rPr>
        <w:t xml:space="preserve"> Is privacy a right?</w:t>
      </w:r>
      <w:bookmarkEnd w:id="290"/>
      <w:bookmarkEnd w:id="291"/>
      <w:bookmarkEnd w:id="292"/>
    </w:p>
    <w:p w14:paraId="44D30A5E" w14:textId="77777777" w:rsidR="00BE71E3" w:rsidRPr="004737C5" w:rsidRDefault="00BE71E3" w:rsidP="006D3BE8">
      <w:pPr>
        <w:rPr>
          <w:rFonts w:cstheme="minorHAnsi"/>
        </w:rPr>
      </w:pPr>
      <w:r w:rsidRPr="004737C5">
        <w:rPr>
          <w:rFonts w:cstheme="minorHAnsi"/>
        </w:rPr>
        <w:t>The following list is collated by Privacy International, but also corresponds with the relevant content of UNCTAD’s 2016 publi</w:t>
      </w:r>
      <w:r w:rsidR="00BB0960" w:rsidRPr="004737C5">
        <w:rPr>
          <w:rFonts w:cstheme="minorHAnsi"/>
        </w:rPr>
        <w:t>cation</w:t>
      </w:r>
      <w:r w:rsidRPr="004737C5">
        <w:rPr>
          <w:rFonts w:cstheme="minorHAnsi"/>
        </w:rPr>
        <w:t xml:space="preserve"> </w:t>
      </w:r>
      <w:r w:rsidR="00BB0960" w:rsidRPr="004737C5">
        <w:rPr>
          <w:rFonts w:cstheme="minorHAnsi"/>
        </w:rPr>
        <w:t>“</w:t>
      </w:r>
      <w:r w:rsidRPr="004737C5">
        <w:rPr>
          <w:rFonts w:cstheme="minorHAnsi"/>
        </w:rPr>
        <w:t>Data protection regulation and internationa</w:t>
      </w:r>
      <w:r w:rsidR="00BB0960" w:rsidRPr="004737C5">
        <w:rPr>
          <w:rFonts w:cstheme="minorHAnsi"/>
        </w:rPr>
        <w:t>l data flows: Implications for trade and d</w:t>
      </w:r>
      <w:r w:rsidRPr="004737C5">
        <w:rPr>
          <w:rFonts w:cstheme="minorHAnsi"/>
        </w:rPr>
        <w:t>evelopment</w:t>
      </w:r>
      <w:r w:rsidR="00BB0960" w:rsidRPr="004737C5">
        <w:rPr>
          <w:rFonts w:cstheme="minorHAnsi"/>
        </w:rPr>
        <w:t>”</w:t>
      </w:r>
      <w:r w:rsidRPr="004737C5">
        <w:rPr>
          <w:rFonts w:cstheme="minorHAnsi"/>
        </w:rPr>
        <w:t>, on which this chapter draws.</w:t>
      </w:r>
      <w:r w:rsidRPr="004737C5">
        <w:rPr>
          <w:rStyle w:val="FootnoteReference"/>
          <w:rFonts w:cstheme="minorHAnsi"/>
        </w:rPr>
        <w:footnoteReference w:id="252"/>
      </w:r>
      <w:r w:rsidRPr="004737C5">
        <w:rPr>
          <w:rFonts w:cstheme="minorHAnsi"/>
        </w:rPr>
        <w:t xml:space="preserve"> </w:t>
      </w:r>
    </w:p>
    <w:tbl>
      <w:tblPr>
        <w:tblStyle w:val="TableGrid"/>
        <w:tblW w:w="0" w:type="auto"/>
        <w:tblLook w:val="04A0" w:firstRow="1" w:lastRow="0" w:firstColumn="1" w:lastColumn="0" w:noHBand="0" w:noVBand="1"/>
      </w:tblPr>
      <w:tblGrid>
        <w:gridCol w:w="9243"/>
      </w:tblGrid>
      <w:tr w:rsidR="00BB0960" w:rsidRPr="004737C5" w14:paraId="46391781" w14:textId="77777777" w:rsidTr="00BB0960">
        <w:tc>
          <w:tcPr>
            <w:tcW w:w="9628" w:type="dxa"/>
          </w:tcPr>
          <w:p w14:paraId="6F4184F3" w14:textId="77777777" w:rsidR="00BB0960" w:rsidRPr="004737C5" w:rsidRDefault="00BB0960" w:rsidP="00BB0960">
            <w:pPr>
              <w:rPr>
                <w:rFonts w:cstheme="minorHAnsi"/>
                <w:b/>
              </w:rPr>
            </w:pPr>
            <w:r w:rsidRPr="004737C5">
              <w:rPr>
                <w:rFonts w:cstheme="minorHAnsi"/>
                <w:b/>
              </w:rPr>
              <w:t>Box 13. Privacy as a human right</w:t>
            </w:r>
          </w:p>
          <w:p w14:paraId="01FEFC8C" w14:textId="539F4084" w:rsidR="00BB0960" w:rsidRPr="004737C5" w:rsidRDefault="00BB0960" w:rsidP="00CF7FD2">
            <w:pPr>
              <w:spacing w:before="160" w:after="160"/>
              <w:rPr>
                <w:rFonts w:cstheme="minorHAnsi"/>
              </w:rPr>
            </w:pPr>
            <w:r w:rsidRPr="004737C5">
              <w:rPr>
                <w:rFonts w:cstheme="minorHAnsi"/>
              </w:rPr>
              <w:t>Privacy is a qualified, fundamental human right. The right to privacy is articulated in all the major international and regional human rights instruments, including:</w:t>
            </w:r>
          </w:p>
          <w:p w14:paraId="2E2B3A43" w14:textId="7BF58337" w:rsidR="00BB0960" w:rsidRPr="004737C5" w:rsidRDefault="00BB0960" w:rsidP="002473E9">
            <w:pPr>
              <w:pStyle w:val="ListParagraph"/>
              <w:numPr>
                <w:ilvl w:val="0"/>
                <w:numId w:val="96"/>
              </w:numPr>
              <w:ind w:left="709" w:hanging="425"/>
              <w:rPr>
                <w:rFonts w:cstheme="minorHAnsi"/>
              </w:rPr>
            </w:pPr>
            <w:r w:rsidRPr="004737C5">
              <w:rPr>
                <w:rFonts w:cstheme="minorHAnsi"/>
              </w:rPr>
              <w:t>United Nations Declaration of Human</w:t>
            </w:r>
            <w:r w:rsidR="003F4B7F" w:rsidRPr="004737C5">
              <w:rPr>
                <w:rFonts w:cstheme="minorHAnsi"/>
              </w:rPr>
              <w:t xml:space="preserve"> Rights (UDHR) 1948, article 12, which states:</w:t>
            </w:r>
            <w:r w:rsidRPr="004737C5">
              <w:rPr>
                <w:rFonts w:cstheme="minorHAnsi"/>
              </w:rPr>
              <w:t xml:space="preserve"> “no one shall be subjected to arbitrary interference with his</w:t>
            </w:r>
            <w:r w:rsidR="00977F97" w:rsidRPr="004737C5">
              <w:rPr>
                <w:rFonts w:cstheme="minorHAnsi"/>
              </w:rPr>
              <w:t xml:space="preserve"> [or her]</w:t>
            </w:r>
            <w:r w:rsidRPr="004737C5">
              <w:rPr>
                <w:rFonts w:cstheme="minorHAnsi"/>
              </w:rPr>
              <w:t xml:space="preserve"> privacy, family, home or correspondence, nor to attacks upon his honour and reputation. Everyone has the right to the protection of the law against such interference or attacks”.</w:t>
            </w:r>
          </w:p>
          <w:p w14:paraId="4B66E70C" w14:textId="76662D70" w:rsidR="00BB0960" w:rsidRPr="004737C5" w:rsidRDefault="00BB0960" w:rsidP="002473E9">
            <w:pPr>
              <w:pStyle w:val="ListParagraph"/>
              <w:numPr>
                <w:ilvl w:val="0"/>
                <w:numId w:val="96"/>
              </w:numPr>
              <w:spacing w:after="160"/>
              <w:ind w:left="709" w:hanging="425"/>
              <w:rPr>
                <w:rFonts w:cstheme="minorHAnsi"/>
              </w:rPr>
            </w:pPr>
            <w:r w:rsidRPr="004737C5">
              <w:rPr>
                <w:rFonts w:cstheme="minorHAnsi"/>
              </w:rPr>
              <w:t xml:space="preserve">International Covenant on Civil and </w:t>
            </w:r>
            <w:r w:rsidR="003F4B7F" w:rsidRPr="004737C5">
              <w:rPr>
                <w:rFonts w:cstheme="minorHAnsi"/>
              </w:rPr>
              <w:t>Political Rights (ICCPR) 1966, a</w:t>
            </w:r>
            <w:r w:rsidRPr="004737C5">
              <w:rPr>
                <w:rFonts w:cstheme="minorHAnsi"/>
              </w:rPr>
              <w:t>rticle 17, which state</w:t>
            </w:r>
            <w:r w:rsidR="003F4B7F" w:rsidRPr="004737C5">
              <w:rPr>
                <w:rFonts w:cstheme="minorHAnsi"/>
              </w:rPr>
              <w:t>s:</w:t>
            </w:r>
            <w:r w:rsidRPr="004737C5">
              <w:rPr>
                <w:rFonts w:cstheme="minorHAnsi"/>
              </w:rPr>
              <w:t xml:space="preserve"> “1. No one shall be subjected to arbitrary or unlawful interference with his</w:t>
            </w:r>
            <w:r w:rsidR="00977F97" w:rsidRPr="004737C5">
              <w:rPr>
                <w:rFonts w:cstheme="minorHAnsi"/>
              </w:rPr>
              <w:t xml:space="preserve"> [or her]</w:t>
            </w:r>
            <w:r w:rsidRPr="004737C5">
              <w:rPr>
                <w:rFonts w:cstheme="minorHAnsi"/>
              </w:rPr>
              <w:t xml:space="preserve"> privacy, family, home or correspondence, nor to unlawful attacks on his honour or reputation. 2. Everyone has the right to the protection of the law against such interference or attacks”.</w:t>
            </w:r>
          </w:p>
          <w:p w14:paraId="45BA8582" w14:textId="77777777" w:rsidR="00BB0960" w:rsidRPr="004737C5" w:rsidRDefault="00BB0960" w:rsidP="00BB0960">
            <w:pPr>
              <w:rPr>
                <w:rFonts w:cstheme="minorHAnsi"/>
              </w:rPr>
            </w:pPr>
            <w:r w:rsidRPr="004737C5">
              <w:rPr>
                <w:rFonts w:cstheme="minorHAnsi"/>
              </w:rPr>
              <w:t>The right to privacy is also included in:</w:t>
            </w:r>
          </w:p>
          <w:p w14:paraId="1FA0B760"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t>Article 14 of the United Nations Convention on Migrant Workers</w:t>
            </w:r>
          </w:p>
          <w:p w14:paraId="73A7ADF8"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t>Article 16 of the United Nations Convention on the Rights of the Child</w:t>
            </w:r>
          </w:p>
          <w:p w14:paraId="02CA09F8"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t>Article 10 of the African Charter on the Rights and Welfare of the Child</w:t>
            </w:r>
          </w:p>
          <w:p w14:paraId="1BED20C6" w14:textId="77777777" w:rsidR="00BB0960" w:rsidRPr="004737C5" w:rsidRDefault="00BB0960" w:rsidP="002473E9">
            <w:pPr>
              <w:pStyle w:val="ListParagraph"/>
              <w:numPr>
                <w:ilvl w:val="0"/>
                <w:numId w:val="97"/>
              </w:numPr>
              <w:ind w:left="709" w:hanging="425"/>
              <w:jc w:val="left"/>
              <w:rPr>
                <w:rFonts w:cstheme="minorHAnsi"/>
              </w:rPr>
            </w:pPr>
            <w:r w:rsidRPr="004737C5">
              <w:rPr>
                <w:rFonts w:cstheme="minorHAnsi"/>
              </w:rPr>
              <w:t>Article 4 of the African Union Principles on Freedom of Expression (the right of access to information)</w:t>
            </w:r>
          </w:p>
          <w:p w14:paraId="730F0FD0"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t>Article 11 of the American Convention on Human Rights</w:t>
            </w:r>
          </w:p>
          <w:p w14:paraId="23DEA523"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t>Article 5 of the American Declaration of the Rights and Duties of Man</w:t>
            </w:r>
          </w:p>
          <w:p w14:paraId="2F71EBE2"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lastRenderedPageBreak/>
              <w:t>Articles 16 and 21 of the Arab Charter on Human Rights</w:t>
            </w:r>
          </w:p>
          <w:p w14:paraId="40731179"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t>Article 21 of the ASEAN Human Rights Declaration</w:t>
            </w:r>
          </w:p>
          <w:p w14:paraId="197216AB" w14:textId="77777777" w:rsidR="00BB0960" w:rsidRPr="004737C5" w:rsidRDefault="00BB0960" w:rsidP="002473E9">
            <w:pPr>
              <w:pStyle w:val="ListParagraph"/>
              <w:numPr>
                <w:ilvl w:val="0"/>
                <w:numId w:val="97"/>
              </w:numPr>
              <w:ind w:left="709" w:hanging="425"/>
              <w:rPr>
                <w:rFonts w:cstheme="minorHAnsi"/>
              </w:rPr>
            </w:pPr>
            <w:r w:rsidRPr="004737C5">
              <w:rPr>
                <w:rFonts w:cstheme="minorHAnsi"/>
              </w:rPr>
              <w:t>Article 8 of the European Convention on Human Rights</w:t>
            </w:r>
          </w:p>
          <w:p w14:paraId="48DC4B14" w14:textId="6F67DBAF" w:rsidR="00BB0960" w:rsidRPr="004737C5" w:rsidRDefault="00BB0960" w:rsidP="00977F97">
            <w:pPr>
              <w:spacing w:before="160"/>
              <w:rPr>
                <w:rFonts w:cstheme="minorHAnsi"/>
                <w:sz w:val="20"/>
                <w:szCs w:val="20"/>
              </w:rPr>
            </w:pPr>
            <w:r w:rsidRPr="004737C5">
              <w:rPr>
                <w:rFonts w:cstheme="minorHAnsi"/>
                <w:i/>
                <w:sz w:val="20"/>
                <w:szCs w:val="20"/>
              </w:rPr>
              <w:t>Sources</w:t>
            </w:r>
            <w:r w:rsidRPr="004737C5">
              <w:rPr>
                <w:rFonts w:cstheme="minorHAnsi"/>
                <w:sz w:val="20"/>
                <w:szCs w:val="20"/>
              </w:rPr>
              <w:t>: UNCTAD Cyber-law Tracker;</w:t>
            </w:r>
            <w:r w:rsidRPr="004737C5">
              <w:rPr>
                <w:rStyle w:val="FootnoteReference"/>
                <w:rFonts w:cstheme="minorHAnsi"/>
                <w:sz w:val="20"/>
                <w:szCs w:val="20"/>
              </w:rPr>
              <w:footnoteReference w:id="253"/>
            </w:r>
            <w:r w:rsidRPr="004737C5">
              <w:rPr>
                <w:rFonts w:cstheme="minorHAnsi"/>
                <w:sz w:val="20"/>
                <w:szCs w:val="20"/>
              </w:rPr>
              <w:t xml:space="preserve"> Privacy International</w:t>
            </w:r>
            <w:r w:rsidR="00570703" w:rsidRPr="004737C5">
              <w:rPr>
                <w:rFonts w:cstheme="minorHAnsi"/>
                <w:sz w:val="20"/>
                <w:szCs w:val="20"/>
              </w:rPr>
              <w:t>.</w:t>
            </w:r>
            <w:r w:rsidRPr="004737C5">
              <w:rPr>
                <w:rStyle w:val="FootnoteReference"/>
                <w:rFonts w:cstheme="minorHAnsi"/>
                <w:sz w:val="20"/>
                <w:szCs w:val="20"/>
              </w:rPr>
              <w:footnoteReference w:id="254"/>
            </w:r>
          </w:p>
        </w:tc>
      </w:tr>
    </w:tbl>
    <w:p w14:paraId="17479685" w14:textId="77777777" w:rsidR="00BE71E3" w:rsidRPr="004737C5" w:rsidRDefault="00916019" w:rsidP="00977F97">
      <w:pPr>
        <w:pStyle w:val="Heading2"/>
        <w:spacing w:after="160"/>
        <w:rPr>
          <w:rFonts w:cstheme="minorHAnsi"/>
          <w:color w:val="auto"/>
          <w:sz w:val="24"/>
          <w:szCs w:val="24"/>
        </w:rPr>
      </w:pPr>
      <w:bookmarkStart w:id="293" w:name="_Toc454293873"/>
      <w:bookmarkStart w:id="294" w:name="_Toc489950311"/>
      <w:bookmarkStart w:id="295" w:name="_Toc492650098"/>
      <w:r w:rsidRPr="004737C5">
        <w:rPr>
          <w:rFonts w:cstheme="minorHAnsi"/>
          <w:color w:val="auto"/>
          <w:sz w:val="24"/>
          <w:szCs w:val="24"/>
        </w:rPr>
        <w:lastRenderedPageBreak/>
        <w:t>C.</w:t>
      </w:r>
      <w:r w:rsidR="00BE71E3" w:rsidRPr="004737C5">
        <w:rPr>
          <w:rFonts w:cstheme="minorHAnsi"/>
          <w:color w:val="auto"/>
          <w:sz w:val="24"/>
          <w:szCs w:val="24"/>
        </w:rPr>
        <w:t xml:space="preserve"> Understanding the data dimension from a consumer perspective</w:t>
      </w:r>
      <w:bookmarkEnd w:id="293"/>
      <w:bookmarkEnd w:id="294"/>
      <w:bookmarkEnd w:id="295"/>
    </w:p>
    <w:p w14:paraId="306619F3" w14:textId="77777777" w:rsidR="00BE71E3" w:rsidRPr="004737C5" w:rsidRDefault="00BE71E3" w:rsidP="006D3BE8">
      <w:pPr>
        <w:rPr>
          <w:rFonts w:cstheme="minorHAnsi"/>
        </w:rPr>
      </w:pPr>
      <w:r w:rsidRPr="004737C5">
        <w:rPr>
          <w:rFonts w:cstheme="minorHAnsi"/>
          <w:lang w:eastAsia="en-GB"/>
        </w:rPr>
        <w:t>Data is as critical to facilitating an online transaction as making a payment; indeed</w:t>
      </w:r>
      <w:r w:rsidR="00916019" w:rsidRPr="004737C5">
        <w:rPr>
          <w:rFonts w:cstheme="minorHAnsi"/>
          <w:lang w:eastAsia="en-GB"/>
        </w:rPr>
        <w:t>,</w:t>
      </w:r>
      <w:r w:rsidRPr="004737C5">
        <w:rPr>
          <w:rFonts w:cstheme="minorHAnsi"/>
          <w:lang w:eastAsia="en-GB"/>
        </w:rPr>
        <w:t xml:space="preserve"> in some cases (for example social media platforms) it replaces financial payment. Sensitive information such as delivery address and payment details is provided by consumers, but the extent to which wider data is gathered by the vendor is often unclear. Search habits, purchase history, location and internet service provider address are collected in ways that can be difficult for consumers to understand or prevent. When this is aggregated with other data, companies and third parties can develop an in-depth picture of people’s preferences and likely purchasing intentions.</w:t>
      </w:r>
    </w:p>
    <w:p w14:paraId="57FE4A81" w14:textId="77777777" w:rsidR="00BE71E3" w:rsidRPr="004737C5" w:rsidRDefault="00BE71E3" w:rsidP="006D3BE8">
      <w:pPr>
        <w:rPr>
          <w:rFonts w:cstheme="minorHAnsi"/>
        </w:rPr>
      </w:pPr>
      <w:r w:rsidRPr="004737C5">
        <w:rPr>
          <w:rFonts w:cstheme="minorHAnsi"/>
        </w:rPr>
        <w:t>A significant proportion of this user-generated information consists of the data trail that consumers leave or that is observed by machines as consu</w:t>
      </w:r>
      <w:r w:rsidR="00916019" w:rsidRPr="004737C5">
        <w:rPr>
          <w:rFonts w:cstheme="minorHAnsi"/>
        </w:rPr>
        <w:t>mers make their way across the i</w:t>
      </w:r>
      <w:r w:rsidRPr="004737C5">
        <w:rPr>
          <w:rFonts w:cstheme="minorHAnsi"/>
        </w:rPr>
        <w:t>nternet: what they search for, their preferences, the sites they visit, the locations and devices they visit them from, the friends they interact with, the causes they support and</w:t>
      </w:r>
      <w:r w:rsidR="00916019" w:rsidRPr="004737C5">
        <w:rPr>
          <w:rFonts w:cstheme="minorHAnsi"/>
        </w:rPr>
        <w:t>,</w:t>
      </w:r>
      <w:r w:rsidRPr="004737C5">
        <w:rPr>
          <w:rFonts w:cstheme="minorHAnsi"/>
        </w:rPr>
        <w:t xml:space="preserve"> of course, the purchases they make and the apps they use. The volume of data is increasing as more people mediate mor</w:t>
      </w:r>
      <w:r w:rsidR="00916019" w:rsidRPr="004737C5">
        <w:rPr>
          <w:rFonts w:cstheme="minorHAnsi"/>
        </w:rPr>
        <w:t>e of their affairs through the i</w:t>
      </w:r>
      <w:r w:rsidRPr="004737C5">
        <w:rPr>
          <w:rFonts w:cstheme="minorHAnsi"/>
        </w:rPr>
        <w:t>nterne</w:t>
      </w:r>
      <w:r w:rsidR="00916019" w:rsidRPr="004737C5">
        <w:rPr>
          <w:rFonts w:cstheme="minorHAnsi"/>
        </w:rPr>
        <w:t>t and the increasing number of “things” it connects through the internet of t</w:t>
      </w:r>
      <w:r w:rsidRPr="004737C5">
        <w:rPr>
          <w:rFonts w:cstheme="minorHAnsi"/>
        </w:rPr>
        <w:t xml:space="preserve">hings. </w:t>
      </w:r>
    </w:p>
    <w:p w14:paraId="517D1ECA" w14:textId="77777777" w:rsidR="00BE71E3" w:rsidRPr="004737C5" w:rsidRDefault="00BE71E3" w:rsidP="006D3BE8">
      <w:pPr>
        <w:rPr>
          <w:rFonts w:cstheme="minorHAnsi"/>
        </w:rPr>
      </w:pPr>
      <w:r w:rsidRPr="004737C5">
        <w:rPr>
          <w:rFonts w:cstheme="minorHAnsi"/>
        </w:rPr>
        <w:t>The data brokerage sec</w:t>
      </w:r>
      <w:r w:rsidR="00916019" w:rsidRPr="004737C5">
        <w:rPr>
          <w:rFonts w:cstheme="minorHAnsi"/>
        </w:rPr>
        <w:t>tor is an emerging multi</w:t>
      </w:r>
      <w:r w:rsidRPr="004737C5">
        <w:rPr>
          <w:rFonts w:cstheme="minorHAnsi"/>
        </w:rPr>
        <w:t>billion dollar industry that has grown to meet the ever-growing demand for data, harvesting multiple data points about consumers from multiple sources online (and offline) and combining them into rich, if incomplete, profiles of individuals, segmented to meet the needs of their clients. For example, according to the MIT Technology Review</w:t>
      </w:r>
      <w:r w:rsidR="00916019" w:rsidRPr="004737C5">
        <w:rPr>
          <w:rFonts w:cstheme="minorHAnsi"/>
        </w:rPr>
        <w:t>,</w:t>
      </w:r>
      <w:r w:rsidRPr="004737C5">
        <w:rPr>
          <w:rFonts w:cstheme="minorHAnsi"/>
        </w:rPr>
        <w:t xml:space="preserve"> Axciom,</w:t>
      </w:r>
      <w:r w:rsidRPr="004737C5">
        <w:rPr>
          <w:rStyle w:val="FootnoteReference"/>
          <w:rFonts w:cstheme="minorHAnsi"/>
        </w:rPr>
        <w:footnoteReference w:id="255"/>
      </w:r>
      <w:r w:rsidRPr="004737C5">
        <w:rPr>
          <w:rFonts w:cstheme="minorHAnsi"/>
        </w:rPr>
        <w:t xml:space="preserve"> one of the world’s largest data brokers</w:t>
      </w:r>
      <w:r w:rsidR="00916019" w:rsidRPr="004737C5">
        <w:rPr>
          <w:rFonts w:cstheme="minorHAnsi"/>
        </w:rPr>
        <w:t>, “</w:t>
      </w:r>
      <w:r w:rsidRPr="004737C5">
        <w:rPr>
          <w:rFonts w:cstheme="minorHAnsi"/>
        </w:rPr>
        <w:t>holds an average of 1,500 pieces of information on more than 500 million consumers around the wo</w:t>
      </w:r>
      <w:r w:rsidR="00916019" w:rsidRPr="004737C5">
        <w:rPr>
          <w:rFonts w:cstheme="minorHAnsi"/>
        </w:rPr>
        <w:t>rld ... can analys</w:t>
      </w:r>
      <w:r w:rsidRPr="004737C5">
        <w:rPr>
          <w:rFonts w:cstheme="minorHAnsi"/>
        </w:rPr>
        <w:t>e its data to predict 3,000 different propensities, such as how a person may respond to one brand over another. And through its partne</w:t>
      </w:r>
      <w:r w:rsidR="00916019" w:rsidRPr="004737C5">
        <w:rPr>
          <w:rFonts w:cstheme="minorHAnsi"/>
        </w:rPr>
        <w:t>rship with Facebook, Axciom can .</w:t>
      </w:r>
      <w:r w:rsidRPr="004737C5">
        <w:rPr>
          <w:rFonts w:cstheme="minorHAnsi"/>
        </w:rPr>
        <w:t>.. [link] real-wo</w:t>
      </w:r>
      <w:r w:rsidR="00916019" w:rsidRPr="004737C5">
        <w:rPr>
          <w:rFonts w:cstheme="minorHAnsi"/>
        </w:rPr>
        <w:t>rld activities to those on the web</w:t>
      </w:r>
      <w:r w:rsidRPr="004737C5">
        <w:rPr>
          <w:rFonts w:cstheme="minorHAnsi"/>
        </w:rPr>
        <w:t xml:space="preserve"> [and link its </w:t>
      </w:r>
      <w:r w:rsidR="00916019" w:rsidRPr="004737C5">
        <w:rPr>
          <w:rFonts w:cstheme="minorHAnsi"/>
        </w:rPr>
        <w:t xml:space="preserve">data] to 90 percent </w:t>
      </w:r>
      <w:r w:rsidRPr="004737C5">
        <w:rPr>
          <w:rFonts w:cstheme="minorHAnsi"/>
        </w:rPr>
        <w:t>of United States social profiles</w:t>
      </w:r>
      <w:r w:rsidR="00916019" w:rsidRPr="004737C5">
        <w:rPr>
          <w:rFonts w:cstheme="minorHAnsi"/>
        </w:rPr>
        <w:t>”.</w:t>
      </w:r>
      <w:r w:rsidRPr="004737C5">
        <w:rPr>
          <w:rStyle w:val="FootnoteReference"/>
          <w:rFonts w:cstheme="minorHAnsi"/>
        </w:rPr>
        <w:footnoteReference w:id="256"/>
      </w:r>
    </w:p>
    <w:p w14:paraId="481302C0" w14:textId="77777777" w:rsidR="00BE71E3" w:rsidRPr="004737C5" w:rsidRDefault="00BE71E3" w:rsidP="006D3BE8">
      <w:pPr>
        <w:rPr>
          <w:rFonts w:cstheme="minorHAnsi"/>
          <w:lang w:eastAsia="en-GB"/>
        </w:rPr>
      </w:pPr>
      <w:r w:rsidRPr="004737C5">
        <w:rPr>
          <w:rFonts w:cstheme="minorHAnsi"/>
        </w:rPr>
        <w:t>Research shows that concerns around personal data use and/or misuse are a central driver of trust in online markets</w:t>
      </w:r>
      <w:r w:rsidR="00916019" w:rsidRPr="004737C5">
        <w:rPr>
          <w:rFonts w:cstheme="minorHAnsi"/>
        </w:rPr>
        <w:t xml:space="preserve"> as also discussed in chapter XII</w:t>
      </w:r>
      <w:r w:rsidRPr="004737C5">
        <w:rPr>
          <w:rFonts w:cstheme="minorHAnsi"/>
        </w:rPr>
        <w:t>. Of course, p</w:t>
      </w:r>
      <w:r w:rsidRPr="004737C5">
        <w:rPr>
          <w:rFonts w:cstheme="minorHAnsi"/>
          <w:lang w:eastAsia="en-GB"/>
        </w:rPr>
        <w:t xml:space="preserve">ersonal data gathering is not limited to e-commerce; it is part of a much bigger digital experience of constant data collection. Through social media, personalized apps, wearable technology, sharing platforms, search and targeted products, people are continually exposed to the effects of data collection, </w:t>
      </w:r>
      <w:r w:rsidR="00916019" w:rsidRPr="004737C5">
        <w:rPr>
          <w:rFonts w:cstheme="minorHAnsi"/>
          <w:lang w:eastAsia="en-GB"/>
        </w:rPr>
        <w:t>aggregation and onward sharing.</w:t>
      </w:r>
      <w:r w:rsidRPr="004737C5">
        <w:rPr>
          <w:rFonts w:cstheme="minorHAnsi"/>
          <w:lang w:eastAsia="en-GB"/>
        </w:rPr>
        <w:t xml:space="preserve"> Concern about these effects varies between different countries but is consistently high, and rising – with an a</w:t>
      </w:r>
      <w:r w:rsidRPr="004737C5">
        <w:rPr>
          <w:rFonts w:cstheme="minorHAnsi"/>
        </w:rPr>
        <w:t>nnual tracker of consumer online attitudes putting consumer worries about online privacy</w:t>
      </w:r>
      <w:r w:rsidR="00916019" w:rsidRPr="004737C5">
        <w:rPr>
          <w:rFonts w:cstheme="minorHAnsi"/>
        </w:rPr>
        <w:t xml:space="preserve"> in the United States of America</w:t>
      </w:r>
      <w:r w:rsidRPr="004737C5">
        <w:rPr>
          <w:rFonts w:cstheme="minorHAnsi"/>
        </w:rPr>
        <w:t xml:space="preserve"> up 42</w:t>
      </w:r>
      <w:r w:rsidR="00916019" w:rsidRPr="004737C5">
        <w:rPr>
          <w:rFonts w:cstheme="minorHAnsi"/>
        </w:rPr>
        <w:t xml:space="preserve"> percent</w:t>
      </w:r>
      <w:r w:rsidRPr="004737C5">
        <w:rPr>
          <w:rStyle w:val="FootnoteReference"/>
          <w:rFonts w:cstheme="minorHAnsi"/>
        </w:rPr>
        <w:footnoteReference w:id="257"/>
      </w:r>
      <w:r w:rsidRPr="004737C5">
        <w:rPr>
          <w:rFonts w:cstheme="minorHAnsi"/>
        </w:rPr>
        <w:t xml:space="preserve"> and those in the United Kingdom </w:t>
      </w:r>
      <w:r w:rsidR="00916019" w:rsidRPr="004737C5">
        <w:rPr>
          <w:rFonts w:cstheme="minorHAnsi"/>
        </w:rPr>
        <w:t xml:space="preserve">of Great Britain and Northern Ireland </w:t>
      </w:r>
      <w:r w:rsidRPr="004737C5">
        <w:rPr>
          <w:rFonts w:cstheme="minorHAnsi"/>
        </w:rPr>
        <w:t>up by a third since 2014.</w:t>
      </w:r>
      <w:r w:rsidRPr="004737C5">
        <w:rPr>
          <w:rStyle w:val="FootnoteReference"/>
          <w:rFonts w:cstheme="minorHAnsi"/>
        </w:rPr>
        <w:footnoteReference w:id="258"/>
      </w:r>
      <w:r w:rsidRPr="004737C5">
        <w:rPr>
          <w:rFonts w:cstheme="minorHAnsi"/>
          <w:lang w:eastAsia="en-GB"/>
        </w:rPr>
        <w:t xml:space="preserve"> According to the 2016 CIGI-Ipsos Global Survey on </w:t>
      </w:r>
      <w:r w:rsidR="00916019" w:rsidRPr="004737C5">
        <w:rPr>
          <w:rFonts w:cstheme="minorHAnsi"/>
          <w:lang w:eastAsia="en-GB"/>
        </w:rPr>
        <w:t>Internet Security and Trust, 57 percent</w:t>
      </w:r>
      <w:r w:rsidRPr="004737C5">
        <w:rPr>
          <w:rFonts w:cstheme="minorHAnsi"/>
          <w:lang w:eastAsia="en-GB"/>
        </w:rPr>
        <w:t xml:space="preserve"> of global citizens were more concerned about their online privacy compared to one year previously. Eight in ten are concerned that their inform</w:t>
      </w:r>
      <w:r w:rsidR="00916019" w:rsidRPr="004737C5">
        <w:rPr>
          <w:rFonts w:cstheme="minorHAnsi"/>
          <w:lang w:eastAsia="en-GB"/>
        </w:rPr>
        <w:t xml:space="preserve">ation may be </w:t>
      </w:r>
      <w:r w:rsidR="00916019" w:rsidRPr="004737C5">
        <w:rPr>
          <w:rFonts w:cstheme="minorHAnsi"/>
          <w:lang w:eastAsia="en-GB"/>
        </w:rPr>
        <w:lastRenderedPageBreak/>
        <w:t>bought or sold. 83 percent</w:t>
      </w:r>
      <w:r w:rsidRPr="004737C5">
        <w:rPr>
          <w:rFonts w:cstheme="minorHAnsi"/>
          <w:lang w:eastAsia="en-GB"/>
        </w:rPr>
        <w:t xml:space="preserve"> of global citizens appear to have changed their online behaviour in an effort to control the amount of personal information that is being shared online.</w:t>
      </w:r>
      <w:r w:rsidRPr="004737C5">
        <w:rPr>
          <w:rStyle w:val="FootnoteReference"/>
          <w:rFonts w:cstheme="minorHAnsi"/>
          <w:lang w:eastAsia="en-GB"/>
        </w:rPr>
        <w:footnoteReference w:id="259"/>
      </w:r>
    </w:p>
    <w:p w14:paraId="1C5D51A6" w14:textId="77777777" w:rsidR="00BE71E3" w:rsidRPr="004737C5" w:rsidRDefault="00BE71E3" w:rsidP="006D3BE8">
      <w:pPr>
        <w:rPr>
          <w:rFonts w:cstheme="minorHAnsi"/>
        </w:rPr>
      </w:pPr>
      <w:r w:rsidRPr="004737C5">
        <w:rPr>
          <w:rFonts w:cstheme="minorHAnsi"/>
          <w:lang w:eastAsia="en-GB"/>
        </w:rPr>
        <w:t>A 2014 global survey of 16,000 online consumers across 20 countries</w:t>
      </w:r>
      <w:r w:rsidRPr="004737C5">
        <w:rPr>
          <w:rStyle w:val="FootnoteReference"/>
          <w:rFonts w:cstheme="minorHAnsi"/>
          <w:lang w:eastAsia="en-GB"/>
        </w:rPr>
        <w:footnoteReference w:id="260"/>
      </w:r>
      <w:r w:rsidR="00916019" w:rsidRPr="004737C5">
        <w:rPr>
          <w:rFonts w:cstheme="minorHAnsi"/>
          <w:lang w:eastAsia="en-GB"/>
        </w:rPr>
        <w:t xml:space="preserve"> found that 74 percent</w:t>
      </w:r>
      <w:r w:rsidRPr="004737C5">
        <w:rPr>
          <w:rFonts w:cstheme="minorHAnsi"/>
          <w:lang w:eastAsia="en-GB"/>
        </w:rPr>
        <w:t xml:space="preserve"> were concerned about how companies use information</w:t>
      </w:r>
      <w:r w:rsidR="00916019" w:rsidRPr="004737C5">
        <w:rPr>
          <w:rFonts w:cstheme="minorHAnsi"/>
          <w:lang w:eastAsia="en-GB"/>
        </w:rPr>
        <w:t xml:space="preserve"> about them</w:t>
      </w:r>
      <w:r w:rsidRPr="004737C5">
        <w:rPr>
          <w:rFonts w:cstheme="minorHAnsi"/>
          <w:lang w:eastAsia="en-GB"/>
        </w:rPr>
        <w:t xml:space="preserve"> collected online. Worldwide, 72</w:t>
      </w:r>
      <w:r w:rsidR="00916019" w:rsidRPr="004737C5">
        <w:rPr>
          <w:rFonts w:cstheme="minorHAnsi"/>
          <w:lang w:eastAsia="en-GB"/>
        </w:rPr>
        <w:t xml:space="preserve"> percent</w:t>
      </w:r>
      <w:r w:rsidRPr="004737C5">
        <w:rPr>
          <w:rFonts w:cstheme="minorHAnsi"/>
          <w:lang w:eastAsia="en-GB"/>
        </w:rPr>
        <w:t xml:space="preserve"> of respondents did not know what information is known</w:t>
      </w:r>
      <w:r w:rsidR="00916019" w:rsidRPr="004737C5">
        <w:rPr>
          <w:rFonts w:cstheme="minorHAnsi"/>
          <w:lang w:eastAsia="en-GB"/>
        </w:rPr>
        <w:t xml:space="preserve"> about them by companies and 63 percent</w:t>
      </w:r>
      <w:r w:rsidRPr="004737C5">
        <w:rPr>
          <w:rFonts w:cstheme="minorHAnsi"/>
          <w:lang w:eastAsia="en-GB"/>
        </w:rPr>
        <w:t xml:space="preserve"> did not know what rights they have over companies handling their information. </w:t>
      </w:r>
      <w:r w:rsidRPr="004737C5">
        <w:rPr>
          <w:rFonts w:cstheme="minorHAnsi"/>
        </w:rPr>
        <w:t>In terms of fina</w:t>
      </w:r>
      <w:r w:rsidR="00916019" w:rsidRPr="004737C5">
        <w:rPr>
          <w:rFonts w:cstheme="minorHAnsi"/>
        </w:rPr>
        <w:t>ncial information, in Europe 55 percent</w:t>
      </w:r>
      <w:r w:rsidRPr="004737C5">
        <w:rPr>
          <w:rFonts w:cstheme="minorHAnsi"/>
        </w:rPr>
        <w:t xml:space="preserve"> fear becoming a victim of fraud via online transactions</w:t>
      </w:r>
      <w:r w:rsidRPr="004737C5">
        <w:rPr>
          <w:rStyle w:val="FootnoteReference"/>
          <w:rFonts w:cstheme="minorHAnsi"/>
        </w:rPr>
        <w:footnoteReference w:id="261"/>
      </w:r>
      <w:r w:rsidR="00916019" w:rsidRPr="004737C5">
        <w:rPr>
          <w:rFonts w:cstheme="minorHAnsi"/>
        </w:rPr>
        <w:t xml:space="preserve"> and 58 percent</w:t>
      </w:r>
      <w:r w:rsidRPr="004737C5">
        <w:rPr>
          <w:rFonts w:cstheme="minorHAnsi"/>
        </w:rPr>
        <w:t xml:space="preserve"> abandon a purchase because of fears over payment security.</w:t>
      </w:r>
      <w:r w:rsidRPr="004737C5">
        <w:rPr>
          <w:rStyle w:val="FootnoteReference"/>
          <w:rFonts w:cstheme="minorHAnsi"/>
        </w:rPr>
        <w:footnoteReference w:id="262"/>
      </w:r>
      <w:r w:rsidR="00916019" w:rsidRPr="004737C5">
        <w:rPr>
          <w:rFonts w:cstheme="minorHAnsi"/>
        </w:rPr>
        <w:t xml:space="preserve"> </w:t>
      </w:r>
      <w:r w:rsidRPr="004737C5">
        <w:rPr>
          <w:rFonts w:cstheme="minorHAnsi"/>
        </w:rPr>
        <w:t xml:space="preserve">These fears appear well founded, with a 2015 report claiming data </w:t>
      </w:r>
      <w:r w:rsidR="00916019" w:rsidRPr="004737C5">
        <w:rPr>
          <w:rFonts w:cstheme="minorHAnsi"/>
        </w:rPr>
        <w:t>breaches globally were up by 40 percent</w:t>
      </w:r>
      <w:r w:rsidRPr="004737C5">
        <w:rPr>
          <w:rFonts w:cstheme="minorHAnsi"/>
        </w:rPr>
        <w:t xml:space="preserve"> on the previous year.</w:t>
      </w:r>
      <w:r w:rsidRPr="004737C5">
        <w:rPr>
          <w:rStyle w:val="FootnoteReference"/>
          <w:rFonts w:cstheme="minorHAnsi"/>
        </w:rPr>
        <w:footnoteReference w:id="263"/>
      </w:r>
    </w:p>
    <w:p w14:paraId="4312153C" w14:textId="63885B82" w:rsidR="00BE71E3" w:rsidRPr="004737C5" w:rsidRDefault="00BE71E3" w:rsidP="006D3BE8">
      <w:pPr>
        <w:rPr>
          <w:rFonts w:cstheme="minorHAnsi"/>
        </w:rPr>
      </w:pPr>
      <w:r w:rsidRPr="004737C5">
        <w:rPr>
          <w:rFonts w:cstheme="minorHAnsi"/>
          <w:shd w:val="clear" w:color="auto" w:fill="FFFFFF"/>
          <w:lang w:eastAsia="en-GB"/>
        </w:rPr>
        <w:t xml:space="preserve">These levels of concern are in part due to consumers’ sense that they have lost control over how data is collected and how companies utilize it once in their possession. </w:t>
      </w:r>
      <w:r w:rsidRPr="004737C5">
        <w:rPr>
          <w:rFonts w:cstheme="minorHAnsi"/>
          <w:shd w:val="clear" w:color="auto" w:fill="FFFFFF"/>
        </w:rPr>
        <w:t>Terms of use which purportedly detail company practices are opaque, long and complex</w:t>
      </w:r>
      <w:r w:rsidRPr="004737C5">
        <w:rPr>
          <w:rStyle w:val="FootnoteReference"/>
          <w:rFonts w:cstheme="minorHAnsi"/>
          <w:shd w:val="clear" w:color="auto" w:fill="FFFFFF"/>
        </w:rPr>
        <w:footnoteReference w:id="264"/>
      </w:r>
      <w:r w:rsidR="00916019" w:rsidRPr="004737C5">
        <w:rPr>
          <w:rFonts w:cstheme="minorHAnsi"/>
          <w:shd w:val="clear" w:color="auto" w:fill="FFFFFF"/>
        </w:rPr>
        <w:t xml:space="preserve"> ‒</w:t>
      </w:r>
      <w:r w:rsidRPr="004737C5">
        <w:rPr>
          <w:rFonts w:cstheme="minorHAnsi"/>
          <w:shd w:val="clear" w:color="auto" w:fill="FFFFFF"/>
        </w:rPr>
        <w:t xml:space="preserve"> they are geared towards organizational compliance and liability limitation, not consumer comprehension.</w:t>
      </w:r>
      <w:r w:rsidRPr="004737C5">
        <w:rPr>
          <w:rStyle w:val="FootnoteReference"/>
          <w:rFonts w:cstheme="minorHAnsi"/>
          <w:shd w:val="clear" w:color="auto" w:fill="FFFFFF"/>
        </w:rPr>
        <w:footnoteReference w:id="265"/>
      </w:r>
      <w:r w:rsidRPr="004737C5">
        <w:rPr>
          <w:rFonts w:cstheme="minorHAnsi"/>
          <w:shd w:val="clear" w:color="auto" w:fill="FFFFFF"/>
        </w:rPr>
        <w:t xml:space="preserve"> Consumers are faced with a </w:t>
      </w:r>
      <w:r w:rsidR="00916019" w:rsidRPr="004737C5">
        <w:rPr>
          <w:rFonts w:cstheme="minorHAnsi"/>
          <w:shd w:val="clear" w:color="auto" w:fill="FFFFFF"/>
          <w:lang w:eastAsia="en-GB"/>
        </w:rPr>
        <w:t xml:space="preserve">“take </w:t>
      </w:r>
      <w:r w:rsidR="00977F97" w:rsidRPr="004737C5">
        <w:rPr>
          <w:rFonts w:cstheme="minorHAnsi"/>
          <w:shd w:val="clear" w:color="auto" w:fill="FFFFFF"/>
          <w:lang w:eastAsia="en-GB"/>
        </w:rPr>
        <w:t xml:space="preserve">it </w:t>
      </w:r>
      <w:r w:rsidR="00916019" w:rsidRPr="004737C5">
        <w:rPr>
          <w:rFonts w:cstheme="minorHAnsi"/>
          <w:shd w:val="clear" w:color="auto" w:fill="FFFFFF"/>
          <w:lang w:eastAsia="en-GB"/>
        </w:rPr>
        <w:t>or leave it”</w:t>
      </w:r>
      <w:r w:rsidRPr="004737C5">
        <w:rPr>
          <w:rFonts w:cstheme="minorHAnsi"/>
          <w:shd w:val="clear" w:color="auto" w:fill="FFFFFF"/>
          <w:lang w:eastAsia="en-GB"/>
        </w:rPr>
        <w:t xml:space="preserve"> choice when considering whether to use an online service, with limited opportunities t</w:t>
      </w:r>
      <w:r w:rsidR="00916019" w:rsidRPr="004737C5">
        <w:rPr>
          <w:rFonts w:cstheme="minorHAnsi"/>
          <w:shd w:val="clear" w:color="auto" w:fill="FFFFFF"/>
          <w:lang w:eastAsia="en-GB"/>
        </w:rPr>
        <w:t>o assert their own preferences.</w:t>
      </w:r>
      <w:r w:rsidRPr="004737C5">
        <w:rPr>
          <w:rFonts w:cstheme="minorHAnsi"/>
          <w:shd w:val="clear" w:color="auto" w:fill="FFFFFF"/>
          <w:lang w:eastAsia="en-GB"/>
        </w:rPr>
        <w:t xml:space="preserve"> While it may be in the interests of many companies to interpret ongoing participation within the current set up as satisfaction or</w:t>
      </w:r>
      <w:r w:rsidR="00977F97" w:rsidRPr="004737C5">
        <w:rPr>
          <w:rFonts w:cstheme="minorHAnsi"/>
          <w:shd w:val="clear" w:color="auto" w:fill="FFFFFF"/>
          <w:lang w:eastAsia="en-GB"/>
        </w:rPr>
        <w:t xml:space="preserve"> acceptance, research suggests</w:t>
      </w:r>
      <w:r w:rsidRPr="004737C5">
        <w:rPr>
          <w:rFonts w:cstheme="minorHAnsi"/>
          <w:shd w:val="clear" w:color="auto" w:fill="FFFFFF"/>
          <w:lang w:eastAsia="en-GB"/>
        </w:rPr>
        <w:t xml:space="preserve"> consumer resignation to having lost control,</w:t>
      </w:r>
      <w:r w:rsidRPr="004737C5">
        <w:rPr>
          <w:rStyle w:val="FootnoteReference"/>
          <w:rFonts w:cstheme="minorHAnsi"/>
          <w:shd w:val="clear" w:color="auto" w:fill="FFFFFF"/>
          <w:lang w:eastAsia="en-GB"/>
        </w:rPr>
        <w:footnoteReference w:id="266"/>
      </w:r>
      <w:r w:rsidRPr="004737C5">
        <w:rPr>
          <w:rFonts w:cstheme="minorHAnsi"/>
          <w:shd w:val="clear" w:color="auto" w:fill="FFFFFF"/>
          <w:lang w:eastAsia="en-GB"/>
        </w:rPr>
        <w:t xml:space="preserve"> which adds to the loss of trust. Global research re</w:t>
      </w:r>
      <w:r w:rsidR="00916019" w:rsidRPr="004737C5">
        <w:rPr>
          <w:rFonts w:cstheme="minorHAnsi"/>
          <w:shd w:val="clear" w:color="auto" w:fill="FFFFFF"/>
          <w:lang w:eastAsia="en-GB"/>
        </w:rPr>
        <w:t>flects a similar sense, with 72 percent</w:t>
      </w:r>
      <w:r w:rsidR="00977F97" w:rsidRPr="004737C5">
        <w:rPr>
          <w:rFonts w:cstheme="minorHAnsi"/>
          <w:shd w:val="clear" w:color="auto" w:fill="FFFFFF"/>
          <w:lang w:eastAsia="en-GB"/>
        </w:rPr>
        <w:t xml:space="preserve"> agreeing it i</w:t>
      </w:r>
      <w:r w:rsidRPr="004737C5">
        <w:rPr>
          <w:rFonts w:cstheme="minorHAnsi"/>
          <w:shd w:val="clear" w:color="auto" w:fill="FFFFFF"/>
          <w:lang w:eastAsia="en-GB"/>
        </w:rPr>
        <w:t xml:space="preserve">s </w:t>
      </w:r>
      <w:r w:rsidRPr="004737C5">
        <w:rPr>
          <w:rFonts w:cstheme="minorHAnsi"/>
          <w:shd w:val="clear" w:color="auto" w:fill="FFFFFF"/>
        </w:rPr>
        <w:t>inevitable that privacy will be lost because of new technology.</w:t>
      </w:r>
      <w:r w:rsidRPr="004737C5">
        <w:rPr>
          <w:rStyle w:val="FootnoteReference"/>
          <w:rFonts w:cstheme="minorHAnsi"/>
          <w:shd w:val="clear" w:color="auto" w:fill="FFFFFF"/>
          <w:lang w:eastAsia="en-GB"/>
        </w:rPr>
        <w:footnoteReference w:id="267"/>
      </w:r>
      <w:r w:rsidRPr="004737C5">
        <w:rPr>
          <w:rFonts w:cstheme="minorHAnsi"/>
          <w:shd w:val="clear" w:color="auto" w:fill="FFFFFF"/>
        </w:rPr>
        <w:t xml:space="preserve"> A report for the World Economi</w:t>
      </w:r>
      <w:r w:rsidR="00916019" w:rsidRPr="004737C5">
        <w:rPr>
          <w:rFonts w:cstheme="minorHAnsi"/>
          <w:shd w:val="clear" w:color="auto" w:fill="FFFFFF"/>
        </w:rPr>
        <w:t xml:space="preserve">c Forum found that there has been </w:t>
      </w:r>
      <w:r w:rsidRPr="004737C5">
        <w:rPr>
          <w:rFonts w:cstheme="minorHAnsi"/>
        </w:rPr>
        <w:t xml:space="preserve">“a decline in trust among all stakeholders. Individuals are beginning to lose </w:t>
      </w:r>
      <w:r w:rsidR="00916019" w:rsidRPr="004737C5">
        <w:rPr>
          <w:rFonts w:cstheme="minorHAnsi"/>
        </w:rPr>
        <w:t>trust in how organizations and g</w:t>
      </w:r>
      <w:r w:rsidRPr="004737C5">
        <w:rPr>
          <w:rFonts w:cstheme="minorHAnsi"/>
        </w:rPr>
        <w:t>overnments are using data about them, organizations are losing trust in their ability to secure data and leverage it to create value.”</w:t>
      </w:r>
      <w:r w:rsidRPr="004737C5">
        <w:rPr>
          <w:rStyle w:val="FootnoteReference"/>
          <w:rFonts w:cstheme="minorHAnsi"/>
        </w:rPr>
        <w:footnoteReference w:id="268"/>
      </w:r>
      <w:r w:rsidRPr="004737C5">
        <w:rPr>
          <w:rFonts w:cstheme="minorHAnsi"/>
        </w:rPr>
        <w:t xml:space="preserve"> </w:t>
      </w:r>
      <w:r w:rsidRPr="004737C5">
        <w:rPr>
          <w:rFonts w:cstheme="minorHAnsi"/>
          <w:shd w:val="clear" w:color="auto" w:fill="FFFFFF"/>
          <w:lang w:eastAsia="en-GB"/>
        </w:rPr>
        <w:t xml:space="preserve">This mistrust, </w:t>
      </w:r>
      <w:r w:rsidRPr="004737C5">
        <w:rPr>
          <w:rFonts w:cstheme="minorHAnsi"/>
          <w:lang w:eastAsia="en-GB"/>
        </w:rPr>
        <w:t>recognized by consumer advocates and businesses alike, is what n</w:t>
      </w:r>
      <w:r w:rsidRPr="004737C5">
        <w:rPr>
          <w:rFonts w:cstheme="minorHAnsi"/>
          <w:shd w:val="clear" w:color="auto" w:fill="FFFFFF"/>
          <w:lang w:eastAsia="en-GB"/>
        </w:rPr>
        <w:t xml:space="preserve">ational and international regulators are now contending with. </w:t>
      </w:r>
    </w:p>
    <w:p w14:paraId="27C58706" w14:textId="77777777" w:rsidR="00BE71E3" w:rsidRPr="004737C5" w:rsidRDefault="00916019" w:rsidP="00977F97">
      <w:pPr>
        <w:pStyle w:val="Heading2"/>
        <w:spacing w:after="160"/>
        <w:rPr>
          <w:rFonts w:cstheme="minorHAnsi"/>
          <w:color w:val="auto"/>
          <w:sz w:val="24"/>
          <w:szCs w:val="24"/>
        </w:rPr>
      </w:pPr>
      <w:bookmarkStart w:id="296" w:name="_Toc454293874"/>
      <w:bookmarkStart w:id="297" w:name="_Toc489950312"/>
      <w:bookmarkStart w:id="298" w:name="_Toc492650099"/>
      <w:r w:rsidRPr="004737C5">
        <w:rPr>
          <w:rFonts w:cstheme="minorHAnsi"/>
          <w:color w:val="auto"/>
          <w:sz w:val="24"/>
          <w:szCs w:val="24"/>
        </w:rPr>
        <w:t>D.</w:t>
      </w:r>
      <w:r w:rsidR="00BE71E3" w:rsidRPr="004737C5">
        <w:rPr>
          <w:rFonts w:cstheme="minorHAnsi"/>
          <w:color w:val="auto"/>
          <w:sz w:val="24"/>
          <w:szCs w:val="24"/>
        </w:rPr>
        <w:t xml:space="preserve"> Regulating the digital age</w:t>
      </w:r>
      <w:bookmarkEnd w:id="296"/>
      <w:bookmarkEnd w:id="297"/>
      <w:bookmarkEnd w:id="298"/>
      <w:r w:rsidR="00BE71E3" w:rsidRPr="004737C5">
        <w:rPr>
          <w:rFonts w:cstheme="minorHAnsi"/>
          <w:color w:val="auto"/>
          <w:sz w:val="24"/>
          <w:szCs w:val="24"/>
        </w:rPr>
        <w:t xml:space="preserve"> </w:t>
      </w:r>
    </w:p>
    <w:p w14:paraId="5FD9BE0E" w14:textId="77777777" w:rsidR="00BE71E3" w:rsidRPr="004737C5" w:rsidRDefault="00BE71E3" w:rsidP="006D3BE8">
      <w:pPr>
        <w:rPr>
          <w:rFonts w:cstheme="minorHAnsi"/>
          <w:lang w:eastAsia="en-GB"/>
        </w:rPr>
      </w:pPr>
      <w:r w:rsidRPr="004737C5">
        <w:rPr>
          <w:rFonts w:cstheme="minorHAnsi"/>
          <w:lang w:eastAsia="en-GB"/>
        </w:rPr>
        <w:t xml:space="preserve">The creation of effective regulation and policy to enable more trust in the digital economy is a pressing challenge. </w:t>
      </w:r>
      <w:r w:rsidRPr="004737C5">
        <w:rPr>
          <w:rFonts w:cstheme="minorHAnsi"/>
        </w:rPr>
        <w:t xml:space="preserve">Networked platforms such as Facebook, Uber or AirBnB have shown how online services can achieve huge scale </w:t>
      </w:r>
      <w:r w:rsidR="00916019" w:rsidRPr="004737C5">
        <w:rPr>
          <w:rFonts w:cstheme="minorHAnsi"/>
          <w:lang w:eastAsia="en-GB"/>
        </w:rPr>
        <w:t>in a short space of time,</w:t>
      </w:r>
      <w:r w:rsidRPr="004737C5">
        <w:rPr>
          <w:rFonts w:cstheme="minorHAnsi"/>
          <w:lang w:eastAsia="en-GB"/>
        </w:rPr>
        <w:t xml:space="preserve"> showing how innovation can now outpace institutions responsible for consumer protection. Furthermore, these disruptive services have a transnational reach, hence </w:t>
      </w:r>
      <w:r w:rsidR="00916019" w:rsidRPr="004737C5">
        <w:rPr>
          <w:rFonts w:cstheme="minorHAnsi"/>
          <w:lang w:eastAsia="en-GB"/>
        </w:rPr>
        <w:t>requiring a response that is co</w:t>
      </w:r>
      <w:r w:rsidRPr="004737C5">
        <w:rPr>
          <w:rFonts w:cstheme="minorHAnsi"/>
          <w:lang w:eastAsia="en-GB"/>
        </w:rPr>
        <w:t>ordina</w:t>
      </w:r>
      <w:r w:rsidR="00916019" w:rsidRPr="004737C5">
        <w:rPr>
          <w:rFonts w:cstheme="minorHAnsi"/>
          <w:lang w:eastAsia="en-GB"/>
        </w:rPr>
        <w:t>ted at the international level,</w:t>
      </w:r>
      <w:r w:rsidRPr="004737C5">
        <w:rPr>
          <w:rFonts w:cstheme="minorHAnsi"/>
          <w:lang w:eastAsia="en-GB"/>
        </w:rPr>
        <w:t xml:space="preserve"> </w:t>
      </w:r>
      <w:r w:rsidRPr="004737C5">
        <w:rPr>
          <w:rFonts w:cstheme="minorHAnsi"/>
          <w:lang w:eastAsia="en-GB"/>
        </w:rPr>
        <w:lastRenderedPageBreak/>
        <w:t>s</w:t>
      </w:r>
      <w:r w:rsidR="00916019" w:rsidRPr="004737C5">
        <w:rPr>
          <w:rFonts w:cstheme="minorHAnsi"/>
          <w:lang w:eastAsia="en-GB"/>
        </w:rPr>
        <w:t xml:space="preserve">omething that adds further lag. </w:t>
      </w:r>
      <w:r w:rsidRPr="004737C5">
        <w:rPr>
          <w:rFonts w:cstheme="minorHAnsi"/>
          <w:lang w:eastAsia="en-GB"/>
        </w:rPr>
        <w:t xml:space="preserve">Member associations of Consumers International have voiced </w:t>
      </w:r>
      <w:r w:rsidR="00916019" w:rsidRPr="004737C5">
        <w:rPr>
          <w:rFonts w:cstheme="minorHAnsi"/>
          <w:lang w:eastAsia="en-GB"/>
        </w:rPr>
        <w:t>their concern, with 80 percent</w:t>
      </w:r>
      <w:r w:rsidRPr="004737C5">
        <w:rPr>
          <w:rFonts w:cstheme="minorHAnsi"/>
          <w:lang w:eastAsia="en-GB"/>
        </w:rPr>
        <w:t xml:space="preserve"> feeling that </w:t>
      </w:r>
      <w:r w:rsidRPr="004737C5">
        <w:rPr>
          <w:rFonts w:cstheme="minorHAnsi"/>
        </w:rPr>
        <w:t>legislation, regulation and st</w:t>
      </w:r>
      <w:r w:rsidR="00916019" w:rsidRPr="004737C5">
        <w:rPr>
          <w:rFonts w:cstheme="minorHAnsi"/>
        </w:rPr>
        <w:t xml:space="preserve">andards relating to redress are </w:t>
      </w:r>
      <w:r w:rsidRPr="004737C5">
        <w:rPr>
          <w:rFonts w:cstheme="minorHAnsi"/>
        </w:rPr>
        <w:t xml:space="preserve">ineffective at keeping pace with </w:t>
      </w:r>
      <w:r w:rsidR="00916019" w:rsidRPr="004737C5">
        <w:rPr>
          <w:rFonts w:cstheme="minorHAnsi"/>
        </w:rPr>
        <w:t>the digital economy, and 76 per</w:t>
      </w:r>
      <w:r w:rsidRPr="004737C5">
        <w:rPr>
          <w:rFonts w:cstheme="minorHAnsi"/>
        </w:rPr>
        <w:t>cent doubting the efficacy of enforcement.</w:t>
      </w:r>
      <w:r w:rsidRPr="004737C5">
        <w:rPr>
          <w:rStyle w:val="FootnoteReference"/>
          <w:rFonts w:cstheme="minorHAnsi"/>
        </w:rPr>
        <w:footnoteReference w:id="269"/>
      </w:r>
      <w:r w:rsidRPr="004737C5">
        <w:rPr>
          <w:rFonts w:cstheme="minorHAnsi"/>
          <w:lang w:eastAsia="en-GB"/>
        </w:rPr>
        <w:t xml:space="preserve"> </w:t>
      </w:r>
    </w:p>
    <w:p w14:paraId="3F5D06DD" w14:textId="77777777" w:rsidR="00BE71E3" w:rsidRPr="004737C5" w:rsidRDefault="00BE71E3" w:rsidP="006D3BE8">
      <w:pPr>
        <w:rPr>
          <w:rFonts w:cstheme="minorHAnsi"/>
        </w:rPr>
      </w:pPr>
      <w:r w:rsidRPr="004737C5">
        <w:rPr>
          <w:rFonts w:cstheme="minorHAnsi"/>
        </w:rPr>
        <w:t>To take data protection law as an example, prior to the recent spate of revisions, consumer privacy and data protection had scarcely been considered by the European Union, the United Nations or the OECD since the last century. As recently as 2016, members of the European Union were still working to overhaul rules adopted before google.com was even registered as a domain name. In the intervening period, an unpr</w:t>
      </w:r>
      <w:r w:rsidR="00916019" w:rsidRPr="004737C5">
        <w:rPr>
          <w:rFonts w:cstheme="minorHAnsi"/>
        </w:rPr>
        <w:t>ecedented shift has taken place,</w:t>
      </w:r>
      <w:r w:rsidRPr="004737C5">
        <w:rPr>
          <w:rFonts w:cstheme="minorHAnsi"/>
        </w:rPr>
        <w:t xml:space="preserve"> not just in the amount of data collected at an individual level, but in the ways in which it is used by companies and public </w:t>
      </w:r>
      <w:r w:rsidR="00916019" w:rsidRPr="004737C5">
        <w:rPr>
          <w:rFonts w:cstheme="minorHAnsi"/>
        </w:rPr>
        <w:t>organizations to identify large</w:t>
      </w:r>
      <w:r w:rsidR="001E7C00" w:rsidRPr="004737C5">
        <w:rPr>
          <w:rFonts w:cstheme="minorHAnsi"/>
        </w:rPr>
        <w:t>-</w:t>
      </w:r>
      <w:r w:rsidRPr="004737C5">
        <w:rPr>
          <w:rFonts w:cstheme="minorHAnsi"/>
        </w:rPr>
        <w:t xml:space="preserve">scale patterns in consumer and citizen behaviour, or to identify, tailor or target individuals. </w:t>
      </w:r>
    </w:p>
    <w:p w14:paraId="6EDD15B6" w14:textId="77777777" w:rsidR="00BE71E3" w:rsidRPr="004737C5" w:rsidRDefault="00BE71E3" w:rsidP="006D3BE8">
      <w:pPr>
        <w:rPr>
          <w:rFonts w:cstheme="minorHAnsi"/>
        </w:rPr>
      </w:pPr>
      <w:r w:rsidRPr="004737C5">
        <w:rPr>
          <w:rFonts w:cstheme="minorHAnsi"/>
          <w:lang w:eastAsia="en-GB"/>
        </w:rPr>
        <w:t>I</w:t>
      </w:r>
      <w:r w:rsidRPr="004737C5">
        <w:rPr>
          <w:rFonts w:cstheme="minorHAnsi"/>
        </w:rPr>
        <w:t xml:space="preserve">n the context of the perpetual changes and challenges brought by technology and global data flows, consumer protection mechanisms need to be not just principled, but responsive and adaptable. It remains to be seen whether advances such as the UNCGP or the European Union’s General Data Protection Regulation will be able to respond effectively if the pace of change over the next 20 years corresponds with that of the last two decades. The United States </w:t>
      </w:r>
      <w:r w:rsidR="007F2C21" w:rsidRPr="004737C5">
        <w:rPr>
          <w:rFonts w:cstheme="minorHAnsi"/>
        </w:rPr>
        <w:t xml:space="preserve">of America </w:t>
      </w:r>
      <w:r w:rsidRPr="004737C5">
        <w:rPr>
          <w:rFonts w:cstheme="minorHAnsi"/>
        </w:rPr>
        <w:t>has already shifted from basing its priv</w:t>
      </w:r>
      <w:r w:rsidR="007F2C21" w:rsidRPr="004737C5">
        <w:rPr>
          <w:rFonts w:cstheme="minorHAnsi"/>
        </w:rPr>
        <w:t>acy protection policies on its “</w:t>
      </w:r>
      <w:r w:rsidRPr="004737C5">
        <w:rPr>
          <w:rFonts w:cstheme="minorHAnsi"/>
        </w:rPr>
        <w:t xml:space="preserve">Fair </w:t>
      </w:r>
      <w:r w:rsidR="007F2C21" w:rsidRPr="004737C5">
        <w:rPr>
          <w:rFonts w:cstheme="minorHAnsi"/>
        </w:rPr>
        <w:t>Information Practice Principles” towards a “harm-based approach”</w:t>
      </w:r>
      <w:r w:rsidRPr="004737C5">
        <w:rPr>
          <w:rFonts w:cstheme="minorHAnsi"/>
        </w:rPr>
        <w:t xml:space="preserve"> designed to target harmful uses</w:t>
      </w:r>
      <w:r w:rsidR="007F2C21" w:rsidRPr="004737C5">
        <w:rPr>
          <w:rFonts w:cstheme="minorHAnsi"/>
        </w:rPr>
        <w:t xml:space="preserve"> of information, in particular “</w:t>
      </w:r>
      <w:r w:rsidRPr="004737C5">
        <w:rPr>
          <w:rFonts w:cstheme="minorHAnsi"/>
        </w:rPr>
        <w:t>those presenting risks to physical security or economic injury, or causing unwarranted intrusions in our daily lives, rather than imposing costly notice and choice for all uses of information</w:t>
      </w:r>
      <w:r w:rsidR="007F2C21" w:rsidRPr="004737C5">
        <w:rPr>
          <w:rFonts w:cstheme="minorHAnsi"/>
        </w:rPr>
        <w:t>”.</w:t>
      </w:r>
      <w:r w:rsidRPr="004737C5">
        <w:rPr>
          <w:rStyle w:val="FootnoteReference"/>
          <w:rFonts w:cstheme="minorHAnsi"/>
        </w:rPr>
        <w:footnoteReference w:id="270"/>
      </w:r>
      <w:r w:rsidRPr="004737C5">
        <w:rPr>
          <w:rFonts w:cstheme="minorHAnsi"/>
        </w:rPr>
        <w:t xml:space="preserve"> Such shifts reflect the conundrums for enforcement agencies faced by ever increasing volumes of business.</w:t>
      </w:r>
    </w:p>
    <w:p w14:paraId="3296E79F" w14:textId="77777777" w:rsidR="00BE71E3" w:rsidRPr="004737C5" w:rsidRDefault="00BE71E3" w:rsidP="006D3BE8">
      <w:pPr>
        <w:rPr>
          <w:rFonts w:cstheme="minorHAnsi"/>
        </w:rPr>
      </w:pPr>
      <w:r w:rsidRPr="004737C5">
        <w:rPr>
          <w:rFonts w:cstheme="minorHAnsi"/>
        </w:rPr>
        <w:t xml:space="preserve">Box 14 sets out how UNCTAD drew up a </w:t>
      </w:r>
      <w:r w:rsidR="007F2C21" w:rsidRPr="004737C5">
        <w:rPr>
          <w:rFonts w:cstheme="minorHAnsi"/>
        </w:rPr>
        <w:t>“</w:t>
      </w:r>
      <w:r w:rsidRPr="004737C5">
        <w:rPr>
          <w:rFonts w:cstheme="minorHAnsi"/>
        </w:rPr>
        <w:t xml:space="preserve">recognized set of </w:t>
      </w:r>
      <w:r w:rsidR="007F2C21" w:rsidRPr="004737C5">
        <w:rPr>
          <w:rFonts w:cstheme="minorHAnsi"/>
        </w:rPr>
        <w:t>core data protection principles”</w:t>
      </w:r>
      <w:r w:rsidRPr="004737C5">
        <w:rPr>
          <w:rFonts w:cstheme="minorHAnsi"/>
        </w:rPr>
        <w:t xml:space="preserve"> drawing from various agreements to provide a common set of principles and enable international cooperation.</w:t>
      </w:r>
    </w:p>
    <w:tbl>
      <w:tblPr>
        <w:tblStyle w:val="TableGrid"/>
        <w:tblW w:w="0" w:type="auto"/>
        <w:tblLook w:val="04A0" w:firstRow="1" w:lastRow="0" w:firstColumn="1" w:lastColumn="0" w:noHBand="0" w:noVBand="1"/>
      </w:tblPr>
      <w:tblGrid>
        <w:gridCol w:w="9243"/>
      </w:tblGrid>
      <w:tr w:rsidR="007F2C21" w:rsidRPr="004737C5" w14:paraId="60A5AA15" w14:textId="77777777" w:rsidTr="007F2C21">
        <w:tc>
          <w:tcPr>
            <w:tcW w:w="9628" w:type="dxa"/>
          </w:tcPr>
          <w:p w14:paraId="62408604" w14:textId="77777777" w:rsidR="007F2C21" w:rsidRPr="004737C5" w:rsidRDefault="007F2C21" w:rsidP="007F2C21">
            <w:pPr>
              <w:rPr>
                <w:rFonts w:cstheme="minorHAnsi"/>
                <w:b/>
              </w:rPr>
            </w:pPr>
            <w:r w:rsidRPr="004737C5">
              <w:rPr>
                <w:rFonts w:cstheme="minorHAnsi"/>
                <w:b/>
              </w:rPr>
              <w:t>Box 14. Core data protection principles</w:t>
            </w:r>
          </w:p>
          <w:p w14:paraId="60623DB0" w14:textId="77777777" w:rsidR="007F2C21" w:rsidRPr="004737C5" w:rsidRDefault="007F2C21" w:rsidP="00977F97">
            <w:pPr>
              <w:spacing w:before="160"/>
              <w:rPr>
                <w:rFonts w:cstheme="minorHAnsi"/>
              </w:rPr>
            </w:pPr>
            <w:r w:rsidRPr="004737C5">
              <w:rPr>
                <w:rFonts w:cstheme="minorHAnsi"/>
              </w:rPr>
              <w:t>The core principles are:</w:t>
            </w:r>
          </w:p>
          <w:p w14:paraId="3C4DE67B" w14:textId="77777777" w:rsidR="00977F97" w:rsidRPr="004737C5" w:rsidRDefault="007F2C21" w:rsidP="00977F97">
            <w:pPr>
              <w:pStyle w:val="ListParagraph"/>
              <w:numPr>
                <w:ilvl w:val="0"/>
                <w:numId w:val="102"/>
              </w:numPr>
              <w:ind w:left="709" w:hanging="425"/>
              <w:rPr>
                <w:rFonts w:cstheme="minorHAnsi"/>
              </w:rPr>
            </w:pPr>
            <w:r w:rsidRPr="004737C5">
              <w:rPr>
                <w:rFonts w:cstheme="minorHAnsi"/>
                <w:b/>
                <w:bCs/>
              </w:rPr>
              <w:t>Openness</w:t>
            </w:r>
            <w:r w:rsidRPr="004737C5">
              <w:rPr>
                <w:rFonts w:cstheme="minorHAnsi"/>
              </w:rPr>
              <w:t>: organizations must be open about their personal data practices</w:t>
            </w:r>
          </w:p>
          <w:p w14:paraId="6037DBFA" w14:textId="77777777" w:rsidR="00977F97" w:rsidRPr="004737C5" w:rsidRDefault="007F2C21" w:rsidP="00977F97">
            <w:pPr>
              <w:pStyle w:val="ListParagraph"/>
              <w:numPr>
                <w:ilvl w:val="0"/>
                <w:numId w:val="102"/>
              </w:numPr>
              <w:ind w:left="709" w:hanging="425"/>
              <w:rPr>
                <w:rFonts w:cstheme="minorHAnsi"/>
              </w:rPr>
            </w:pPr>
            <w:r w:rsidRPr="004737C5">
              <w:rPr>
                <w:rFonts w:cstheme="minorHAnsi"/>
                <w:b/>
                <w:bCs/>
              </w:rPr>
              <w:t>Collection limitation</w:t>
            </w:r>
            <w:r w:rsidRPr="004737C5">
              <w:rPr>
                <w:rFonts w:cstheme="minorHAnsi"/>
                <w:bCs/>
              </w:rPr>
              <w:t>:</w:t>
            </w:r>
            <w:r w:rsidRPr="004737C5">
              <w:rPr>
                <w:rFonts w:cstheme="minorHAnsi"/>
              </w:rPr>
              <w:t xml:space="preserve"> collection of personal data must be limited, lawful and fair, usually with knowledge and/or consent</w:t>
            </w:r>
          </w:p>
          <w:p w14:paraId="44CB0493" w14:textId="77777777" w:rsidR="00977F97" w:rsidRPr="004737C5" w:rsidRDefault="007F2C21" w:rsidP="00977F97">
            <w:pPr>
              <w:pStyle w:val="ListParagraph"/>
              <w:numPr>
                <w:ilvl w:val="0"/>
                <w:numId w:val="102"/>
              </w:numPr>
              <w:ind w:left="709" w:hanging="425"/>
              <w:rPr>
                <w:rFonts w:cstheme="minorHAnsi"/>
              </w:rPr>
            </w:pPr>
            <w:r w:rsidRPr="004737C5">
              <w:rPr>
                <w:rFonts w:cstheme="minorHAnsi"/>
                <w:b/>
                <w:bCs/>
              </w:rPr>
              <w:t>Purpose specification</w:t>
            </w:r>
            <w:r w:rsidRPr="004737C5">
              <w:rPr>
                <w:rFonts w:cstheme="minorHAnsi"/>
              </w:rPr>
              <w:t>: the purpose of collection and disclosure must be specified at the time of collection</w:t>
            </w:r>
          </w:p>
          <w:p w14:paraId="792080C6" w14:textId="77777777" w:rsidR="00977F97" w:rsidRPr="004737C5" w:rsidRDefault="007F2C21" w:rsidP="00977F97">
            <w:pPr>
              <w:pStyle w:val="ListParagraph"/>
              <w:numPr>
                <w:ilvl w:val="0"/>
                <w:numId w:val="102"/>
              </w:numPr>
              <w:ind w:left="709" w:hanging="425"/>
              <w:rPr>
                <w:rFonts w:cstheme="minorHAnsi"/>
              </w:rPr>
            </w:pPr>
            <w:r w:rsidRPr="004737C5">
              <w:rPr>
                <w:rFonts w:cstheme="minorHAnsi"/>
                <w:b/>
                <w:bCs/>
              </w:rPr>
              <w:t>Use limitation</w:t>
            </w:r>
            <w:r w:rsidRPr="004737C5">
              <w:rPr>
                <w:rFonts w:cstheme="minorHAnsi"/>
              </w:rPr>
              <w:t>: use or disclosure must be limited to specific, or closely related, purposes</w:t>
            </w:r>
          </w:p>
          <w:p w14:paraId="5DCBD762" w14:textId="77777777" w:rsidR="00977F97" w:rsidRPr="004737C5" w:rsidRDefault="007F2C21" w:rsidP="00977F97">
            <w:pPr>
              <w:pStyle w:val="ListParagraph"/>
              <w:numPr>
                <w:ilvl w:val="0"/>
                <w:numId w:val="102"/>
              </w:numPr>
              <w:ind w:left="709" w:hanging="425"/>
              <w:rPr>
                <w:rFonts w:cstheme="minorHAnsi"/>
              </w:rPr>
            </w:pPr>
            <w:r w:rsidRPr="004737C5">
              <w:rPr>
                <w:rFonts w:cstheme="minorHAnsi"/>
                <w:b/>
                <w:bCs/>
              </w:rPr>
              <w:t>Security</w:t>
            </w:r>
            <w:r w:rsidRPr="004737C5">
              <w:rPr>
                <w:rFonts w:cstheme="minorHAnsi"/>
              </w:rPr>
              <w:t>: personal data must be subject to appropriate security safeguards</w:t>
            </w:r>
          </w:p>
          <w:p w14:paraId="0B4E5E01" w14:textId="77777777" w:rsidR="00977F97" w:rsidRPr="004737C5" w:rsidRDefault="007F2C21" w:rsidP="00977F97">
            <w:pPr>
              <w:pStyle w:val="ListParagraph"/>
              <w:numPr>
                <w:ilvl w:val="0"/>
                <w:numId w:val="102"/>
              </w:numPr>
              <w:ind w:left="709" w:hanging="425"/>
              <w:rPr>
                <w:rFonts w:cstheme="minorHAnsi"/>
              </w:rPr>
            </w:pPr>
            <w:r w:rsidRPr="004737C5">
              <w:rPr>
                <w:rFonts w:cstheme="minorHAnsi"/>
                <w:b/>
                <w:bCs/>
              </w:rPr>
              <w:t>Data quality</w:t>
            </w:r>
            <w:r w:rsidRPr="004737C5">
              <w:rPr>
                <w:rFonts w:cstheme="minorHAnsi"/>
              </w:rPr>
              <w:t>: personal data must be relevant, accurate and up-to-date</w:t>
            </w:r>
          </w:p>
          <w:p w14:paraId="4EE5A505" w14:textId="77777777" w:rsidR="00977F97" w:rsidRPr="004737C5" w:rsidRDefault="007F2C21" w:rsidP="00977F97">
            <w:pPr>
              <w:pStyle w:val="ListParagraph"/>
              <w:numPr>
                <w:ilvl w:val="0"/>
                <w:numId w:val="102"/>
              </w:numPr>
              <w:ind w:left="709" w:hanging="425"/>
              <w:rPr>
                <w:rFonts w:cstheme="minorHAnsi"/>
              </w:rPr>
            </w:pPr>
            <w:r w:rsidRPr="004737C5">
              <w:rPr>
                <w:rFonts w:cstheme="minorHAnsi"/>
                <w:b/>
                <w:bCs/>
              </w:rPr>
              <w:t>Access and correction</w:t>
            </w:r>
            <w:r w:rsidRPr="004737C5">
              <w:rPr>
                <w:rFonts w:cstheme="minorHAnsi"/>
              </w:rPr>
              <w:t>: data subjects must have appropriate rights to access and correct their personal data</w:t>
            </w:r>
          </w:p>
          <w:p w14:paraId="7FBA9BDB" w14:textId="2464ED05" w:rsidR="007F2C21" w:rsidRPr="004737C5" w:rsidRDefault="007F2C21" w:rsidP="00977F97">
            <w:pPr>
              <w:pStyle w:val="ListParagraph"/>
              <w:numPr>
                <w:ilvl w:val="0"/>
                <w:numId w:val="102"/>
              </w:numPr>
              <w:spacing w:after="160"/>
              <w:ind w:left="709" w:hanging="425"/>
              <w:contextualSpacing w:val="0"/>
              <w:rPr>
                <w:rFonts w:cstheme="minorHAnsi"/>
              </w:rPr>
            </w:pPr>
            <w:r w:rsidRPr="004737C5">
              <w:rPr>
                <w:rFonts w:cstheme="minorHAnsi"/>
                <w:b/>
                <w:bCs/>
              </w:rPr>
              <w:t>Accountability</w:t>
            </w:r>
            <w:r w:rsidRPr="004737C5">
              <w:rPr>
                <w:rFonts w:cstheme="minorHAnsi"/>
              </w:rPr>
              <w:t>: data controllers must take responsibility for ensuring compliance with the data protection principles</w:t>
            </w:r>
          </w:p>
          <w:p w14:paraId="34FA26AE" w14:textId="77777777" w:rsidR="007F2C21" w:rsidRPr="004737C5" w:rsidRDefault="007F2C21" w:rsidP="007F2C21">
            <w:pPr>
              <w:rPr>
                <w:rFonts w:cstheme="minorHAnsi"/>
              </w:rPr>
            </w:pPr>
            <w:r w:rsidRPr="004737C5">
              <w:rPr>
                <w:rFonts w:cstheme="minorHAnsi"/>
              </w:rPr>
              <w:t>UNCTAD find that these eight principles appear in some form in all key international and regional agreements and guidelines regarding data protection.</w:t>
            </w:r>
            <w:r w:rsidRPr="004737C5">
              <w:rPr>
                <w:rStyle w:val="FootnoteReference"/>
                <w:rFonts w:cstheme="minorHAnsi"/>
              </w:rPr>
              <w:footnoteReference w:id="271"/>
            </w:r>
            <w:r w:rsidRPr="004737C5">
              <w:rPr>
                <w:rFonts w:cstheme="minorHAnsi"/>
              </w:rPr>
              <w:t xml:space="preserve"> They point to an additional principle – data </w:t>
            </w:r>
            <w:r w:rsidRPr="004737C5">
              <w:rPr>
                <w:rFonts w:cstheme="minorHAnsi"/>
              </w:rPr>
              <w:lastRenderedPageBreak/>
              <w:t>minimization – which only appears in the European Union Data Protection Directive, but which they see as carrying considerable global influence.</w:t>
            </w:r>
          </w:p>
          <w:p w14:paraId="7BAAC071" w14:textId="06D8E1F8" w:rsidR="007F2C21" w:rsidRPr="004737C5" w:rsidRDefault="007F2C21" w:rsidP="00977F97">
            <w:pPr>
              <w:spacing w:before="160"/>
              <w:rPr>
                <w:rFonts w:cstheme="minorHAnsi"/>
                <w:sz w:val="20"/>
                <w:szCs w:val="20"/>
              </w:rPr>
            </w:pPr>
            <w:r w:rsidRPr="004737C5">
              <w:rPr>
                <w:rFonts w:cstheme="minorHAnsi"/>
                <w:i/>
                <w:sz w:val="20"/>
                <w:szCs w:val="20"/>
              </w:rPr>
              <w:t>Source</w:t>
            </w:r>
            <w:r w:rsidRPr="004737C5">
              <w:rPr>
                <w:rFonts w:cstheme="minorHAnsi"/>
                <w:sz w:val="20"/>
                <w:szCs w:val="20"/>
              </w:rPr>
              <w:t>: UNCTAD</w:t>
            </w:r>
            <w:r w:rsidR="007F0A4A" w:rsidRPr="004737C5">
              <w:rPr>
                <w:rFonts w:cstheme="minorHAnsi"/>
                <w:sz w:val="20"/>
                <w:szCs w:val="20"/>
              </w:rPr>
              <w:t>, 2016,</w:t>
            </w:r>
            <w:r w:rsidRPr="004737C5">
              <w:rPr>
                <w:rFonts w:cstheme="minorHAnsi"/>
                <w:sz w:val="20"/>
                <w:szCs w:val="20"/>
              </w:rPr>
              <w:t xml:space="preserve"> </w:t>
            </w:r>
            <w:r w:rsidRPr="004737C5">
              <w:rPr>
                <w:rFonts w:cstheme="minorHAnsi"/>
                <w:i/>
                <w:sz w:val="20"/>
                <w:szCs w:val="20"/>
              </w:rPr>
              <w:t>Study on Data Protection and International Data Flows</w:t>
            </w:r>
            <w:r w:rsidR="005B6DC6" w:rsidRPr="004737C5">
              <w:rPr>
                <w:rFonts w:cstheme="minorHAnsi"/>
                <w:i/>
                <w:sz w:val="20"/>
                <w:szCs w:val="20"/>
              </w:rPr>
              <w:t>.</w:t>
            </w:r>
            <w:r w:rsidRPr="004737C5">
              <w:rPr>
                <w:rStyle w:val="FootnoteReference"/>
                <w:rFonts w:cstheme="minorHAnsi"/>
                <w:sz w:val="20"/>
                <w:szCs w:val="20"/>
              </w:rPr>
              <w:footnoteReference w:id="272"/>
            </w:r>
          </w:p>
        </w:tc>
      </w:tr>
    </w:tbl>
    <w:p w14:paraId="4E7ACB5C" w14:textId="77777777" w:rsidR="00BE71E3" w:rsidRPr="004737C5" w:rsidRDefault="007F2C21" w:rsidP="00977F97">
      <w:pPr>
        <w:pStyle w:val="Heading2"/>
        <w:spacing w:after="160"/>
        <w:rPr>
          <w:rFonts w:cstheme="minorHAnsi"/>
          <w:color w:val="auto"/>
          <w:sz w:val="24"/>
          <w:szCs w:val="24"/>
        </w:rPr>
      </w:pPr>
      <w:bookmarkStart w:id="299" w:name="_Toc454293875"/>
      <w:bookmarkStart w:id="300" w:name="_Toc489950313"/>
      <w:bookmarkStart w:id="301" w:name="_Toc492650100"/>
      <w:r w:rsidRPr="004737C5">
        <w:rPr>
          <w:rFonts w:cstheme="minorHAnsi"/>
          <w:color w:val="auto"/>
          <w:sz w:val="24"/>
          <w:szCs w:val="24"/>
        </w:rPr>
        <w:lastRenderedPageBreak/>
        <w:t>E.</w:t>
      </w:r>
      <w:r w:rsidR="00BE71E3" w:rsidRPr="004737C5">
        <w:rPr>
          <w:rFonts w:cstheme="minorHAnsi"/>
          <w:color w:val="auto"/>
          <w:sz w:val="24"/>
          <w:szCs w:val="24"/>
        </w:rPr>
        <w:t xml:space="preserve"> International regulation</w:t>
      </w:r>
      <w:bookmarkEnd w:id="299"/>
      <w:bookmarkEnd w:id="300"/>
      <w:bookmarkEnd w:id="301"/>
    </w:p>
    <w:p w14:paraId="57D85932" w14:textId="77777777" w:rsidR="00BE71E3" w:rsidRPr="004737C5" w:rsidRDefault="00BE71E3" w:rsidP="006D3BE8">
      <w:pPr>
        <w:rPr>
          <w:rFonts w:cstheme="minorHAnsi"/>
        </w:rPr>
      </w:pPr>
      <w:r w:rsidRPr="004737C5">
        <w:rPr>
          <w:rFonts w:cstheme="minorHAnsi"/>
        </w:rPr>
        <w:t>Differing data protection laws in different jurisdictions have the capacity to</w:t>
      </w:r>
      <w:r w:rsidR="007F2C21" w:rsidRPr="004737C5">
        <w:rPr>
          <w:rFonts w:cstheme="minorHAnsi"/>
        </w:rPr>
        <w:t xml:space="preserve"> inhibit international trade on</w:t>
      </w:r>
      <w:r w:rsidRPr="004737C5">
        <w:rPr>
          <w:rFonts w:cstheme="minorHAnsi"/>
        </w:rPr>
        <w:t>line. For example, a recent development is the emergence of data localization requirements, which are considered to have potentially significant trade implications. These require personal data to be retained within their original jurisdiction, either through a direct legal restriction or through other prescriptive requirements (such as local business registration requirements) that have the same result. Data localization requirements are common in some specific sectors (notably the health sector an</w:t>
      </w:r>
      <w:r w:rsidR="007F2C21" w:rsidRPr="004737C5">
        <w:rPr>
          <w:rFonts w:cstheme="minorHAnsi"/>
        </w:rPr>
        <w:t>d the financial services sector</w:t>
      </w:r>
      <w:r w:rsidRPr="004737C5">
        <w:rPr>
          <w:rFonts w:cstheme="minorHAnsi"/>
        </w:rPr>
        <w:t>) but they are less common for generic data.</w:t>
      </w:r>
    </w:p>
    <w:p w14:paraId="21E2A5AA" w14:textId="77777777" w:rsidR="00BE71E3" w:rsidRPr="004737C5" w:rsidRDefault="00BE71E3" w:rsidP="006D3BE8">
      <w:pPr>
        <w:rPr>
          <w:rFonts w:cstheme="minorHAnsi"/>
        </w:rPr>
      </w:pPr>
      <w:r w:rsidRPr="004737C5">
        <w:rPr>
          <w:rFonts w:cstheme="minorHAnsi"/>
        </w:rPr>
        <w:t>There are several drivers for data localization requirements: a) concerns over the potential exposure of local data to increased security risks or surveillance in overseas jurisdictions; b) concerns about the dominance of foreign countries when it comes to se</w:t>
      </w:r>
      <w:r w:rsidR="007F2C21" w:rsidRPr="004737C5">
        <w:rPr>
          <w:rFonts w:cstheme="minorHAnsi"/>
        </w:rPr>
        <w:t>rvices delivered via the internet; and c) g</w:t>
      </w:r>
      <w:r w:rsidRPr="004737C5">
        <w:rPr>
          <w:rFonts w:cstheme="minorHAnsi"/>
        </w:rPr>
        <w:t>overnment surveillance.</w:t>
      </w:r>
    </w:p>
    <w:p w14:paraId="0EFA1DB6" w14:textId="77777777" w:rsidR="00BE71E3" w:rsidRPr="004737C5" w:rsidRDefault="00BE71E3" w:rsidP="006D3BE8">
      <w:pPr>
        <w:rPr>
          <w:rFonts w:cstheme="minorHAnsi"/>
        </w:rPr>
      </w:pPr>
      <w:r w:rsidRPr="004737C5">
        <w:rPr>
          <w:rFonts w:cstheme="minorHAnsi"/>
        </w:rPr>
        <w:t>Two often cited examples of data localization requirements are Indonesia and the Russian Federation, which have adopted restrictions on the transfer of data abroad. Businesses face significant compliance requirements in both countries. Other countries considered imposing similar localization requirements (notably Brazil and the Republic of Korea), but after wide stakeholder consultation, they embraced a mixture of alternative approaches as discussed above.</w:t>
      </w:r>
    </w:p>
    <w:p w14:paraId="2C529660" w14:textId="77777777" w:rsidR="00BE71E3" w:rsidRPr="004737C5" w:rsidRDefault="00BE71E3" w:rsidP="006D3BE8">
      <w:pPr>
        <w:rPr>
          <w:rFonts w:cstheme="minorHAnsi"/>
        </w:rPr>
      </w:pPr>
      <w:r w:rsidRPr="004737C5">
        <w:rPr>
          <w:rFonts w:cstheme="minorHAnsi"/>
        </w:rPr>
        <w:t xml:space="preserve">In considering such policy divergences, it should be remembered that privacy and data protection are key consumer and human rights as set out in </w:t>
      </w:r>
      <w:r w:rsidR="00D113A8" w:rsidRPr="004737C5">
        <w:rPr>
          <w:rFonts w:cstheme="minorHAnsi"/>
        </w:rPr>
        <w:t xml:space="preserve">chapter XII, section B </w:t>
      </w:r>
      <w:r w:rsidRPr="004737C5">
        <w:rPr>
          <w:rFonts w:cstheme="minorHAnsi"/>
        </w:rPr>
        <w:t>above and reco</w:t>
      </w:r>
      <w:r w:rsidR="007F2C21" w:rsidRPr="004737C5">
        <w:rPr>
          <w:rFonts w:cstheme="minorHAnsi"/>
        </w:rPr>
        <w:t>gnized (without using the word “rights”</w:t>
      </w:r>
      <w:r w:rsidRPr="004737C5">
        <w:rPr>
          <w:rFonts w:cstheme="minorHAnsi"/>
        </w:rPr>
        <w:t xml:space="preserve">) in the UNGCP. Measures to protect them may become trade barriers. However, </w:t>
      </w:r>
      <w:r w:rsidR="003F4B7F" w:rsidRPr="004737C5">
        <w:rPr>
          <w:rFonts w:eastAsia="Times New Roman" w:cstheme="minorHAnsi"/>
          <w:lang w:eastAsia="en-GB"/>
        </w:rPr>
        <w:t>a</w:t>
      </w:r>
      <w:r w:rsidR="007F2C21" w:rsidRPr="004737C5">
        <w:rPr>
          <w:rFonts w:eastAsia="Times New Roman" w:cstheme="minorHAnsi"/>
          <w:lang w:eastAsia="en-GB"/>
        </w:rPr>
        <w:t>rticle XIV.c</w:t>
      </w:r>
      <w:r w:rsidRPr="004737C5">
        <w:rPr>
          <w:rFonts w:eastAsia="Times New Roman" w:cstheme="minorHAnsi"/>
          <w:lang w:eastAsia="en-GB"/>
        </w:rPr>
        <w:t xml:space="preserve"> of the General Agreement on Trade and Services (GATS) clearly</w:t>
      </w:r>
      <w:r w:rsidRPr="004737C5">
        <w:rPr>
          <w:rFonts w:cstheme="minorHAnsi"/>
        </w:rPr>
        <w:t xml:space="preserve"> permits trade restrictions that are necessary for “the protection of the privacy of individuals in relation to the processing and dissemination of personal data and the protection of confidentiality of individual records and accounts</w:t>
      </w:r>
      <w:r w:rsidR="007F2C21" w:rsidRPr="004737C5">
        <w:rPr>
          <w:rFonts w:cstheme="minorHAnsi"/>
        </w:rPr>
        <w:t>”,</w:t>
      </w:r>
      <w:r w:rsidRPr="004737C5">
        <w:rPr>
          <w:rFonts w:cstheme="minorHAnsi"/>
        </w:rPr>
        <w:t xml:space="preserve"> specifying that “such measures are not applied in a manner which would constitute a means of arbitrary or unjustifiable discrimination between countries where like conditions prevail, or a disguised restriction on trade in services</w:t>
      </w:r>
      <w:r w:rsidR="007F2C21" w:rsidRPr="004737C5">
        <w:rPr>
          <w:rFonts w:cstheme="minorHAnsi"/>
        </w:rPr>
        <w:t>”.</w:t>
      </w:r>
      <w:r w:rsidRPr="004737C5">
        <w:rPr>
          <w:rFonts w:cstheme="minorHAnsi"/>
        </w:rPr>
        <w:t xml:space="preserve"> </w:t>
      </w:r>
      <w:r w:rsidR="00A93308" w:rsidRPr="004737C5">
        <w:rPr>
          <w:rFonts w:cstheme="minorHAnsi"/>
        </w:rPr>
        <w:t>The Trans-Pacific Partnership (</w:t>
      </w:r>
      <w:r w:rsidR="000B6B3E" w:rsidRPr="004737C5">
        <w:rPr>
          <w:rFonts w:cstheme="minorHAnsi"/>
        </w:rPr>
        <w:t>TPP</w:t>
      </w:r>
      <w:r w:rsidR="00A93308" w:rsidRPr="004737C5">
        <w:rPr>
          <w:rFonts w:cstheme="minorHAnsi"/>
        </w:rPr>
        <w:t>)</w:t>
      </w:r>
      <w:r w:rsidR="000B6B3E" w:rsidRPr="004737C5">
        <w:rPr>
          <w:rFonts w:cstheme="minorHAnsi"/>
        </w:rPr>
        <w:t xml:space="preserve"> negotiations </w:t>
      </w:r>
      <w:r w:rsidR="00A93308" w:rsidRPr="004737C5">
        <w:rPr>
          <w:rFonts w:cstheme="minorHAnsi"/>
        </w:rPr>
        <w:t xml:space="preserve">transposed </w:t>
      </w:r>
      <w:r w:rsidR="000B6B3E" w:rsidRPr="004737C5">
        <w:rPr>
          <w:rFonts w:cstheme="minorHAnsi"/>
        </w:rPr>
        <w:t>some word</w:t>
      </w:r>
      <w:r w:rsidR="00A93308" w:rsidRPr="004737C5">
        <w:rPr>
          <w:rFonts w:cstheme="minorHAnsi"/>
        </w:rPr>
        <w:t xml:space="preserve">ing </w:t>
      </w:r>
      <w:r w:rsidR="000B6B3E" w:rsidRPr="004737C5">
        <w:rPr>
          <w:rFonts w:cstheme="minorHAnsi"/>
        </w:rPr>
        <w:t xml:space="preserve">from GATS </w:t>
      </w:r>
      <w:r w:rsidR="00A93308" w:rsidRPr="004737C5">
        <w:rPr>
          <w:rFonts w:cstheme="minorHAnsi"/>
        </w:rPr>
        <w:t xml:space="preserve">that is </w:t>
      </w:r>
      <w:r w:rsidR="000B6B3E" w:rsidRPr="004737C5">
        <w:rPr>
          <w:rFonts w:cstheme="minorHAnsi"/>
        </w:rPr>
        <w:t xml:space="preserve">considered by UNCTAD to be a </w:t>
      </w:r>
      <w:r w:rsidR="00A93308" w:rsidRPr="004737C5">
        <w:rPr>
          <w:rFonts w:cstheme="minorHAnsi"/>
        </w:rPr>
        <w:t>“</w:t>
      </w:r>
      <w:r w:rsidR="000B6B3E" w:rsidRPr="004737C5">
        <w:rPr>
          <w:rFonts w:cstheme="minorHAnsi"/>
        </w:rPr>
        <w:t>disguised restriction on trade</w:t>
      </w:r>
      <w:r w:rsidR="00A93308" w:rsidRPr="004737C5">
        <w:rPr>
          <w:rFonts w:cstheme="minorHAnsi"/>
        </w:rPr>
        <w:t>” and therefore</w:t>
      </w:r>
      <w:r w:rsidR="000B6B3E" w:rsidRPr="004737C5">
        <w:rPr>
          <w:rFonts w:cstheme="minorHAnsi"/>
        </w:rPr>
        <w:t xml:space="preserve"> the “most interesting rule” in the TPP</w:t>
      </w:r>
      <w:r w:rsidR="00A93308" w:rsidRPr="004737C5">
        <w:rPr>
          <w:rFonts w:cstheme="minorHAnsi"/>
        </w:rPr>
        <w:t xml:space="preserve">. </w:t>
      </w:r>
      <w:r w:rsidR="007F2C21" w:rsidRPr="004737C5">
        <w:rPr>
          <w:rFonts w:cstheme="minorHAnsi"/>
        </w:rPr>
        <w:t>The TPP generally is reported to “</w:t>
      </w:r>
      <w:r w:rsidRPr="004737C5">
        <w:rPr>
          <w:rFonts w:cstheme="minorHAnsi"/>
        </w:rPr>
        <w:t>not really impose any significant positive requirements for data protection, but it does address the issue of balancing data protection laws against trade considerations. Specifically, it imposes limits on the extent of data protection regulation that signatories can provide in their national laws</w:t>
      </w:r>
      <w:r w:rsidR="007F2C21" w:rsidRPr="004737C5">
        <w:rPr>
          <w:rFonts w:cstheme="minorHAnsi"/>
        </w:rPr>
        <w:t>”.</w:t>
      </w:r>
      <w:r w:rsidRPr="004737C5">
        <w:rPr>
          <w:rStyle w:val="FootnoteReference"/>
          <w:rFonts w:cstheme="minorHAnsi"/>
        </w:rPr>
        <w:footnoteReference w:id="273"/>
      </w:r>
    </w:p>
    <w:p w14:paraId="775FB0BF" w14:textId="77777777" w:rsidR="00BE71E3" w:rsidRPr="004737C5" w:rsidRDefault="00BE71E3" w:rsidP="006D3BE8">
      <w:pPr>
        <w:rPr>
          <w:rFonts w:cstheme="minorHAnsi"/>
        </w:rPr>
      </w:pPr>
      <w:r w:rsidRPr="004737C5">
        <w:rPr>
          <w:rFonts w:cstheme="minorHAnsi"/>
        </w:rPr>
        <w:t>UNCTAD’s interpretation is that that any business affected by a cross-border transfer restriction can challenge the law as a “disguised restriction on trade</w:t>
      </w:r>
      <w:r w:rsidR="007F2C21" w:rsidRPr="004737C5">
        <w:rPr>
          <w:rFonts w:cstheme="minorHAnsi"/>
        </w:rPr>
        <w:t>”,</w:t>
      </w:r>
      <w:r w:rsidRPr="004737C5">
        <w:rPr>
          <w:rFonts w:cstheme="minorHAnsi"/>
        </w:rPr>
        <w:t xml:space="preserve"> although it considers that this would be a difficult task for anything other than the most extreme restriction. This clause appears to establish a new balance between privacy protection and trade restrictions, and in the future this wording may become a common part of international agreements. </w:t>
      </w:r>
    </w:p>
    <w:p w14:paraId="2D0C815B" w14:textId="77777777" w:rsidR="00BE71E3" w:rsidRPr="004737C5" w:rsidRDefault="00BE71E3" w:rsidP="006D3BE8">
      <w:pPr>
        <w:rPr>
          <w:rFonts w:cstheme="minorHAnsi"/>
        </w:rPr>
      </w:pPr>
      <w:r w:rsidRPr="004737C5">
        <w:rPr>
          <w:rFonts w:cstheme="minorHAnsi"/>
        </w:rPr>
        <w:lastRenderedPageBreak/>
        <w:t>Box 15 sets out how th</w:t>
      </w:r>
      <w:r w:rsidR="007F2C21" w:rsidRPr="004737C5">
        <w:rPr>
          <w:rFonts w:cstheme="minorHAnsi"/>
        </w:rPr>
        <w:t>e European Union-United States</w:t>
      </w:r>
      <w:r w:rsidR="000B6B3E" w:rsidRPr="004737C5">
        <w:rPr>
          <w:rFonts w:cstheme="minorHAnsi"/>
        </w:rPr>
        <w:t xml:space="preserve"> of America</w:t>
      </w:r>
      <w:r w:rsidR="007F2C21" w:rsidRPr="004737C5">
        <w:rPr>
          <w:rFonts w:cstheme="minorHAnsi"/>
        </w:rPr>
        <w:t xml:space="preserve"> “Safe Harbour”</w:t>
      </w:r>
      <w:r w:rsidRPr="004737C5">
        <w:rPr>
          <w:rFonts w:cstheme="minorHAnsi"/>
        </w:rPr>
        <w:t xml:space="preserve"> Agreement was an attempt to avoid differences in data protection regimes from becoming a trade barrier. </w:t>
      </w:r>
    </w:p>
    <w:tbl>
      <w:tblPr>
        <w:tblStyle w:val="TableGrid"/>
        <w:tblW w:w="0" w:type="auto"/>
        <w:tblLook w:val="04A0" w:firstRow="1" w:lastRow="0" w:firstColumn="1" w:lastColumn="0" w:noHBand="0" w:noVBand="1"/>
      </w:tblPr>
      <w:tblGrid>
        <w:gridCol w:w="9243"/>
      </w:tblGrid>
      <w:tr w:rsidR="007F2C21" w:rsidRPr="004737C5" w14:paraId="08C9AA37" w14:textId="77777777" w:rsidTr="007F2C21">
        <w:tc>
          <w:tcPr>
            <w:tcW w:w="9628" w:type="dxa"/>
          </w:tcPr>
          <w:p w14:paraId="53CB3E2C" w14:textId="77777777" w:rsidR="007F2C21" w:rsidRPr="004737C5" w:rsidRDefault="007F2C21" w:rsidP="00E42ACB">
            <w:pPr>
              <w:spacing w:after="160"/>
              <w:rPr>
                <w:rFonts w:cstheme="minorHAnsi"/>
                <w:b/>
              </w:rPr>
            </w:pPr>
            <w:r w:rsidRPr="004737C5">
              <w:rPr>
                <w:rFonts w:cstheme="minorHAnsi"/>
                <w:b/>
              </w:rPr>
              <w:t>Box 15</w:t>
            </w:r>
            <w:r w:rsidR="00AC2C14" w:rsidRPr="004737C5">
              <w:rPr>
                <w:rFonts w:cstheme="minorHAnsi"/>
                <w:b/>
              </w:rPr>
              <w:t>. From Safe Harbour to Privacy S</w:t>
            </w:r>
            <w:r w:rsidRPr="004737C5">
              <w:rPr>
                <w:rFonts w:cstheme="minorHAnsi"/>
                <w:b/>
              </w:rPr>
              <w:t>hield</w:t>
            </w:r>
          </w:p>
          <w:p w14:paraId="371D0E14" w14:textId="77777777" w:rsidR="00AC2C14" w:rsidRPr="004737C5" w:rsidRDefault="00AC2C14" w:rsidP="00E42ACB">
            <w:pPr>
              <w:spacing w:after="160"/>
              <w:rPr>
                <w:rFonts w:cstheme="minorHAnsi"/>
              </w:rPr>
            </w:pPr>
            <w:r w:rsidRPr="004737C5">
              <w:rPr>
                <w:rFonts w:cstheme="minorHAnsi"/>
              </w:rPr>
              <w:t xml:space="preserve">Among the 34 OECD member countries, 32 had implemented comprehensive data protection laws as of early 2016. At the time of writing, the Turkish parliament has passed a data protection bill that is meant to harmonize the Turkish regime with that of the European Union. That will leave the United States </w:t>
            </w:r>
            <w:r w:rsidR="000B6B3E" w:rsidRPr="004737C5">
              <w:rPr>
                <w:rFonts w:cstheme="minorHAnsi"/>
              </w:rPr>
              <w:t xml:space="preserve">of America </w:t>
            </w:r>
            <w:r w:rsidRPr="004737C5">
              <w:rPr>
                <w:rFonts w:cstheme="minorHAnsi"/>
              </w:rPr>
              <w:t xml:space="preserve">as the only exception (it uses a sectoral approach to data protection rather than a single law). </w:t>
            </w:r>
          </w:p>
          <w:p w14:paraId="70B1E4E9" w14:textId="36730D06" w:rsidR="00AC2C14" w:rsidRPr="004737C5" w:rsidRDefault="00AC2C14" w:rsidP="00E42ACB">
            <w:pPr>
              <w:spacing w:after="160"/>
              <w:rPr>
                <w:rFonts w:cstheme="minorHAnsi"/>
              </w:rPr>
            </w:pPr>
            <w:r w:rsidRPr="004737C5">
              <w:rPr>
                <w:rFonts w:cstheme="minorHAnsi"/>
              </w:rPr>
              <w:t>The European Commission’s Directive 95/46 on Data Protection, which took effect in 1998, prohibits the transfer of personal data to non-European Union countries that do not meet the European Union’s “adequacy” standard for privacy protection. The European Union requires other receiving countries to create independent government data protection agencies and to register databases with those agencies. In order to bridge the gap between their respective jurisdictions, in 2000 the United States of America and the European Union agreed the “Safe Harbour” framework, that certified businesses in the United States of America as meeting European Union requirements. Breach of the rules could trigger intervention by the United States</w:t>
            </w:r>
            <w:r w:rsidR="00E42ACB" w:rsidRPr="004737C5">
              <w:rPr>
                <w:rFonts w:cstheme="minorHAnsi"/>
              </w:rPr>
              <w:t xml:space="preserve"> of America’s</w:t>
            </w:r>
            <w:r w:rsidRPr="004737C5">
              <w:rPr>
                <w:rFonts w:cstheme="minorHAnsi"/>
              </w:rPr>
              <w:t xml:space="preserve"> FTC, which could in turn result in companies being struck off the approved list held by the United States </w:t>
            </w:r>
            <w:r w:rsidR="00E42ACB" w:rsidRPr="004737C5">
              <w:rPr>
                <w:rFonts w:cstheme="minorHAnsi"/>
              </w:rPr>
              <w:t xml:space="preserve">of America’s </w:t>
            </w:r>
            <w:r w:rsidRPr="004737C5">
              <w:rPr>
                <w:rFonts w:cstheme="minorHAnsi"/>
              </w:rPr>
              <w:t xml:space="preserve">Department of Commerce. </w:t>
            </w:r>
          </w:p>
          <w:p w14:paraId="73A7C211" w14:textId="77777777" w:rsidR="00AC2C14" w:rsidRPr="004737C5" w:rsidRDefault="00AC2C14" w:rsidP="00E42ACB">
            <w:pPr>
              <w:spacing w:after="160"/>
              <w:rPr>
                <w:rFonts w:cstheme="minorHAnsi"/>
              </w:rPr>
            </w:pPr>
            <w:r w:rsidRPr="004737C5">
              <w:rPr>
                <w:rFonts w:cstheme="minorHAnsi"/>
              </w:rPr>
              <w:t xml:space="preserve">After a complaint from a European Union citizen that his data was not protected to European Union standards upon transfer to the United States of America, the European Court of Justice (ECJ) found in October 2015 that the presumption of adequacy under Safe Harbour principles did not prevent European Union citizens from challenging the initial 2000 Decision 520 on the basis of enforcing their personal rights and freedoms. Furthermore, the court actually invalidated the Safe Harbour adequacy decision which was found to have been adopted without sufficient limits to the access to personal data by governmental authorities. The court found that Safe Harbour did not ensure processing that was “strictly necessary” and “proportionate” as demanded by the European Union Data Protection Directive. As a result, Safe Harbour members no longer enjoy a presumption of adequacy that allowed for the movement of data from the European Union to the United States of America. </w:t>
            </w:r>
          </w:p>
          <w:p w14:paraId="05CCF719" w14:textId="77777777" w:rsidR="00AC2C14" w:rsidRPr="004737C5" w:rsidRDefault="00AC2C14" w:rsidP="00E42ACB">
            <w:pPr>
              <w:spacing w:after="160"/>
              <w:rPr>
                <w:rFonts w:cstheme="minorHAnsi"/>
              </w:rPr>
            </w:pPr>
            <w:r w:rsidRPr="004737C5">
              <w:rPr>
                <w:rFonts w:cstheme="minorHAnsi"/>
              </w:rPr>
              <w:t>One important result of the case was the renegotiation of the Safe Harbour agreement, to be known henceforward as the European Union-United States Privacy Shield in February 2016. The new arrangement included a commitment to stronger enforcement and monitoring, including a new ombudsman and new limitations and conditions on surveillance. In April 2016, however, the grouping of European Data Protection authorities pointed to several deficiencies in the newly negotiated Privacy Shield despite it being seen as an improvement over the preceding Safe Harbour framework. The European Union’s advisory “Article 29 Working Party” asked for the European Commission to resolve their concerns in order to ensure that “the protection offered by the Privacy Shield is indeed essentially equivalent to that of the European Union”.</w:t>
            </w:r>
            <w:r w:rsidRPr="004737C5">
              <w:rPr>
                <w:rFonts w:cstheme="minorHAnsi"/>
                <w:vertAlign w:val="superscript"/>
              </w:rPr>
              <w:footnoteReference w:id="274"/>
            </w:r>
            <w:r w:rsidRPr="004737C5" w:rsidDel="00B63899">
              <w:rPr>
                <w:rFonts w:cstheme="minorHAnsi"/>
              </w:rPr>
              <w:t xml:space="preserve"> </w:t>
            </w:r>
            <w:r w:rsidRPr="004737C5">
              <w:rPr>
                <w:rFonts w:cstheme="minorHAnsi"/>
              </w:rPr>
              <w:t xml:space="preserve">Finally, following an “adequacy decision” by the European Commission regarding protection in the United States of America, the new Privacy Shield took effect on 1 August 2016. The Transatlantic Consumer Dialogue, whose members are consumer organizations from the United States of America and the European Union and have been persistent critics of Safe Harbour and the new Privacy Shield, has urged a relatively simple move which is that the United States of America could “become a full party, without undue reservations, to the Council of Europe Convention for the Protection of Individuals with regard to Automatic Processing of Personal Data (CETS No. 108) and its Additional Protocol </w:t>
            </w:r>
            <w:r w:rsidRPr="004737C5">
              <w:rPr>
                <w:rFonts w:cstheme="minorHAnsi"/>
              </w:rPr>
              <w:lastRenderedPageBreak/>
              <w:t>regarding supervisory authorities and trans-border data flows (CETS No. 181), which are both open to non-European states and provide the widest internationally-agreed data protection standards”.</w:t>
            </w:r>
            <w:r w:rsidRPr="004737C5">
              <w:rPr>
                <w:rFonts w:cstheme="minorHAnsi"/>
                <w:vertAlign w:val="superscript"/>
              </w:rPr>
              <w:footnoteReference w:id="275"/>
            </w:r>
          </w:p>
          <w:p w14:paraId="2330235F" w14:textId="67F6630B" w:rsidR="00AC2C14" w:rsidRPr="004737C5" w:rsidRDefault="00AC2C14" w:rsidP="00E42ACB">
            <w:pPr>
              <w:jc w:val="left"/>
              <w:rPr>
                <w:rFonts w:cstheme="minorHAnsi"/>
                <w:sz w:val="20"/>
                <w:szCs w:val="20"/>
              </w:rPr>
            </w:pPr>
            <w:r w:rsidRPr="004737C5">
              <w:rPr>
                <w:rFonts w:cstheme="minorHAnsi"/>
                <w:i/>
                <w:sz w:val="20"/>
                <w:szCs w:val="20"/>
              </w:rPr>
              <w:t>Sources</w:t>
            </w:r>
            <w:r w:rsidRPr="004737C5">
              <w:rPr>
                <w:rFonts w:cstheme="minorHAnsi"/>
                <w:sz w:val="20"/>
                <w:szCs w:val="20"/>
              </w:rPr>
              <w:t>: UNCTAD Study on Data Protection and International Data Flows (2016);</w:t>
            </w:r>
            <w:r w:rsidRPr="004737C5">
              <w:rPr>
                <w:rFonts w:cstheme="minorHAnsi"/>
                <w:sz w:val="20"/>
                <w:szCs w:val="20"/>
                <w:vertAlign w:val="superscript"/>
              </w:rPr>
              <w:footnoteReference w:id="276"/>
            </w:r>
            <w:r w:rsidRPr="004737C5">
              <w:rPr>
                <w:rFonts w:cstheme="minorHAnsi"/>
                <w:sz w:val="20"/>
                <w:szCs w:val="20"/>
              </w:rPr>
              <w:t xml:space="preserve"> </w:t>
            </w:r>
            <w:r w:rsidR="00D21110" w:rsidRPr="004737C5">
              <w:rPr>
                <w:rFonts w:cstheme="minorHAnsi"/>
                <w:sz w:val="20"/>
                <w:szCs w:val="20"/>
              </w:rPr>
              <w:t>Tr</w:t>
            </w:r>
            <w:r w:rsidR="007F0A4A" w:rsidRPr="004737C5">
              <w:rPr>
                <w:rFonts w:cstheme="minorHAnsi"/>
                <w:sz w:val="20"/>
                <w:szCs w:val="20"/>
              </w:rPr>
              <w:t>ans-Atlantic Consumer Dialogue,</w:t>
            </w:r>
            <w:r w:rsidRPr="004737C5">
              <w:rPr>
                <w:rFonts w:cstheme="minorHAnsi"/>
                <w:sz w:val="20"/>
                <w:szCs w:val="20"/>
              </w:rPr>
              <w:t xml:space="preserve"> Resolution on the European-Union Privacy shield proposal 7 April 2016; Susan Aaronson, The digital trade imbalance and its implications for internet governance; Global Commission on Internet Governance, Chatham House, paper 25, 2016; EC Press Release FAQs 12 July 2016.</w:t>
            </w:r>
          </w:p>
        </w:tc>
      </w:tr>
    </w:tbl>
    <w:p w14:paraId="3B93A406" w14:textId="77777777" w:rsidR="00BE71E3" w:rsidRPr="004737C5" w:rsidRDefault="00AC2C14" w:rsidP="0046696C">
      <w:pPr>
        <w:pStyle w:val="Heading2"/>
        <w:spacing w:after="160"/>
        <w:rPr>
          <w:rFonts w:cstheme="minorHAnsi"/>
          <w:color w:val="auto"/>
          <w:sz w:val="24"/>
          <w:szCs w:val="24"/>
        </w:rPr>
      </w:pPr>
      <w:bookmarkStart w:id="302" w:name="_Toc454293876"/>
      <w:bookmarkStart w:id="303" w:name="_Toc489950314"/>
      <w:bookmarkStart w:id="304" w:name="_Toc492650101"/>
      <w:r w:rsidRPr="004737C5">
        <w:rPr>
          <w:rFonts w:cstheme="minorHAnsi"/>
          <w:color w:val="auto"/>
          <w:sz w:val="24"/>
          <w:szCs w:val="24"/>
        </w:rPr>
        <w:lastRenderedPageBreak/>
        <w:t>F.</w:t>
      </w:r>
      <w:r w:rsidR="00BE71E3" w:rsidRPr="004737C5">
        <w:rPr>
          <w:rFonts w:cstheme="minorHAnsi"/>
          <w:color w:val="auto"/>
          <w:sz w:val="24"/>
          <w:szCs w:val="24"/>
        </w:rPr>
        <w:t xml:space="preserve"> Can technology respond to the challenges that technology creates?</w:t>
      </w:r>
      <w:bookmarkEnd w:id="302"/>
      <w:bookmarkEnd w:id="303"/>
      <w:bookmarkEnd w:id="304"/>
    </w:p>
    <w:p w14:paraId="2A083BD2" w14:textId="15213BA3" w:rsidR="00BE71E3" w:rsidRPr="004737C5" w:rsidRDefault="00BE71E3" w:rsidP="006D3BE8">
      <w:pPr>
        <w:rPr>
          <w:rFonts w:cstheme="minorHAnsi"/>
        </w:rPr>
      </w:pPr>
      <w:r w:rsidRPr="004737C5">
        <w:rPr>
          <w:rFonts w:cstheme="minorHAnsi"/>
        </w:rPr>
        <w:t>Given the limitations that are becoming apparent in conventional approaches, it may be that new innovation</w:t>
      </w:r>
      <w:r w:rsidR="0046696C" w:rsidRPr="004737C5">
        <w:rPr>
          <w:rFonts w:cstheme="minorHAnsi"/>
        </w:rPr>
        <w:t>s</w:t>
      </w:r>
      <w:r w:rsidRPr="004737C5">
        <w:rPr>
          <w:rFonts w:cstheme="minorHAnsi"/>
        </w:rPr>
        <w:t xml:space="preserve"> will provide solutions to some of the challenges tha</w:t>
      </w:r>
      <w:r w:rsidR="00AC2C14" w:rsidRPr="004737C5">
        <w:rPr>
          <w:rFonts w:cstheme="minorHAnsi"/>
        </w:rPr>
        <w:t>t prior innovation has created.</w:t>
      </w:r>
      <w:r w:rsidRPr="004737C5">
        <w:rPr>
          <w:rFonts w:cstheme="minorHAnsi"/>
        </w:rPr>
        <w:t xml:space="preserve"> E-commerce has a history of deve</w:t>
      </w:r>
      <w:r w:rsidR="00AC2C14" w:rsidRPr="004737C5">
        <w:rPr>
          <w:rFonts w:cstheme="minorHAnsi"/>
        </w:rPr>
        <w:t>loping innovative solutions;</w:t>
      </w:r>
      <w:r w:rsidRPr="004737C5">
        <w:rPr>
          <w:rFonts w:cstheme="minorHAnsi"/>
        </w:rPr>
        <w:t xml:space="preserve"> the emergence of new personal data empowerment tools and services which return some direct control over data to consumers suggests a response to data concerns that could build on regulation and legislation. </w:t>
      </w:r>
    </w:p>
    <w:p w14:paraId="18EB9F43" w14:textId="02ACD994" w:rsidR="00BE71E3" w:rsidRPr="004737C5" w:rsidRDefault="00BE71E3" w:rsidP="006D3BE8">
      <w:pPr>
        <w:rPr>
          <w:rFonts w:cstheme="minorHAnsi"/>
        </w:rPr>
      </w:pPr>
      <w:r w:rsidRPr="004737C5">
        <w:rPr>
          <w:rFonts w:cstheme="minorHAnsi"/>
        </w:rPr>
        <w:t>Traditional protection remedies concentrate on controlling how businesses collect, store and use personal data, and are reliant on regulators and busi</w:t>
      </w:r>
      <w:r w:rsidR="00AC2C14" w:rsidRPr="004737C5">
        <w:rPr>
          <w:rFonts w:cstheme="minorHAnsi"/>
        </w:rPr>
        <w:t>ness making the system work,</w:t>
      </w:r>
      <w:r w:rsidRPr="004737C5">
        <w:rPr>
          <w:rFonts w:cstheme="minorHAnsi"/>
        </w:rPr>
        <w:t xml:space="preserve"> lea</w:t>
      </w:r>
      <w:r w:rsidR="00AC2C14" w:rsidRPr="004737C5">
        <w:rPr>
          <w:rFonts w:cstheme="minorHAnsi"/>
        </w:rPr>
        <w:t>ving the consumer as a passive “data subject”</w:t>
      </w:r>
      <w:r w:rsidRPr="004737C5">
        <w:rPr>
          <w:rFonts w:cstheme="minorHAnsi"/>
        </w:rPr>
        <w:t xml:space="preserve"> with little room for manoeuvre. </w:t>
      </w:r>
      <w:r w:rsidR="0046696C" w:rsidRPr="004737C5">
        <w:rPr>
          <w:rFonts w:cstheme="minorHAnsi"/>
        </w:rPr>
        <w:t>T</w:t>
      </w:r>
      <w:r w:rsidRPr="004737C5">
        <w:rPr>
          <w:rFonts w:cstheme="minorHAnsi"/>
        </w:rPr>
        <w:t xml:space="preserve">his classic conception of legislation and regulation </w:t>
      </w:r>
      <w:r w:rsidRPr="004737C5">
        <w:rPr>
          <w:rFonts w:eastAsia="Times New Roman" w:cstheme="minorHAnsi"/>
          <w:lang w:eastAsia="en-GB"/>
        </w:rPr>
        <w:t xml:space="preserve">may not be able to provide full reassurance. In the European Union, for example, with </w:t>
      </w:r>
      <w:r w:rsidRPr="004737C5">
        <w:rPr>
          <w:rFonts w:cstheme="minorHAnsi"/>
        </w:rPr>
        <w:t>one of the strictest data protection regimes in the world, consumer confidence in data handling remains low.</w:t>
      </w:r>
      <w:r w:rsidRPr="004737C5">
        <w:rPr>
          <w:rStyle w:val="FootnoteReference"/>
          <w:rFonts w:cstheme="minorHAnsi"/>
        </w:rPr>
        <w:footnoteReference w:id="277"/>
      </w:r>
      <w:r w:rsidRPr="004737C5">
        <w:rPr>
          <w:rFonts w:cstheme="minorHAnsi"/>
        </w:rPr>
        <w:t xml:space="preserve"> </w:t>
      </w:r>
    </w:p>
    <w:p w14:paraId="22499B1E" w14:textId="02CBCBF3" w:rsidR="00BE71E3" w:rsidRPr="004737C5" w:rsidRDefault="00BE71E3" w:rsidP="006D3BE8">
      <w:pPr>
        <w:rPr>
          <w:rFonts w:cstheme="minorHAnsi"/>
        </w:rPr>
      </w:pPr>
      <w:r w:rsidRPr="004737C5">
        <w:rPr>
          <w:rFonts w:eastAsia="Times New Roman" w:cstheme="minorHAnsi"/>
          <w:lang w:eastAsia="en-GB"/>
        </w:rPr>
        <w:t>T</w:t>
      </w:r>
      <w:r w:rsidR="00B37EDD" w:rsidRPr="004737C5">
        <w:rPr>
          <w:rFonts w:cstheme="minorHAnsi"/>
        </w:rPr>
        <w:t>he possibility of low-</w:t>
      </w:r>
      <w:r w:rsidRPr="004737C5">
        <w:rPr>
          <w:rFonts w:cstheme="minorHAnsi"/>
        </w:rPr>
        <w:t>cost, personalized technology to deliver consumers’ individual privacy and data sharing preferences is resulting in the emergence of new tools and services that help individuals assert more control over how their data is collected and used, by whom and for what purposes.</w:t>
      </w:r>
      <w:r w:rsidRPr="004737C5">
        <w:rPr>
          <w:rStyle w:val="FootnoteReference"/>
          <w:rFonts w:cstheme="minorHAnsi"/>
        </w:rPr>
        <w:footnoteReference w:id="278"/>
      </w:r>
      <w:r w:rsidRPr="004737C5">
        <w:rPr>
          <w:rFonts w:cstheme="minorHAnsi"/>
        </w:rPr>
        <w:t xml:space="preserve"> These emerging personal data empowerment tools put individual consumer preferences back into the equation in a way that traditional regulation does not, and move beyond informed consent tick boxes and onerous terms and conditions. Examples are apps on a smartphone that can alert users when their data is being accessed outside o</w:t>
      </w:r>
      <w:r w:rsidR="00B37EDD" w:rsidRPr="004737C5">
        <w:rPr>
          <w:rFonts w:cstheme="minorHAnsi"/>
        </w:rPr>
        <w:t>f a persons’ set preferences</w:t>
      </w:r>
      <w:r w:rsidR="0046696C" w:rsidRPr="004737C5">
        <w:rPr>
          <w:rFonts w:cstheme="minorHAnsi"/>
        </w:rPr>
        <w:t>,</w:t>
      </w:r>
      <w:r w:rsidR="00B37EDD" w:rsidRPr="004737C5">
        <w:rPr>
          <w:rFonts w:cstheme="minorHAnsi"/>
        </w:rPr>
        <w:t xml:space="preserve"> and tools that give a “behind the scenes”</w:t>
      </w:r>
      <w:r w:rsidRPr="004737C5">
        <w:rPr>
          <w:rFonts w:cstheme="minorHAnsi"/>
        </w:rPr>
        <w:t xml:space="preserve"> view of what d</w:t>
      </w:r>
      <w:r w:rsidR="00B37EDD" w:rsidRPr="004737C5">
        <w:rPr>
          <w:rFonts w:cstheme="minorHAnsi"/>
        </w:rPr>
        <w:t>ata is being collected by whom.</w:t>
      </w:r>
      <w:r w:rsidRPr="004737C5">
        <w:rPr>
          <w:rFonts w:cstheme="minorHAnsi"/>
        </w:rPr>
        <w:t xml:space="preserve"> Such services effectively take on the role of data intermediary between suppliers and customers, working on behalf of the consumer to ensure their sharing</w:t>
      </w:r>
      <w:r w:rsidR="00B37EDD" w:rsidRPr="004737C5">
        <w:rPr>
          <w:rFonts w:cstheme="minorHAnsi"/>
        </w:rPr>
        <w:t xml:space="preserve"> and usage preferences are met.</w:t>
      </w:r>
    </w:p>
    <w:tbl>
      <w:tblPr>
        <w:tblStyle w:val="TableGrid"/>
        <w:tblW w:w="0" w:type="auto"/>
        <w:tblLook w:val="04A0" w:firstRow="1" w:lastRow="0" w:firstColumn="1" w:lastColumn="0" w:noHBand="0" w:noVBand="1"/>
      </w:tblPr>
      <w:tblGrid>
        <w:gridCol w:w="9243"/>
      </w:tblGrid>
      <w:tr w:rsidR="00B37EDD" w:rsidRPr="004737C5" w14:paraId="77B8A29C" w14:textId="77777777" w:rsidTr="00B37EDD">
        <w:tc>
          <w:tcPr>
            <w:tcW w:w="9628" w:type="dxa"/>
          </w:tcPr>
          <w:p w14:paraId="7CD09633" w14:textId="77777777" w:rsidR="00B37EDD" w:rsidRPr="004737C5" w:rsidRDefault="00B37EDD" w:rsidP="006D3BE8">
            <w:pPr>
              <w:rPr>
                <w:rFonts w:cstheme="minorHAnsi"/>
                <w:b/>
              </w:rPr>
            </w:pPr>
            <w:r w:rsidRPr="004737C5">
              <w:rPr>
                <w:rFonts w:cstheme="minorHAnsi"/>
                <w:b/>
              </w:rPr>
              <w:t>Box 16. Examples of personal data empowerment tools and systems</w:t>
            </w:r>
          </w:p>
          <w:p w14:paraId="691F2D98" w14:textId="768B1BF2" w:rsidR="00B37EDD" w:rsidRPr="004737C5" w:rsidRDefault="00B37EDD" w:rsidP="0046696C">
            <w:pPr>
              <w:pStyle w:val="ListParagraph"/>
              <w:numPr>
                <w:ilvl w:val="0"/>
                <w:numId w:val="84"/>
              </w:numPr>
              <w:spacing w:before="160"/>
              <w:ind w:left="425" w:hanging="425"/>
              <w:rPr>
                <w:rFonts w:cstheme="minorHAnsi"/>
                <w:bCs/>
              </w:rPr>
            </w:pPr>
            <w:r w:rsidRPr="004737C5">
              <w:rPr>
                <w:rFonts w:cstheme="minorHAnsi"/>
                <w:b/>
                <w:bCs/>
              </w:rPr>
              <w:t>Personal data stores</w:t>
            </w:r>
            <w:r w:rsidRPr="004737C5">
              <w:rPr>
                <w:rFonts w:cstheme="minorHAnsi"/>
                <w:bCs/>
              </w:rPr>
              <w:t>: secur</w:t>
            </w:r>
            <w:r w:rsidR="0046696C" w:rsidRPr="004737C5">
              <w:rPr>
                <w:rFonts w:cstheme="minorHAnsi"/>
                <w:bCs/>
              </w:rPr>
              <w:t>e storage of data, with authoriz</w:t>
            </w:r>
            <w:r w:rsidRPr="004737C5">
              <w:rPr>
                <w:rFonts w:cstheme="minorHAnsi"/>
                <w:bCs/>
              </w:rPr>
              <w:t>ation to transact and share data with chosen businesses or state services according to terms set by consumers. Stores would also audit use and alert or fix when not meeting criteria.</w:t>
            </w:r>
          </w:p>
          <w:p w14:paraId="6C24FEDA" w14:textId="78A523A8" w:rsidR="00B37EDD" w:rsidRPr="004737C5" w:rsidRDefault="00B37EDD" w:rsidP="0046696C">
            <w:pPr>
              <w:pStyle w:val="ListParagraph"/>
              <w:numPr>
                <w:ilvl w:val="0"/>
                <w:numId w:val="84"/>
              </w:numPr>
              <w:spacing w:before="100" w:beforeAutospacing="1"/>
              <w:ind w:left="425" w:hanging="425"/>
              <w:rPr>
                <w:rFonts w:cstheme="minorHAnsi"/>
                <w:bCs/>
              </w:rPr>
            </w:pPr>
            <w:r w:rsidRPr="004737C5">
              <w:rPr>
                <w:rFonts w:cstheme="minorHAnsi"/>
                <w:b/>
                <w:bCs/>
              </w:rPr>
              <w:t>Person-centred permissions</w:t>
            </w:r>
            <w:r w:rsidRPr="004737C5">
              <w:rPr>
                <w:rFonts w:cstheme="minorHAnsi"/>
                <w:bCs/>
              </w:rPr>
              <w:t>: dashboards where co</w:t>
            </w:r>
            <w:r w:rsidR="0046696C" w:rsidRPr="004737C5">
              <w:rPr>
                <w:rFonts w:cstheme="minorHAnsi"/>
                <w:bCs/>
              </w:rPr>
              <w:t>nsumers can set and change data-</w:t>
            </w:r>
            <w:r w:rsidRPr="004737C5">
              <w:rPr>
                <w:rFonts w:cstheme="minorHAnsi"/>
                <w:bCs/>
              </w:rPr>
              <w:t>sharing privileges, invoke time stamped permissions which expire when consumers cho</w:t>
            </w:r>
            <w:r w:rsidR="0046696C" w:rsidRPr="004737C5">
              <w:rPr>
                <w:rFonts w:cstheme="minorHAnsi"/>
                <w:bCs/>
              </w:rPr>
              <w:t>o</w:t>
            </w:r>
            <w:r w:rsidRPr="004737C5">
              <w:rPr>
                <w:rFonts w:cstheme="minorHAnsi"/>
                <w:bCs/>
              </w:rPr>
              <w:t xml:space="preserve">se and view what data is going where. </w:t>
            </w:r>
          </w:p>
          <w:p w14:paraId="6251DAD8" w14:textId="77777777" w:rsidR="00B37EDD" w:rsidRPr="004737C5" w:rsidRDefault="00B37EDD" w:rsidP="0046696C">
            <w:pPr>
              <w:pStyle w:val="ListParagraph"/>
              <w:numPr>
                <w:ilvl w:val="0"/>
                <w:numId w:val="84"/>
              </w:numPr>
              <w:spacing w:before="100" w:beforeAutospacing="1"/>
              <w:ind w:left="425" w:hanging="425"/>
              <w:rPr>
                <w:rFonts w:cstheme="minorHAnsi"/>
                <w:bCs/>
              </w:rPr>
            </w:pPr>
            <w:r w:rsidRPr="004737C5">
              <w:rPr>
                <w:rFonts w:cstheme="minorHAnsi"/>
                <w:b/>
                <w:bCs/>
              </w:rPr>
              <w:t>Trust networks</w:t>
            </w:r>
            <w:r w:rsidRPr="004737C5">
              <w:rPr>
                <w:rFonts w:cstheme="minorHAnsi"/>
                <w:bCs/>
              </w:rPr>
              <w:t>: simplifying sharing choices through the creation of a network of accredited, trusted providers who commit to using consumer data on individual consumers’ terms.</w:t>
            </w:r>
            <w:r w:rsidRPr="004737C5">
              <w:rPr>
                <w:rStyle w:val="FootnoteReference"/>
                <w:rFonts w:cstheme="minorHAnsi"/>
                <w:bCs/>
              </w:rPr>
              <w:footnoteReference w:id="279"/>
            </w:r>
          </w:p>
          <w:p w14:paraId="79456ECD" w14:textId="77777777" w:rsidR="00B37EDD" w:rsidRPr="004737C5" w:rsidRDefault="00B37EDD" w:rsidP="0046696C">
            <w:pPr>
              <w:spacing w:before="160"/>
              <w:rPr>
                <w:rFonts w:cstheme="minorHAnsi"/>
                <w:sz w:val="20"/>
                <w:szCs w:val="20"/>
              </w:rPr>
            </w:pPr>
            <w:r w:rsidRPr="004737C5">
              <w:rPr>
                <w:rFonts w:cstheme="minorHAnsi"/>
                <w:bCs/>
                <w:i/>
                <w:sz w:val="20"/>
                <w:szCs w:val="20"/>
              </w:rPr>
              <w:lastRenderedPageBreak/>
              <w:t>Source</w:t>
            </w:r>
            <w:r w:rsidRPr="004737C5">
              <w:rPr>
                <w:rFonts w:cstheme="minorHAnsi"/>
                <w:sz w:val="20"/>
                <w:szCs w:val="20"/>
              </w:rPr>
              <w:t>: UNCTAD.</w:t>
            </w:r>
          </w:p>
        </w:tc>
      </w:tr>
    </w:tbl>
    <w:p w14:paraId="0143297F" w14:textId="77777777" w:rsidR="00BE71E3" w:rsidRPr="004737C5" w:rsidRDefault="00BE71E3" w:rsidP="00B37EDD">
      <w:pPr>
        <w:spacing w:before="240"/>
        <w:rPr>
          <w:rFonts w:eastAsia="Times New Roman" w:cstheme="minorHAnsi"/>
          <w:lang w:eastAsia="en-GB"/>
        </w:rPr>
      </w:pPr>
      <w:r w:rsidRPr="004737C5">
        <w:rPr>
          <w:rFonts w:cstheme="minorHAnsi"/>
        </w:rPr>
        <w:lastRenderedPageBreak/>
        <w:t>Personal data empowerment tools and services demonstrate a new, additional way of responding to risks and co</w:t>
      </w:r>
      <w:r w:rsidR="00B37EDD" w:rsidRPr="004737C5">
        <w:rPr>
          <w:rFonts w:cstheme="minorHAnsi"/>
        </w:rPr>
        <w:t>ncerns around data and privacy ‒</w:t>
      </w:r>
      <w:r w:rsidRPr="004737C5">
        <w:rPr>
          <w:rFonts w:cstheme="minorHAnsi"/>
        </w:rPr>
        <w:t xml:space="preserve"> one that can build on regulation, whilst not negating the need for it. </w:t>
      </w:r>
      <w:r w:rsidRPr="004737C5">
        <w:rPr>
          <w:rFonts w:eastAsia="Times New Roman" w:cstheme="minorHAnsi"/>
          <w:lang w:eastAsia="en-GB"/>
        </w:rPr>
        <w:t xml:space="preserve">This is a nascent market, but one which could potentially achieve higher levels of trust and confidence by involving consumers and empowering them to regulate the way companies use their personal data. </w:t>
      </w:r>
      <w:r w:rsidRPr="004737C5">
        <w:rPr>
          <w:rFonts w:cstheme="minorHAnsi"/>
        </w:rPr>
        <w:t>However, in much the same way that shared information obligations or common returns policies help underpin confidence in cross-border e</w:t>
      </w:r>
      <w:r w:rsidR="00B37EDD" w:rsidRPr="004737C5">
        <w:rPr>
          <w:rFonts w:cstheme="minorHAnsi"/>
        </w:rPr>
        <w:t>-</w:t>
      </w:r>
      <w:r w:rsidRPr="004737C5">
        <w:rPr>
          <w:rFonts w:cstheme="minorHAnsi"/>
        </w:rPr>
        <w:t>c</w:t>
      </w:r>
      <w:r w:rsidR="00B37EDD" w:rsidRPr="004737C5">
        <w:rPr>
          <w:rFonts w:cstheme="minorHAnsi"/>
        </w:rPr>
        <w:t>ommerce, there is a role for co</w:t>
      </w:r>
      <w:r w:rsidRPr="004737C5">
        <w:rPr>
          <w:rFonts w:cstheme="minorHAnsi"/>
        </w:rPr>
        <w:t>ordinated international regulatory systems to support their development and enable them to flourish in the following areas:</w:t>
      </w:r>
    </w:p>
    <w:p w14:paraId="089B9321" w14:textId="77777777" w:rsidR="00BE71E3" w:rsidRPr="004737C5" w:rsidRDefault="00BE71E3" w:rsidP="002473E9">
      <w:pPr>
        <w:pStyle w:val="ListParagraph"/>
        <w:numPr>
          <w:ilvl w:val="0"/>
          <w:numId w:val="89"/>
        </w:numPr>
        <w:ind w:left="709" w:hanging="425"/>
        <w:rPr>
          <w:rFonts w:eastAsia="Times New Roman" w:cstheme="minorHAnsi"/>
          <w:b/>
          <w:lang w:eastAsia="en-GB"/>
        </w:rPr>
      </w:pPr>
      <w:r w:rsidRPr="004737C5">
        <w:rPr>
          <w:rFonts w:eastAsia="Times New Roman" w:cstheme="minorHAnsi"/>
          <w:b/>
          <w:lang w:eastAsia="en-GB"/>
        </w:rPr>
        <w:t>Upholding protections and rights</w:t>
      </w:r>
      <w:r w:rsidRPr="004737C5">
        <w:rPr>
          <w:rFonts w:eastAsia="Times New Roman" w:cstheme="minorHAnsi"/>
          <w:lang w:eastAsia="en-GB"/>
        </w:rPr>
        <w:t>:</w:t>
      </w:r>
      <w:r w:rsidRPr="004737C5">
        <w:rPr>
          <w:rFonts w:eastAsia="Times New Roman" w:cstheme="minorHAnsi"/>
          <w:b/>
          <w:lang w:eastAsia="en-GB"/>
        </w:rPr>
        <w:t xml:space="preserve"> </w:t>
      </w:r>
      <w:r w:rsidRPr="004737C5">
        <w:rPr>
          <w:rFonts w:cstheme="minorHAnsi"/>
        </w:rPr>
        <w:t xml:space="preserve">agreed and enforced protocols on data breach notifications and remedies would give consumers more clarity on how their rights would be upheld. If things went wrong, </w:t>
      </w:r>
      <w:r w:rsidRPr="004737C5">
        <w:rPr>
          <w:rFonts w:eastAsia="Times New Roman" w:cstheme="minorHAnsi"/>
          <w:lang w:eastAsia="en-GB"/>
        </w:rPr>
        <w:t>dispute resolution protocols that can operate at a global scale could</w:t>
      </w:r>
      <w:r w:rsidR="00B37EDD" w:rsidRPr="004737C5">
        <w:rPr>
          <w:rFonts w:eastAsia="Times New Roman" w:cstheme="minorHAnsi"/>
          <w:lang w:eastAsia="en-GB"/>
        </w:rPr>
        <w:t xml:space="preserve"> be developed.</w:t>
      </w:r>
    </w:p>
    <w:p w14:paraId="53680FFC" w14:textId="65D6CA4D" w:rsidR="00BE71E3" w:rsidRPr="004737C5" w:rsidRDefault="00BE71E3" w:rsidP="002473E9">
      <w:pPr>
        <w:pStyle w:val="ListParagraph"/>
        <w:numPr>
          <w:ilvl w:val="0"/>
          <w:numId w:val="89"/>
        </w:numPr>
        <w:ind w:left="709" w:hanging="425"/>
        <w:rPr>
          <w:rFonts w:cstheme="minorHAnsi"/>
          <w:b/>
        </w:rPr>
      </w:pPr>
      <w:r w:rsidRPr="004737C5">
        <w:rPr>
          <w:rFonts w:cstheme="minorHAnsi"/>
          <w:b/>
        </w:rPr>
        <w:t>Establishing minimum standards</w:t>
      </w:r>
      <w:r w:rsidRPr="004737C5">
        <w:rPr>
          <w:rFonts w:cstheme="minorHAnsi"/>
        </w:rPr>
        <w:t>:</w:t>
      </w:r>
      <w:r w:rsidRPr="004737C5">
        <w:rPr>
          <w:rFonts w:cstheme="minorHAnsi"/>
          <w:b/>
        </w:rPr>
        <w:t xml:space="preserve"> </w:t>
      </w:r>
      <w:r w:rsidRPr="004737C5">
        <w:rPr>
          <w:rFonts w:cstheme="minorHAnsi"/>
        </w:rPr>
        <w:t>agreed standards on privacy by design could see a higher level of privacy as a default setting</w:t>
      </w:r>
      <w:r w:rsidR="00E61507" w:rsidRPr="004737C5">
        <w:rPr>
          <w:rFonts w:cstheme="minorHAnsi"/>
        </w:rPr>
        <w:t xml:space="preserve"> for services</w:t>
      </w:r>
      <w:r w:rsidRPr="004737C5">
        <w:rPr>
          <w:rFonts w:cstheme="minorHAnsi"/>
        </w:rPr>
        <w:t>. Encryption requirements could be us</w:t>
      </w:r>
      <w:r w:rsidR="00B37EDD" w:rsidRPr="004737C5">
        <w:rPr>
          <w:rFonts w:cstheme="minorHAnsi"/>
        </w:rPr>
        <w:t>ed to increase security of data.</w:t>
      </w:r>
    </w:p>
    <w:p w14:paraId="5A3A2853" w14:textId="77777777" w:rsidR="00BE71E3" w:rsidRPr="004737C5" w:rsidRDefault="00BE71E3" w:rsidP="002473E9">
      <w:pPr>
        <w:pStyle w:val="ListParagraph"/>
        <w:numPr>
          <w:ilvl w:val="0"/>
          <w:numId w:val="89"/>
        </w:numPr>
        <w:ind w:left="709" w:hanging="425"/>
        <w:rPr>
          <w:rFonts w:cstheme="minorHAnsi"/>
          <w:b/>
        </w:rPr>
      </w:pPr>
      <w:r w:rsidRPr="004737C5">
        <w:rPr>
          <w:rFonts w:cstheme="minorHAnsi"/>
          <w:b/>
        </w:rPr>
        <w:t>I</w:t>
      </w:r>
      <w:r w:rsidRPr="004737C5">
        <w:rPr>
          <w:rFonts w:eastAsia="Times New Roman" w:cstheme="minorHAnsi"/>
          <w:b/>
          <w:lang w:eastAsia="en-GB"/>
        </w:rPr>
        <w:t>ncentivising good practice</w:t>
      </w:r>
      <w:r w:rsidRPr="004737C5">
        <w:rPr>
          <w:rFonts w:eastAsia="Times New Roman" w:cstheme="minorHAnsi"/>
          <w:lang w:eastAsia="en-GB"/>
        </w:rPr>
        <w:t>:</w:t>
      </w:r>
      <w:r w:rsidRPr="004737C5">
        <w:rPr>
          <w:rFonts w:eastAsia="Times New Roman" w:cstheme="minorHAnsi"/>
          <w:b/>
          <w:lang w:eastAsia="en-GB"/>
        </w:rPr>
        <w:t xml:space="preserve"> </w:t>
      </w:r>
      <w:r w:rsidRPr="004737C5">
        <w:rPr>
          <w:rFonts w:eastAsia="Times New Roman" w:cstheme="minorHAnsi"/>
          <w:lang w:eastAsia="en-GB"/>
        </w:rPr>
        <w:t>o</w:t>
      </w:r>
      <w:r w:rsidRPr="004737C5">
        <w:rPr>
          <w:rFonts w:cstheme="minorHAnsi"/>
        </w:rPr>
        <w:t>perators of personal data stores or trust frameworks</w:t>
      </w:r>
      <w:r w:rsidRPr="004737C5">
        <w:rPr>
          <w:rFonts w:eastAsia="Times New Roman" w:cstheme="minorHAnsi"/>
          <w:lang w:eastAsia="en-GB"/>
        </w:rPr>
        <w:t xml:space="preserve"> would be held to high standards of transparency and audit, with easily recognisable credentials to help consume</w:t>
      </w:r>
      <w:r w:rsidR="00B37EDD" w:rsidRPr="004737C5">
        <w:rPr>
          <w:rFonts w:eastAsia="Times New Roman" w:cstheme="minorHAnsi"/>
          <w:lang w:eastAsia="en-GB"/>
        </w:rPr>
        <w:t>rs choose between providers</w:t>
      </w:r>
    </w:p>
    <w:p w14:paraId="0429DE5C" w14:textId="77777777" w:rsidR="00BE71E3" w:rsidRPr="004737C5" w:rsidRDefault="00BE71E3" w:rsidP="002473E9">
      <w:pPr>
        <w:pStyle w:val="ListParagraph"/>
        <w:numPr>
          <w:ilvl w:val="0"/>
          <w:numId w:val="89"/>
        </w:numPr>
        <w:ind w:left="709" w:hanging="425"/>
        <w:rPr>
          <w:rFonts w:cstheme="minorHAnsi"/>
        </w:rPr>
      </w:pPr>
      <w:r w:rsidRPr="004737C5">
        <w:rPr>
          <w:rFonts w:eastAsia="Times New Roman" w:cstheme="minorHAnsi"/>
          <w:b/>
          <w:lang w:eastAsia="en-GB"/>
        </w:rPr>
        <w:t xml:space="preserve">Creating a </w:t>
      </w:r>
      <w:r w:rsidRPr="004737C5">
        <w:rPr>
          <w:rFonts w:cstheme="minorHAnsi"/>
          <w:b/>
        </w:rPr>
        <w:t>competitive market</w:t>
      </w:r>
      <w:r w:rsidRPr="004737C5">
        <w:rPr>
          <w:rFonts w:cstheme="minorHAnsi"/>
        </w:rPr>
        <w:t xml:space="preserve"> for services that </w:t>
      </w:r>
      <w:r w:rsidRPr="004737C5">
        <w:rPr>
          <w:rFonts w:eastAsia="Times New Roman" w:cstheme="minorHAnsi"/>
          <w:lang w:eastAsia="en-GB"/>
        </w:rPr>
        <w:t>offer consumers a way to easily control and manage their privacy and sharing preferences. Crucial to this will be establishing r</w:t>
      </w:r>
      <w:r w:rsidRPr="004737C5">
        <w:rPr>
          <w:rFonts w:cstheme="minorHAnsi"/>
        </w:rPr>
        <w:t>ights to data portability and agreed specifications on interoperability between platforms, so that individual privacy and sharing preferences could be aggregated around a person and easily transported between services. This has the potential to give consumers a share in the utility value of their data and increase their leverage in the marketplace.</w:t>
      </w:r>
      <w:r w:rsidRPr="004737C5">
        <w:rPr>
          <w:rStyle w:val="FootnoteReference"/>
          <w:rFonts w:cstheme="minorHAnsi"/>
        </w:rPr>
        <w:footnoteReference w:id="280"/>
      </w:r>
    </w:p>
    <w:p w14:paraId="5544199B" w14:textId="77777777" w:rsidR="00BE71E3" w:rsidRPr="004737C5" w:rsidRDefault="00BE71E3" w:rsidP="006D3BE8">
      <w:pPr>
        <w:rPr>
          <w:rFonts w:cstheme="minorHAnsi"/>
        </w:rPr>
      </w:pPr>
      <w:r w:rsidRPr="004737C5">
        <w:rPr>
          <w:rFonts w:cstheme="minorHAnsi"/>
        </w:rPr>
        <w:t>Other elements of elective flexibility such as</w:t>
      </w:r>
      <w:r w:rsidR="00B37EDD" w:rsidRPr="004737C5">
        <w:rPr>
          <w:rFonts w:cstheme="minorHAnsi"/>
        </w:rPr>
        <w:t xml:space="preserve"> “cookies” and “ad-blockers”</w:t>
      </w:r>
      <w:r w:rsidRPr="004737C5">
        <w:rPr>
          <w:rFonts w:cstheme="minorHAnsi"/>
        </w:rPr>
        <w:t xml:space="preserve"> are developing</w:t>
      </w:r>
      <w:r w:rsidR="00B37EDD" w:rsidRPr="004737C5">
        <w:rPr>
          <w:rFonts w:cstheme="minorHAnsi"/>
        </w:rPr>
        <w:t>,</w:t>
      </w:r>
      <w:r w:rsidRPr="004737C5">
        <w:rPr>
          <w:rFonts w:cstheme="minorHAnsi"/>
        </w:rPr>
        <w:t xml:space="preserve"> allowing individual consumer choic</w:t>
      </w:r>
      <w:r w:rsidR="00B37EDD" w:rsidRPr="004737C5">
        <w:rPr>
          <w:rFonts w:cstheme="minorHAnsi"/>
        </w:rPr>
        <w:t>e, both negative and positive. Yet r</w:t>
      </w:r>
      <w:r w:rsidRPr="004737C5">
        <w:rPr>
          <w:rFonts w:cstheme="minorHAnsi"/>
        </w:rPr>
        <w:t>eliance on individual initiatives or choices can be a fragile underpinning. Elsewhere in this manual the principle of consumer consent has been discussed and found to</w:t>
      </w:r>
      <w:r w:rsidR="00B37EDD" w:rsidRPr="004737C5">
        <w:rPr>
          <w:rFonts w:cstheme="minorHAnsi"/>
        </w:rPr>
        <w:t xml:space="preserve"> be weak in practice (chapter XIV</w:t>
      </w:r>
      <w:r w:rsidRPr="004737C5">
        <w:rPr>
          <w:rFonts w:cstheme="minorHAnsi"/>
        </w:rPr>
        <w:t xml:space="preserve"> on financial services, for example). Despite moves towards increasing use of customer mandates as outlined above, the danger is that consent mechanisms may prove too taxing for all but the most assiduous consu</w:t>
      </w:r>
      <w:r w:rsidR="00B37EDD" w:rsidRPr="004737C5">
        <w:rPr>
          <w:rFonts w:cstheme="minorHAnsi"/>
        </w:rPr>
        <w:t xml:space="preserve">mers. </w:t>
      </w:r>
      <w:r w:rsidR="00D113A8" w:rsidRPr="004737C5">
        <w:rPr>
          <w:rFonts w:cstheme="minorHAnsi"/>
        </w:rPr>
        <w:t xml:space="preserve">For </w:t>
      </w:r>
      <w:r w:rsidR="00B37EDD" w:rsidRPr="004737C5">
        <w:rPr>
          <w:rFonts w:cstheme="minorHAnsi"/>
        </w:rPr>
        <w:t>UNCTAD</w:t>
      </w:r>
      <w:r w:rsidR="00D113A8" w:rsidRPr="004737C5">
        <w:rPr>
          <w:rFonts w:cstheme="minorHAnsi"/>
        </w:rPr>
        <w:t>,</w:t>
      </w:r>
      <w:r w:rsidR="00B37EDD" w:rsidRPr="004737C5">
        <w:rPr>
          <w:rFonts w:cstheme="minorHAnsi"/>
        </w:rPr>
        <w:t xml:space="preserve"> </w:t>
      </w:r>
      <w:r w:rsidR="00D113A8" w:rsidRPr="004737C5">
        <w:rPr>
          <w:rFonts w:cstheme="minorHAnsi"/>
        </w:rPr>
        <w:t xml:space="preserve">a </w:t>
      </w:r>
      <w:r w:rsidR="00B37EDD" w:rsidRPr="004737C5">
        <w:rPr>
          <w:rFonts w:cstheme="minorHAnsi"/>
        </w:rPr>
        <w:t>“consent”</w:t>
      </w:r>
      <w:r w:rsidRPr="004737C5">
        <w:rPr>
          <w:rFonts w:cstheme="minorHAnsi"/>
        </w:rPr>
        <w:t xml:space="preserve"> approach </w:t>
      </w:r>
      <w:r w:rsidR="00D113A8" w:rsidRPr="004737C5">
        <w:rPr>
          <w:rFonts w:cstheme="minorHAnsi"/>
        </w:rPr>
        <w:t>relates to</w:t>
      </w:r>
      <w:r w:rsidRPr="004737C5">
        <w:rPr>
          <w:rFonts w:cstheme="minorHAnsi"/>
        </w:rPr>
        <w:t xml:space="preserve"> whether individual consumers are able to consent to the transfer of their data to a foreign country. This approach is available in the European Union and some other jurisdictions, but is subject to further conditions regarding the nature of the </w:t>
      </w:r>
      <w:r w:rsidR="00B37EDD" w:rsidRPr="004737C5">
        <w:rPr>
          <w:rFonts w:cstheme="minorHAnsi"/>
        </w:rPr>
        <w:t>consent. UNCTAD concludes that “</w:t>
      </w:r>
      <w:r w:rsidRPr="004737C5">
        <w:rPr>
          <w:rFonts w:cstheme="minorHAnsi"/>
        </w:rPr>
        <w:t>consent can be hard to demonstrate and cumbersome for both businesses and consumers, and often gives no guarantee of protection</w:t>
      </w:r>
      <w:r w:rsidR="00B37EDD" w:rsidRPr="004737C5">
        <w:rPr>
          <w:rFonts w:cstheme="minorHAnsi"/>
        </w:rPr>
        <w:t>”.</w:t>
      </w:r>
      <w:r w:rsidRPr="004737C5">
        <w:rPr>
          <w:rStyle w:val="FootnoteReference"/>
          <w:rFonts w:cstheme="minorHAnsi"/>
        </w:rPr>
        <w:footnoteReference w:id="281"/>
      </w:r>
    </w:p>
    <w:p w14:paraId="30973344" w14:textId="77777777" w:rsidR="00BE71E3" w:rsidRPr="004737C5" w:rsidRDefault="00BE71E3" w:rsidP="006D3BE8">
      <w:pPr>
        <w:rPr>
          <w:rFonts w:cstheme="minorHAnsi"/>
        </w:rPr>
      </w:pPr>
      <w:r w:rsidRPr="004737C5">
        <w:rPr>
          <w:rFonts w:cstheme="minorHAnsi"/>
        </w:rPr>
        <w:t>There is still much progress to be made. UNCTAD has set out what it summarizes as seven key challenges towards achieving balanced and internationally compatible legal fr</w:t>
      </w:r>
      <w:r w:rsidR="00D113A8" w:rsidRPr="004737C5">
        <w:rPr>
          <w:rFonts w:cstheme="minorHAnsi"/>
        </w:rPr>
        <w:t>ameworks. These are set out in b</w:t>
      </w:r>
      <w:r w:rsidRPr="004737C5">
        <w:rPr>
          <w:rFonts w:cstheme="minorHAnsi"/>
        </w:rPr>
        <w:t>ox 17.</w:t>
      </w:r>
    </w:p>
    <w:tbl>
      <w:tblPr>
        <w:tblStyle w:val="TableGrid"/>
        <w:tblW w:w="0" w:type="auto"/>
        <w:tblLook w:val="04A0" w:firstRow="1" w:lastRow="0" w:firstColumn="1" w:lastColumn="0" w:noHBand="0" w:noVBand="1"/>
      </w:tblPr>
      <w:tblGrid>
        <w:gridCol w:w="9243"/>
      </w:tblGrid>
      <w:tr w:rsidR="00B37EDD" w:rsidRPr="004737C5" w14:paraId="5F679545" w14:textId="77777777" w:rsidTr="00B37EDD">
        <w:tc>
          <w:tcPr>
            <w:tcW w:w="9628" w:type="dxa"/>
          </w:tcPr>
          <w:p w14:paraId="33967705" w14:textId="77777777" w:rsidR="00B37EDD" w:rsidRPr="004737C5" w:rsidRDefault="00B37EDD" w:rsidP="00B37EDD">
            <w:pPr>
              <w:rPr>
                <w:rFonts w:cstheme="minorHAnsi"/>
              </w:rPr>
            </w:pPr>
            <w:r w:rsidRPr="004737C5">
              <w:rPr>
                <w:rFonts w:cstheme="minorHAnsi"/>
                <w:b/>
              </w:rPr>
              <w:t>Box 17.</w:t>
            </w:r>
            <w:r w:rsidRPr="004737C5">
              <w:rPr>
                <w:rFonts w:cstheme="minorHAnsi"/>
              </w:rPr>
              <w:t xml:space="preserve"> </w:t>
            </w:r>
            <w:r w:rsidRPr="004737C5">
              <w:rPr>
                <w:rFonts w:cstheme="minorHAnsi"/>
                <w:b/>
                <w:bCs/>
              </w:rPr>
              <w:t>Key challenges for data protection</w:t>
            </w:r>
          </w:p>
          <w:p w14:paraId="2E60C0F3" w14:textId="77777777" w:rsidR="00B37EDD" w:rsidRPr="004737C5" w:rsidRDefault="00B37EDD" w:rsidP="00857811">
            <w:pPr>
              <w:pStyle w:val="ListParagraph"/>
              <w:numPr>
                <w:ilvl w:val="2"/>
                <w:numId w:val="102"/>
              </w:numPr>
              <w:spacing w:before="160"/>
              <w:ind w:left="425" w:hanging="425"/>
              <w:rPr>
                <w:rFonts w:cstheme="minorHAnsi"/>
              </w:rPr>
            </w:pPr>
            <w:r w:rsidRPr="004737C5">
              <w:rPr>
                <w:rFonts w:cstheme="minorHAnsi"/>
                <w:b/>
              </w:rPr>
              <w:t>Addressing gaps in coverage</w:t>
            </w:r>
            <w:r w:rsidRPr="004737C5">
              <w:rPr>
                <w:rFonts w:cstheme="minorHAnsi"/>
              </w:rPr>
              <w:t xml:space="preserve">: there is no single global agreement on data protection. The three </w:t>
            </w:r>
            <w:r w:rsidRPr="004737C5">
              <w:rPr>
                <w:rFonts w:cstheme="minorHAnsi"/>
              </w:rPr>
              <w:lastRenderedPageBreak/>
              <w:t>key gaps in national coverage are:</w:t>
            </w:r>
          </w:p>
          <w:p w14:paraId="50D704B7" w14:textId="77777777" w:rsidR="00B37EDD" w:rsidRPr="004737C5" w:rsidRDefault="00B37EDD" w:rsidP="00E61507">
            <w:pPr>
              <w:pStyle w:val="ListParagraph"/>
              <w:numPr>
                <w:ilvl w:val="0"/>
                <w:numId w:val="85"/>
              </w:numPr>
              <w:ind w:left="850" w:hanging="425"/>
              <w:rPr>
                <w:rFonts w:cstheme="minorHAnsi"/>
              </w:rPr>
            </w:pPr>
            <w:r w:rsidRPr="004737C5">
              <w:rPr>
                <w:rFonts w:cstheme="minorHAnsi"/>
              </w:rPr>
              <w:t>A significant number of countries have no data protection law at all</w:t>
            </w:r>
          </w:p>
          <w:p w14:paraId="63DCC389" w14:textId="77777777" w:rsidR="00B37EDD" w:rsidRPr="004737C5" w:rsidRDefault="00B37EDD" w:rsidP="00E61507">
            <w:pPr>
              <w:pStyle w:val="ListParagraph"/>
              <w:numPr>
                <w:ilvl w:val="0"/>
                <w:numId w:val="85"/>
              </w:numPr>
              <w:ind w:left="850" w:hanging="425"/>
              <w:rPr>
                <w:rFonts w:cstheme="minorHAnsi"/>
              </w:rPr>
            </w:pPr>
            <w:r w:rsidRPr="004737C5">
              <w:rPr>
                <w:rFonts w:cstheme="minorHAnsi"/>
              </w:rPr>
              <w:t>A significant number of countries have only partial laws, or laws that contain broad exemptions</w:t>
            </w:r>
          </w:p>
          <w:p w14:paraId="27463D8E" w14:textId="77777777" w:rsidR="00B37EDD" w:rsidRPr="004737C5" w:rsidRDefault="00B37EDD" w:rsidP="00E61507">
            <w:pPr>
              <w:pStyle w:val="ListParagraph"/>
              <w:numPr>
                <w:ilvl w:val="0"/>
                <w:numId w:val="85"/>
              </w:numPr>
              <w:ind w:left="850" w:hanging="425"/>
              <w:rPr>
                <w:rFonts w:cstheme="minorHAnsi"/>
              </w:rPr>
            </w:pPr>
            <w:r w:rsidRPr="004737C5">
              <w:rPr>
                <w:rFonts w:cstheme="minorHAnsi"/>
              </w:rPr>
              <w:t xml:space="preserve">In some circumstances individual companies can limit the scope of their privacy promises (usually in the fine print of privacy policies) </w:t>
            </w:r>
          </w:p>
          <w:p w14:paraId="4CB441CF" w14:textId="77777777" w:rsidR="00B37EDD" w:rsidRPr="004737C5" w:rsidRDefault="00B37EDD" w:rsidP="00E61507">
            <w:pPr>
              <w:pStyle w:val="ListParagraph"/>
              <w:numPr>
                <w:ilvl w:val="2"/>
                <w:numId w:val="102"/>
              </w:numPr>
              <w:spacing w:before="160"/>
              <w:ind w:left="425" w:hanging="425"/>
              <w:contextualSpacing w:val="0"/>
              <w:rPr>
                <w:rFonts w:cstheme="minorHAnsi"/>
              </w:rPr>
            </w:pPr>
            <w:r w:rsidRPr="004737C5">
              <w:rPr>
                <w:rFonts w:cstheme="minorHAnsi"/>
                <w:b/>
              </w:rPr>
              <w:t>Addressing new technologies</w:t>
            </w:r>
            <w:r w:rsidRPr="004737C5">
              <w:rPr>
                <w:rFonts w:cstheme="minorHAnsi"/>
              </w:rPr>
              <w:t xml:space="preserve">: </w:t>
            </w:r>
          </w:p>
          <w:p w14:paraId="3A4D7825" w14:textId="77777777" w:rsidR="00B37EDD" w:rsidRPr="004737C5" w:rsidRDefault="00B37EDD" w:rsidP="00E61507">
            <w:pPr>
              <w:pStyle w:val="ListParagraph"/>
              <w:numPr>
                <w:ilvl w:val="0"/>
                <w:numId w:val="86"/>
              </w:numPr>
              <w:ind w:left="850" w:hanging="425"/>
              <w:rPr>
                <w:rFonts w:cstheme="minorHAnsi"/>
              </w:rPr>
            </w:pPr>
            <w:r w:rsidRPr="004737C5">
              <w:rPr>
                <w:rFonts w:cstheme="minorHAnsi"/>
              </w:rPr>
              <w:t>C</w:t>
            </w:r>
            <w:r w:rsidR="00574C6C" w:rsidRPr="004737C5">
              <w:rPr>
                <w:rFonts w:cstheme="minorHAnsi"/>
              </w:rPr>
              <w:t>loud computing</w:t>
            </w:r>
          </w:p>
          <w:p w14:paraId="4906E408" w14:textId="77777777" w:rsidR="00B37EDD" w:rsidRPr="004737C5" w:rsidRDefault="00574C6C" w:rsidP="00E61507">
            <w:pPr>
              <w:pStyle w:val="ListParagraph"/>
              <w:numPr>
                <w:ilvl w:val="0"/>
                <w:numId w:val="86"/>
              </w:numPr>
              <w:ind w:left="850" w:hanging="425"/>
              <w:rPr>
                <w:rFonts w:cstheme="minorHAnsi"/>
              </w:rPr>
            </w:pPr>
            <w:r w:rsidRPr="004737C5">
              <w:rPr>
                <w:rFonts w:cstheme="minorHAnsi"/>
              </w:rPr>
              <w:t>The internet of things</w:t>
            </w:r>
          </w:p>
          <w:p w14:paraId="2866D06A" w14:textId="77777777" w:rsidR="00B37EDD" w:rsidRPr="004737C5" w:rsidRDefault="00574C6C" w:rsidP="00E61507">
            <w:pPr>
              <w:pStyle w:val="ListParagraph"/>
              <w:numPr>
                <w:ilvl w:val="0"/>
                <w:numId w:val="86"/>
              </w:numPr>
              <w:ind w:left="850" w:hanging="425"/>
              <w:rPr>
                <w:rFonts w:cstheme="minorHAnsi"/>
              </w:rPr>
            </w:pPr>
            <w:r w:rsidRPr="004737C5">
              <w:rPr>
                <w:rFonts w:cstheme="minorHAnsi"/>
              </w:rPr>
              <w:t>Big data analytics</w:t>
            </w:r>
          </w:p>
          <w:p w14:paraId="0B562D41" w14:textId="77777777" w:rsidR="00B37EDD" w:rsidRPr="004737C5" w:rsidRDefault="00B37EDD" w:rsidP="00E61507">
            <w:pPr>
              <w:pStyle w:val="ListParagraph"/>
              <w:numPr>
                <w:ilvl w:val="2"/>
                <w:numId w:val="102"/>
              </w:numPr>
              <w:spacing w:before="160"/>
              <w:ind w:left="425" w:hanging="425"/>
              <w:contextualSpacing w:val="0"/>
              <w:rPr>
                <w:rFonts w:cstheme="minorHAnsi"/>
              </w:rPr>
            </w:pPr>
            <w:r w:rsidRPr="004737C5">
              <w:rPr>
                <w:rFonts w:cstheme="minorHAnsi"/>
                <w:b/>
              </w:rPr>
              <w:t>Managing cross-border data transfer restrictions</w:t>
            </w:r>
            <w:r w:rsidRPr="004737C5">
              <w:rPr>
                <w:rFonts w:cstheme="minorHAnsi"/>
              </w:rPr>
              <w:t>:</w:t>
            </w:r>
            <w:r w:rsidR="00574C6C" w:rsidRPr="004737C5">
              <w:rPr>
                <w:rFonts w:cstheme="minorHAnsi"/>
              </w:rPr>
              <w:t xml:space="preserve"> n</w:t>
            </w:r>
            <w:r w:rsidRPr="004737C5">
              <w:rPr>
                <w:rFonts w:cstheme="minorHAnsi"/>
              </w:rPr>
              <w:t>umerous options and arrangements are in place for managing data flows in a way that still protects the rights of citizens. The most common mechanisms are:</w:t>
            </w:r>
          </w:p>
          <w:p w14:paraId="0412D9AE" w14:textId="77777777" w:rsidR="00B37EDD" w:rsidRPr="004737C5" w:rsidRDefault="00B37EDD" w:rsidP="00E61507">
            <w:pPr>
              <w:pStyle w:val="ListParagraph"/>
              <w:numPr>
                <w:ilvl w:val="0"/>
                <w:numId w:val="87"/>
              </w:numPr>
              <w:ind w:left="850" w:hanging="425"/>
              <w:rPr>
                <w:rFonts w:cstheme="minorHAnsi"/>
              </w:rPr>
            </w:pPr>
            <w:r w:rsidRPr="004737C5">
              <w:rPr>
                <w:rFonts w:cstheme="minorHAnsi"/>
              </w:rPr>
              <w:t xml:space="preserve">Allowing one-off data transfers that meet common derogations </w:t>
            </w:r>
            <w:r w:rsidR="00574C6C" w:rsidRPr="004737C5">
              <w:rPr>
                <w:rFonts w:cstheme="minorHAnsi"/>
              </w:rPr>
              <w:t>or “tests”</w:t>
            </w:r>
            <w:r w:rsidRPr="004737C5">
              <w:rPr>
                <w:rFonts w:cstheme="minorHAnsi"/>
              </w:rPr>
              <w:t xml:space="preserve"> (for example, requirements to fulfil a contract, emergency situations, valid law e</w:t>
            </w:r>
            <w:r w:rsidR="00574C6C" w:rsidRPr="004737C5">
              <w:rPr>
                <w:rFonts w:cstheme="minorHAnsi"/>
              </w:rPr>
              <w:t>nforcement requests and others)</w:t>
            </w:r>
            <w:r w:rsidRPr="004737C5">
              <w:rPr>
                <w:rFonts w:cstheme="minorHAnsi"/>
              </w:rPr>
              <w:t xml:space="preserve"> </w:t>
            </w:r>
          </w:p>
          <w:p w14:paraId="62358B20" w14:textId="77777777" w:rsidR="00B37EDD" w:rsidRPr="004737C5" w:rsidRDefault="00B37EDD" w:rsidP="00E61507">
            <w:pPr>
              <w:pStyle w:val="ListParagraph"/>
              <w:numPr>
                <w:ilvl w:val="0"/>
                <w:numId w:val="87"/>
              </w:numPr>
              <w:ind w:left="850" w:hanging="425"/>
              <w:rPr>
                <w:rFonts w:cstheme="minorHAnsi"/>
              </w:rPr>
            </w:pPr>
            <w:r w:rsidRPr="004737C5">
              <w:rPr>
                <w:rFonts w:cstheme="minorHAnsi"/>
              </w:rPr>
              <w:t>Allowing ongoing data transfers where the target jurisdiction ensures an equivalent level of protection (as with Safe Harbour/Pri</w:t>
            </w:r>
            <w:r w:rsidR="00574C6C" w:rsidRPr="004737C5">
              <w:rPr>
                <w:rFonts w:cstheme="minorHAnsi"/>
              </w:rPr>
              <w:t>vacy Shield)</w:t>
            </w:r>
            <w:r w:rsidRPr="004737C5">
              <w:rPr>
                <w:rFonts w:cstheme="minorHAnsi"/>
              </w:rPr>
              <w:t xml:space="preserve"> </w:t>
            </w:r>
          </w:p>
          <w:p w14:paraId="3B273D31" w14:textId="77777777" w:rsidR="00B37EDD" w:rsidRPr="004737C5" w:rsidRDefault="00B37EDD" w:rsidP="00E61507">
            <w:pPr>
              <w:pStyle w:val="ListParagraph"/>
              <w:numPr>
                <w:ilvl w:val="0"/>
                <w:numId w:val="87"/>
              </w:numPr>
              <w:ind w:left="850" w:hanging="425"/>
              <w:rPr>
                <w:rFonts w:cstheme="minorHAnsi"/>
              </w:rPr>
            </w:pPr>
            <w:r w:rsidRPr="004737C5">
              <w:rPr>
                <w:rFonts w:cstheme="minorHAnsi"/>
              </w:rPr>
              <w:t>Allowing data transfers where the original company agrees to be held accountable for any breaches (this is an emerging approach that appears in the APEC Privacy Framework and to a limited degree in t</w:t>
            </w:r>
            <w:r w:rsidR="00574C6C" w:rsidRPr="004737C5">
              <w:rPr>
                <w:rFonts w:cstheme="minorHAnsi"/>
              </w:rPr>
              <w:t>he laws of Australia and Japan)</w:t>
            </w:r>
            <w:r w:rsidRPr="004737C5">
              <w:rPr>
                <w:rFonts w:cstheme="minorHAnsi"/>
              </w:rPr>
              <w:t xml:space="preserve"> </w:t>
            </w:r>
          </w:p>
          <w:p w14:paraId="6B635039" w14:textId="77777777" w:rsidR="00B37EDD" w:rsidRPr="004737C5" w:rsidRDefault="00B37EDD" w:rsidP="00E61507">
            <w:pPr>
              <w:pStyle w:val="ListParagraph"/>
              <w:numPr>
                <w:ilvl w:val="0"/>
                <w:numId w:val="87"/>
              </w:numPr>
              <w:ind w:left="850" w:hanging="425"/>
              <w:rPr>
                <w:rFonts w:cstheme="minorHAnsi"/>
              </w:rPr>
            </w:pPr>
            <w:r w:rsidRPr="004737C5">
              <w:rPr>
                <w:rFonts w:cstheme="minorHAnsi"/>
              </w:rPr>
              <w:t>Allowing data transfers where the company is bound by a set of corporate rules that apply across all its activities (this approach is used in the European Union and to a limited degree in national laws, fo</w:t>
            </w:r>
            <w:r w:rsidR="00574C6C" w:rsidRPr="004737C5">
              <w:rPr>
                <w:rFonts w:cstheme="minorHAnsi"/>
              </w:rPr>
              <w:t>r example, in Colombia and Japan)</w:t>
            </w:r>
          </w:p>
          <w:p w14:paraId="5C09893A" w14:textId="56799F1F" w:rsidR="00B37EDD" w:rsidRPr="004737C5" w:rsidRDefault="00B37EDD" w:rsidP="00E61507">
            <w:pPr>
              <w:pStyle w:val="ListParagraph"/>
              <w:numPr>
                <w:ilvl w:val="0"/>
                <w:numId w:val="87"/>
              </w:numPr>
              <w:ind w:left="850" w:hanging="425"/>
              <w:rPr>
                <w:rFonts w:cstheme="minorHAnsi"/>
              </w:rPr>
            </w:pPr>
            <w:r w:rsidRPr="004737C5">
              <w:rPr>
                <w:rFonts w:cstheme="minorHAnsi"/>
              </w:rPr>
              <w:t>Allowing data transfers subject to a very specific legal agreement between jur</w:t>
            </w:r>
            <w:r w:rsidR="00E61507" w:rsidRPr="004737C5">
              <w:rPr>
                <w:rFonts w:cstheme="minorHAnsi"/>
              </w:rPr>
              <w:t>isdictions (e.g. European Union-</w:t>
            </w:r>
            <w:r w:rsidRPr="004737C5">
              <w:rPr>
                <w:rFonts w:cstheme="minorHAnsi"/>
              </w:rPr>
              <w:t>U</w:t>
            </w:r>
            <w:r w:rsidR="00574C6C" w:rsidRPr="004737C5">
              <w:rPr>
                <w:rFonts w:cstheme="minorHAnsi"/>
              </w:rPr>
              <w:t>nited States of America</w:t>
            </w:r>
            <w:r w:rsidRPr="004737C5">
              <w:rPr>
                <w:rFonts w:cstheme="minorHAnsi"/>
              </w:rPr>
              <w:t xml:space="preserve"> agreements on transfer of airline passenger data and financial services data) </w:t>
            </w:r>
          </w:p>
          <w:p w14:paraId="74E24CE9" w14:textId="77777777" w:rsidR="00B37EDD" w:rsidRPr="004737C5" w:rsidRDefault="00B37EDD" w:rsidP="00E61507">
            <w:pPr>
              <w:pStyle w:val="ListParagraph"/>
              <w:numPr>
                <w:ilvl w:val="0"/>
                <w:numId w:val="87"/>
              </w:numPr>
              <w:ind w:left="850" w:hanging="425"/>
              <w:rPr>
                <w:rFonts w:cstheme="minorHAnsi"/>
              </w:rPr>
            </w:pPr>
            <w:r w:rsidRPr="004737C5">
              <w:rPr>
                <w:rFonts w:cstheme="minorHAnsi"/>
              </w:rPr>
              <w:t>Some c</w:t>
            </w:r>
            <w:r w:rsidR="00574C6C" w:rsidRPr="004737C5">
              <w:rPr>
                <w:rFonts w:cstheme="minorHAnsi"/>
              </w:rPr>
              <w:t>ombination of the options above</w:t>
            </w:r>
          </w:p>
          <w:p w14:paraId="28AD747E" w14:textId="77777777" w:rsidR="00B37EDD" w:rsidRPr="004737C5" w:rsidRDefault="00B37EDD" w:rsidP="00E61507">
            <w:pPr>
              <w:pStyle w:val="ListParagraph"/>
              <w:numPr>
                <w:ilvl w:val="2"/>
                <w:numId w:val="102"/>
              </w:numPr>
              <w:spacing w:before="160"/>
              <w:ind w:left="425" w:hanging="425"/>
              <w:contextualSpacing w:val="0"/>
              <w:rPr>
                <w:rFonts w:cstheme="minorHAnsi"/>
              </w:rPr>
            </w:pPr>
            <w:r w:rsidRPr="004737C5">
              <w:rPr>
                <w:rFonts w:cstheme="minorHAnsi"/>
                <w:b/>
              </w:rPr>
              <w:t>Balancing surveillance and data protection</w:t>
            </w:r>
            <w:r w:rsidRPr="004737C5">
              <w:rPr>
                <w:rFonts w:cstheme="minorHAnsi"/>
              </w:rPr>
              <w:t>:</w:t>
            </w:r>
            <w:r w:rsidR="00574C6C" w:rsidRPr="004737C5">
              <w:rPr>
                <w:rFonts w:cstheme="minorHAnsi"/>
              </w:rPr>
              <w:t xml:space="preserve"> m</w:t>
            </w:r>
            <w:r w:rsidRPr="004737C5">
              <w:rPr>
                <w:rFonts w:cstheme="minorHAnsi"/>
              </w:rPr>
              <w:t>ost laws and regulations are silent on this issue, which has come under scrutiny since the revelation of the extent of surveillance. The broad extent, scope and purpose of surveillance should be open, even if some operational details remain secret.</w:t>
            </w:r>
          </w:p>
          <w:p w14:paraId="215AC457" w14:textId="77777777" w:rsidR="00B37EDD" w:rsidRPr="004737C5" w:rsidRDefault="00B37EDD" w:rsidP="00E61507">
            <w:pPr>
              <w:pStyle w:val="ListParagraph"/>
              <w:numPr>
                <w:ilvl w:val="0"/>
                <w:numId w:val="88"/>
              </w:numPr>
              <w:ind w:left="850" w:hanging="425"/>
              <w:rPr>
                <w:rFonts w:cstheme="minorHAnsi"/>
              </w:rPr>
            </w:pPr>
            <w:r w:rsidRPr="004737C5">
              <w:rPr>
                <w:rFonts w:cstheme="minorHAnsi"/>
              </w:rPr>
              <w:t xml:space="preserve">Surveillance should be limited to specific national security </w:t>
            </w:r>
            <w:r w:rsidR="00574C6C" w:rsidRPr="004737C5">
              <w:rPr>
                <w:rFonts w:cstheme="minorHAnsi"/>
              </w:rPr>
              <w:t>and law enforcement objectives</w:t>
            </w:r>
          </w:p>
          <w:p w14:paraId="322B0AC8" w14:textId="77777777" w:rsidR="00B37EDD" w:rsidRPr="004737C5" w:rsidRDefault="00B37EDD" w:rsidP="00E61507">
            <w:pPr>
              <w:pStyle w:val="ListParagraph"/>
              <w:numPr>
                <w:ilvl w:val="0"/>
                <w:numId w:val="88"/>
              </w:numPr>
              <w:ind w:left="850" w:hanging="425"/>
              <w:rPr>
                <w:rFonts w:cstheme="minorHAnsi"/>
              </w:rPr>
            </w:pPr>
            <w:r w:rsidRPr="004737C5">
              <w:rPr>
                <w:rFonts w:cstheme="minorHAnsi"/>
              </w:rPr>
              <w:t>Personal data collection</w:t>
            </w:r>
            <w:r w:rsidR="00574C6C" w:rsidRPr="004737C5">
              <w:rPr>
                <w:rFonts w:cstheme="minorHAnsi"/>
              </w:rPr>
              <w:t xml:space="preserve"> during surveillance should be “necessary and proportionate”</w:t>
            </w:r>
            <w:r w:rsidRPr="004737C5">
              <w:rPr>
                <w:rFonts w:cstheme="minorHAnsi"/>
              </w:rPr>
              <w:t xml:space="preserve"> to the </w:t>
            </w:r>
            <w:r w:rsidR="00574C6C" w:rsidRPr="004737C5">
              <w:rPr>
                <w:rFonts w:cstheme="minorHAnsi"/>
              </w:rPr>
              <w:t>purpose of the surveillance</w:t>
            </w:r>
          </w:p>
          <w:p w14:paraId="384977F1" w14:textId="77777777" w:rsidR="00B37EDD" w:rsidRPr="004737C5" w:rsidRDefault="00B37EDD" w:rsidP="00E61507">
            <w:pPr>
              <w:pStyle w:val="ListParagraph"/>
              <w:numPr>
                <w:ilvl w:val="0"/>
                <w:numId w:val="88"/>
              </w:numPr>
              <w:ind w:left="850" w:hanging="425"/>
              <w:rPr>
                <w:rFonts w:cstheme="minorHAnsi"/>
              </w:rPr>
            </w:pPr>
            <w:r w:rsidRPr="004737C5">
              <w:rPr>
                <w:rFonts w:cstheme="minorHAnsi"/>
              </w:rPr>
              <w:t>Surveillance activities should be subject to s</w:t>
            </w:r>
            <w:r w:rsidR="00574C6C" w:rsidRPr="004737C5">
              <w:rPr>
                <w:rFonts w:cstheme="minorHAnsi"/>
              </w:rPr>
              <w:t>trong oversight and governance</w:t>
            </w:r>
          </w:p>
          <w:p w14:paraId="758B37DB" w14:textId="77777777" w:rsidR="00B37EDD" w:rsidRPr="004737C5" w:rsidRDefault="00B37EDD" w:rsidP="00E61507">
            <w:pPr>
              <w:pStyle w:val="ListParagraph"/>
              <w:numPr>
                <w:ilvl w:val="0"/>
                <w:numId w:val="88"/>
              </w:numPr>
              <w:ind w:left="850" w:hanging="425"/>
              <w:rPr>
                <w:rFonts w:cstheme="minorHAnsi"/>
              </w:rPr>
            </w:pPr>
            <w:r w:rsidRPr="004737C5">
              <w:rPr>
                <w:rFonts w:cstheme="minorHAnsi"/>
              </w:rPr>
              <w:t>All individual data subjects should have the right to effective dispute resolution and legal redress regarding surveillance (irr</w:t>
            </w:r>
            <w:r w:rsidR="00574C6C" w:rsidRPr="004737C5">
              <w:rPr>
                <w:rFonts w:cstheme="minorHAnsi"/>
              </w:rPr>
              <w:t>espective of their nationality)</w:t>
            </w:r>
            <w:r w:rsidRPr="004737C5">
              <w:rPr>
                <w:rFonts w:cstheme="minorHAnsi"/>
              </w:rPr>
              <w:t xml:space="preserve"> </w:t>
            </w:r>
          </w:p>
          <w:p w14:paraId="78EACE8E" w14:textId="14F1A12D" w:rsidR="00B37EDD" w:rsidRPr="004737C5" w:rsidRDefault="00B37EDD" w:rsidP="00E61507">
            <w:pPr>
              <w:pStyle w:val="ListParagraph"/>
              <w:numPr>
                <w:ilvl w:val="0"/>
                <w:numId w:val="88"/>
              </w:numPr>
              <w:ind w:left="850" w:hanging="425"/>
              <w:rPr>
                <w:rFonts w:cstheme="minorHAnsi"/>
              </w:rPr>
            </w:pPr>
            <w:r w:rsidRPr="004737C5">
              <w:rPr>
                <w:rFonts w:cstheme="minorHAnsi"/>
              </w:rPr>
              <w:t>Private sector involvement in surveillance should be limited to appropriate assistance in r</w:t>
            </w:r>
            <w:r w:rsidR="00574C6C" w:rsidRPr="004737C5">
              <w:rPr>
                <w:rFonts w:cstheme="minorHAnsi"/>
              </w:rPr>
              <w:t>esponding to a specific request</w:t>
            </w:r>
            <w:r w:rsidRPr="004737C5">
              <w:rPr>
                <w:rFonts w:cstheme="minorHAnsi"/>
              </w:rPr>
              <w:t xml:space="preserve">  </w:t>
            </w:r>
          </w:p>
          <w:p w14:paraId="6303237B" w14:textId="77777777" w:rsidR="00B37EDD" w:rsidRPr="004737C5" w:rsidRDefault="00B37EDD" w:rsidP="00E61507">
            <w:pPr>
              <w:pStyle w:val="ListParagraph"/>
              <w:numPr>
                <w:ilvl w:val="0"/>
                <w:numId w:val="88"/>
              </w:numPr>
              <w:ind w:left="850" w:hanging="425"/>
              <w:rPr>
                <w:rFonts w:cstheme="minorHAnsi"/>
              </w:rPr>
            </w:pPr>
            <w:r w:rsidRPr="004737C5">
              <w:rPr>
                <w:rFonts w:cstheme="minorHAnsi"/>
              </w:rPr>
              <w:t xml:space="preserve">Private sector organizations should be able to disclose (in broad </w:t>
            </w:r>
            <w:r w:rsidR="00574C6C" w:rsidRPr="004737C5">
              <w:rPr>
                <w:rFonts w:cstheme="minorHAnsi"/>
              </w:rPr>
              <w:t>terms) the nature and frequency</w:t>
            </w:r>
            <w:r w:rsidR="00574C6C" w:rsidRPr="004737C5">
              <w:rPr>
                <w:rFonts w:ascii="MS Gothic" w:eastAsia="MS Gothic" w:hAnsi="MS Gothic" w:cs="MS Gothic"/>
              </w:rPr>
              <w:t xml:space="preserve"> </w:t>
            </w:r>
            <w:r w:rsidRPr="004737C5">
              <w:rPr>
                <w:rFonts w:cstheme="minorHAnsi"/>
              </w:rPr>
              <w:t>of requests for person</w:t>
            </w:r>
            <w:r w:rsidR="00574C6C" w:rsidRPr="004737C5">
              <w:rPr>
                <w:rFonts w:cstheme="minorHAnsi"/>
              </w:rPr>
              <w:t>al data that they receive from g</w:t>
            </w:r>
            <w:r w:rsidRPr="004737C5">
              <w:rPr>
                <w:rFonts w:cstheme="minorHAnsi"/>
              </w:rPr>
              <w:t>overnment, law enforcement and security agencies.</w:t>
            </w:r>
          </w:p>
          <w:p w14:paraId="0A75164E" w14:textId="77777777" w:rsidR="00B37EDD" w:rsidRPr="004737C5" w:rsidRDefault="00B37EDD" w:rsidP="00E61507">
            <w:pPr>
              <w:pStyle w:val="ListParagraph"/>
              <w:numPr>
                <w:ilvl w:val="2"/>
                <w:numId w:val="102"/>
              </w:numPr>
              <w:spacing w:before="160"/>
              <w:ind w:left="425" w:hanging="425"/>
              <w:contextualSpacing w:val="0"/>
              <w:rPr>
                <w:rFonts w:cstheme="minorHAnsi"/>
              </w:rPr>
            </w:pPr>
            <w:r w:rsidRPr="004737C5">
              <w:rPr>
                <w:rFonts w:cstheme="minorHAnsi"/>
                <w:b/>
              </w:rPr>
              <w:t>Strengthening enforcement</w:t>
            </w:r>
            <w:r w:rsidRPr="004737C5">
              <w:rPr>
                <w:rFonts w:cstheme="minorHAnsi"/>
              </w:rPr>
              <w:t>:</w:t>
            </w:r>
            <w:r w:rsidR="00574C6C" w:rsidRPr="004737C5">
              <w:rPr>
                <w:rFonts w:cstheme="minorHAnsi"/>
              </w:rPr>
              <w:t xml:space="preserve"> t</w:t>
            </w:r>
            <w:r w:rsidRPr="004737C5">
              <w:rPr>
                <w:rFonts w:cstheme="minorHAnsi"/>
              </w:rPr>
              <w:t>here is a trend towards strengthening enforcement powers and sanctions in the data protection field. Strengthening enforcement has been a major theme in amending and updating laws (notably in Australia, the European Union, Hong Kong (China) and Japan).</w:t>
            </w:r>
          </w:p>
          <w:p w14:paraId="48E56209" w14:textId="77777777" w:rsidR="00B37EDD" w:rsidRPr="004737C5" w:rsidRDefault="00B37EDD" w:rsidP="00E61507">
            <w:pPr>
              <w:pStyle w:val="ListParagraph"/>
              <w:numPr>
                <w:ilvl w:val="2"/>
                <w:numId w:val="102"/>
              </w:numPr>
              <w:spacing w:before="160"/>
              <w:ind w:left="425" w:hanging="425"/>
              <w:contextualSpacing w:val="0"/>
              <w:rPr>
                <w:rFonts w:cstheme="minorHAnsi"/>
              </w:rPr>
            </w:pPr>
            <w:r w:rsidRPr="004737C5">
              <w:rPr>
                <w:rFonts w:cstheme="minorHAnsi"/>
                <w:b/>
              </w:rPr>
              <w:t>Determining jurisdiction</w:t>
            </w:r>
            <w:r w:rsidRPr="004737C5">
              <w:rPr>
                <w:rFonts w:cstheme="minorHAnsi"/>
              </w:rPr>
              <w:t>:</w:t>
            </w:r>
            <w:r w:rsidR="00334532" w:rsidRPr="004737C5">
              <w:rPr>
                <w:rFonts w:cstheme="minorHAnsi"/>
              </w:rPr>
              <w:t xml:space="preserve"> t</w:t>
            </w:r>
            <w:r w:rsidRPr="004737C5">
              <w:rPr>
                <w:rFonts w:cstheme="minorHAnsi"/>
              </w:rPr>
              <w:t xml:space="preserve">his has become a prominent issue in data protection regulation, </w:t>
            </w:r>
            <w:r w:rsidRPr="004737C5">
              <w:rPr>
                <w:rFonts w:cstheme="minorHAnsi"/>
              </w:rPr>
              <w:lastRenderedPageBreak/>
              <w:t>partly due to the wides</w:t>
            </w:r>
            <w:r w:rsidR="00334532" w:rsidRPr="004737C5">
              <w:rPr>
                <w:rFonts w:cstheme="minorHAnsi"/>
              </w:rPr>
              <w:t>pread data flows across borders</w:t>
            </w:r>
            <w:r w:rsidRPr="004737C5">
              <w:rPr>
                <w:rFonts w:cstheme="minorHAnsi"/>
              </w:rPr>
              <w:t xml:space="preserve"> and partly due to the lack of a single global agreement on data protection (and the consequent fragmentation of data protection regulation).</w:t>
            </w:r>
          </w:p>
          <w:p w14:paraId="22EED9D9" w14:textId="77777777" w:rsidR="00B37EDD" w:rsidRPr="004737C5" w:rsidRDefault="00B37EDD" w:rsidP="00E61507">
            <w:pPr>
              <w:pStyle w:val="ListParagraph"/>
              <w:numPr>
                <w:ilvl w:val="2"/>
                <w:numId w:val="102"/>
              </w:numPr>
              <w:spacing w:before="160"/>
              <w:ind w:left="425" w:hanging="425"/>
              <w:contextualSpacing w:val="0"/>
              <w:rPr>
                <w:rFonts w:cstheme="minorHAnsi"/>
              </w:rPr>
            </w:pPr>
            <w:r w:rsidRPr="004737C5">
              <w:rPr>
                <w:rFonts w:cstheme="minorHAnsi"/>
                <w:b/>
              </w:rPr>
              <w:t>Managing the compliance burden</w:t>
            </w:r>
            <w:r w:rsidRPr="004737C5">
              <w:rPr>
                <w:rFonts w:cstheme="minorHAnsi"/>
              </w:rPr>
              <w:t>:</w:t>
            </w:r>
            <w:r w:rsidR="00334532" w:rsidRPr="004737C5">
              <w:rPr>
                <w:rFonts w:cstheme="minorHAnsi"/>
              </w:rPr>
              <w:t xml:space="preserve"> s</w:t>
            </w:r>
            <w:r w:rsidRPr="004737C5">
              <w:rPr>
                <w:rFonts w:cstheme="minorHAnsi"/>
              </w:rPr>
              <w:t>ome data protection regulation is criticized for being overly cumbersome or expensive to comply with, or that it creates specific compliance burdens for smaller businesses.</w:t>
            </w:r>
          </w:p>
          <w:p w14:paraId="402826DC" w14:textId="77777777" w:rsidR="00B37EDD" w:rsidRPr="004737C5" w:rsidRDefault="00B37EDD" w:rsidP="00E61507">
            <w:pPr>
              <w:spacing w:before="160"/>
              <w:rPr>
                <w:rFonts w:cstheme="minorHAnsi"/>
                <w:sz w:val="20"/>
                <w:szCs w:val="20"/>
              </w:rPr>
            </w:pPr>
            <w:r w:rsidRPr="004737C5">
              <w:rPr>
                <w:rFonts w:cstheme="minorHAnsi"/>
                <w:i/>
                <w:sz w:val="20"/>
                <w:szCs w:val="20"/>
              </w:rPr>
              <w:t>Source</w:t>
            </w:r>
            <w:r w:rsidRPr="004737C5">
              <w:rPr>
                <w:rFonts w:cstheme="minorHAnsi"/>
                <w:sz w:val="20"/>
                <w:szCs w:val="20"/>
              </w:rPr>
              <w:t>: UNCTAD Study on Data Protection and International Data Flows (2016).</w:t>
            </w:r>
            <w:r w:rsidRPr="004737C5">
              <w:rPr>
                <w:rStyle w:val="FootnoteReference"/>
                <w:rFonts w:cstheme="minorHAnsi"/>
                <w:sz w:val="20"/>
                <w:szCs w:val="20"/>
              </w:rPr>
              <w:footnoteReference w:id="282"/>
            </w:r>
          </w:p>
        </w:tc>
      </w:tr>
    </w:tbl>
    <w:p w14:paraId="23D65F9F" w14:textId="77777777" w:rsidR="00BE71E3" w:rsidRPr="004737C5" w:rsidRDefault="00334532" w:rsidP="00E61507">
      <w:pPr>
        <w:pStyle w:val="Heading2"/>
        <w:spacing w:after="160"/>
        <w:rPr>
          <w:rFonts w:cstheme="minorHAnsi"/>
          <w:color w:val="auto"/>
          <w:sz w:val="24"/>
          <w:szCs w:val="24"/>
        </w:rPr>
      </w:pPr>
      <w:bookmarkStart w:id="305" w:name="_Toc454293877"/>
      <w:bookmarkStart w:id="306" w:name="_Toc489950315"/>
      <w:bookmarkStart w:id="307" w:name="_Toc492650102"/>
      <w:r w:rsidRPr="004737C5">
        <w:rPr>
          <w:rFonts w:cstheme="minorHAnsi"/>
          <w:color w:val="auto"/>
          <w:sz w:val="24"/>
          <w:szCs w:val="24"/>
        </w:rPr>
        <w:lastRenderedPageBreak/>
        <w:t>G.</w:t>
      </w:r>
      <w:r w:rsidR="00BE71E3" w:rsidRPr="004737C5">
        <w:rPr>
          <w:rFonts w:cstheme="minorHAnsi"/>
          <w:color w:val="auto"/>
          <w:sz w:val="24"/>
          <w:szCs w:val="24"/>
        </w:rPr>
        <w:t xml:space="preserve"> Conclusion</w:t>
      </w:r>
      <w:bookmarkEnd w:id="305"/>
      <w:bookmarkEnd w:id="306"/>
      <w:bookmarkEnd w:id="307"/>
    </w:p>
    <w:p w14:paraId="721F0B49" w14:textId="77777777" w:rsidR="00BE71E3" w:rsidRPr="004737C5" w:rsidRDefault="00BE71E3" w:rsidP="006D3BE8">
      <w:pPr>
        <w:rPr>
          <w:rFonts w:cstheme="minorHAnsi"/>
          <w:b/>
          <w:color w:val="5B9BD5" w:themeColor="accent1"/>
          <w:sz w:val="28"/>
          <w:szCs w:val="28"/>
        </w:rPr>
      </w:pPr>
      <w:r w:rsidRPr="004737C5">
        <w:rPr>
          <w:rFonts w:cstheme="minorHAnsi"/>
        </w:rPr>
        <w:t xml:space="preserve">The increased use of personal data is an inevitable consequence of transiting towards online consumer relations. This applies to developing countries as well as developed countries, as mobile commerce takes off </w:t>
      </w:r>
      <w:r w:rsidR="00334532" w:rsidRPr="004737C5">
        <w:rPr>
          <w:rFonts w:cstheme="minorHAnsi"/>
        </w:rPr>
        <w:t>a</w:t>
      </w:r>
      <w:r w:rsidRPr="004737C5">
        <w:rPr>
          <w:rFonts w:cstheme="minorHAnsi"/>
        </w:rPr>
        <w:t>round the world. Some personal data collection has been advocated by consumer associations and consumer protection agencies</w:t>
      </w:r>
      <w:r w:rsidR="00334532" w:rsidRPr="004737C5">
        <w:rPr>
          <w:rFonts w:cstheme="minorHAnsi"/>
        </w:rPr>
        <w:t>,</w:t>
      </w:r>
      <w:r w:rsidRPr="004737C5">
        <w:rPr>
          <w:rFonts w:cstheme="minorHAnsi"/>
        </w:rPr>
        <w:t xml:space="preserve"> in the context of responsible lending for example, to enable credit referencing as a safeguard against consumers taking on exces</w:t>
      </w:r>
      <w:r w:rsidR="00334532" w:rsidRPr="004737C5">
        <w:rPr>
          <w:rFonts w:cstheme="minorHAnsi"/>
        </w:rPr>
        <w:t>sive commitments (see chapter XIV</w:t>
      </w:r>
      <w:r w:rsidRPr="004737C5">
        <w:rPr>
          <w:rFonts w:cstheme="minorHAnsi"/>
        </w:rPr>
        <w:t>). But such data is sensitive by definition, and so it requires strong safeguards such as those introduced by the United States</w:t>
      </w:r>
      <w:r w:rsidR="00334532" w:rsidRPr="004737C5">
        <w:rPr>
          <w:rFonts w:cstheme="minorHAnsi"/>
        </w:rPr>
        <w:t xml:space="preserve"> of America’s</w:t>
      </w:r>
      <w:r w:rsidRPr="004737C5">
        <w:rPr>
          <w:rFonts w:cstheme="minorHAnsi"/>
        </w:rPr>
        <w:t xml:space="preserve"> Consumer Financial Protection Board in</w:t>
      </w:r>
      <w:r w:rsidR="00334532" w:rsidRPr="004737C5">
        <w:rPr>
          <w:rFonts w:cstheme="minorHAnsi"/>
        </w:rPr>
        <w:t xml:space="preserve"> 2011. Under these provisions, </w:t>
      </w:r>
      <w:r w:rsidRPr="004737C5">
        <w:rPr>
          <w:rFonts w:cstheme="minorHAnsi"/>
          <w:color w:val="000000"/>
        </w:rPr>
        <w:t>entities using data must provide initial and annual privacy notices to customers, informing them of the type of non-public personal information collected and disclosed, the categories of affiliates and other third parties to whom disclosure ta</w:t>
      </w:r>
      <w:r w:rsidR="00334532" w:rsidRPr="004737C5">
        <w:rPr>
          <w:rFonts w:cstheme="minorHAnsi"/>
          <w:color w:val="000000"/>
        </w:rPr>
        <w:t xml:space="preserve">kes place and any rights to opt </w:t>
      </w:r>
      <w:r w:rsidRPr="004737C5">
        <w:rPr>
          <w:rFonts w:cstheme="minorHAnsi"/>
          <w:color w:val="000000"/>
        </w:rPr>
        <w:t xml:space="preserve">out of disclosure. Brazil instituted similar regulations in 2010, including </w:t>
      </w:r>
      <w:r w:rsidR="00334532" w:rsidRPr="004737C5">
        <w:rPr>
          <w:rFonts w:cstheme="minorHAnsi"/>
          <w:color w:val="000000"/>
        </w:rPr>
        <w:t>a prohibition on</w:t>
      </w:r>
      <w:r w:rsidRPr="004737C5">
        <w:rPr>
          <w:rFonts w:cstheme="minorHAnsi"/>
          <w:color w:val="000000"/>
        </w:rPr>
        <w:t xml:space="preserve"> harvesting data irrelevant to the purpose for which they were given. Generally, such constrained data use is viewed as promoting responsible behaviour in the market, especially if there is a regulatory authority to keep watch. </w:t>
      </w:r>
    </w:p>
    <w:p w14:paraId="2C00D606" w14:textId="53DB439F" w:rsidR="00BE71E3" w:rsidRPr="004737C5" w:rsidRDefault="00BE71E3" w:rsidP="006D3BE8">
      <w:pPr>
        <w:rPr>
          <w:rFonts w:cstheme="minorHAnsi"/>
        </w:rPr>
      </w:pPr>
      <w:r w:rsidRPr="004737C5">
        <w:rPr>
          <w:rFonts w:cstheme="minorHAnsi"/>
        </w:rPr>
        <w:t xml:space="preserve">As seen above, it is in </w:t>
      </w:r>
      <w:r w:rsidR="00334532" w:rsidRPr="004737C5">
        <w:rPr>
          <w:rFonts w:cstheme="minorHAnsi"/>
        </w:rPr>
        <w:t xml:space="preserve">relation to </w:t>
      </w:r>
      <w:r w:rsidRPr="004737C5">
        <w:rPr>
          <w:rFonts w:cstheme="minorHAnsi"/>
        </w:rPr>
        <w:t>cross-border transactions that consumers are particularly concerned. A number of other factors deter consumers from participating in cross-border trade too, but worries that consumers have with online data use in wider digital interactions are among the major issues. For e-commerce to grow within and between countries, regulators must think not just about aligning regimes and rules across borders, but about how to create the space for the sorts of innovative approaches described above t</w:t>
      </w:r>
      <w:r w:rsidR="00334532" w:rsidRPr="004737C5">
        <w:rPr>
          <w:rFonts w:cstheme="minorHAnsi"/>
        </w:rPr>
        <w:t>o build trust in data use. User-</w:t>
      </w:r>
      <w:r w:rsidRPr="004737C5">
        <w:rPr>
          <w:rFonts w:cstheme="minorHAnsi"/>
        </w:rPr>
        <w:t>friendly mechanisms that enable control and choice over who sees or stores their data and who it is shared with, and transparency and understanding about what it is used for (backed up by internationally agreed requirements)</w:t>
      </w:r>
      <w:r w:rsidR="00916B5A" w:rsidRPr="004737C5">
        <w:rPr>
          <w:rFonts w:cstheme="minorHAnsi"/>
        </w:rPr>
        <w:t>,</w:t>
      </w:r>
      <w:r w:rsidRPr="004737C5">
        <w:rPr>
          <w:rFonts w:cstheme="minorHAnsi"/>
        </w:rPr>
        <w:t xml:space="preserve"> will be part of the solution to creating a trusted environment in which consumers can make the most of the opportunity of global ecommerce. </w:t>
      </w:r>
      <w:r w:rsidRPr="004737C5">
        <w:rPr>
          <w:rFonts w:cstheme="minorHAnsi"/>
        </w:rPr>
        <w:br w:type="page"/>
      </w:r>
    </w:p>
    <w:p w14:paraId="43B5FCAA" w14:textId="1EC5562A" w:rsidR="00BE71E3" w:rsidRPr="004737C5" w:rsidRDefault="00BE71E3" w:rsidP="00A577C4">
      <w:pPr>
        <w:shd w:val="clear" w:color="auto" w:fill="FFFFFF"/>
        <w:spacing w:before="100" w:beforeAutospacing="1" w:after="0"/>
        <w:ind w:left="-142"/>
        <w:rPr>
          <w:rFonts w:cstheme="minorHAnsi"/>
        </w:rPr>
      </w:pPr>
      <w:r w:rsidRPr="004737C5">
        <w:rPr>
          <w:rFonts w:cstheme="minorHAnsi"/>
        </w:rPr>
        <w:lastRenderedPageBreak/>
        <w:t xml:space="preserve"> </w:t>
      </w:r>
    </w:p>
    <w:p w14:paraId="37AAE42B" w14:textId="77777777" w:rsidR="00BE71E3" w:rsidRPr="004737C5" w:rsidRDefault="00BE71E3" w:rsidP="006D3BE8">
      <w:pPr>
        <w:jc w:val="left"/>
        <w:rPr>
          <w:rFonts w:cstheme="minorHAnsi"/>
        </w:rPr>
      </w:pPr>
    </w:p>
    <w:p w14:paraId="32001A5E" w14:textId="77777777" w:rsidR="00BE71E3" w:rsidRPr="004737C5" w:rsidRDefault="00BE71E3" w:rsidP="006D3BE8">
      <w:pPr>
        <w:jc w:val="left"/>
        <w:rPr>
          <w:rFonts w:cstheme="minorHAnsi"/>
        </w:rPr>
      </w:pPr>
    </w:p>
    <w:p w14:paraId="49004C55" w14:textId="77777777" w:rsidR="00BE71E3" w:rsidRPr="004737C5" w:rsidRDefault="00BE71E3" w:rsidP="006D3BE8">
      <w:pPr>
        <w:jc w:val="left"/>
        <w:rPr>
          <w:rFonts w:cstheme="minorHAnsi"/>
        </w:rPr>
      </w:pPr>
    </w:p>
    <w:p w14:paraId="2B7D3DF5" w14:textId="77777777" w:rsidR="00BE71E3" w:rsidRPr="004737C5" w:rsidRDefault="00BE71E3" w:rsidP="006D3BE8">
      <w:pPr>
        <w:jc w:val="left"/>
        <w:rPr>
          <w:rFonts w:cstheme="minorHAnsi"/>
        </w:rPr>
      </w:pPr>
    </w:p>
    <w:p w14:paraId="7EBEBB1D" w14:textId="77777777" w:rsidR="00BE71E3" w:rsidRPr="004737C5" w:rsidRDefault="00BE71E3" w:rsidP="006D3BE8">
      <w:pPr>
        <w:jc w:val="left"/>
        <w:rPr>
          <w:rFonts w:cstheme="minorHAnsi"/>
        </w:rPr>
      </w:pPr>
    </w:p>
    <w:p w14:paraId="761D42F0" w14:textId="77777777" w:rsidR="00BE71E3" w:rsidRPr="004737C5" w:rsidRDefault="00BE71E3" w:rsidP="006D3BE8">
      <w:pPr>
        <w:jc w:val="left"/>
        <w:rPr>
          <w:rFonts w:cstheme="minorHAnsi"/>
        </w:rPr>
      </w:pPr>
    </w:p>
    <w:p w14:paraId="5B9DF7AF" w14:textId="77777777" w:rsidR="00BE71E3" w:rsidRPr="004737C5" w:rsidRDefault="00BE71E3" w:rsidP="006D3BE8">
      <w:pPr>
        <w:jc w:val="left"/>
        <w:rPr>
          <w:rFonts w:cstheme="minorHAnsi"/>
        </w:rPr>
      </w:pPr>
    </w:p>
    <w:p w14:paraId="5633D036" w14:textId="77777777" w:rsidR="00BE71E3" w:rsidRPr="004737C5" w:rsidRDefault="00BE71E3" w:rsidP="006D3BE8">
      <w:pPr>
        <w:jc w:val="left"/>
        <w:rPr>
          <w:rFonts w:cstheme="minorHAnsi"/>
        </w:rPr>
      </w:pPr>
    </w:p>
    <w:p w14:paraId="2D95CD7A" w14:textId="03612766" w:rsidR="00491279" w:rsidRPr="004737C5" w:rsidRDefault="00BE71E3" w:rsidP="00A577C4">
      <w:pPr>
        <w:jc w:val="center"/>
        <w:rPr>
          <w:b/>
          <w:sz w:val="34"/>
          <w:szCs w:val="34"/>
        </w:rPr>
      </w:pPr>
      <w:bookmarkStart w:id="308" w:name="_Toc454293878"/>
      <w:bookmarkStart w:id="309" w:name="_Toc489950316"/>
      <w:bookmarkStart w:id="310" w:name="_Toc492650103"/>
      <w:r w:rsidRPr="004737C5">
        <w:rPr>
          <w:b/>
          <w:sz w:val="34"/>
          <w:szCs w:val="34"/>
        </w:rPr>
        <w:t>P</w:t>
      </w:r>
      <w:r w:rsidR="00491279" w:rsidRPr="004737C5">
        <w:rPr>
          <w:b/>
          <w:sz w:val="34"/>
          <w:szCs w:val="34"/>
        </w:rPr>
        <w:t>art three</w:t>
      </w:r>
    </w:p>
    <w:p w14:paraId="66F89889" w14:textId="77777777" w:rsidR="00BE71E3" w:rsidRPr="004737C5" w:rsidRDefault="00BE71E3" w:rsidP="00491279">
      <w:pPr>
        <w:jc w:val="center"/>
        <w:rPr>
          <w:b/>
          <w:sz w:val="34"/>
          <w:szCs w:val="34"/>
        </w:rPr>
      </w:pPr>
      <w:r w:rsidRPr="004737C5">
        <w:rPr>
          <w:b/>
          <w:sz w:val="34"/>
          <w:szCs w:val="34"/>
        </w:rPr>
        <w:t>C</w:t>
      </w:r>
      <w:r w:rsidR="00491279" w:rsidRPr="004737C5">
        <w:rPr>
          <w:b/>
          <w:sz w:val="34"/>
          <w:szCs w:val="34"/>
        </w:rPr>
        <w:t>onsumer protection and basic goods and services</w:t>
      </w:r>
      <w:bookmarkEnd w:id="308"/>
      <w:bookmarkEnd w:id="309"/>
      <w:bookmarkEnd w:id="310"/>
    </w:p>
    <w:p w14:paraId="6A00AA17" w14:textId="77777777" w:rsidR="00BE71E3" w:rsidRPr="004737C5" w:rsidRDefault="00BE71E3" w:rsidP="006D3BE8">
      <w:pPr>
        <w:jc w:val="left"/>
        <w:rPr>
          <w:rFonts w:eastAsia="Times New Roman" w:cstheme="minorHAnsi"/>
          <w:b/>
          <w:bCs/>
          <w:caps/>
          <w:sz w:val="24"/>
          <w:szCs w:val="20"/>
        </w:rPr>
      </w:pPr>
      <w:r w:rsidRPr="004737C5">
        <w:rPr>
          <w:rFonts w:cstheme="minorHAnsi"/>
        </w:rPr>
        <w:br w:type="page"/>
      </w:r>
    </w:p>
    <w:p w14:paraId="368A2AE5" w14:textId="77777777" w:rsidR="00BE71E3" w:rsidRPr="004737C5" w:rsidRDefault="00491279" w:rsidP="00491279">
      <w:pPr>
        <w:jc w:val="left"/>
        <w:rPr>
          <w:b/>
          <w:sz w:val="28"/>
          <w:szCs w:val="28"/>
        </w:rPr>
      </w:pPr>
      <w:bookmarkStart w:id="311" w:name="_Toc454293879"/>
      <w:bookmarkStart w:id="312" w:name="_Toc489950317"/>
      <w:bookmarkStart w:id="313" w:name="_Toc492650104"/>
      <w:bookmarkEnd w:id="226"/>
      <w:bookmarkEnd w:id="227"/>
      <w:r w:rsidRPr="004737C5">
        <w:rPr>
          <w:b/>
          <w:sz w:val="28"/>
          <w:szCs w:val="28"/>
        </w:rPr>
        <w:lastRenderedPageBreak/>
        <w:t>XIV. Financial s</w:t>
      </w:r>
      <w:r w:rsidR="00BE71E3" w:rsidRPr="004737C5">
        <w:rPr>
          <w:b/>
          <w:sz w:val="28"/>
          <w:szCs w:val="28"/>
        </w:rPr>
        <w:t>ervices</w:t>
      </w:r>
      <w:bookmarkEnd w:id="311"/>
      <w:bookmarkEnd w:id="312"/>
      <w:bookmarkEnd w:id="313"/>
    </w:p>
    <w:p w14:paraId="6D9C544D" w14:textId="77777777" w:rsidR="00BE71E3" w:rsidRPr="004737C5" w:rsidRDefault="00491279" w:rsidP="00857811">
      <w:pPr>
        <w:pStyle w:val="Heading2"/>
        <w:spacing w:before="0" w:after="160"/>
        <w:rPr>
          <w:rFonts w:cstheme="minorHAnsi"/>
          <w:color w:val="auto"/>
          <w:sz w:val="24"/>
          <w:szCs w:val="24"/>
        </w:rPr>
      </w:pPr>
      <w:bookmarkStart w:id="314" w:name="_Toc454293880"/>
      <w:bookmarkStart w:id="315" w:name="_Toc489950318"/>
      <w:bookmarkStart w:id="316" w:name="_Toc492650105"/>
      <w:r w:rsidRPr="004737C5">
        <w:rPr>
          <w:rFonts w:cstheme="minorHAnsi"/>
          <w:color w:val="auto"/>
          <w:sz w:val="24"/>
          <w:szCs w:val="24"/>
        </w:rPr>
        <w:t>A.</w:t>
      </w:r>
      <w:r w:rsidR="00BE71E3" w:rsidRPr="004737C5">
        <w:rPr>
          <w:rFonts w:cstheme="minorHAnsi"/>
          <w:color w:val="auto"/>
          <w:sz w:val="24"/>
          <w:szCs w:val="24"/>
        </w:rPr>
        <w:t xml:space="preserve"> Financial services in the United Nations Guidelines for Consumer Protection</w:t>
      </w:r>
      <w:bookmarkEnd w:id="314"/>
      <w:bookmarkEnd w:id="315"/>
      <w:bookmarkEnd w:id="316"/>
      <w:r w:rsidR="00BE71E3" w:rsidRPr="004737C5">
        <w:rPr>
          <w:rFonts w:cstheme="minorHAnsi"/>
          <w:color w:val="auto"/>
          <w:sz w:val="24"/>
          <w:szCs w:val="24"/>
        </w:rPr>
        <w:t xml:space="preserve"> </w:t>
      </w:r>
    </w:p>
    <w:p w14:paraId="215B0842" w14:textId="3862CE77" w:rsidR="00BE71E3" w:rsidRPr="004737C5" w:rsidRDefault="00916B5A" w:rsidP="006D3BE8">
      <w:pPr>
        <w:rPr>
          <w:rFonts w:cstheme="minorHAnsi"/>
        </w:rPr>
      </w:pPr>
      <w:r w:rsidRPr="004737C5">
        <w:rPr>
          <w:rFonts w:cstheme="minorHAnsi"/>
        </w:rPr>
        <w:t>Along with e-</w:t>
      </w:r>
      <w:r w:rsidR="00BE71E3" w:rsidRPr="004737C5">
        <w:rPr>
          <w:rFonts w:cstheme="minorHAnsi"/>
        </w:rPr>
        <w:t>commerce, the explicit inclusion of financial services in the revised UNGCP was one of the most expected novelties. Indeed, to proceed otherwise would have been strange in the light of the financial crisis and its repercussion on consumers around the world. The resolution adopting the UNGCP refers to the cris</w:t>
      </w:r>
      <w:r w:rsidR="00491279" w:rsidRPr="004737C5">
        <w:rPr>
          <w:rFonts w:cstheme="minorHAnsi"/>
        </w:rPr>
        <w:t>is and the resultant “</w:t>
      </w:r>
      <w:r w:rsidR="00BE71E3" w:rsidRPr="004737C5">
        <w:rPr>
          <w:rFonts w:cstheme="minorHAnsi"/>
        </w:rPr>
        <w:t>renew</w:t>
      </w:r>
      <w:r w:rsidR="00491279" w:rsidRPr="004737C5">
        <w:rPr>
          <w:rFonts w:cstheme="minorHAnsi"/>
        </w:rPr>
        <w:t>ed focus on consumer protection”</w:t>
      </w:r>
      <w:r w:rsidR="00BE71E3" w:rsidRPr="004737C5">
        <w:rPr>
          <w:rFonts w:cstheme="minorHAnsi"/>
        </w:rPr>
        <w:t xml:space="preserve"> clearly envisages regulatory and enforcement action. New section V.J on fi</w:t>
      </w:r>
      <w:r w:rsidR="00291489" w:rsidRPr="004737C5">
        <w:rPr>
          <w:rFonts w:cstheme="minorHAnsi"/>
        </w:rPr>
        <w:t>nancial services (g</w:t>
      </w:r>
      <w:r w:rsidR="00491279" w:rsidRPr="004737C5">
        <w:rPr>
          <w:rFonts w:cstheme="minorHAnsi"/>
        </w:rPr>
        <w:t>uidelines 66‒</w:t>
      </w:r>
      <w:r w:rsidR="00BE71E3" w:rsidRPr="004737C5">
        <w:rPr>
          <w:rFonts w:cstheme="minorHAnsi"/>
        </w:rPr>
        <w:t>68) uses similar language to the resolution</w:t>
      </w:r>
      <w:r w:rsidR="00491279" w:rsidRPr="004737C5">
        <w:rPr>
          <w:rFonts w:cstheme="minorHAnsi"/>
        </w:rPr>
        <w:t>,</w:t>
      </w:r>
      <w:r w:rsidR="00BE71E3" w:rsidRPr="004737C5">
        <w:rPr>
          <w:rFonts w:cstheme="minorHAnsi"/>
        </w:rPr>
        <w:t xml:space="preserve"> listing regulation, enforcement and oversight, consumer education and literacy, disclosure, responsible business conduct, data protection and financial inclusion.</w:t>
      </w:r>
    </w:p>
    <w:p w14:paraId="3C58903D" w14:textId="7BA30A3D" w:rsidR="00BE71E3" w:rsidRPr="004737C5" w:rsidRDefault="00BE71E3" w:rsidP="006D3BE8">
      <w:pPr>
        <w:rPr>
          <w:rFonts w:cstheme="minorHAnsi"/>
        </w:rPr>
      </w:pPr>
      <w:r w:rsidRPr="004737C5">
        <w:rPr>
          <w:rFonts w:cstheme="minorHAnsi"/>
        </w:rPr>
        <w:t>Certain details stand out. The responsibility of firms for their authorized agents</w:t>
      </w:r>
      <w:r w:rsidR="00291489" w:rsidRPr="004737C5">
        <w:rPr>
          <w:rFonts w:cstheme="minorHAnsi"/>
        </w:rPr>
        <w:t xml:space="preserve"> is dealt with in g</w:t>
      </w:r>
      <w:r w:rsidR="00916B5A" w:rsidRPr="004737C5">
        <w:rPr>
          <w:rFonts w:cstheme="minorHAnsi"/>
        </w:rPr>
        <w:t>uideline 66e;</w:t>
      </w:r>
      <w:r w:rsidR="00491279" w:rsidRPr="004737C5">
        <w:rPr>
          <w:rFonts w:cstheme="minorHAnsi"/>
        </w:rPr>
        <w:t xml:space="preserve"> “</w:t>
      </w:r>
      <w:r w:rsidRPr="004737C5">
        <w:rPr>
          <w:rFonts w:cstheme="minorHAnsi"/>
        </w:rPr>
        <w:t>responsible lending</w:t>
      </w:r>
      <w:r w:rsidR="00491279" w:rsidRPr="004737C5">
        <w:rPr>
          <w:rFonts w:cstheme="minorHAnsi"/>
        </w:rPr>
        <w:t>” and the sal</w:t>
      </w:r>
      <w:r w:rsidR="00291489" w:rsidRPr="004737C5">
        <w:rPr>
          <w:rFonts w:cstheme="minorHAnsi"/>
        </w:rPr>
        <w:t>e of “suitable” products (both g</w:t>
      </w:r>
      <w:r w:rsidR="00491279" w:rsidRPr="004737C5">
        <w:rPr>
          <w:rFonts w:cstheme="minorHAnsi"/>
        </w:rPr>
        <w:t>uideline 66f</w:t>
      </w:r>
      <w:r w:rsidRPr="004737C5">
        <w:rPr>
          <w:rFonts w:cstheme="minorHAnsi"/>
        </w:rPr>
        <w:t>) are two linked issues emerging from the financial crisis. Remittances, in particul</w:t>
      </w:r>
      <w:r w:rsidR="00491279" w:rsidRPr="004737C5">
        <w:rPr>
          <w:rFonts w:cstheme="minorHAnsi"/>
        </w:rPr>
        <w:t>ar</w:t>
      </w:r>
      <w:r w:rsidR="00291489" w:rsidRPr="004737C5">
        <w:rPr>
          <w:rFonts w:cstheme="minorHAnsi"/>
        </w:rPr>
        <w:t xml:space="preserve"> the transparency of charging (g</w:t>
      </w:r>
      <w:r w:rsidR="00491279" w:rsidRPr="004737C5">
        <w:rPr>
          <w:rFonts w:cstheme="minorHAnsi"/>
        </w:rPr>
        <w:t>uideline 66h</w:t>
      </w:r>
      <w:r w:rsidRPr="004737C5">
        <w:rPr>
          <w:rFonts w:cstheme="minorHAnsi"/>
        </w:rPr>
        <w:t>) are included for the first time, a major issue for developing countries and for migrant workers.</w:t>
      </w:r>
    </w:p>
    <w:p w14:paraId="2CA239D8" w14:textId="3F5F32EC" w:rsidR="00BE71E3" w:rsidRPr="004737C5" w:rsidRDefault="00BE71E3" w:rsidP="006D3BE8">
      <w:pPr>
        <w:rPr>
          <w:rFonts w:cstheme="minorHAnsi"/>
        </w:rPr>
      </w:pPr>
      <w:r w:rsidRPr="004737C5">
        <w:rPr>
          <w:rFonts w:cstheme="minorHAnsi"/>
        </w:rPr>
        <w:t xml:space="preserve">Other details are mentioned elsewhere in the revised </w:t>
      </w:r>
      <w:r w:rsidR="00491279" w:rsidRPr="004737C5">
        <w:rPr>
          <w:rFonts w:cstheme="minorHAnsi"/>
        </w:rPr>
        <w:t>UNGCP. Guideline 40 deals with “</w:t>
      </w:r>
      <w:r w:rsidRPr="004737C5">
        <w:rPr>
          <w:rFonts w:cstheme="minorHAnsi"/>
        </w:rPr>
        <w:t>c</w:t>
      </w:r>
      <w:r w:rsidR="00491279" w:rsidRPr="004737C5">
        <w:rPr>
          <w:rFonts w:cstheme="minorHAnsi"/>
        </w:rPr>
        <w:t>ollective resolution procedures”</w:t>
      </w:r>
      <w:r w:rsidRPr="004737C5">
        <w:rPr>
          <w:rFonts w:cstheme="minorHAnsi"/>
        </w:rPr>
        <w:t xml:space="preserve"> and specifically mentions those pertaining to over-indebtedness and bankruptcy. Financial services are a</w:t>
      </w:r>
      <w:r w:rsidR="00291489" w:rsidRPr="004737C5">
        <w:rPr>
          <w:rFonts w:cstheme="minorHAnsi"/>
        </w:rPr>
        <w:t>dded to g</w:t>
      </w:r>
      <w:r w:rsidR="00491279" w:rsidRPr="004737C5">
        <w:rPr>
          <w:rFonts w:cstheme="minorHAnsi"/>
        </w:rPr>
        <w:t>uideline 44h</w:t>
      </w:r>
      <w:r w:rsidR="00916B5A" w:rsidRPr="004737C5">
        <w:rPr>
          <w:rFonts w:cstheme="minorHAnsi"/>
        </w:rPr>
        <w:t>,</w:t>
      </w:r>
      <w:r w:rsidRPr="004737C5">
        <w:rPr>
          <w:rFonts w:cstheme="minorHAnsi"/>
        </w:rPr>
        <w:t xml:space="preserve"> which lists subjects requiring consumer education.</w:t>
      </w:r>
    </w:p>
    <w:p w14:paraId="6691EA75" w14:textId="77777777" w:rsidR="00BE71E3" w:rsidRPr="004737C5" w:rsidRDefault="00BE71E3" w:rsidP="006D3BE8">
      <w:pPr>
        <w:rPr>
          <w:rFonts w:cstheme="minorHAnsi"/>
        </w:rPr>
      </w:pPr>
      <w:r w:rsidRPr="004737C5">
        <w:rPr>
          <w:rFonts w:cstheme="minorHAnsi"/>
        </w:rPr>
        <w:t>The pre-existing UNGCP already contained references to consumer credit. The</w:t>
      </w:r>
      <w:r w:rsidR="00291489" w:rsidRPr="004737C5">
        <w:rPr>
          <w:rFonts w:cstheme="minorHAnsi"/>
        </w:rPr>
        <w:t>y are currently to be found in g</w:t>
      </w:r>
      <w:r w:rsidR="00491279" w:rsidRPr="004737C5">
        <w:rPr>
          <w:rFonts w:cstheme="minorHAnsi"/>
        </w:rPr>
        <w:t>uideline 26 which states that “c</w:t>
      </w:r>
      <w:r w:rsidRPr="004737C5">
        <w:rPr>
          <w:rFonts w:cstheme="minorHAnsi"/>
        </w:rPr>
        <w:t>onsumers should be protected from such contractual abuses as one-sided standard contracts, exclusion of essential rights in contracts and unconscionable conditions of credit by sellers</w:t>
      </w:r>
      <w:r w:rsidR="00491279" w:rsidRPr="004737C5">
        <w:rPr>
          <w:rFonts w:cstheme="minorHAnsi"/>
        </w:rPr>
        <w:t xml:space="preserve">”, </w:t>
      </w:r>
      <w:r w:rsidR="00291489" w:rsidRPr="004737C5">
        <w:rPr>
          <w:rFonts w:cstheme="minorHAnsi"/>
        </w:rPr>
        <w:t>while g</w:t>
      </w:r>
      <w:r w:rsidRPr="004737C5">
        <w:rPr>
          <w:rFonts w:cstheme="minorHAnsi"/>
        </w:rPr>
        <w:t>uideline 44 calls for consume</w:t>
      </w:r>
      <w:r w:rsidR="00491279" w:rsidRPr="004737C5">
        <w:rPr>
          <w:rFonts w:cstheme="minorHAnsi"/>
        </w:rPr>
        <w:t>r education and information to “</w:t>
      </w:r>
      <w:r w:rsidRPr="004737C5">
        <w:rPr>
          <w:rFonts w:cstheme="minorHAnsi"/>
        </w:rPr>
        <w:t>cover such important aspects of consumer protection as … information on</w:t>
      </w:r>
      <w:r w:rsidR="00491279" w:rsidRPr="004737C5">
        <w:rPr>
          <w:rFonts w:cstheme="minorHAnsi"/>
        </w:rPr>
        <w:t xml:space="preserve"> …</w:t>
      </w:r>
      <w:r w:rsidRPr="004737C5">
        <w:rPr>
          <w:rFonts w:cstheme="minorHAnsi"/>
        </w:rPr>
        <w:t xml:space="preserve"> credit conditions</w:t>
      </w:r>
      <w:r w:rsidR="00491279" w:rsidRPr="004737C5">
        <w:rPr>
          <w:rFonts w:cstheme="minorHAnsi"/>
        </w:rPr>
        <w:t>”.</w:t>
      </w:r>
    </w:p>
    <w:p w14:paraId="06DC864A" w14:textId="16B8DBA6" w:rsidR="00BE71E3" w:rsidRPr="004737C5" w:rsidRDefault="00BE71E3" w:rsidP="006D3BE8">
      <w:pPr>
        <w:rPr>
          <w:rFonts w:cstheme="minorHAnsi"/>
          <w:bCs/>
        </w:rPr>
      </w:pPr>
      <w:r w:rsidRPr="004737C5">
        <w:rPr>
          <w:rFonts w:cstheme="minorHAnsi"/>
        </w:rPr>
        <w:t>Insurance, on the other hand</w:t>
      </w:r>
      <w:r w:rsidR="00491279" w:rsidRPr="004737C5">
        <w:rPr>
          <w:rFonts w:cstheme="minorHAnsi"/>
        </w:rPr>
        <w:t>,</w:t>
      </w:r>
      <w:r w:rsidRPr="004737C5">
        <w:rPr>
          <w:rFonts w:cstheme="minorHAnsi"/>
        </w:rPr>
        <w:t xml:space="preserve"> is hardly mentioned at all in the UNGCP</w:t>
      </w:r>
      <w:r w:rsidR="00B3711F" w:rsidRPr="004737C5">
        <w:rPr>
          <w:rFonts w:cstheme="minorHAnsi"/>
        </w:rPr>
        <w:t>. T</w:t>
      </w:r>
      <w:r w:rsidRPr="004737C5">
        <w:rPr>
          <w:rFonts w:cstheme="minorHAnsi"/>
        </w:rPr>
        <w:t xml:space="preserve">he one explicit mention </w:t>
      </w:r>
      <w:r w:rsidR="00916B5A" w:rsidRPr="004737C5">
        <w:rPr>
          <w:rFonts w:cstheme="minorHAnsi"/>
        </w:rPr>
        <w:t>is in g</w:t>
      </w:r>
      <w:r w:rsidR="00B3711F" w:rsidRPr="004737C5">
        <w:rPr>
          <w:rFonts w:cstheme="minorHAnsi"/>
        </w:rPr>
        <w:t>uideline 66c</w:t>
      </w:r>
      <w:r w:rsidRPr="004737C5">
        <w:rPr>
          <w:rFonts w:cstheme="minorHAnsi"/>
        </w:rPr>
        <w:t xml:space="preserve"> in the section on financial services, where Membe</w:t>
      </w:r>
      <w:r w:rsidR="00B3711F" w:rsidRPr="004737C5">
        <w:rPr>
          <w:rFonts w:cstheme="minorHAnsi"/>
        </w:rPr>
        <w:t>r States are asked to encourage</w:t>
      </w:r>
      <w:r w:rsidRPr="004737C5">
        <w:rPr>
          <w:rFonts w:cstheme="minorHAnsi"/>
        </w:rPr>
        <w:t xml:space="preserve"> </w:t>
      </w:r>
      <w:r w:rsidR="00B3711F" w:rsidRPr="004737C5">
        <w:rPr>
          <w:rFonts w:cstheme="minorHAnsi"/>
        </w:rPr>
        <w:t>“</w:t>
      </w:r>
      <w:r w:rsidRPr="004737C5">
        <w:rPr>
          <w:rFonts w:cstheme="minorHAnsi"/>
          <w:bCs/>
        </w:rPr>
        <w:t>appropriate controls and insurance mechanisms to protect consumer assets, including deposits</w:t>
      </w:r>
      <w:r w:rsidR="00B3711F" w:rsidRPr="004737C5">
        <w:rPr>
          <w:rFonts w:cstheme="minorHAnsi"/>
          <w:bCs/>
        </w:rPr>
        <w:t>”.</w:t>
      </w:r>
      <w:r w:rsidRPr="004737C5">
        <w:rPr>
          <w:rFonts w:cstheme="minorHAnsi"/>
          <w:bCs/>
        </w:rPr>
        <w:t xml:space="preserve"> But this is in effect a reference to safeguarding deposits against the risk of institutional collapse, rather</w:t>
      </w:r>
      <w:r w:rsidR="00B3711F" w:rsidRPr="004737C5">
        <w:rPr>
          <w:rFonts w:cstheme="minorHAnsi"/>
          <w:bCs/>
        </w:rPr>
        <w:t xml:space="preserve"> than to insurance of consumers’</w:t>
      </w:r>
      <w:r w:rsidRPr="004737C5">
        <w:rPr>
          <w:rFonts w:cstheme="minorHAnsi"/>
          <w:bCs/>
        </w:rPr>
        <w:t xml:space="preserve"> household effects. </w:t>
      </w:r>
    </w:p>
    <w:p w14:paraId="55187B0E" w14:textId="0F5A216F" w:rsidR="00BE71E3" w:rsidRPr="004737C5" w:rsidRDefault="00BE71E3" w:rsidP="006D3BE8">
      <w:pPr>
        <w:rPr>
          <w:rFonts w:cstheme="minorHAnsi"/>
        </w:rPr>
      </w:pPr>
      <w:r w:rsidRPr="004737C5">
        <w:rPr>
          <w:rFonts w:cstheme="minorHAnsi"/>
          <w:bCs/>
        </w:rPr>
        <w:t>There is increasing overlap between insurance a</w:t>
      </w:r>
      <w:r w:rsidR="00B3711F" w:rsidRPr="004737C5">
        <w:rPr>
          <w:rFonts w:cstheme="minorHAnsi"/>
          <w:bCs/>
        </w:rPr>
        <w:t>nd other financial services</w:t>
      </w:r>
      <w:r w:rsidR="00916B5A" w:rsidRPr="004737C5">
        <w:rPr>
          <w:rFonts w:cstheme="minorHAnsi"/>
          <w:bCs/>
        </w:rPr>
        <w:t>,</w:t>
      </w:r>
      <w:r w:rsidR="00B3711F" w:rsidRPr="004737C5">
        <w:rPr>
          <w:rFonts w:cstheme="minorHAnsi"/>
          <w:bCs/>
        </w:rPr>
        <w:t xml:space="preserve"> and</w:t>
      </w:r>
      <w:r w:rsidRPr="004737C5">
        <w:rPr>
          <w:rFonts w:cstheme="minorHAnsi"/>
          <w:bCs/>
        </w:rPr>
        <w:t xml:space="preserve"> sales patterns have become much more fluid. Some of the abuses that took place during the last 15 years have been where banks have become sellers of insuranc</w:t>
      </w:r>
      <w:r w:rsidRPr="004737C5">
        <w:rPr>
          <w:rFonts w:cstheme="minorHAnsi"/>
        </w:rPr>
        <w:t xml:space="preserve">e. But retail insurance is not directly addressed in the UNGCP. Guideline 68 references other relevant documents as sources of inspiration for Member States, </w:t>
      </w:r>
      <w:r w:rsidR="00A8689C" w:rsidRPr="004737C5">
        <w:rPr>
          <w:rFonts w:cstheme="minorHAnsi"/>
        </w:rPr>
        <w:t>in particular the G20/OECD high-level p</w:t>
      </w:r>
      <w:r w:rsidRPr="004737C5">
        <w:rPr>
          <w:rFonts w:cstheme="minorHAnsi"/>
        </w:rPr>
        <w:t xml:space="preserve">rinciples (HLPs) for consumer protection in financial services, the principles for financial inclusion </w:t>
      </w:r>
      <w:r w:rsidR="00B3711F" w:rsidRPr="004737C5">
        <w:rPr>
          <w:rFonts w:cstheme="minorHAnsi"/>
        </w:rPr>
        <w:t>emanating from the G20 and the g</w:t>
      </w:r>
      <w:r w:rsidRPr="004737C5">
        <w:rPr>
          <w:rFonts w:cstheme="minorHAnsi"/>
        </w:rPr>
        <w:t>ood practice guidelines of the World Bank.</w:t>
      </w:r>
      <w:r w:rsidRPr="004737C5">
        <w:rPr>
          <w:rStyle w:val="FootnoteReference"/>
          <w:rFonts w:cstheme="minorHAnsi"/>
        </w:rPr>
        <w:footnoteReference w:id="283"/>
      </w:r>
      <w:r w:rsidRPr="004737C5">
        <w:rPr>
          <w:rFonts w:cstheme="minorHAnsi"/>
        </w:rPr>
        <w:t xml:space="preserve"> The G20 HLPs do not mention insurance by name but they do cover all retail fina</w:t>
      </w:r>
      <w:r w:rsidR="00B3711F" w:rsidRPr="004737C5">
        <w:rPr>
          <w:rFonts w:cstheme="minorHAnsi"/>
        </w:rPr>
        <w:t>ncial products. The World Bank good p</w:t>
      </w:r>
      <w:r w:rsidRPr="004737C5">
        <w:rPr>
          <w:rFonts w:cstheme="minorHAnsi"/>
        </w:rPr>
        <w:t>ractices contain an entire chapter d</w:t>
      </w:r>
      <w:r w:rsidR="00B3711F" w:rsidRPr="004737C5">
        <w:rPr>
          <w:rFonts w:cstheme="minorHAnsi"/>
        </w:rPr>
        <w:t>evoted to insurance. The “referencing out”</w:t>
      </w:r>
      <w:r w:rsidRPr="004737C5">
        <w:rPr>
          <w:rFonts w:cstheme="minorHAnsi"/>
        </w:rPr>
        <w:t xml:space="preserve"> widens the scope of the UNGCP but extends them to documents which in aggregate are more copious than the UNGCP themselves. Conversely, the UNGCP take in some issues, including remittances, responsible lending and bank deposit insurance, which are not covered in the OECD/G20 HLPs. In aggregate then the ense</w:t>
      </w:r>
      <w:r w:rsidR="00B3711F" w:rsidRPr="004737C5">
        <w:rPr>
          <w:rFonts w:cstheme="minorHAnsi"/>
        </w:rPr>
        <w:t>mble acts as a reasonable check</w:t>
      </w:r>
      <w:r w:rsidRPr="004737C5">
        <w:rPr>
          <w:rFonts w:cstheme="minorHAnsi"/>
        </w:rPr>
        <w:t xml:space="preserve">list for a </w:t>
      </w:r>
      <w:r w:rsidRPr="004737C5">
        <w:rPr>
          <w:rFonts w:cstheme="minorHAnsi"/>
        </w:rPr>
        <w:lastRenderedPageBreak/>
        <w:t xml:space="preserve">very large sector, albeit not concentrated in one document. This chapter pays most attention to credit and insurance.  </w:t>
      </w:r>
    </w:p>
    <w:p w14:paraId="2735AE71" w14:textId="77777777" w:rsidR="00BE71E3" w:rsidRPr="004737C5" w:rsidRDefault="00B3711F" w:rsidP="00916B5A">
      <w:pPr>
        <w:pStyle w:val="Heading2"/>
        <w:spacing w:after="160"/>
        <w:rPr>
          <w:rFonts w:cstheme="minorHAnsi"/>
          <w:color w:val="auto"/>
          <w:sz w:val="24"/>
          <w:szCs w:val="24"/>
        </w:rPr>
      </w:pPr>
      <w:bookmarkStart w:id="317" w:name="_Toc454293881"/>
      <w:bookmarkStart w:id="318" w:name="_Toc489950319"/>
      <w:bookmarkStart w:id="319" w:name="_Toc492650106"/>
      <w:r w:rsidRPr="004737C5">
        <w:rPr>
          <w:rFonts w:cstheme="minorHAnsi"/>
          <w:color w:val="auto"/>
          <w:sz w:val="24"/>
          <w:szCs w:val="24"/>
        </w:rPr>
        <w:t>B.</w:t>
      </w:r>
      <w:r w:rsidR="00BE71E3" w:rsidRPr="004737C5">
        <w:rPr>
          <w:rFonts w:cstheme="minorHAnsi"/>
          <w:color w:val="auto"/>
          <w:sz w:val="24"/>
          <w:szCs w:val="24"/>
        </w:rPr>
        <w:t xml:space="preserve"> Function and forms of consumer credit</w:t>
      </w:r>
      <w:bookmarkEnd w:id="317"/>
      <w:bookmarkEnd w:id="318"/>
      <w:bookmarkEnd w:id="319"/>
    </w:p>
    <w:p w14:paraId="5171DD2C" w14:textId="77777777" w:rsidR="00BE71E3" w:rsidRPr="004737C5" w:rsidRDefault="00BE71E3" w:rsidP="006D3BE8">
      <w:pPr>
        <w:rPr>
          <w:rFonts w:cstheme="minorHAnsi"/>
        </w:rPr>
      </w:pPr>
      <w:r w:rsidRPr="004737C5">
        <w:rPr>
          <w:rFonts w:cstheme="minorHAnsi"/>
        </w:rPr>
        <w:t>Many consumer transactions are financed either in part or completely by credit; it greatly contributes to the purchase of goods and services. Without such a financial service, many transactions would simply not take place. Thus, accessible consumer credit can make a major contribution to the welfare of consumers, stim</w:t>
      </w:r>
      <w:r w:rsidR="00B3711F" w:rsidRPr="004737C5">
        <w:rPr>
          <w:rFonts w:cstheme="minorHAnsi"/>
        </w:rPr>
        <w:t>ulate growth of the economy</w:t>
      </w:r>
      <w:r w:rsidRPr="004737C5">
        <w:rPr>
          <w:rFonts w:cstheme="minorHAnsi"/>
        </w:rPr>
        <w:t xml:space="preserve"> and promote financial inclusion. However, unfettered growth of consumer debt can destabilize the credit industry and the economy in general. Such growth can cause market bubbles and subsequent busts which leave many consumers over-indebted and hamper economic recovery. Consumer credit regulation can contribute therefore to the stability of the financial system.</w:t>
      </w:r>
    </w:p>
    <w:p w14:paraId="183EBCB3" w14:textId="77777777" w:rsidR="00BE71E3" w:rsidRPr="004737C5" w:rsidRDefault="00BE71E3" w:rsidP="006D3BE8">
      <w:pPr>
        <w:rPr>
          <w:rFonts w:cstheme="minorHAnsi"/>
        </w:rPr>
      </w:pPr>
      <w:r w:rsidRPr="004737C5">
        <w:rPr>
          <w:rFonts w:cstheme="minorHAnsi"/>
        </w:rPr>
        <w:t xml:space="preserve">The most difficult issue pertaining to the extension of credit is </w:t>
      </w:r>
      <w:r w:rsidR="00B3711F" w:rsidRPr="004737C5">
        <w:rPr>
          <w:rFonts w:cstheme="minorHAnsi"/>
        </w:rPr>
        <w:t>striking</w:t>
      </w:r>
      <w:r w:rsidRPr="004737C5">
        <w:rPr>
          <w:rFonts w:cstheme="minorHAnsi"/>
        </w:rPr>
        <w:t xml:space="preserve"> a balance between making credit accessible to those in need of it and denying it to those who will not be able or not willing to meet their obligation to repay their debt. Over-exposure to credit leads to serious problems, including individual consumers being enticed to enter into burdensome and unrealisable commitments. There is a need</w:t>
      </w:r>
      <w:r w:rsidR="00B3711F" w:rsidRPr="004737C5">
        <w:rPr>
          <w:rFonts w:cstheme="minorHAnsi"/>
        </w:rPr>
        <w:t xml:space="preserve"> to ensure that lenders do not “hawk”</w:t>
      </w:r>
      <w:r w:rsidRPr="004737C5">
        <w:rPr>
          <w:rFonts w:cstheme="minorHAnsi"/>
        </w:rPr>
        <w:t xml:space="preserve"> credit irresponsibly and that individuals do not borrow to an extent that there might be an inevitable default. The availability and intensive marketing of easy credit can pose distinct disadvantages to consumers. First, there is the temptation to buy on impulse or to overspend. Second, credit costs money, ties up future income and thus raises the real price of a product. Third, in the event of a dispute with creditors or failure to meet credit obligations, consumers may lose their merchandise, or property held as collateral, as well as their eligibility to obtain further credit. </w:t>
      </w:r>
    </w:p>
    <w:p w14:paraId="39D9DF17" w14:textId="25A04DFB" w:rsidR="00BE71E3" w:rsidRPr="004737C5" w:rsidRDefault="00B3711F" w:rsidP="007F0A4A">
      <w:pPr>
        <w:rPr>
          <w:rFonts w:cstheme="minorHAnsi"/>
        </w:rPr>
      </w:pPr>
      <w:r w:rsidRPr="004737C5">
        <w:rPr>
          <w:rFonts w:cstheme="minorHAnsi"/>
        </w:rPr>
        <w:t>The term “consumer credit”</w:t>
      </w:r>
      <w:r w:rsidR="00BE71E3" w:rsidRPr="004737C5">
        <w:rPr>
          <w:rFonts w:cstheme="minorHAnsi"/>
        </w:rPr>
        <w:t xml:space="preserve"> is generally used to refer to credit provided to an individual, predominantly for personal, domestic or household purposes. It does not involve credit extended for commercial or business purposes. In many countries consumer and business credit may be intertwined</w:t>
      </w:r>
      <w:r w:rsidR="00916B5A" w:rsidRPr="004737C5">
        <w:rPr>
          <w:rFonts w:cstheme="minorHAnsi"/>
        </w:rPr>
        <w:t>,</w:t>
      </w:r>
      <w:r w:rsidR="00BE71E3" w:rsidRPr="004737C5">
        <w:rPr>
          <w:rFonts w:cstheme="minorHAnsi"/>
        </w:rPr>
        <w:t xml:space="preserve"> where</w:t>
      </w:r>
      <w:r w:rsidRPr="004737C5">
        <w:rPr>
          <w:rFonts w:cstheme="minorHAnsi"/>
        </w:rPr>
        <w:t>,</w:t>
      </w:r>
      <w:r w:rsidR="00BE71E3" w:rsidRPr="004737C5">
        <w:rPr>
          <w:rFonts w:cstheme="minorHAnsi"/>
        </w:rPr>
        <w:t xml:space="preserve"> for example</w:t>
      </w:r>
      <w:r w:rsidRPr="004737C5">
        <w:rPr>
          <w:rFonts w:cstheme="minorHAnsi"/>
        </w:rPr>
        <w:t>,</w:t>
      </w:r>
      <w:r w:rsidR="00BE71E3" w:rsidRPr="004737C5">
        <w:rPr>
          <w:rFonts w:cstheme="minorHAnsi"/>
        </w:rPr>
        <w:t xml:space="preserve"> an individual uses a credit card to finance a business. One problem that is not noticed as often as it should be is that many small businesses fail because they are unable to keep up with their obligations as borrowers of consumer credit.</w:t>
      </w:r>
      <w:r w:rsidR="00BE71E3" w:rsidRPr="004737C5">
        <w:rPr>
          <w:rStyle w:val="FootnoteReference"/>
          <w:rFonts w:cstheme="minorHAnsi"/>
        </w:rPr>
        <w:footnoteReference w:id="284"/>
      </w:r>
      <w:r w:rsidRPr="004737C5">
        <w:rPr>
          <w:rFonts w:cstheme="minorHAnsi"/>
        </w:rPr>
        <w:t xml:space="preserve"> Many micro</w:t>
      </w:r>
      <w:r w:rsidR="00BE71E3" w:rsidRPr="004737C5">
        <w:rPr>
          <w:rFonts w:cstheme="minorHAnsi"/>
        </w:rPr>
        <w:t>finance products sold in developing countries for consumption expenditure are designed with production in mind, although their record in that regard appears mixed in both the short</w:t>
      </w:r>
      <w:r w:rsidR="00916B5A" w:rsidRPr="004737C5">
        <w:rPr>
          <w:rFonts w:cstheme="minorHAnsi"/>
        </w:rPr>
        <w:t>- and medium-</w:t>
      </w:r>
      <w:r w:rsidR="00BE71E3" w:rsidRPr="004737C5">
        <w:rPr>
          <w:rFonts w:cstheme="minorHAnsi"/>
        </w:rPr>
        <w:t xml:space="preserve">term. </w:t>
      </w:r>
    </w:p>
    <w:tbl>
      <w:tblPr>
        <w:tblStyle w:val="TableGrid"/>
        <w:tblW w:w="0" w:type="auto"/>
        <w:tblLook w:val="04A0" w:firstRow="1" w:lastRow="0" w:firstColumn="1" w:lastColumn="0" w:noHBand="0" w:noVBand="1"/>
      </w:tblPr>
      <w:tblGrid>
        <w:gridCol w:w="9243"/>
      </w:tblGrid>
      <w:tr w:rsidR="00B3711F" w:rsidRPr="004737C5" w14:paraId="0A4E93D8" w14:textId="77777777" w:rsidTr="00B3711F">
        <w:tc>
          <w:tcPr>
            <w:tcW w:w="9628" w:type="dxa"/>
          </w:tcPr>
          <w:p w14:paraId="76505ACE" w14:textId="77777777" w:rsidR="00B3711F" w:rsidRPr="004737C5" w:rsidRDefault="00B3711F" w:rsidP="006D3BE8">
            <w:pPr>
              <w:rPr>
                <w:rFonts w:cstheme="minorHAnsi"/>
                <w:b/>
              </w:rPr>
            </w:pPr>
            <w:r w:rsidRPr="004737C5">
              <w:rPr>
                <w:rFonts w:cstheme="minorHAnsi"/>
                <w:b/>
              </w:rPr>
              <w:t>Box 18. Microcredit and microfinance</w:t>
            </w:r>
          </w:p>
          <w:p w14:paraId="03B88ECB" w14:textId="726C11C4" w:rsidR="00B3711F" w:rsidRPr="004737C5" w:rsidRDefault="00B3711F" w:rsidP="00916B5A">
            <w:pPr>
              <w:spacing w:before="160"/>
              <w:rPr>
                <w:rFonts w:cstheme="minorHAnsi"/>
              </w:rPr>
            </w:pPr>
            <w:r w:rsidRPr="004737C5">
              <w:rPr>
                <w:rFonts w:cstheme="minorHAnsi"/>
              </w:rPr>
              <w:t>Microfinance gained its current worldwide prominence following developmen</w:t>
            </w:r>
            <w:r w:rsidR="00916B5A" w:rsidRPr="004737C5">
              <w:rPr>
                <w:rFonts w:cstheme="minorHAnsi"/>
              </w:rPr>
              <w:t>ts in South Asia during the final</w:t>
            </w:r>
            <w:r w:rsidRPr="004737C5">
              <w:rPr>
                <w:rFonts w:cstheme="minorHAnsi"/>
              </w:rPr>
              <w:t xml:space="preserve"> quarter of the last century. In India, the movement gathered momentum with the establishment in 1982 of the National Bank for Agriculture and Rural Development providing financial and development policy support to microfinance initiatives through a bank-linked programme in 1992. The peak of public recognition came with the award of a Nobel Prize to the founder of Grameen Bank in Bangladesh, Muhammad Yunus. The concept of microcredit and microfinance took off around the world, extending to Africa and Latin America and in due course to developed countries too. However, having been widely praised, microfinance underwent something of a moral crisis as it expanded</w:t>
            </w:r>
            <w:r w:rsidR="00916B5A" w:rsidRPr="004737C5">
              <w:rPr>
                <w:rFonts w:cstheme="minorHAnsi"/>
              </w:rPr>
              <w:t>. I</w:t>
            </w:r>
            <w:r w:rsidRPr="004737C5">
              <w:rPr>
                <w:rFonts w:cstheme="minorHAnsi"/>
              </w:rPr>
              <w:t xml:space="preserve">n 2008, Mr Yunus singled newly commercialized microfinance institutions (MFIs) </w:t>
            </w:r>
            <w:r w:rsidR="00916B5A" w:rsidRPr="004737C5">
              <w:rPr>
                <w:rFonts w:cstheme="minorHAnsi"/>
              </w:rPr>
              <w:t xml:space="preserve">out for criticism </w:t>
            </w:r>
            <w:r w:rsidRPr="004737C5">
              <w:rPr>
                <w:rFonts w:cstheme="minorHAnsi"/>
              </w:rPr>
              <w:t xml:space="preserve">and warned against “new loan sharks created in the name of microcredit”.  </w:t>
            </w:r>
          </w:p>
          <w:p w14:paraId="5A4AC242" w14:textId="207FA328" w:rsidR="00B3711F" w:rsidRPr="004737C5" w:rsidRDefault="00B3711F" w:rsidP="00916B5A">
            <w:pPr>
              <w:spacing w:before="160"/>
              <w:rPr>
                <w:rFonts w:cstheme="minorHAnsi"/>
              </w:rPr>
            </w:pPr>
            <w:r w:rsidRPr="004737C5">
              <w:rPr>
                <w:rFonts w:cstheme="minorHAnsi"/>
              </w:rPr>
              <w:t xml:space="preserve">Several factors explained this change in reputation. The industry moved from the rural to the urban </w:t>
            </w:r>
            <w:r w:rsidRPr="004737C5">
              <w:rPr>
                <w:rFonts w:cstheme="minorHAnsi"/>
              </w:rPr>
              <w:lastRenderedPageBreak/>
              <w:t>market and “client overlap” set in</w:t>
            </w:r>
            <w:r w:rsidR="00916B5A" w:rsidRPr="004737C5">
              <w:rPr>
                <w:rFonts w:cstheme="minorHAnsi"/>
              </w:rPr>
              <w:t>,</w:t>
            </w:r>
            <w:r w:rsidRPr="004737C5">
              <w:rPr>
                <w:rFonts w:cstheme="minorHAnsi"/>
              </w:rPr>
              <w:t xml:space="preserve"> whereby consumers juggle microcredits from multiple MFIs – quite possibly using one loan to pay another. Some undesirable practices emerged, such as “forced savings”. For example, an MFI w</w:t>
            </w:r>
            <w:r w:rsidR="008E5F50" w:rsidRPr="004737C5">
              <w:rPr>
                <w:rFonts w:cstheme="minorHAnsi"/>
              </w:rPr>
              <w:t>ould grant a loan of US$100, but retain US$25 in a “savings account”</w:t>
            </w:r>
            <w:r w:rsidRPr="004737C5">
              <w:rPr>
                <w:rFonts w:cstheme="minorHAnsi"/>
              </w:rPr>
              <w:t xml:space="preserve"> on which it did not pay interest to the consumer. On the contrary, the borrower would continue to pay interest on the full amount borrowed, thus rendering calculations such as rates of charge even more complex than usual. Other worrying practices that emerged include: not giving the client a copy of the loan agreement; inappropriate pract</w:t>
            </w:r>
            <w:r w:rsidR="008E5F50" w:rsidRPr="004737C5">
              <w:rPr>
                <w:rFonts w:cstheme="minorHAnsi"/>
              </w:rPr>
              <w:t>ices with regard to collateraliz</w:t>
            </w:r>
            <w:r w:rsidRPr="004737C5">
              <w:rPr>
                <w:rFonts w:cstheme="minorHAnsi"/>
              </w:rPr>
              <w:t>ation</w:t>
            </w:r>
            <w:r w:rsidR="008E5F50" w:rsidRPr="004737C5">
              <w:rPr>
                <w:rFonts w:cstheme="minorHAnsi"/>
              </w:rPr>
              <w:t>,</w:t>
            </w:r>
            <w:r w:rsidRPr="004737C5">
              <w:rPr>
                <w:rFonts w:cstheme="minorHAnsi"/>
              </w:rPr>
              <w:t xml:space="preserve"> such as asking f</w:t>
            </w:r>
            <w:r w:rsidR="008E5F50" w:rsidRPr="004737C5">
              <w:rPr>
                <w:rFonts w:cstheme="minorHAnsi"/>
              </w:rPr>
              <w:t>or collateral valued at 300‒400 percent</w:t>
            </w:r>
            <w:r w:rsidRPr="004737C5">
              <w:rPr>
                <w:rFonts w:cstheme="minorHAnsi"/>
              </w:rPr>
              <w:t xml:space="preserve"> of the loan am</w:t>
            </w:r>
            <w:r w:rsidR="008E5F50" w:rsidRPr="004737C5">
              <w:rPr>
                <w:rFonts w:cstheme="minorHAnsi"/>
              </w:rPr>
              <w:t>ount; not utiliz</w:t>
            </w:r>
            <w:r w:rsidRPr="004737C5">
              <w:rPr>
                <w:rFonts w:cstheme="minorHAnsi"/>
              </w:rPr>
              <w:t>in</w:t>
            </w:r>
            <w:r w:rsidR="008E5F50" w:rsidRPr="004737C5">
              <w:rPr>
                <w:rFonts w:cstheme="minorHAnsi"/>
              </w:rPr>
              <w:t>g legal registration procedures</w:t>
            </w:r>
            <w:r w:rsidRPr="004737C5">
              <w:rPr>
                <w:rFonts w:cstheme="minorHAnsi"/>
              </w:rPr>
              <w:t xml:space="preserve"> and selling collaterals without the consent of the borrower and without due process.</w:t>
            </w:r>
          </w:p>
          <w:p w14:paraId="010B46E1" w14:textId="7624FD11" w:rsidR="00B3711F" w:rsidRPr="004737C5" w:rsidRDefault="008E5F50" w:rsidP="00916B5A">
            <w:pPr>
              <w:spacing w:before="160"/>
              <w:rPr>
                <w:rFonts w:cstheme="minorHAnsi"/>
              </w:rPr>
            </w:pPr>
            <w:r w:rsidRPr="004737C5">
              <w:rPr>
                <w:rFonts w:cstheme="minorHAnsi"/>
              </w:rPr>
              <w:t>The reputation of micro</w:t>
            </w:r>
            <w:r w:rsidR="00B3711F" w:rsidRPr="004737C5">
              <w:rPr>
                <w:rFonts w:cstheme="minorHAnsi"/>
              </w:rPr>
              <w:t>credit took a big hit in 2010 in Andhra Pradesh, India, where about 120 poor borrowers reportedly committed suicide because of financial duress linked to MFIs charging high interest rates, using aggressive, even coerc</w:t>
            </w:r>
            <w:r w:rsidRPr="004737C5">
              <w:rPr>
                <w:rFonts w:cstheme="minorHAnsi"/>
              </w:rPr>
              <w:t>ive, money collection practices</w:t>
            </w:r>
            <w:r w:rsidR="00B3711F" w:rsidRPr="004737C5">
              <w:rPr>
                <w:rFonts w:cstheme="minorHAnsi"/>
              </w:rPr>
              <w:t xml:space="preserve"> and over-lending to the destitute. Based </w:t>
            </w:r>
            <w:r w:rsidRPr="004737C5">
              <w:rPr>
                <w:rFonts w:cstheme="minorHAnsi"/>
              </w:rPr>
              <w:t>on a</w:t>
            </w:r>
            <w:r w:rsidR="00B3711F" w:rsidRPr="004737C5">
              <w:rPr>
                <w:rFonts w:cstheme="minorHAnsi"/>
              </w:rPr>
              <w:t xml:space="preserve"> calculation of the amount deducted upfront from the loan by the MFIs, the effective rate of interest reported was between 35 and 65</w:t>
            </w:r>
            <w:r w:rsidRPr="004737C5">
              <w:rPr>
                <w:rFonts w:cstheme="minorHAnsi"/>
              </w:rPr>
              <w:t xml:space="preserve"> percent</w:t>
            </w:r>
            <w:r w:rsidR="00B3711F" w:rsidRPr="004737C5">
              <w:rPr>
                <w:rFonts w:cstheme="minorHAnsi"/>
              </w:rPr>
              <w:t xml:space="preserve"> per annum in some cases. The incidents </w:t>
            </w:r>
            <w:r w:rsidRPr="004737C5">
              <w:rPr>
                <w:rFonts w:cstheme="minorHAnsi"/>
              </w:rPr>
              <w:t>resulted in the Andhra Pradesh g</w:t>
            </w:r>
            <w:r w:rsidR="00B3711F" w:rsidRPr="004737C5">
              <w:rPr>
                <w:rFonts w:cstheme="minorHAnsi"/>
              </w:rPr>
              <w:t>overnment passing the Andhra Pradesh Microfinance Institutions Act (Regulation of Money Lending) 2010, whi</w:t>
            </w:r>
            <w:r w:rsidRPr="004737C5">
              <w:rPr>
                <w:rFonts w:cstheme="minorHAnsi"/>
              </w:rPr>
              <w:t>ch greatly restricted MFI</w:t>
            </w:r>
            <w:r w:rsidR="00B3711F" w:rsidRPr="004737C5">
              <w:rPr>
                <w:rFonts w:cstheme="minorHAnsi"/>
              </w:rPr>
              <w:t>s</w:t>
            </w:r>
            <w:r w:rsidRPr="004737C5">
              <w:rPr>
                <w:rFonts w:cstheme="minorHAnsi"/>
              </w:rPr>
              <w:t>’</w:t>
            </w:r>
            <w:r w:rsidR="00B3711F" w:rsidRPr="004737C5">
              <w:rPr>
                <w:rFonts w:cstheme="minorHAnsi"/>
              </w:rPr>
              <w:t xml:space="preserve"> operations. The Reserve Bank of India also issued guidelines by the end of 2011, cap</w:t>
            </w:r>
            <w:r w:rsidRPr="004737C5">
              <w:rPr>
                <w:rFonts w:cstheme="minorHAnsi"/>
              </w:rPr>
              <w:t>ping interest rates at 10 to 12 percentage</w:t>
            </w:r>
            <w:r w:rsidR="00B3711F" w:rsidRPr="004737C5">
              <w:rPr>
                <w:rFonts w:cstheme="minorHAnsi"/>
              </w:rPr>
              <w:t xml:space="preserve"> points above </w:t>
            </w:r>
            <w:r w:rsidR="00916B5A" w:rsidRPr="004737C5">
              <w:rPr>
                <w:rFonts w:cstheme="minorHAnsi"/>
              </w:rPr>
              <w:t>their own borrowing costs, keep</w:t>
            </w:r>
            <w:r w:rsidR="00B3711F" w:rsidRPr="004737C5">
              <w:rPr>
                <w:rFonts w:cstheme="minorHAnsi"/>
              </w:rPr>
              <w:t>ing the int</w:t>
            </w:r>
            <w:r w:rsidRPr="004737C5">
              <w:rPr>
                <w:rFonts w:cstheme="minorHAnsi"/>
              </w:rPr>
              <w:t>erest rate in the ra</w:t>
            </w:r>
            <w:r w:rsidR="00916B5A" w:rsidRPr="004737C5">
              <w:rPr>
                <w:rFonts w:cstheme="minorHAnsi"/>
              </w:rPr>
              <w:t>n</w:t>
            </w:r>
            <w:r w:rsidRPr="004737C5">
              <w:rPr>
                <w:rFonts w:cstheme="minorHAnsi"/>
              </w:rPr>
              <w:t>ge of 23-27 percent</w:t>
            </w:r>
            <w:r w:rsidR="00B3711F" w:rsidRPr="004737C5">
              <w:rPr>
                <w:rFonts w:cstheme="minorHAnsi"/>
              </w:rPr>
              <w:t xml:space="preserve"> per annum.</w:t>
            </w:r>
          </w:p>
          <w:p w14:paraId="28AAE49B" w14:textId="2B6DE5E7" w:rsidR="00B3711F" w:rsidRPr="004737C5" w:rsidRDefault="00B3711F" w:rsidP="00916B5A">
            <w:pPr>
              <w:spacing w:before="160"/>
              <w:rPr>
                <w:rFonts w:cstheme="minorHAnsi"/>
              </w:rPr>
            </w:pPr>
            <w:r w:rsidRPr="004737C5">
              <w:rPr>
                <w:rFonts w:cstheme="minorHAnsi"/>
              </w:rPr>
              <w:t>Not all central banks took such action in the face of abuse. In the absence of imposed standards, some microfinance providers developed their own standards. Client protection principles were developed as a code of ethics by Accion and other industry investors who est</w:t>
            </w:r>
            <w:r w:rsidR="008E5F50" w:rsidRPr="004737C5">
              <w:rPr>
                <w:rFonts w:cstheme="minorHAnsi"/>
              </w:rPr>
              <w:t>ablished the Smart Campaign. Microfinance t</w:t>
            </w:r>
            <w:r w:rsidRPr="004737C5">
              <w:rPr>
                <w:rFonts w:cstheme="minorHAnsi"/>
              </w:rPr>
              <w:t xml:space="preserve">ransparency guidelines were developed and endorsed by various NGOs, development agencies and service providers. Examples are the Ugandan Association of Microfinance Institutions which developed a code of practice for consumer protection with a focus on </w:t>
            </w:r>
            <w:r w:rsidR="008E5F50" w:rsidRPr="004737C5">
              <w:rPr>
                <w:rFonts w:cstheme="minorHAnsi"/>
              </w:rPr>
              <w:t xml:space="preserve">disclosure, and </w:t>
            </w:r>
            <w:r w:rsidR="00916B5A" w:rsidRPr="004737C5">
              <w:rPr>
                <w:rFonts w:cstheme="minorHAnsi"/>
              </w:rPr>
              <w:t xml:space="preserve">the </w:t>
            </w:r>
            <w:r w:rsidR="008E5F50" w:rsidRPr="004737C5">
              <w:rPr>
                <w:rFonts w:cstheme="minorHAnsi"/>
              </w:rPr>
              <w:t>Principles for Client P</w:t>
            </w:r>
            <w:r w:rsidRPr="004737C5">
              <w:rPr>
                <w:rFonts w:cstheme="minorHAnsi"/>
              </w:rPr>
              <w:t xml:space="preserve">rotection in Microfinance </w:t>
            </w:r>
            <w:r w:rsidR="008E5F50" w:rsidRPr="004737C5">
              <w:rPr>
                <w:rFonts w:cstheme="minorHAnsi"/>
              </w:rPr>
              <w:t xml:space="preserve">drawn up by the </w:t>
            </w:r>
            <w:r w:rsidRPr="004737C5">
              <w:rPr>
                <w:rFonts w:cstheme="minorHAnsi"/>
              </w:rPr>
              <w:t xml:space="preserve">Consultative Group to Advise the Poor </w:t>
            </w:r>
            <w:r w:rsidR="008E5F50" w:rsidRPr="004737C5">
              <w:rPr>
                <w:rFonts w:cstheme="minorHAnsi"/>
              </w:rPr>
              <w:t>(CGAP,</w:t>
            </w:r>
            <w:r w:rsidRPr="004737C5">
              <w:rPr>
                <w:rFonts w:cstheme="minorHAnsi"/>
              </w:rPr>
              <w:t xml:space="preserve"> a trust fund of the World Bank). </w:t>
            </w:r>
          </w:p>
          <w:p w14:paraId="3F10D0FF" w14:textId="77777777" w:rsidR="00B3711F" w:rsidRPr="004737C5" w:rsidRDefault="00B3711F" w:rsidP="00916B5A">
            <w:pPr>
              <w:spacing w:before="160"/>
              <w:rPr>
                <w:rFonts w:cstheme="minorHAnsi"/>
              </w:rPr>
            </w:pPr>
            <w:r w:rsidRPr="004737C5">
              <w:rPr>
                <w:rFonts w:cstheme="minorHAnsi"/>
              </w:rPr>
              <w:t>The Indian consu</w:t>
            </w:r>
            <w:r w:rsidR="008E5F50" w:rsidRPr="004737C5">
              <w:rPr>
                <w:rFonts w:cstheme="minorHAnsi"/>
              </w:rPr>
              <w:t>mer association CUTS points out that “</w:t>
            </w:r>
            <w:r w:rsidRPr="004737C5">
              <w:rPr>
                <w:rFonts w:cstheme="minorHAnsi"/>
              </w:rPr>
              <w:t>MFIs operating in Andhra Pradesh have ceased issuing fresh loans due to th</w:t>
            </w:r>
            <w:r w:rsidR="008E5F50" w:rsidRPr="004737C5">
              <w:rPr>
                <w:rFonts w:cstheme="minorHAnsi"/>
              </w:rPr>
              <w:t>e growing non-performing assets</w:t>
            </w:r>
            <w:r w:rsidRPr="004737C5">
              <w:rPr>
                <w:rFonts w:cstheme="minorHAnsi"/>
              </w:rPr>
              <w:t xml:space="preserve"> and the limited scope of recovery. The direct effect has been to deny milli</w:t>
            </w:r>
            <w:r w:rsidR="008E5F50" w:rsidRPr="004737C5">
              <w:rPr>
                <w:rFonts w:cstheme="minorHAnsi"/>
              </w:rPr>
              <w:t>ons of India’s poorest citizens’</w:t>
            </w:r>
            <w:r w:rsidRPr="004737C5">
              <w:rPr>
                <w:rFonts w:cstheme="minorHAnsi"/>
              </w:rPr>
              <w:t xml:space="preserve"> access to basic financial services. Studies show that the ban</w:t>
            </w:r>
            <w:r w:rsidR="008E5F50" w:rsidRPr="004737C5">
              <w:rPr>
                <w:rFonts w:cstheme="minorHAnsi"/>
              </w:rPr>
              <w:t xml:space="preserve"> imposed by the Andhra Pradesh g</w:t>
            </w:r>
            <w:r w:rsidRPr="004737C5">
              <w:rPr>
                <w:rFonts w:cstheme="minorHAnsi"/>
              </w:rPr>
              <w:t>overnment, without much research and evidence, resulted in a large</w:t>
            </w:r>
            <w:r w:rsidR="008E5F50" w:rsidRPr="004737C5">
              <w:rPr>
                <w:rFonts w:cstheme="minorHAnsi"/>
              </w:rPr>
              <w:t>ly negative impact on the micro</w:t>
            </w:r>
            <w:r w:rsidRPr="004737C5">
              <w:rPr>
                <w:rFonts w:cstheme="minorHAnsi"/>
              </w:rPr>
              <w:t>finance industry, without significantly benefiting poor consumers</w:t>
            </w:r>
            <w:r w:rsidR="008E5F50" w:rsidRPr="004737C5">
              <w:rPr>
                <w:rFonts w:cstheme="minorHAnsi"/>
              </w:rPr>
              <w:t>”.</w:t>
            </w:r>
          </w:p>
          <w:p w14:paraId="032E9EF2" w14:textId="77777777" w:rsidR="00B3711F" w:rsidRPr="004737C5" w:rsidRDefault="00B3711F" w:rsidP="00916B5A">
            <w:pPr>
              <w:spacing w:before="160"/>
              <w:rPr>
                <w:rFonts w:cstheme="minorHAnsi"/>
              </w:rPr>
            </w:pPr>
            <w:r w:rsidRPr="004737C5">
              <w:rPr>
                <w:rFonts w:cstheme="minorHAnsi"/>
              </w:rPr>
              <w:t>CUTS points to the work of Bandhan Financ</w:t>
            </w:r>
            <w:r w:rsidR="008E5F50" w:rsidRPr="004737C5">
              <w:rPr>
                <w:rFonts w:cstheme="minorHAnsi"/>
              </w:rPr>
              <w:t>ial Services which “</w:t>
            </w:r>
            <w:r w:rsidRPr="004737C5">
              <w:rPr>
                <w:rFonts w:cstheme="minorHAnsi"/>
              </w:rPr>
              <w:t>has proved itself with over a decade of experience serving the poor since its inception in 2001</w:t>
            </w:r>
            <w:r w:rsidR="008E5F50" w:rsidRPr="004737C5">
              <w:rPr>
                <w:rFonts w:cstheme="minorHAnsi"/>
              </w:rPr>
              <w:t>”.</w:t>
            </w:r>
            <w:r w:rsidRPr="004737C5">
              <w:rPr>
                <w:rFonts w:cstheme="minorHAnsi"/>
              </w:rPr>
              <w:t xml:space="preserve"> With low ope</w:t>
            </w:r>
            <w:r w:rsidR="008E5F50" w:rsidRPr="004737C5">
              <w:rPr>
                <w:rFonts w:cstheme="minorHAnsi"/>
              </w:rPr>
              <w:t>rational expenses around 80 per</w:t>
            </w:r>
            <w:r w:rsidRPr="004737C5">
              <w:rPr>
                <w:rFonts w:cstheme="minorHAnsi"/>
              </w:rPr>
              <w:t>cent of its total lending is rural. As of July 2013, Bandhan served more than 4.7 million poor people through its network of 1</w:t>
            </w:r>
            <w:r w:rsidR="008E5F50" w:rsidRPr="004737C5">
              <w:rPr>
                <w:rFonts w:cstheme="minorHAnsi"/>
              </w:rPr>
              <w:t>,816 branches spread across 19 states.</w:t>
            </w:r>
            <w:r w:rsidRPr="004737C5">
              <w:rPr>
                <w:rFonts w:cstheme="minorHAnsi"/>
              </w:rPr>
              <w:t xml:space="preserve"> An impact evaluation study observed that the average annual net income of West Bengal households under Bandhan’s business </w:t>
            </w:r>
            <w:r w:rsidR="008E5F50" w:rsidRPr="004737C5">
              <w:rPr>
                <w:rFonts w:cstheme="minorHAnsi"/>
              </w:rPr>
              <w:t>saw a 13.8 percent</w:t>
            </w:r>
            <w:r w:rsidRPr="004737C5">
              <w:rPr>
                <w:rFonts w:cstheme="minorHAnsi"/>
              </w:rPr>
              <w:t xml:space="preserve"> increase of income from all sources. Furthermore, unlike other institutions, Bandhan was not affected by the multiple lending that caused the crisis in Andhra Pradesh. In summary, the problem is that bad practices provoke counter-actions, which may thems</w:t>
            </w:r>
            <w:r w:rsidR="008E5F50" w:rsidRPr="004737C5">
              <w:rPr>
                <w:rFonts w:cstheme="minorHAnsi"/>
              </w:rPr>
              <w:t>elves bring about new problems.</w:t>
            </w:r>
            <w:r w:rsidRPr="004737C5">
              <w:rPr>
                <w:rFonts w:cstheme="minorHAnsi"/>
              </w:rPr>
              <w:t xml:space="preserve"> Poor consumer</w:t>
            </w:r>
            <w:r w:rsidR="008E5F50" w:rsidRPr="004737C5">
              <w:rPr>
                <w:rFonts w:cstheme="minorHAnsi"/>
              </w:rPr>
              <w:t>s desperate for finance</w:t>
            </w:r>
            <w:r w:rsidRPr="004737C5">
              <w:rPr>
                <w:rFonts w:cstheme="minorHAnsi"/>
              </w:rPr>
              <w:t xml:space="preserve"> may well bypass the mechanisms set</w:t>
            </w:r>
            <w:r w:rsidR="008E5F50" w:rsidRPr="004737C5">
              <w:rPr>
                <w:rFonts w:cstheme="minorHAnsi"/>
              </w:rPr>
              <w:t xml:space="preserve"> up to protect them in theory. </w:t>
            </w:r>
            <w:r w:rsidRPr="004737C5">
              <w:rPr>
                <w:rFonts w:cstheme="minorHAnsi"/>
              </w:rPr>
              <w:t xml:space="preserve">Such is the conundrum of financial service regulation – it operates in a wider context. </w:t>
            </w:r>
          </w:p>
          <w:p w14:paraId="2E944CAF" w14:textId="77777777" w:rsidR="00B3711F" w:rsidRPr="004737C5" w:rsidRDefault="00B3711F" w:rsidP="002218BB">
            <w:pPr>
              <w:spacing w:before="160"/>
              <w:rPr>
                <w:rFonts w:cstheme="minorHAnsi"/>
                <w:b/>
                <w:sz w:val="20"/>
                <w:szCs w:val="20"/>
              </w:rPr>
            </w:pPr>
            <w:r w:rsidRPr="004737C5">
              <w:rPr>
                <w:rFonts w:cstheme="minorHAnsi"/>
                <w:i/>
                <w:sz w:val="20"/>
                <w:szCs w:val="20"/>
              </w:rPr>
              <w:t>Source</w:t>
            </w:r>
            <w:r w:rsidR="00324EA2" w:rsidRPr="004737C5">
              <w:rPr>
                <w:rFonts w:cstheme="minorHAnsi"/>
                <w:i/>
                <w:sz w:val="20"/>
                <w:szCs w:val="20"/>
              </w:rPr>
              <w:t>s</w:t>
            </w:r>
            <w:r w:rsidR="00324EA2" w:rsidRPr="004737C5">
              <w:rPr>
                <w:rFonts w:cstheme="minorHAnsi"/>
                <w:sz w:val="20"/>
                <w:szCs w:val="20"/>
              </w:rPr>
              <w:t>: UNCTAD;</w:t>
            </w:r>
            <w:r w:rsidRPr="004737C5">
              <w:rPr>
                <w:rFonts w:cstheme="minorHAnsi"/>
                <w:sz w:val="20"/>
                <w:szCs w:val="20"/>
              </w:rPr>
              <w:t xml:space="preserve"> CUTS International.</w:t>
            </w:r>
            <w:r w:rsidRPr="004737C5">
              <w:rPr>
                <w:rFonts w:cstheme="minorHAnsi"/>
                <w:b/>
                <w:sz w:val="20"/>
                <w:szCs w:val="20"/>
              </w:rPr>
              <w:t xml:space="preserve"> </w:t>
            </w:r>
          </w:p>
        </w:tc>
      </w:tr>
    </w:tbl>
    <w:p w14:paraId="038A8DC7" w14:textId="77777777" w:rsidR="00BE71E3" w:rsidRPr="004737C5" w:rsidRDefault="00BE71E3" w:rsidP="002218BB">
      <w:pPr>
        <w:pStyle w:val="Heading3"/>
        <w:spacing w:after="160" w:line="240" w:lineRule="auto"/>
        <w:rPr>
          <w:rFonts w:cstheme="minorHAnsi"/>
          <w:color w:val="auto"/>
        </w:rPr>
      </w:pPr>
      <w:bookmarkStart w:id="320" w:name="_Toc454293882"/>
      <w:bookmarkStart w:id="321" w:name="_Toc489950320"/>
      <w:bookmarkStart w:id="322" w:name="_Toc492650107"/>
      <w:r w:rsidRPr="004737C5">
        <w:rPr>
          <w:rFonts w:cstheme="minorHAnsi"/>
          <w:color w:val="auto"/>
        </w:rPr>
        <w:lastRenderedPageBreak/>
        <w:t>1</w:t>
      </w:r>
      <w:r w:rsidR="00324EA2" w:rsidRPr="004737C5">
        <w:rPr>
          <w:rFonts w:cstheme="minorHAnsi"/>
          <w:color w:val="auto"/>
        </w:rPr>
        <w:t>.</w:t>
      </w:r>
      <w:r w:rsidRPr="004737C5">
        <w:rPr>
          <w:rFonts w:cstheme="minorHAnsi"/>
          <w:color w:val="auto"/>
        </w:rPr>
        <w:t xml:space="preserve"> The poor pay more</w:t>
      </w:r>
      <w:bookmarkEnd w:id="320"/>
      <w:bookmarkEnd w:id="321"/>
      <w:bookmarkEnd w:id="322"/>
    </w:p>
    <w:p w14:paraId="756DC9A1" w14:textId="18689563" w:rsidR="00BE71E3" w:rsidRPr="004737C5" w:rsidRDefault="00BE71E3" w:rsidP="006D3BE8">
      <w:pPr>
        <w:rPr>
          <w:rFonts w:cstheme="minorHAnsi"/>
        </w:rPr>
      </w:pPr>
      <w:r w:rsidRPr="004737C5">
        <w:rPr>
          <w:rFonts w:cstheme="minorHAnsi"/>
        </w:rPr>
        <w:t>Low-income families may face particularly severe problems in relation to credit. Th</w:t>
      </w:r>
      <w:r w:rsidR="00324EA2" w:rsidRPr="004737C5">
        <w:rPr>
          <w:rFonts w:cstheme="minorHAnsi"/>
        </w:rPr>
        <w:t>ey may be either ineligible for</w:t>
      </w:r>
      <w:r w:rsidRPr="004737C5">
        <w:rPr>
          <w:rFonts w:cstheme="minorHAnsi"/>
        </w:rPr>
        <w:t xml:space="preserve"> or, if eligible, pay more for their credit, in excess of what is paid by better-off borrowers. They may end up purchasing shoddy goods at high prices. This adds to the cost and is a par</w:t>
      </w:r>
      <w:r w:rsidR="00324EA2" w:rsidRPr="004737C5">
        <w:rPr>
          <w:rFonts w:cstheme="minorHAnsi"/>
        </w:rPr>
        <w:t>ticularly clear example of the “poor pay more syndrome”</w:t>
      </w:r>
      <w:r w:rsidRPr="004737C5">
        <w:rPr>
          <w:rFonts w:cstheme="minorHAnsi"/>
        </w:rPr>
        <w:t xml:space="preserve"> identified by David Caplovitz.</w:t>
      </w:r>
      <w:r w:rsidRPr="004737C5">
        <w:rPr>
          <w:rStyle w:val="FootnoteReference"/>
          <w:rFonts w:cstheme="minorHAnsi"/>
        </w:rPr>
        <w:footnoteReference w:id="285"/>
      </w:r>
      <w:r w:rsidRPr="004737C5">
        <w:rPr>
          <w:rFonts w:cstheme="minorHAnsi"/>
        </w:rPr>
        <w:t xml:space="preserve"> In his definitive study of poor households in New York during the 1960s, he concluded that the cost of credit and consumer durables was higher for the poor than for other social strata. Over forty years later, similar conclusions are still reached in financial services.</w:t>
      </w:r>
      <w:r w:rsidRPr="004737C5">
        <w:rPr>
          <w:rStyle w:val="FootnoteReference"/>
          <w:rFonts w:cstheme="minorHAnsi"/>
        </w:rPr>
        <w:footnoteReference w:id="286"/>
      </w:r>
      <w:r w:rsidRPr="004737C5">
        <w:rPr>
          <w:rFonts w:cstheme="minorHAnsi"/>
        </w:rPr>
        <w:t xml:space="preserve"> Some fear that during recessionary times, the temptation is for credit to be used by families on modest incomes to maintain routin</w:t>
      </w:r>
      <w:r w:rsidR="00324EA2" w:rsidRPr="004737C5">
        <w:rPr>
          <w:rFonts w:cstheme="minorHAnsi"/>
        </w:rPr>
        <w:t>e consumption, food, rent, etc. as incomes fall – the “let them eat credit”</w:t>
      </w:r>
      <w:r w:rsidRPr="004737C5">
        <w:rPr>
          <w:rFonts w:cstheme="minorHAnsi"/>
        </w:rPr>
        <w:t xml:space="preserve"> syndrome.</w:t>
      </w:r>
      <w:r w:rsidRPr="004737C5">
        <w:rPr>
          <w:rStyle w:val="FootnoteReference"/>
          <w:rFonts w:cstheme="minorHAnsi"/>
        </w:rPr>
        <w:footnoteReference w:id="287"/>
      </w:r>
      <w:r w:rsidR="00324EA2" w:rsidRPr="004737C5">
        <w:rPr>
          <w:rFonts w:cstheme="minorHAnsi"/>
        </w:rPr>
        <w:t xml:space="preserve"> Situations of urgency </w:t>
      </w:r>
      <w:r w:rsidRPr="004737C5">
        <w:rPr>
          <w:rFonts w:cstheme="minorHAnsi"/>
        </w:rPr>
        <w:t>can</w:t>
      </w:r>
      <w:r w:rsidR="00324EA2" w:rsidRPr="004737C5">
        <w:rPr>
          <w:rFonts w:cstheme="minorHAnsi"/>
        </w:rPr>
        <w:t xml:space="preserve"> drive consumers into the short-</w:t>
      </w:r>
      <w:r w:rsidR="00426BC0" w:rsidRPr="004737C5">
        <w:rPr>
          <w:rFonts w:cstheme="minorHAnsi"/>
        </w:rPr>
        <w:t>term, high interest sub</w:t>
      </w:r>
      <w:r w:rsidRPr="004737C5">
        <w:rPr>
          <w:rFonts w:cstheme="minorHAnsi"/>
        </w:rPr>
        <w:t>sector, such as payday lending discussed later.</w:t>
      </w:r>
    </w:p>
    <w:p w14:paraId="0FDD2A7D" w14:textId="77777777" w:rsidR="00BE71E3" w:rsidRPr="004737C5" w:rsidRDefault="00BE71E3" w:rsidP="00857811">
      <w:pPr>
        <w:pStyle w:val="Heading3"/>
        <w:spacing w:after="160" w:line="240" w:lineRule="auto"/>
        <w:rPr>
          <w:rFonts w:cstheme="minorHAnsi"/>
          <w:color w:val="auto"/>
          <w:sz w:val="26"/>
          <w:szCs w:val="26"/>
        </w:rPr>
      </w:pPr>
      <w:bookmarkStart w:id="323" w:name="_Toc454293883"/>
      <w:bookmarkStart w:id="324" w:name="_Toc489950321"/>
      <w:bookmarkStart w:id="325" w:name="_Toc492650108"/>
      <w:r w:rsidRPr="004737C5">
        <w:rPr>
          <w:rFonts w:cstheme="minorHAnsi"/>
          <w:color w:val="auto"/>
        </w:rPr>
        <w:t>2</w:t>
      </w:r>
      <w:r w:rsidR="00324EA2" w:rsidRPr="004737C5">
        <w:rPr>
          <w:rFonts w:cstheme="minorHAnsi"/>
          <w:color w:val="auto"/>
        </w:rPr>
        <w:t>.</w:t>
      </w:r>
      <w:r w:rsidRPr="004737C5">
        <w:rPr>
          <w:rFonts w:cstheme="minorHAnsi"/>
          <w:color w:val="auto"/>
        </w:rPr>
        <w:t xml:space="preserve"> Common forms of consumer credit</w:t>
      </w:r>
      <w:bookmarkEnd w:id="323"/>
      <w:bookmarkEnd w:id="324"/>
      <w:bookmarkEnd w:id="325"/>
    </w:p>
    <w:p w14:paraId="32B3C0C6" w14:textId="161B2701" w:rsidR="00BE71E3" w:rsidRPr="004737C5" w:rsidRDefault="00BE71E3" w:rsidP="006D3BE8">
      <w:pPr>
        <w:rPr>
          <w:rFonts w:cstheme="minorHAnsi"/>
        </w:rPr>
      </w:pPr>
      <w:r w:rsidRPr="004737C5">
        <w:rPr>
          <w:rFonts w:cstheme="minorHAnsi"/>
        </w:rPr>
        <w:t xml:space="preserve">Consumer credit is provided by many types of lenders including banks, </w:t>
      </w:r>
      <w:r w:rsidR="00324EA2" w:rsidRPr="004737C5">
        <w:rPr>
          <w:rFonts w:cstheme="minorHAnsi"/>
        </w:rPr>
        <w:t>finance companies, insurers, co</w:t>
      </w:r>
      <w:r w:rsidRPr="004737C5">
        <w:rPr>
          <w:rFonts w:cstheme="minorHAnsi"/>
        </w:rPr>
        <w:t>operat</w:t>
      </w:r>
      <w:r w:rsidR="00324EA2" w:rsidRPr="004737C5">
        <w:rPr>
          <w:rFonts w:cstheme="minorHAnsi"/>
        </w:rPr>
        <w:t>ives, pawnbrokers, moneylenders</w:t>
      </w:r>
      <w:r w:rsidRPr="004737C5">
        <w:rPr>
          <w:rFonts w:cstheme="minorHAnsi"/>
        </w:rPr>
        <w:t xml:space="preserve"> and vendors of goods and services. The law and contractual agreements governing such transactions, and consequently the rights and obligations of the lender and borrower in each category of these transactions, vary greatly. The availability of numerous forms of consumer credit differs from country to country depending on the development of the financial system. The terminology may itself differ from country to country.</w:t>
      </w:r>
    </w:p>
    <w:tbl>
      <w:tblPr>
        <w:tblStyle w:val="TableGrid"/>
        <w:tblW w:w="0" w:type="auto"/>
        <w:tblLook w:val="04A0" w:firstRow="1" w:lastRow="0" w:firstColumn="1" w:lastColumn="0" w:noHBand="0" w:noVBand="1"/>
      </w:tblPr>
      <w:tblGrid>
        <w:gridCol w:w="9243"/>
      </w:tblGrid>
      <w:tr w:rsidR="00324EA2" w:rsidRPr="004737C5" w14:paraId="7A54845C" w14:textId="77777777" w:rsidTr="00324EA2">
        <w:tc>
          <w:tcPr>
            <w:tcW w:w="9628" w:type="dxa"/>
          </w:tcPr>
          <w:p w14:paraId="34F72AB8" w14:textId="77777777" w:rsidR="00324EA2" w:rsidRPr="004737C5" w:rsidRDefault="00324EA2" w:rsidP="006D3BE8">
            <w:pPr>
              <w:rPr>
                <w:rFonts w:cstheme="minorHAnsi"/>
                <w:b/>
              </w:rPr>
            </w:pPr>
            <w:r w:rsidRPr="004737C5">
              <w:rPr>
                <w:rFonts w:cstheme="minorHAnsi"/>
                <w:b/>
              </w:rPr>
              <w:t>Box 19. Common forms of consumer credit</w:t>
            </w:r>
          </w:p>
          <w:p w14:paraId="092EB6EE" w14:textId="77777777" w:rsidR="00324EA2" w:rsidRPr="004737C5" w:rsidRDefault="00324EA2" w:rsidP="002218BB">
            <w:pPr>
              <w:spacing w:before="160"/>
              <w:rPr>
                <w:rFonts w:cstheme="minorHAnsi"/>
                <w:b/>
              </w:rPr>
            </w:pPr>
            <w:r w:rsidRPr="004737C5">
              <w:rPr>
                <w:rFonts w:cstheme="minorHAnsi"/>
                <w:b/>
              </w:rPr>
              <w:t>Bank – personal loan</w:t>
            </w:r>
          </w:p>
          <w:p w14:paraId="602C7305" w14:textId="3190FA6E" w:rsidR="00324EA2" w:rsidRPr="004737C5" w:rsidRDefault="00324EA2" w:rsidP="00324EA2">
            <w:pPr>
              <w:rPr>
                <w:rFonts w:cstheme="minorHAnsi"/>
              </w:rPr>
            </w:pPr>
            <w:r w:rsidRPr="004737C5">
              <w:rPr>
                <w:rFonts w:cstheme="minorHAnsi"/>
              </w:rPr>
              <w:t xml:space="preserve">A lump sum amount is borrowed at a fixed or variable rate </w:t>
            </w:r>
            <w:r w:rsidR="002218BB" w:rsidRPr="004737C5">
              <w:rPr>
                <w:rFonts w:cstheme="minorHAnsi"/>
              </w:rPr>
              <w:t>of interest based upon the time</w:t>
            </w:r>
            <w:r w:rsidRPr="004737C5">
              <w:rPr>
                <w:rFonts w:cstheme="minorHAnsi"/>
              </w:rPr>
              <w:t>frame. Often there are requirements as to securitization.</w:t>
            </w:r>
          </w:p>
          <w:p w14:paraId="24456740" w14:textId="77777777" w:rsidR="00324EA2" w:rsidRPr="004737C5" w:rsidRDefault="00324EA2" w:rsidP="002218BB">
            <w:pPr>
              <w:spacing w:before="160"/>
              <w:jc w:val="left"/>
              <w:rPr>
                <w:rFonts w:cstheme="minorHAnsi"/>
                <w:b/>
                <w:bCs/>
              </w:rPr>
            </w:pPr>
            <w:r w:rsidRPr="004737C5">
              <w:rPr>
                <w:rFonts w:cstheme="minorHAnsi"/>
                <w:b/>
                <w:bCs/>
              </w:rPr>
              <w:t>Bank overdraft</w:t>
            </w:r>
          </w:p>
          <w:p w14:paraId="1596D353" w14:textId="77777777" w:rsidR="00324EA2" w:rsidRPr="004737C5" w:rsidRDefault="00324EA2" w:rsidP="00324EA2">
            <w:pPr>
              <w:rPr>
                <w:rFonts w:cstheme="minorHAnsi"/>
              </w:rPr>
            </w:pPr>
            <w:r w:rsidRPr="004737C5">
              <w:rPr>
                <w:rFonts w:cstheme="minorHAnsi"/>
              </w:rPr>
              <w:t>The bank agrees to honour transactions unless the account is overdrawn beyond a fixed ceiling. Interest is payable on the amount overdrawn with penalty fees for exceeding the overdraft limit.</w:t>
            </w:r>
          </w:p>
          <w:p w14:paraId="5635DF28" w14:textId="77777777" w:rsidR="00324EA2" w:rsidRPr="004737C5" w:rsidRDefault="00324EA2" w:rsidP="002218BB">
            <w:pPr>
              <w:spacing w:before="160"/>
              <w:rPr>
                <w:rFonts w:cstheme="minorHAnsi"/>
                <w:b/>
                <w:bCs/>
              </w:rPr>
            </w:pPr>
            <w:r w:rsidRPr="004737C5">
              <w:rPr>
                <w:rFonts w:cstheme="minorHAnsi"/>
                <w:b/>
                <w:bCs/>
              </w:rPr>
              <w:t>Budget accounts</w:t>
            </w:r>
          </w:p>
          <w:p w14:paraId="6BBEF0B9" w14:textId="77777777" w:rsidR="00324EA2" w:rsidRPr="004737C5" w:rsidRDefault="00324EA2" w:rsidP="00324EA2">
            <w:pPr>
              <w:rPr>
                <w:rFonts w:cstheme="minorHAnsi"/>
              </w:rPr>
            </w:pPr>
            <w:r w:rsidRPr="004737C5">
              <w:rPr>
                <w:rFonts w:cstheme="minorHAnsi"/>
              </w:rPr>
              <w:t>Budget accounts are often offered by department stores. This arrangement involves the consumer paying the shop a regular amount per month for example, and thereafter the consumer is allowed credit to buy goods up to a prearranged maximum limit.</w:t>
            </w:r>
          </w:p>
          <w:p w14:paraId="1725D854" w14:textId="77777777" w:rsidR="00324EA2" w:rsidRPr="004737C5" w:rsidRDefault="00324EA2" w:rsidP="002218BB">
            <w:pPr>
              <w:spacing w:before="160"/>
              <w:rPr>
                <w:rFonts w:cstheme="minorHAnsi"/>
                <w:b/>
                <w:bCs/>
              </w:rPr>
            </w:pPr>
            <w:r w:rsidRPr="004737C5">
              <w:rPr>
                <w:rFonts w:cstheme="minorHAnsi"/>
                <w:b/>
                <w:bCs/>
              </w:rPr>
              <w:t>Credit cards</w:t>
            </w:r>
          </w:p>
          <w:p w14:paraId="21E8D061" w14:textId="70D4E201" w:rsidR="00324EA2" w:rsidRPr="004737C5" w:rsidRDefault="00324EA2" w:rsidP="00324EA2">
            <w:pPr>
              <w:rPr>
                <w:rFonts w:cstheme="minorHAnsi"/>
              </w:rPr>
            </w:pPr>
            <w:r w:rsidRPr="004737C5">
              <w:rPr>
                <w:rFonts w:cstheme="minorHAnsi"/>
              </w:rPr>
              <w:t>A credit card allows the cardholder</w:t>
            </w:r>
            <w:r w:rsidR="002218BB" w:rsidRPr="004737C5">
              <w:rPr>
                <w:rFonts w:cstheme="minorHAnsi"/>
              </w:rPr>
              <w:t xml:space="preserve"> to make purchases for which he or </w:t>
            </w:r>
            <w:r w:rsidRPr="004737C5">
              <w:rPr>
                <w:rFonts w:cstheme="minorHAnsi"/>
              </w:rPr>
              <w:t>she is billed later, usually carrying a balance from one billing cycle to the next.</w:t>
            </w:r>
          </w:p>
          <w:p w14:paraId="7B8EE61D" w14:textId="77777777" w:rsidR="00324EA2" w:rsidRPr="004737C5" w:rsidRDefault="00324EA2" w:rsidP="002218BB">
            <w:pPr>
              <w:spacing w:before="160"/>
              <w:rPr>
                <w:rFonts w:cstheme="minorHAnsi"/>
                <w:b/>
                <w:bCs/>
              </w:rPr>
            </w:pPr>
            <w:r w:rsidRPr="004737C5">
              <w:rPr>
                <w:rFonts w:cstheme="minorHAnsi"/>
                <w:b/>
                <w:bCs/>
              </w:rPr>
              <w:t>Credit cooperatives/credit unions</w:t>
            </w:r>
          </w:p>
          <w:p w14:paraId="341ECE50" w14:textId="39F6FC88" w:rsidR="00324EA2" w:rsidRPr="004737C5" w:rsidRDefault="00324EA2" w:rsidP="00324EA2">
            <w:pPr>
              <w:rPr>
                <w:rFonts w:cstheme="minorHAnsi"/>
              </w:rPr>
            </w:pPr>
            <w:r w:rsidRPr="004737C5">
              <w:rPr>
                <w:rFonts w:cstheme="minorHAnsi"/>
              </w:rPr>
              <w:t>A self-help way of providing credit for members usually ba</w:t>
            </w:r>
            <w:r w:rsidR="00E308AA" w:rsidRPr="004737C5">
              <w:rPr>
                <w:rFonts w:cstheme="minorHAnsi"/>
              </w:rPr>
              <w:t>sed on a specific community or “common bond”</w:t>
            </w:r>
            <w:r w:rsidRPr="004737C5">
              <w:rPr>
                <w:rFonts w:cstheme="minorHAnsi"/>
              </w:rPr>
              <w:t>. Credit unions are very widespread i</w:t>
            </w:r>
            <w:r w:rsidR="00E308AA" w:rsidRPr="004737C5">
              <w:rPr>
                <w:rFonts w:cstheme="minorHAnsi"/>
              </w:rPr>
              <w:t>n the Caribbean, where they often started as church-</w:t>
            </w:r>
            <w:r w:rsidRPr="004737C5">
              <w:rPr>
                <w:rFonts w:cstheme="minorHAnsi"/>
              </w:rPr>
              <w:t>based, and in South Africa where</w:t>
            </w:r>
            <w:r w:rsidR="00E308AA" w:rsidRPr="004737C5">
              <w:rPr>
                <w:rFonts w:cstheme="minorHAnsi"/>
              </w:rPr>
              <w:t xml:space="preserve"> the stokvell is a village-</w:t>
            </w:r>
            <w:r w:rsidRPr="004737C5">
              <w:rPr>
                <w:rFonts w:cstheme="minorHAnsi"/>
              </w:rPr>
              <w:t xml:space="preserve">based union. In Kenya </w:t>
            </w:r>
            <w:r w:rsidR="00E308AA" w:rsidRPr="004737C5">
              <w:rPr>
                <w:rFonts w:cstheme="minorHAnsi"/>
              </w:rPr>
              <w:t>savings and credit c</w:t>
            </w:r>
            <w:r w:rsidRPr="004737C5">
              <w:rPr>
                <w:rFonts w:cstheme="minorHAnsi"/>
              </w:rPr>
              <w:t xml:space="preserve">ooperatives are regulated by </w:t>
            </w:r>
            <w:r w:rsidR="00E308AA" w:rsidRPr="004737C5">
              <w:rPr>
                <w:rFonts w:cstheme="minorHAnsi"/>
              </w:rPr>
              <w:t xml:space="preserve">the </w:t>
            </w:r>
            <w:r w:rsidRPr="004737C5">
              <w:rPr>
                <w:rFonts w:cstheme="minorHAnsi"/>
              </w:rPr>
              <w:t>Sacco Societies Regulatory Authority of Kenya.</w:t>
            </w:r>
          </w:p>
          <w:p w14:paraId="1CDD9C92" w14:textId="77777777" w:rsidR="00E308AA" w:rsidRPr="004737C5" w:rsidRDefault="00E308AA" w:rsidP="002218BB">
            <w:pPr>
              <w:spacing w:before="160"/>
              <w:rPr>
                <w:rFonts w:cstheme="minorHAnsi"/>
                <w:b/>
                <w:bCs/>
              </w:rPr>
            </w:pPr>
            <w:r w:rsidRPr="004737C5">
              <w:rPr>
                <w:rFonts w:cstheme="minorHAnsi"/>
                <w:b/>
                <w:bCs/>
              </w:rPr>
              <w:t>Credit sale</w:t>
            </w:r>
          </w:p>
          <w:p w14:paraId="7CCC47C8" w14:textId="77777777" w:rsidR="00E308AA" w:rsidRPr="004737C5" w:rsidRDefault="00E308AA" w:rsidP="00324EA2">
            <w:pPr>
              <w:rPr>
                <w:rFonts w:cstheme="minorHAnsi"/>
              </w:rPr>
            </w:pPr>
            <w:r w:rsidRPr="004737C5">
              <w:rPr>
                <w:rFonts w:cstheme="minorHAnsi"/>
              </w:rPr>
              <w:t xml:space="preserve">The sale of goods paid for by a fixed number of instalments. Ownership of the goods passes </w:t>
            </w:r>
            <w:r w:rsidRPr="004737C5">
              <w:rPr>
                <w:rFonts w:cstheme="minorHAnsi"/>
              </w:rPr>
              <w:lastRenderedPageBreak/>
              <w:t>immediately to the purchaser.</w:t>
            </w:r>
          </w:p>
          <w:p w14:paraId="43EAAD15" w14:textId="77777777" w:rsidR="00E308AA" w:rsidRPr="004737C5" w:rsidRDefault="00E308AA" w:rsidP="002218BB">
            <w:pPr>
              <w:spacing w:before="160"/>
              <w:rPr>
                <w:rFonts w:cstheme="minorHAnsi"/>
                <w:b/>
                <w:bCs/>
              </w:rPr>
            </w:pPr>
            <w:r w:rsidRPr="004737C5">
              <w:rPr>
                <w:rFonts w:cstheme="minorHAnsi"/>
                <w:b/>
                <w:bCs/>
              </w:rPr>
              <w:t>Finance company personal loans</w:t>
            </w:r>
          </w:p>
          <w:p w14:paraId="1CFEC7FC" w14:textId="77777777" w:rsidR="00E308AA" w:rsidRPr="004737C5" w:rsidRDefault="00E308AA" w:rsidP="002218BB">
            <w:pPr>
              <w:spacing w:after="160"/>
              <w:rPr>
                <w:rFonts w:cstheme="minorHAnsi"/>
              </w:rPr>
            </w:pPr>
            <w:r w:rsidRPr="004737C5">
              <w:rPr>
                <w:rFonts w:cstheme="minorHAnsi"/>
              </w:rPr>
              <w:t>Normally arranged from a finance company by car dealers or other vendors of expensive items. Although the credit and goods may come from the same dealer, the arrangement is regarded as two separate deals – the consumer buys from the dealer and borrows from the finance company.</w:t>
            </w:r>
          </w:p>
          <w:p w14:paraId="754AE1B7" w14:textId="77777777" w:rsidR="00E308AA" w:rsidRPr="004737C5" w:rsidRDefault="00E308AA" w:rsidP="002218BB">
            <w:pPr>
              <w:rPr>
                <w:rFonts w:cstheme="minorHAnsi"/>
                <w:b/>
                <w:bCs/>
              </w:rPr>
            </w:pPr>
            <w:r w:rsidRPr="004737C5">
              <w:rPr>
                <w:rFonts w:cstheme="minorHAnsi"/>
                <w:b/>
                <w:bCs/>
              </w:rPr>
              <w:t>Hire-purchase</w:t>
            </w:r>
          </w:p>
          <w:p w14:paraId="54C21B25" w14:textId="77777777" w:rsidR="00E308AA" w:rsidRPr="004737C5" w:rsidRDefault="00E308AA" w:rsidP="00324EA2">
            <w:pPr>
              <w:rPr>
                <w:rFonts w:cstheme="minorHAnsi"/>
              </w:rPr>
            </w:pPr>
            <w:r w:rsidRPr="004737C5">
              <w:rPr>
                <w:rFonts w:cstheme="minorHAnsi"/>
              </w:rPr>
              <w:t>A longstanding method of financing the purchase of goods bought on credit under which ownership to the goods does not pass until all instalments are paid. Hire purchase has tended to be replaced by finance company loans and credit sales (see above) over the last 25 years. A variant is conditional sale with further conditions.</w:t>
            </w:r>
          </w:p>
          <w:p w14:paraId="35984969" w14:textId="77777777" w:rsidR="00E308AA" w:rsidRPr="004737C5" w:rsidRDefault="00E308AA" w:rsidP="002218BB">
            <w:pPr>
              <w:spacing w:before="160"/>
              <w:rPr>
                <w:rFonts w:cstheme="minorHAnsi"/>
                <w:b/>
                <w:bCs/>
              </w:rPr>
            </w:pPr>
            <w:r w:rsidRPr="004737C5">
              <w:rPr>
                <w:rFonts w:cstheme="minorHAnsi"/>
                <w:b/>
                <w:bCs/>
              </w:rPr>
              <w:t>Microcredit</w:t>
            </w:r>
          </w:p>
          <w:p w14:paraId="2E451B5C" w14:textId="7EF46952" w:rsidR="00E308AA" w:rsidRPr="004737C5" w:rsidRDefault="00E308AA" w:rsidP="00324EA2">
            <w:pPr>
              <w:rPr>
                <w:rFonts w:cstheme="minorHAnsi"/>
              </w:rPr>
            </w:pPr>
            <w:r w:rsidRPr="004737C5">
              <w:rPr>
                <w:rFonts w:cstheme="minorHAnsi"/>
              </w:rPr>
              <w:t xml:space="preserve">In theory this refers to lending of small sums of money at low interest rates, to low-income consumers, usually for </w:t>
            </w:r>
            <w:r w:rsidR="002218BB" w:rsidRPr="004737C5">
              <w:rPr>
                <w:rFonts w:cstheme="minorHAnsi"/>
              </w:rPr>
              <w:t>the purpose</w:t>
            </w:r>
            <w:r w:rsidRPr="004737C5">
              <w:rPr>
                <w:rFonts w:cstheme="minorHAnsi"/>
              </w:rPr>
              <w:t xml:space="preserve"> of setting up small businesses. In practice, as the sector has grown, the interest rates have turned out not to be so low and many microloans are used for household items, for ex</w:t>
            </w:r>
            <w:r w:rsidR="002218BB" w:rsidRPr="004737C5">
              <w:rPr>
                <w:rFonts w:cstheme="minorHAnsi"/>
              </w:rPr>
              <w:t xml:space="preserve">ample, smoke </w:t>
            </w:r>
            <w:r w:rsidRPr="004737C5">
              <w:rPr>
                <w:rFonts w:cstheme="minorHAnsi"/>
              </w:rPr>
              <w:t>hoods. In Anglophone Africa, microcredit clubs based on fixed periodic payments by members are often known as “merry-go-rounds” and may be the main source of consumer credit in informal settlements.</w:t>
            </w:r>
            <w:r w:rsidRPr="004737C5">
              <w:rPr>
                <w:rStyle w:val="FootnoteReference"/>
                <w:rFonts w:cstheme="minorHAnsi"/>
              </w:rPr>
              <w:footnoteReference w:id="288"/>
            </w:r>
          </w:p>
          <w:p w14:paraId="2C376693" w14:textId="77777777" w:rsidR="00E308AA" w:rsidRPr="004737C5" w:rsidRDefault="00E308AA" w:rsidP="002218BB">
            <w:pPr>
              <w:spacing w:before="160"/>
              <w:jc w:val="left"/>
              <w:rPr>
                <w:rStyle w:val="CommentReference"/>
                <w:rFonts w:cstheme="minorHAnsi"/>
                <w:b/>
                <w:sz w:val="22"/>
                <w:szCs w:val="22"/>
              </w:rPr>
            </w:pPr>
            <w:r w:rsidRPr="004737C5">
              <w:rPr>
                <w:rFonts w:cstheme="minorHAnsi"/>
                <w:b/>
                <w:bCs/>
              </w:rPr>
              <w:t>Moneylending (</w:t>
            </w:r>
            <w:r w:rsidRPr="004737C5">
              <w:rPr>
                <w:rStyle w:val="CommentReference"/>
                <w:rFonts w:cstheme="minorHAnsi"/>
                <w:b/>
                <w:sz w:val="22"/>
                <w:szCs w:val="22"/>
              </w:rPr>
              <w:t>short-term high-cost credit including payday lending)</w:t>
            </w:r>
          </w:p>
          <w:p w14:paraId="6466DA2F" w14:textId="77777777" w:rsidR="00E308AA" w:rsidRPr="004737C5" w:rsidRDefault="00E308AA" w:rsidP="00E308AA">
            <w:pPr>
              <w:rPr>
                <w:rStyle w:val="CommentReference"/>
                <w:rFonts w:cstheme="minorHAnsi"/>
                <w:sz w:val="22"/>
                <w:szCs w:val="22"/>
              </w:rPr>
            </w:pPr>
            <w:r w:rsidRPr="004737C5">
              <w:rPr>
                <w:rFonts w:cstheme="minorHAnsi"/>
              </w:rPr>
              <w:t>The practice of giving cash loans with or without security generally repaid at a high level of interest over a short period of time. “</w:t>
            </w:r>
            <w:r w:rsidRPr="004737C5">
              <w:rPr>
                <w:rStyle w:val="CommentReference"/>
                <w:rFonts w:cstheme="minorHAnsi"/>
                <w:sz w:val="22"/>
                <w:szCs w:val="22"/>
              </w:rPr>
              <w:t>Short-term high-cost credit” sometimes takes the form of a payday or SMS loan which will normally last</w:t>
            </w:r>
            <w:r w:rsidR="00CB5771" w:rsidRPr="004737C5">
              <w:rPr>
                <w:rStyle w:val="CommentReference"/>
                <w:rFonts w:cstheme="minorHAnsi"/>
                <w:sz w:val="22"/>
                <w:szCs w:val="22"/>
              </w:rPr>
              <w:t xml:space="preserve"> 30 </w:t>
            </w:r>
            <w:r w:rsidRPr="004737C5">
              <w:rPr>
                <w:rStyle w:val="CommentReference"/>
                <w:rFonts w:cstheme="minorHAnsi"/>
                <w:sz w:val="22"/>
                <w:szCs w:val="22"/>
              </w:rPr>
              <w:t xml:space="preserve">days but may be renewable. </w:t>
            </w:r>
            <w:r w:rsidRPr="004737C5">
              <w:rPr>
                <w:rFonts w:cstheme="minorHAnsi"/>
              </w:rPr>
              <w:t xml:space="preserve">It involves minimum checks by the lender on the ability of the consumer to repay. Rollovers of such debt are a common practice and have been subject to more regulation recently in developed economies. </w:t>
            </w:r>
            <w:r w:rsidRPr="004737C5">
              <w:rPr>
                <w:rStyle w:val="CommentReference"/>
                <w:rFonts w:cstheme="minorHAnsi"/>
                <w:sz w:val="22"/>
                <w:szCs w:val="22"/>
              </w:rPr>
              <w:t>High default charges may also be payable.</w:t>
            </w:r>
          </w:p>
          <w:p w14:paraId="58CD3389" w14:textId="77777777" w:rsidR="00E308AA" w:rsidRPr="004737C5" w:rsidRDefault="00E308AA" w:rsidP="002218BB">
            <w:pPr>
              <w:spacing w:before="160"/>
              <w:rPr>
                <w:rFonts w:cstheme="minorHAnsi"/>
                <w:b/>
                <w:bCs/>
              </w:rPr>
            </w:pPr>
            <w:r w:rsidRPr="004737C5">
              <w:rPr>
                <w:rFonts w:cstheme="minorHAnsi"/>
                <w:b/>
                <w:bCs/>
              </w:rPr>
              <w:t>Mortgage</w:t>
            </w:r>
          </w:p>
          <w:p w14:paraId="533EEF47" w14:textId="77777777" w:rsidR="00E308AA" w:rsidRPr="004737C5" w:rsidRDefault="00E308AA" w:rsidP="00E308AA">
            <w:pPr>
              <w:rPr>
                <w:rFonts w:cstheme="minorHAnsi"/>
              </w:rPr>
            </w:pPr>
            <w:r w:rsidRPr="004737C5">
              <w:rPr>
                <w:rFonts w:cstheme="minorHAnsi"/>
              </w:rPr>
              <w:t>A contract by which a person binds property in favour of a lender to secure the payment of the loan. It is often used to purchase a house or land. Second mortgages involve the borrowing of a lump sum amount using property with a first mortgage as security. In such transactions, interest rates are generally higher than first mortgages.</w:t>
            </w:r>
          </w:p>
          <w:p w14:paraId="306E4ED6" w14:textId="77777777" w:rsidR="00E308AA" w:rsidRPr="004737C5" w:rsidRDefault="00E308AA" w:rsidP="002218BB">
            <w:pPr>
              <w:spacing w:before="160"/>
              <w:rPr>
                <w:rFonts w:cstheme="minorHAnsi"/>
                <w:b/>
                <w:bCs/>
              </w:rPr>
            </w:pPr>
            <w:r w:rsidRPr="004737C5">
              <w:rPr>
                <w:rFonts w:cstheme="minorHAnsi"/>
                <w:b/>
                <w:bCs/>
              </w:rPr>
              <w:t>Option accounts</w:t>
            </w:r>
          </w:p>
          <w:p w14:paraId="12D32BA1" w14:textId="77777777" w:rsidR="00E308AA" w:rsidRPr="004737C5" w:rsidRDefault="00E308AA" w:rsidP="00E308AA">
            <w:pPr>
              <w:rPr>
                <w:rFonts w:cstheme="minorHAnsi"/>
              </w:rPr>
            </w:pPr>
            <w:r w:rsidRPr="004737C5">
              <w:rPr>
                <w:rFonts w:cstheme="minorHAnsi"/>
              </w:rPr>
              <w:t>Some retail outlet</w:t>
            </w:r>
            <w:r w:rsidR="00CB5771" w:rsidRPr="004737C5">
              <w:rPr>
                <w:rFonts w:cstheme="minorHAnsi"/>
              </w:rPr>
              <w:t>s provide option accounts as</w:t>
            </w:r>
            <w:r w:rsidRPr="004737C5">
              <w:rPr>
                <w:rFonts w:cstheme="minorHAnsi"/>
              </w:rPr>
              <w:t xml:space="preserve"> a</w:t>
            </w:r>
            <w:r w:rsidR="00CB5771" w:rsidRPr="004737C5">
              <w:rPr>
                <w:rFonts w:cstheme="minorHAnsi"/>
              </w:rPr>
              <w:t>n alternative method of payment</w:t>
            </w:r>
            <w:r w:rsidRPr="004737C5">
              <w:rPr>
                <w:rFonts w:cstheme="minorHAnsi"/>
              </w:rPr>
              <w:t xml:space="preserve"> which eliminates the need to carry cash or cheques. It is a personal account that enables the consumer to spread payments to suit financial circumstances. There is no requirement to settle the entire outstanding amount at the end of the month, although there is usually a minimum amount that has to be settled. Interest is charged on the outstanding amount.</w:t>
            </w:r>
          </w:p>
          <w:p w14:paraId="4A3D88B1" w14:textId="77777777" w:rsidR="00CB5771" w:rsidRPr="004737C5" w:rsidRDefault="00CB5771" w:rsidP="002218BB">
            <w:pPr>
              <w:spacing w:before="160"/>
              <w:rPr>
                <w:rFonts w:cstheme="minorHAnsi"/>
                <w:b/>
                <w:bCs/>
              </w:rPr>
            </w:pPr>
            <w:r w:rsidRPr="004737C5">
              <w:rPr>
                <w:rFonts w:cstheme="minorHAnsi"/>
                <w:b/>
                <w:bCs/>
              </w:rPr>
              <w:t>Pawnbroking</w:t>
            </w:r>
          </w:p>
          <w:p w14:paraId="35B1D9E6" w14:textId="77777777" w:rsidR="00CB5771" w:rsidRPr="004737C5" w:rsidRDefault="00CB5771" w:rsidP="00E308AA">
            <w:pPr>
              <w:rPr>
                <w:rFonts w:cstheme="minorHAnsi"/>
              </w:rPr>
            </w:pPr>
            <w:r w:rsidRPr="004737C5">
              <w:rPr>
                <w:rFonts w:cstheme="minorHAnsi"/>
              </w:rPr>
              <w:t>A simple and fast way of raising money on the basis of security of valuables deposited with the pawnbroker. It is sometimes known as “cash-on-items” credit, in Anglophone Africa for example.</w:t>
            </w:r>
          </w:p>
          <w:p w14:paraId="0301201B" w14:textId="77777777" w:rsidR="00CB5771" w:rsidRPr="004737C5" w:rsidRDefault="00CB5771" w:rsidP="002218BB">
            <w:pPr>
              <w:spacing w:before="160"/>
              <w:rPr>
                <w:rFonts w:cstheme="minorHAnsi"/>
                <w:b/>
                <w:bCs/>
              </w:rPr>
            </w:pPr>
            <w:r w:rsidRPr="004737C5">
              <w:rPr>
                <w:rFonts w:cstheme="minorHAnsi"/>
                <w:b/>
                <w:bCs/>
              </w:rPr>
              <w:t>Sub-prime lending</w:t>
            </w:r>
          </w:p>
          <w:p w14:paraId="5D394D3A" w14:textId="15753343" w:rsidR="00CB5771" w:rsidRPr="004737C5" w:rsidRDefault="00CB5771" w:rsidP="00E308AA">
            <w:pPr>
              <w:rPr>
                <w:rFonts w:cstheme="minorHAnsi"/>
              </w:rPr>
            </w:pPr>
            <w:r w:rsidRPr="004737C5">
              <w:rPr>
                <w:rStyle w:val="CommentReference"/>
                <w:rFonts w:cstheme="minorHAnsi"/>
                <w:sz w:val="22"/>
                <w:szCs w:val="22"/>
              </w:rPr>
              <w:t xml:space="preserve">Sub-prime lending is lending to individuals with generally poor or blemished credit records who are unable to access the mainstream lending market. These loans came to prominence in the </w:t>
            </w:r>
            <w:r w:rsidR="004737C5" w:rsidRPr="004737C5">
              <w:rPr>
                <w:rStyle w:val="CommentReference"/>
                <w:rFonts w:cstheme="minorHAnsi"/>
                <w:sz w:val="22"/>
                <w:szCs w:val="22"/>
              </w:rPr>
              <w:t>run-up</w:t>
            </w:r>
            <w:r w:rsidRPr="004737C5">
              <w:rPr>
                <w:rStyle w:val="CommentReference"/>
                <w:rFonts w:cstheme="minorHAnsi"/>
                <w:sz w:val="22"/>
                <w:szCs w:val="22"/>
              </w:rPr>
              <w:t xml:space="preserve"> to the financial crisis in the United States of America.</w:t>
            </w:r>
          </w:p>
        </w:tc>
      </w:tr>
    </w:tbl>
    <w:p w14:paraId="1766A98C" w14:textId="4ECF796C" w:rsidR="00BE71E3" w:rsidRPr="004737C5" w:rsidRDefault="00BE71E3" w:rsidP="00857811">
      <w:pPr>
        <w:spacing w:before="200"/>
        <w:rPr>
          <w:rFonts w:eastAsiaTheme="minorEastAsia" w:cstheme="minorHAnsi"/>
        </w:rPr>
      </w:pPr>
      <w:r w:rsidRPr="004737C5">
        <w:rPr>
          <w:rFonts w:cstheme="minorHAnsi"/>
        </w:rPr>
        <w:lastRenderedPageBreak/>
        <w:t>As a result of the financial crisis</w:t>
      </w:r>
      <w:r w:rsidR="00CB5771" w:rsidRPr="004737C5">
        <w:rPr>
          <w:rFonts w:cstheme="minorHAnsi"/>
        </w:rPr>
        <w:t>,</w:t>
      </w:r>
      <w:r w:rsidRPr="004737C5">
        <w:rPr>
          <w:rFonts w:cstheme="minorHAnsi"/>
        </w:rPr>
        <w:t xml:space="preserve"> international bodies have attempted to promote good practice in the consumer credit sector. In 2011, reporting under a G20 mandate, the Financial Stability Board concluded that consumer protection in financial services would be hel</w:t>
      </w:r>
      <w:r w:rsidR="00CB5771" w:rsidRPr="004737C5">
        <w:rPr>
          <w:rFonts w:cstheme="minorHAnsi"/>
        </w:rPr>
        <w:t>ped by more work being done to “</w:t>
      </w:r>
      <w:r w:rsidRPr="004737C5">
        <w:rPr>
          <w:rFonts w:eastAsiaTheme="minorEastAsia" w:cstheme="minorHAnsi"/>
          <w:bCs/>
        </w:rPr>
        <w:t>strengthen supervisory tools by identifying gaps and weaknesses</w:t>
      </w:r>
      <w:r w:rsidR="00CB5771" w:rsidRPr="004737C5">
        <w:rPr>
          <w:rFonts w:eastAsiaTheme="minorEastAsia" w:cstheme="minorHAnsi"/>
          <w:bCs/>
        </w:rPr>
        <w:t>”.</w:t>
      </w:r>
      <w:r w:rsidR="00E73993" w:rsidRPr="004737C5">
        <w:rPr>
          <w:rFonts w:eastAsiaTheme="minorEastAsia" w:cstheme="minorHAnsi"/>
        </w:rPr>
        <w:t xml:space="preserve"> They suggested that “</w:t>
      </w:r>
      <w:r w:rsidRPr="004737C5">
        <w:rPr>
          <w:rFonts w:eastAsiaTheme="minorEastAsia" w:cstheme="minorHAnsi"/>
        </w:rPr>
        <w:t>a broad range of r</w:t>
      </w:r>
      <w:r w:rsidR="00E73993" w:rsidRPr="004737C5">
        <w:rPr>
          <w:rFonts w:eastAsiaTheme="minorEastAsia" w:cstheme="minorHAnsi"/>
        </w:rPr>
        <w:t>egulatory and supervisory tools” be used, “</w:t>
      </w:r>
      <w:r w:rsidRPr="004737C5">
        <w:rPr>
          <w:rFonts w:eastAsiaTheme="minorEastAsia" w:cstheme="minorHAnsi"/>
        </w:rPr>
        <w:t>promoting responsible lending practices and providing disclosure</w:t>
      </w:r>
      <w:r w:rsidRPr="004737C5">
        <w:rPr>
          <w:rFonts w:cstheme="minorHAnsi"/>
        </w:rPr>
        <w:t xml:space="preserve"> </w:t>
      </w:r>
      <w:r w:rsidRPr="004737C5">
        <w:rPr>
          <w:rFonts w:eastAsiaTheme="minorEastAsia" w:cstheme="minorHAnsi"/>
        </w:rPr>
        <w:t>guidelines</w:t>
      </w:r>
      <w:r w:rsidR="00E73993" w:rsidRPr="004737C5">
        <w:rPr>
          <w:rFonts w:eastAsiaTheme="minorEastAsia" w:cstheme="minorHAnsi"/>
        </w:rPr>
        <w:t>”.</w:t>
      </w:r>
      <w:r w:rsidRPr="004737C5">
        <w:rPr>
          <w:rFonts w:eastAsiaTheme="minorEastAsia" w:cstheme="minorHAnsi"/>
        </w:rPr>
        <w:t xml:space="preserve"> They recommended a twi</w:t>
      </w:r>
      <w:r w:rsidR="002218BB" w:rsidRPr="004737C5">
        <w:rPr>
          <w:rFonts w:eastAsiaTheme="minorEastAsia" w:cstheme="minorHAnsi"/>
        </w:rPr>
        <w:t>n-</w:t>
      </w:r>
      <w:r w:rsidR="00E73993" w:rsidRPr="004737C5">
        <w:rPr>
          <w:rFonts w:eastAsiaTheme="minorEastAsia" w:cstheme="minorHAnsi"/>
        </w:rPr>
        <w:t>track approach involving the “</w:t>
      </w:r>
      <w:r w:rsidRPr="004737C5">
        <w:rPr>
          <w:rFonts w:eastAsiaTheme="minorEastAsia" w:cstheme="minorHAnsi"/>
        </w:rPr>
        <w:t>necessary supervisory tools while at the same time ensuring that</w:t>
      </w:r>
      <w:r w:rsidRPr="004737C5">
        <w:rPr>
          <w:rFonts w:cstheme="minorHAnsi"/>
        </w:rPr>
        <w:t xml:space="preserve"> </w:t>
      </w:r>
      <w:r w:rsidRPr="004737C5">
        <w:rPr>
          <w:rFonts w:eastAsiaTheme="minorEastAsia" w:cstheme="minorHAnsi"/>
        </w:rPr>
        <w:t>sufficient information is being provided to consumers</w:t>
      </w:r>
      <w:r w:rsidR="00E73993" w:rsidRPr="004737C5">
        <w:rPr>
          <w:rFonts w:eastAsiaTheme="minorEastAsia" w:cstheme="minorHAnsi"/>
        </w:rPr>
        <w:t>”.</w:t>
      </w:r>
      <w:r w:rsidRPr="004737C5">
        <w:rPr>
          <w:rFonts w:eastAsiaTheme="minorEastAsia" w:cstheme="minorHAnsi"/>
        </w:rPr>
        <w:t xml:space="preserve"> More specifically, they pointed to the need for work on: </w:t>
      </w:r>
    </w:p>
    <w:p w14:paraId="58831788" w14:textId="77777777" w:rsidR="00BE71E3" w:rsidRPr="004737C5" w:rsidRDefault="00BE71E3" w:rsidP="002473E9">
      <w:pPr>
        <w:pStyle w:val="ListParagraph"/>
        <w:numPr>
          <w:ilvl w:val="0"/>
          <w:numId w:val="73"/>
        </w:numPr>
        <w:ind w:left="709" w:hanging="425"/>
        <w:rPr>
          <w:rFonts w:cstheme="minorHAnsi"/>
        </w:rPr>
      </w:pPr>
      <w:r w:rsidRPr="004737C5">
        <w:rPr>
          <w:rFonts w:cstheme="minorHAnsi"/>
        </w:rPr>
        <w:t xml:space="preserve">Establishing indicators </w:t>
      </w:r>
      <w:r w:rsidR="00E73993" w:rsidRPr="004737C5">
        <w:rPr>
          <w:rFonts w:cstheme="minorHAnsi"/>
        </w:rPr>
        <w:t>of unsuitable product features</w:t>
      </w:r>
    </w:p>
    <w:p w14:paraId="382A94AC" w14:textId="77777777" w:rsidR="00BE71E3" w:rsidRPr="004737C5" w:rsidRDefault="00BE71E3" w:rsidP="002473E9">
      <w:pPr>
        <w:pStyle w:val="ListParagraph"/>
        <w:numPr>
          <w:ilvl w:val="0"/>
          <w:numId w:val="73"/>
        </w:numPr>
        <w:ind w:left="709" w:hanging="425"/>
        <w:rPr>
          <w:rFonts w:cstheme="minorHAnsi"/>
        </w:rPr>
      </w:pPr>
      <w:r w:rsidRPr="004737C5">
        <w:rPr>
          <w:rFonts w:cstheme="minorHAnsi"/>
        </w:rPr>
        <w:t>Aligning and disclosing incentive</w:t>
      </w:r>
      <w:r w:rsidR="00E73993" w:rsidRPr="004737C5">
        <w:rPr>
          <w:rFonts w:cstheme="minorHAnsi"/>
        </w:rPr>
        <w:t xml:space="preserve"> compensation arrangements</w:t>
      </w:r>
    </w:p>
    <w:p w14:paraId="54966346" w14:textId="77777777" w:rsidR="00BE71E3" w:rsidRPr="004737C5" w:rsidRDefault="00BE71E3" w:rsidP="002473E9">
      <w:pPr>
        <w:pStyle w:val="ListParagraph"/>
        <w:numPr>
          <w:ilvl w:val="0"/>
          <w:numId w:val="73"/>
        </w:numPr>
        <w:ind w:left="709" w:hanging="425"/>
        <w:rPr>
          <w:rFonts w:cstheme="minorHAnsi"/>
        </w:rPr>
      </w:pPr>
      <w:r w:rsidRPr="004737C5">
        <w:rPr>
          <w:rFonts w:cstheme="minorHAnsi"/>
        </w:rPr>
        <w:t>Evaluating the benefits of offering consumers and providers with benchmarks for financial products that can be used safely by a wide v</w:t>
      </w:r>
      <w:r w:rsidR="00E73993" w:rsidRPr="004737C5">
        <w:rPr>
          <w:rFonts w:cstheme="minorHAnsi"/>
        </w:rPr>
        <w:t>ariety of unsophisticated users</w:t>
      </w:r>
      <w:r w:rsidRPr="004737C5">
        <w:rPr>
          <w:rStyle w:val="FootnoteReference"/>
          <w:rFonts w:eastAsiaTheme="minorEastAsia" w:cstheme="minorHAnsi"/>
        </w:rPr>
        <w:footnoteReference w:id="289"/>
      </w:r>
    </w:p>
    <w:p w14:paraId="286B57A3" w14:textId="50C8C055" w:rsidR="00BE71E3" w:rsidRPr="004737C5" w:rsidRDefault="00BE71E3" w:rsidP="006D3BE8">
      <w:pPr>
        <w:rPr>
          <w:rFonts w:cstheme="minorHAnsi"/>
        </w:rPr>
      </w:pPr>
      <w:r w:rsidRPr="004737C5">
        <w:rPr>
          <w:rFonts w:cstheme="minorHAnsi"/>
        </w:rPr>
        <w:t>While carefully worded, this suggests a more active and evaluative stance by regulators</w:t>
      </w:r>
      <w:r w:rsidR="002218BB" w:rsidRPr="004737C5">
        <w:rPr>
          <w:rFonts w:cstheme="minorHAnsi"/>
        </w:rPr>
        <w:t>.</w:t>
      </w:r>
      <w:r w:rsidRPr="004737C5">
        <w:rPr>
          <w:rFonts w:cstheme="minorHAnsi"/>
        </w:rPr>
        <w:t xml:space="preserve"> </w:t>
      </w:r>
      <w:r w:rsidR="002218BB" w:rsidRPr="004737C5">
        <w:rPr>
          <w:rFonts w:cstheme="minorHAnsi"/>
        </w:rPr>
        <w:t>T</w:t>
      </w:r>
      <w:r w:rsidRPr="004737C5">
        <w:rPr>
          <w:rFonts w:cstheme="minorHAnsi"/>
        </w:rPr>
        <w:t xml:space="preserve">he reference to incentives corresponds with the increasing interest being shown in remuneration structures within the financial services sectors generally, discussed below. </w:t>
      </w:r>
    </w:p>
    <w:p w14:paraId="390DCE93" w14:textId="77777777" w:rsidR="00BE71E3" w:rsidRPr="004737C5" w:rsidRDefault="00E73993" w:rsidP="002218BB">
      <w:pPr>
        <w:pStyle w:val="Heading2"/>
        <w:spacing w:after="160"/>
        <w:rPr>
          <w:rFonts w:cstheme="minorHAnsi"/>
          <w:color w:val="auto"/>
          <w:sz w:val="24"/>
          <w:szCs w:val="24"/>
        </w:rPr>
      </w:pPr>
      <w:bookmarkStart w:id="326" w:name="_Toc454293884"/>
      <w:bookmarkStart w:id="327" w:name="_Toc489950322"/>
      <w:bookmarkStart w:id="328" w:name="_Toc492650109"/>
      <w:r w:rsidRPr="004737C5">
        <w:rPr>
          <w:rFonts w:cstheme="minorHAnsi"/>
          <w:color w:val="auto"/>
          <w:sz w:val="24"/>
          <w:szCs w:val="24"/>
        </w:rPr>
        <w:t>C.</w:t>
      </w:r>
      <w:r w:rsidR="00BE71E3" w:rsidRPr="004737C5">
        <w:rPr>
          <w:rFonts w:cstheme="minorHAnsi"/>
          <w:color w:val="auto"/>
          <w:sz w:val="24"/>
          <w:szCs w:val="24"/>
        </w:rPr>
        <w:t xml:space="preserve"> Function and forms of insurance</w:t>
      </w:r>
      <w:bookmarkEnd w:id="326"/>
      <w:bookmarkEnd w:id="327"/>
      <w:bookmarkEnd w:id="328"/>
    </w:p>
    <w:p w14:paraId="61BAA661" w14:textId="77777777" w:rsidR="00BE71E3" w:rsidRPr="004737C5" w:rsidRDefault="00BE71E3" w:rsidP="006D3BE8">
      <w:pPr>
        <w:rPr>
          <w:rFonts w:cstheme="minorHAnsi"/>
        </w:rPr>
      </w:pPr>
      <w:r w:rsidRPr="004737C5">
        <w:rPr>
          <w:rFonts w:cstheme="minorHAnsi"/>
        </w:rPr>
        <w:t xml:space="preserve">Insurance is a broad generic term for an array of institutions that help manage risk </w:t>
      </w:r>
      <w:r w:rsidR="00E73993" w:rsidRPr="004737C5">
        <w:rPr>
          <w:rFonts w:cstheme="minorHAnsi"/>
        </w:rPr>
        <w:t>through the device of sharing</w:t>
      </w:r>
      <w:r w:rsidRPr="004737C5">
        <w:rPr>
          <w:rFonts w:cstheme="minorHAnsi"/>
        </w:rPr>
        <w:t xml:space="preserve"> and transfer</w:t>
      </w:r>
      <w:r w:rsidR="00E73993" w:rsidRPr="004737C5">
        <w:rPr>
          <w:rFonts w:cstheme="minorHAnsi"/>
        </w:rPr>
        <w:t>ring</w:t>
      </w:r>
      <w:r w:rsidRPr="004737C5">
        <w:rPr>
          <w:rFonts w:cstheme="minorHAnsi"/>
        </w:rPr>
        <w:t xml:space="preserve"> of risks from one individual to a group. Losses of the individual are then shared on some equitable basis by all members of the group.</w:t>
      </w:r>
    </w:p>
    <w:p w14:paraId="508DD44B" w14:textId="0F76F101" w:rsidR="00BE71E3" w:rsidRPr="004737C5" w:rsidRDefault="00BE71E3" w:rsidP="006D3BE8">
      <w:pPr>
        <w:rPr>
          <w:rFonts w:cstheme="minorHAnsi"/>
        </w:rPr>
      </w:pPr>
      <w:r w:rsidRPr="004737C5">
        <w:rPr>
          <w:rFonts w:cstheme="minorHAnsi"/>
        </w:rPr>
        <w:t>Classifications of insurance abound. A primary distinction is between social insurance and private insurance. Nevertheless, private insurance is often predicated on the assumption that social insurance will provide a safety net for all citizens. Social insurance has the function of k</w:t>
      </w:r>
      <w:r w:rsidR="00E73993" w:rsidRPr="004737C5">
        <w:rPr>
          <w:rFonts w:cstheme="minorHAnsi"/>
        </w:rPr>
        <w:t>eeping consumers away from the “let them eat credit”</w:t>
      </w:r>
      <w:r w:rsidRPr="004737C5">
        <w:rPr>
          <w:rFonts w:cstheme="minorHAnsi"/>
        </w:rPr>
        <w:t xml:space="preserve"> syndrome mentioned above and was set up for t</w:t>
      </w:r>
      <w:r w:rsidR="00E73993" w:rsidRPr="004737C5">
        <w:rPr>
          <w:rFonts w:cstheme="minorHAnsi"/>
        </w:rPr>
        <w:t>he</w:t>
      </w:r>
      <w:r w:rsidRPr="004737C5">
        <w:rPr>
          <w:rFonts w:cstheme="minorHAnsi"/>
        </w:rPr>
        <w:t xml:space="preserve"> purpose of avoiding family budget collapse during times of economic disturbance. In the nineteenth and twentieth centuries, it developed first in Bismarckian Germany, New Zealand, the United Kingdom </w:t>
      </w:r>
      <w:r w:rsidR="002218BB" w:rsidRPr="004737C5">
        <w:rPr>
          <w:rFonts w:cstheme="minorHAnsi"/>
        </w:rPr>
        <w:t xml:space="preserve">of Great Britain and Northern Ireland </w:t>
      </w:r>
      <w:r w:rsidRPr="004737C5">
        <w:rPr>
          <w:rFonts w:cstheme="minorHAnsi"/>
        </w:rPr>
        <w:t xml:space="preserve">and France, where it formed a key part of the post-war settlement.  </w:t>
      </w:r>
    </w:p>
    <w:p w14:paraId="6C162127" w14:textId="77777777" w:rsidR="00BE71E3" w:rsidRPr="004737C5" w:rsidRDefault="00BE71E3" w:rsidP="006D3BE8">
      <w:pPr>
        <w:rPr>
          <w:rFonts w:cstheme="minorHAnsi"/>
        </w:rPr>
      </w:pPr>
      <w:r w:rsidRPr="004737C5">
        <w:rPr>
          <w:rFonts w:cstheme="minorHAnsi"/>
        </w:rPr>
        <w:t>The defining characteristics of private insurance are that:</w:t>
      </w:r>
    </w:p>
    <w:p w14:paraId="2802C231" w14:textId="77777777" w:rsidR="00BE71E3" w:rsidRPr="004737C5" w:rsidRDefault="00BE71E3" w:rsidP="002473E9">
      <w:pPr>
        <w:pStyle w:val="ListParagraph"/>
        <w:numPr>
          <w:ilvl w:val="0"/>
          <w:numId w:val="74"/>
        </w:numPr>
        <w:ind w:left="709" w:hanging="425"/>
        <w:rPr>
          <w:rFonts w:cstheme="minorHAnsi"/>
        </w:rPr>
      </w:pPr>
      <w:r w:rsidRPr="004737C5">
        <w:rPr>
          <w:rFonts w:cstheme="minorHAnsi"/>
        </w:rPr>
        <w:t>It is usually voluntary; in the event that it is co</w:t>
      </w:r>
      <w:r w:rsidR="005F786A" w:rsidRPr="004737C5">
        <w:rPr>
          <w:rFonts w:cstheme="minorHAnsi"/>
        </w:rPr>
        <w:t>mpulsory (such as car insurance</w:t>
      </w:r>
      <w:r w:rsidRPr="004737C5">
        <w:rPr>
          <w:rFonts w:cstheme="minorHAnsi"/>
        </w:rPr>
        <w:t>)</w:t>
      </w:r>
      <w:r w:rsidR="005F786A" w:rsidRPr="004737C5">
        <w:rPr>
          <w:rFonts w:cstheme="minorHAnsi"/>
        </w:rPr>
        <w:t>,</w:t>
      </w:r>
      <w:r w:rsidRPr="004737C5">
        <w:rPr>
          <w:rFonts w:cstheme="minorHAnsi"/>
        </w:rPr>
        <w:t xml:space="preserve"> the consumer should have a choice of providers and possibl</w:t>
      </w:r>
      <w:r w:rsidR="005F786A" w:rsidRPr="004737C5">
        <w:rPr>
          <w:rFonts w:cstheme="minorHAnsi"/>
        </w:rPr>
        <w:t>y a choice of risks covered</w:t>
      </w:r>
    </w:p>
    <w:p w14:paraId="0CE0905F" w14:textId="77777777" w:rsidR="00BE71E3" w:rsidRPr="004737C5" w:rsidRDefault="00BE71E3" w:rsidP="002473E9">
      <w:pPr>
        <w:pStyle w:val="ListParagraph"/>
        <w:numPr>
          <w:ilvl w:val="0"/>
          <w:numId w:val="74"/>
        </w:numPr>
        <w:ind w:left="709" w:hanging="425"/>
        <w:rPr>
          <w:rFonts w:cstheme="minorHAnsi"/>
        </w:rPr>
      </w:pPr>
      <w:r w:rsidRPr="004737C5">
        <w:rPr>
          <w:rFonts w:cstheme="minorHAnsi"/>
        </w:rPr>
        <w:t>The transfer of risk is normally accomplished by means of a contract and thus the legal fr</w:t>
      </w:r>
      <w:r w:rsidR="005F786A" w:rsidRPr="004737C5">
        <w:rPr>
          <w:rFonts w:cstheme="minorHAnsi"/>
        </w:rPr>
        <w:t>amework is that of contract law</w:t>
      </w:r>
    </w:p>
    <w:p w14:paraId="1E0F3354" w14:textId="77777777" w:rsidR="00CB26B4" w:rsidRPr="004737C5" w:rsidRDefault="00BE71E3" w:rsidP="00CB26B4">
      <w:pPr>
        <w:rPr>
          <w:rFonts w:cstheme="minorHAnsi"/>
        </w:rPr>
      </w:pPr>
      <w:r w:rsidRPr="004737C5">
        <w:rPr>
          <w:rFonts w:cstheme="minorHAnsi"/>
        </w:rPr>
        <w:t>It is beyond the scope of this manual to address the very many techn</w:t>
      </w:r>
      <w:r w:rsidR="005F786A" w:rsidRPr="004737C5">
        <w:rPr>
          <w:rFonts w:cstheme="minorHAnsi"/>
        </w:rPr>
        <w:t xml:space="preserve">ical aspects of insurance law. </w:t>
      </w:r>
      <w:r w:rsidRPr="004737C5">
        <w:rPr>
          <w:rFonts w:cstheme="minorHAnsi"/>
        </w:rPr>
        <w:t>Suffice it to note that the consumer cannot be expected to unde</w:t>
      </w:r>
      <w:r w:rsidR="005F786A" w:rsidRPr="004737C5">
        <w:rPr>
          <w:rFonts w:cstheme="minorHAnsi"/>
        </w:rPr>
        <w:t xml:space="preserve">rstand many of the common terms which are in use </w:t>
      </w:r>
      <w:r w:rsidRPr="004737C5">
        <w:rPr>
          <w:rFonts w:cstheme="minorHAnsi"/>
        </w:rPr>
        <w:t>because of the applicable law (either by statute or custom) through which they form part of standard contracts.</w:t>
      </w:r>
      <w:bookmarkStart w:id="329" w:name="_Toc454293885"/>
      <w:bookmarkStart w:id="330" w:name="_Toc489950323"/>
      <w:bookmarkStart w:id="331" w:name="_Toc492650110"/>
      <w:bookmarkStart w:id="332" w:name="_Toc183930663"/>
    </w:p>
    <w:tbl>
      <w:tblPr>
        <w:tblStyle w:val="TableGrid"/>
        <w:tblW w:w="0" w:type="auto"/>
        <w:tblLook w:val="04A0" w:firstRow="1" w:lastRow="0" w:firstColumn="1" w:lastColumn="0" w:noHBand="0" w:noVBand="1"/>
      </w:tblPr>
      <w:tblGrid>
        <w:gridCol w:w="9243"/>
      </w:tblGrid>
      <w:tr w:rsidR="004F1235" w:rsidRPr="004737C5" w14:paraId="275D14D6" w14:textId="77777777" w:rsidTr="004F1235">
        <w:tc>
          <w:tcPr>
            <w:tcW w:w="9628" w:type="dxa"/>
          </w:tcPr>
          <w:p w14:paraId="4830D470" w14:textId="77777777" w:rsidR="004F1235" w:rsidRPr="004737C5" w:rsidRDefault="004F1235" w:rsidP="004F1235">
            <w:pPr>
              <w:rPr>
                <w:rFonts w:cstheme="minorHAnsi"/>
                <w:b/>
                <w:bCs/>
              </w:rPr>
            </w:pPr>
            <w:r w:rsidRPr="004737C5">
              <w:rPr>
                <w:rFonts w:cstheme="minorHAnsi"/>
                <w:b/>
              </w:rPr>
              <w:t xml:space="preserve">Box 20. </w:t>
            </w:r>
            <w:r w:rsidRPr="004737C5">
              <w:rPr>
                <w:rFonts w:cstheme="minorHAnsi"/>
                <w:b/>
                <w:bCs/>
              </w:rPr>
              <w:t>Private insurance products</w:t>
            </w:r>
          </w:p>
          <w:p w14:paraId="1452AC00" w14:textId="77777777" w:rsidR="004F1235" w:rsidRPr="004737C5" w:rsidRDefault="004F1235" w:rsidP="002218BB">
            <w:pPr>
              <w:spacing w:before="160"/>
              <w:rPr>
                <w:rFonts w:cstheme="minorHAnsi"/>
                <w:b/>
              </w:rPr>
            </w:pPr>
            <w:r w:rsidRPr="004737C5">
              <w:rPr>
                <w:rFonts w:cstheme="minorHAnsi"/>
                <w:b/>
              </w:rPr>
              <w:t>Life insurance</w:t>
            </w:r>
          </w:p>
          <w:p w14:paraId="429D3146" w14:textId="77777777" w:rsidR="004F1235" w:rsidRPr="004737C5" w:rsidRDefault="004F1235" w:rsidP="00571C67">
            <w:pPr>
              <w:spacing w:after="160"/>
              <w:rPr>
                <w:rFonts w:cstheme="minorHAnsi"/>
              </w:rPr>
            </w:pPr>
            <w:r w:rsidRPr="004737C5">
              <w:rPr>
                <w:rFonts w:cstheme="minorHAnsi"/>
              </w:rPr>
              <w:t>These policies provide risk cover either for the entire life or for a fixed term. Some policies also combine risk cover with other financial returns. For example, proceeds from a life insurance policy can also help supplement retirement income. It can be an important tool in the following ways:</w:t>
            </w:r>
          </w:p>
          <w:p w14:paraId="237829E4" w14:textId="77777777" w:rsidR="004F1235" w:rsidRPr="004737C5" w:rsidRDefault="004F1235" w:rsidP="002473E9">
            <w:pPr>
              <w:pStyle w:val="ListParagraph"/>
              <w:numPr>
                <w:ilvl w:val="0"/>
                <w:numId w:val="98"/>
              </w:numPr>
              <w:ind w:left="709" w:hanging="425"/>
              <w:rPr>
                <w:rFonts w:cstheme="minorHAnsi"/>
              </w:rPr>
            </w:pPr>
            <w:r w:rsidRPr="004737C5">
              <w:rPr>
                <w:rFonts w:cstheme="minorHAnsi"/>
              </w:rPr>
              <w:lastRenderedPageBreak/>
              <w:t xml:space="preserve">Income replacement </w:t>
            </w:r>
          </w:p>
          <w:p w14:paraId="53EBD30A" w14:textId="6ED876E9" w:rsidR="004F1235" w:rsidRPr="004737C5" w:rsidRDefault="004F1235" w:rsidP="002473E9">
            <w:pPr>
              <w:pStyle w:val="ListParagraph"/>
              <w:numPr>
                <w:ilvl w:val="0"/>
                <w:numId w:val="98"/>
              </w:numPr>
              <w:ind w:left="709" w:hanging="425"/>
              <w:rPr>
                <w:rFonts w:cstheme="minorHAnsi"/>
              </w:rPr>
            </w:pPr>
            <w:r w:rsidRPr="004737C5">
              <w:rPr>
                <w:rFonts w:cstheme="minorHAnsi"/>
              </w:rPr>
              <w:t>Pay</w:t>
            </w:r>
            <w:r w:rsidR="00571C67" w:rsidRPr="004737C5">
              <w:rPr>
                <w:rFonts w:cstheme="minorHAnsi"/>
              </w:rPr>
              <w:t>ing</w:t>
            </w:r>
            <w:r w:rsidRPr="004737C5">
              <w:rPr>
                <w:rFonts w:cstheme="minorHAnsi"/>
              </w:rPr>
              <w:t xml:space="preserve"> outstanding debts and long-term obligations</w:t>
            </w:r>
          </w:p>
          <w:p w14:paraId="190BFDDA" w14:textId="77777777" w:rsidR="004F1235" w:rsidRPr="004737C5" w:rsidRDefault="004F1235" w:rsidP="002473E9">
            <w:pPr>
              <w:pStyle w:val="ListParagraph"/>
              <w:numPr>
                <w:ilvl w:val="0"/>
                <w:numId w:val="98"/>
              </w:numPr>
              <w:spacing w:before="240"/>
              <w:ind w:left="709" w:hanging="425"/>
              <w:rPr>
                <w:rFonts w:cstheme="minorHAnsi"/>
                <w:b/>
              </w:rPr>
            </w:pPr>
            <w:r w:rsidRPr="004737C5">
              <w:rPr>
                <w:rFonts w:cstheme="minorHAnsi"/>
              </w:rPr>
              <w:t>Estate planning including legacy contributions</w:t>
            </w:r>
          </w:p>
          <w:p w14:paraId="7C165827" w14:textId="77777777" w:rsidR="004F1235" w:rsidRPr="004737C5" w:rsidRDefault="004F1235" w:rsidP="00571C67">
            <w:pPr>
              <w:spacing w:before="160"/>
              <w:rPr>
                <w:rFonts w:cstheme="minorHAnsi"/>
                <w:b/>
              </w:rPr>
            </w:pPr>
            <w:r w:rsidRPr="004737C5">
              <w:rPr>
                <w:rFonts w:cstheme="minorHAnsi"/>
                <w:b/>
              </w:rPr>
              <w:t>Health insurance</w:t>
            </w:r>
          </w:p>
          <w:p w14:paraId="0040C6B5" w14:textId="77777777" w:rsidR="004F1235" w:rsidRPr="004737C5" w:rsidRDefault="004F1235" w:rsidP="00571C67">
            <w:pPr>
              <w:spacing w:after="160"/>
              <w:rPr>
                <w:rFonts w:cstheme="minorHAnsi"/>
              </w:rPr>
            </w:pPr>
            <w:r w:rsidRPr="004737C5">
              <w:rPr>
                <w:rFonts w:cstheme="minorHAnsi"/>
              </w:rPr>
              <w:t>Although plans differ, they cover an array of medical, surgical and hospital expenses. Most cover prescription drugs and some also offer dental coverage. Managed care plans provide comprehensive health services to their members and offer financial incentives to patients who use providers named in the plan. Broad categories include:</w:t>
            </w:r>
          </w:p>
          <w:p w14:paraId="5013CF04" w14:textId="77777777" w:rsidR="004F1235" w:rsidRPr="004737C5" w:rsidRDefault="004F1235" w:rsidP="002473E9">
            <w:pPr>
              <w:pStyle w:val="ListParagraph"/>
              <w:numPr>
                <w:ilvl w:val="0"/>
                <w:numId w:val="99"/>
              </w:numPr>
              <w:ind w:left="709" w:hanging="425"/>
              <w:rPr>
                <w:rFonts w:cstheme="minorHAnsi"/>
              </w:rPr>
            </w:pPr>
            <w:r w:rsidRPr="004737C5">
              <w:rPr>
                <w:rFonts w:cstheme="minorHAnsi"/>
              </w:rPr>
              <w:t>Fee-for-service</w:t>
            </w:r>
          </w:p>
          <w:p w14:paraId="22F9AE50" w14:textId="77777777" w:rsidR="004F1235" w:rsidRPr="004737C5" w:rsidRDefault="004F1235" w:rsidP="002473E9">
            <w:pPr>
              <w:pStyle w:val="ListParagraph"/>
              <w:numPr>
                <w:ilvl w:val="0"/>
                <w:numId w:val="99"/>
              </w:numPr>
              <w:ind w:left="709" w:hanging="425"/>
              <w:rPr>
                <w:rFonts w:cstheme="minorHAnsi"/>
              </w:rPr>
            </w:pPr>
            <w:r w:rsidRPr="004737C5">
              <w:rPr>
                <w:rFonts w:cstheme="minorHAnsi"/>
              </w:rPr>
              <w:t>Managed care</w:t>
            </w:r>
          </w:p>
          <w:p w14:paraId="5FA0FD77" w14:textId="77777777" w:rsidR="004F1235" w:rsidRPr="004737C5" w:rsidRDefault="004F1235" w:rsidP="002473E9">
            <w:pPr>
              <w:pStyle w:val="ListParagraph"/>
              <w:numPr>
                <w:ilvl w:val="0"/>
                <w:numId w:val="99"/>
              </w:numPr>
              <w:spacing w:before="240"/>
              <w:ind w:left="709" w:hanging="425"/>
              <w:rPr>
                <w:rFonts w:cstheme="minorHAnsi"/>
                <w:b/>
              </w:rPr>
            </w:pPr>
            <w:r w:rsidRPr="004737C5">
              <w:rPr>
                <w:rFonts w:cstheme="minorHAnsi"/>
              </w:rPr>
              <w:t>Disability insurance</w:t>
            </w:r>
          </w:p>
          <w:p w14:paraId="3E28A63B" w14:textId="77777777" w:rsidR="004F1235" w:rsidRPr="004737C5" w:rsidRDefault="004F1235" w:rsidP="00571C67">
            <w:pPr>
              <w:spacing w:before="160"/>
              <w:rPr>
                <w:rFonts w:cstheme="minorHAnsi"/>
                <w:b/>
              </w:rPr>
            </w:pPr>
            <w:r w:rsidRPr="004737C5">
              <w:rPr>
                <w:rFonts w:cstheme="minorHAnsi"/>
                <w:b/>
              </w:rPr>
              <w:t>Auto insurance</w:t>
            </w:r>
          </w:p>
          <w:p w14:paraId="387E03C5" w14:textId="77777777" w:rsidR="004F1235" w:rsidRPr="004737C5" w:rsidRDefault="004F1235" w:rsidP="00571C67">
            <w:pPr>
              <w:spacing w:after="160"/>
              <w:rPr>
                <w:rFonts w:cstheme="minorHAnsi"/>
              </w:rPr>
            </w:pPr>
            <w:r w:rsidRPr="004737C5">
              <w:rPr>
                <w:rFonts w:cstheme="minorHAnsi"/>
              </w:rPr>
              <w:t>Auto insurance protects against financial loss in the event of an accident or theft of a vehicle. Auto insurance products are a good example of cover from all three categories of insurance, i.e. insurance of the person, property and liability:</w:t>
            </w:r>
          </w:p>
          <w:p w14:paraId="55636A57" w14:textId="77777777" w:rsidR="004F1235" w:rsidRPr="004737C5" w:rsidRDefault="004F1235" w:rsidP="002473E9">
            <w:pPr>
              <w:pStyle w:val="ListParagraph"/>
              <w:numPr>
                <w:ilvl w:val="0"/>
                <w:numId w:val="100"/>
              </w:numPr>
              <w:ind w:left="709" w:hanging="425"/>
              <w:rPr>
                <w:rFonts w:cstheme="minorHAnsi"/>
              </w:rPr>
            </w:pPr>
            <w:r w:rsidRPr="004737C5">
              <w:rPr>
                <w:rFonts w:cstheme="minorHAnsi"/>
              </w:rPr>
              <w:t>Property coverage for damage to or theft of the motor vehicle</w:t>
            </w:r>
          </w:p>
          <w:p w14:paraId="61F37A46" w14:textId="77777777" w:rsidR="004F1235" w:rsidRPr="004737C5" w:rsidRDefault="004F1235" w:rsidP="002473E9">
            <w:pPr>
              <w:pStyle w:val="ListParagraph"/>
              <w:numPr>
                <w:ilvl w:val="0"/>
                <w:numId w:val="100"/>
              </w:numPr>
              <w:ind w:left="709" w:hanging="425"/>
              <w:rPr>
                <w:rFonts w:cstheme="minorHAnsi"/>
              </w:rPr>
            </w:pPr>
            <w:r w:rsidRPr="004737C5">
              <w:rPr>
                <w:rFonts w:cstheme="minorHAnsi"/>
              </w:rPr>
              <w:t>Liability coverage for legal responsibility to others for bodily injury or property damage</w:t>
            </w:r>
          </w:p>
          <w:p w14:paraId="54A6B422" w14:textId="77777777" w:rsidR="004F1235" w:rsidRPr="004737C5" w:rsidRDefault="004F1235" w:rsidP="002473E9">
            <w:pPr>
              <w:pStyle w:val="ListParagraph"/>
              <w:numPr>
                <w:ilvl w:val="0"/>
                <w:numId w:val="100"/>
              </w:numPr>
              <w:ind w:left="709" w:hanging="425"/>
              <w:rPr>
                <w:rFonts w:cstheme="minorHAnsi"/>
              </w:rPr>
            </w:pPr>
            <w:r w:rsidRPr="004737C5">
              <w:rPr>
                <w:rFonts w:cstheme="minorHAnsi"/>
              </w:rPr>
              <w:t>Medical coverage for the cost of treating injuries, rehabilitation and sometimes lost wages and funeral expenses</w:t>
            </w:r>
          </w:p>
          <w:p w14:paraId="1A595AFD" w14:textId="57D5157A" w:rsidR="004F1235" w:rsidRPr="004737C5" w:rsidRDefault="004F1235" w:rsidP="00571C67">
            <w:pPr>
              <w:spacing w:before="160"/>
              <w:rPr>
                <w:rFonts w:cstheme="minorHAnsi"/>
              </w:rPr>
            </w:pPr>
            <w:r w:rsidRPr="004737C5">
              <w:rPr>
                <w:rFonts w:cstheme="minorHAnsi"/>
              </w:rPr>
              <w:t xml:space="preserve">An auto </w:t>
            </w:r>
            <w:r w:rsidR="00571C67" w:rsidRPr="004737C5">
              <w:rPr>
                <w:rFonts w:cstheme="minorHAnsi"/>
              </w:rPr>
              <w:t>insurance policy itself can be “fault-based” or “</w:t>
            </w:r>
            <w:r w:rsidRPr="004737C5">
              <w:rPr>
                <w:rFonts w:cstheme="minorHAnsi"/>
              </w:rPr>
              <w:t>no f</w:t>
            </w:r>
            <w:r w:rsidR="00571C67" w:rsidRPr="004737C5">
              <w:rPr>
                <w:rFonts w:cstheme="minorHAnsi"/>
              </w:rPr>
              <w:t>ault”</w:t>
            </w:r>
            <w:r w:rsidRPr="004737C5">
              <w:rPr>
                <w:rFonts w:cstheme="minorHAnsi"/>
              </w:rPr>
              <w:t>. This may depend on the applicable law.</w:t>
            </w:r>
          </w:p>
          <w:p w14:paraId="71045F31" w14:textId="77777777" w:rsidR="004F1235" w:rsidRPr="004737C5" w:rsidRDefault="004F1235" w:rsidP="00571C67">
            <w:pPr>
              <w:spacing w:before="160"/>
              <w:rPr>
                <w:rFonts w:cstheme="minorHAnsi"/>
              </w:rPr>
            </w:pPr>
            <w:r w:rsidRPr="004737C5">
              <w:rPr>
                <w:rFonts w:cstheme="minorHAnsi"/>
              </w:rPr>
              <w:t>Most countries require some, but not all, of these risks to be covered.  If the purchase of the car is financed by credit, the lender may also have requirements.</w:t>
            </w:r>
          </w:p>
          <w:p w14:paraId="4FC4DF59" w14:textId="77777777" w:rsidR="004F1235" w:rsidRPr="004737C5" w:rsidRDefault="004F1235" w:rsidP="00571C67">
            <w:pPr>
              <w:spacing w:before="160"/>
              <w:rPr>
                <w:rFonts w:cstheme="minorHAnsi"/>
                <w:b/>
              </w:rPr>
            </w:pPr>
            <w:r w:rsidRPr="004737C5">
              <w:rPr>
                <w:rFonts w:cstheme="minorHAnsi"/>
                <w:b/>
              </w:rPr>
              <w:t>Home insurance</w:t>
            </w:r>
          </w:p>
          <w:p w14:paraId="4EB93F9C" w14:textId="77777777" w:rsidR="004F1235" w:rsidRPr="004737C5" w:rsidRDefault="004F1235" w:rsidP="004F1235">
            <w:pPr>
              <w:rPr>
                <w:rFonts w:cstheme="minorHAnsi"/>
              </w:rPr>
            </w:pPr>
            <w:r w:rsidRPr="004737C5">
              <w:rPr>
                <w:rFonts w:cstheme="minorHAnsi"/>
              </w:rPr>
              <w:t>Homeowners insurance provides financial protection against disasters. A standard policy would insure the home itself and its contents.</w:t>
            </w:r>
          </w:p>
          <w:p w14:paraId="33CA1B30" w14:textId="0C5A7592" w:rsidR="004F1235" w:rsidRPr="004737C5" w:rsidRDefault="00571C67" w:rsidP="00571C67">
            <w:pPr>
              <w:spacing w:before="160"/>
              <w:rPr>
                <w:rFonts w:cstheme="minorHAnsi"/>
                <w:b/>
              </w:rPr>
            </w:pPr>
            <w:r w:rsidRPr="004737C5">
              <w:rPr>
                <w:rFonts w:cstheme="minorHAnsi"/>
                <w:b/>
              </w:rPr>
              <w:t>Travel i</w:t>
            </w:r>
            <w:r w:rsidR="004F1235" w:rsidRPr="004737C5">
              <w:rPr>
                <w:rFonts w:cstheme="minorHAnsi"/>
                <w:b/>
              </w:rPr>
              <w:t>nsurance</w:t>
            </w:r>
          </w:p>
          <w:p w14:paraId="6B81E045" w14:textId="77777777" w:rsidR="004F1235" w:rsidRPr="004737C5" w:rsidRDefault="004F1235" w:rsidP="00571C67">
            <w:pPr>
              <w:spacing w:after="160"/>
              <w:rPr>
                <w:rFonts w:cstheme="minorHAnsi"/>
              </w:rPr>
            </w:pPr>
            <w:r w:rsidRPr="004737C5">
              <w:rPr>
                <w:rFonts w:cstheme="minorHAnsi"/>
              </w:rPr>
              <w:t xml:space="preserve">There are three major types of travel insurance: </w:t>
            </w:r>
          </w:p>
          <w:p w14:paraId="70859D1E" w14:textId="77777777" w:rsidR="004F1235" w:rsidRPr="004737C5" w:rsidRDefault="004F1235" w:rsidP="002473E9">
            <w:pPr>
              <w:pStyle w:val="ListParagraph"/>
              <w:numPr>
                <w:ilvl w:val="0"/>
                <w:numId w:val="101"/>
              </w:numPr>
              <w:ind w:left="709" w:hanging="425"/>
              <w:rPr>
                <w:rFonts w:cstheme="minorHAnsi"/>
              </w:rPr>
            </w:pPr>
            <w:r w:rsidRPr="004737C5">
              <w:rPr>
                <w:rFonts w:cstheme="minorHAnsi"/>
              </w:rPr>
              <w:t>Trip cancellation insurance</w:t>
            </w:r>
          </w:p>
          <w:p w14:paraId="50E97106" w14:textId="77777777" w:rsidR="004F1235" w:rsidRPr="004737C5" w:rsidRDefault="004F1235" w:rsidP="002473E9">
            <w:pPr>
              <w:pStyle w:val="ListParagraph"/>
              <w:numPr>
                <w:ilvl w:val="0"/>
                <w:numId w:val="101"/>
              </w:numPr>
              <w:ind w:left="709" w:hanging="425"/>
              <w:rPr>
                <w:rFonts w:cstheme="minorHAnsi"/>
              </w:rPr>
            </w:pPr>
            <w:r w:rsidRPr="004737C5">
              <w:rPr>
                <w:rFonts w:cstheme="minorHAnsi"/>
              </w:rPr>
              <w:t>Baggage insurance or personal effects coverage</w:t>
            </w:r>
          </w:p>
          <w:p w14:paraId="26A1C707" w14:textId="77777777" w:rsidR="004F1235" w:rsidRPr="004737C5" w:rsidRDefault="004F1235" w:rsidP="002473E9">
            <w:pPr>
              <w:pStyle w:val="ListParagraph"/>
              <w:numPr>
                <w:ilvl w:val="0"/>
                <w:numId w:val="101"/>
              </w:numPr>
              <w:ind w:left="709" w:hanging="425"/>
              <w:rPr>
                <w:rFonts w:cstheme="minorHAnsi"/>
                <w:b/>
              </w:rPr>
            </w:pPr>
            <w:r w:rsidRPr="004737C5">
              <w:rPr>
                <w:rFonts w:cstheme="minorHAnsi"/>
              </w:rPr>
              <w:t>Emergency medical assistance</w:t>
            </w:r>
          </w:p>
        </w:tc>
      </w:tr>
    </w:tbl>
    <w:p w14:paraId="38F51F8C" w14:textId="77777777" w:rsidR="00BE71E3" w:rsidRPr="004737C5" w:rsidRDefault="005F786A" w:rsidP="004F1235">
      <w:pPr>
        <w:spacing w:before="240"/>
        <w:rPr>
          <w:rFonts w:cstheme="minorHAnsi"/>
          <w:b/>
          <w:sz w:val="24"/>
          <w:szCs w:val="24"/>
        </w:rPr>
      </w:pPr>
      <w:r w:rsidRPr="004737C5">
        <w:rPr>
          <w:rFonts w:cstheme="minorHAnsi"/>
          <w:b/>
          <w:sz w:val="24"/>
          <w:szCs w:val="24"/>
        </w:rPr>
        <w:lastRenderedPageBreak/>
        <w:t>D.</w:t>
      </w:r>
      <w:r w:rsidR="00BE71E3" w:rsidRPr="004737C5">
        <w:rPr>
          <w:rFonts w:cstheme="minorHAnsi"/>
          <w:b/>
          <w:sz w:val="24"/>
          <w:szCs w:val="24"/>
        </w:rPr>
        <w:t xml:space="preserve"> Areas of regulation for financial services and prospects for reform</w:t>
      </w:r>
      <w:bookmarkEnd w:id="329"/>
      <w:bookmarkEnd w:id="330"/>
      <w:bookmarkEnd w:id="331"/>
      <w:r w:rsidR="00BE71E3" w:rsidRPr="004737C5">
        <w:rPr>
          <w:rFonts w:cstheme="minorHAnsi"/>
          <w:b/>
          <w:sz w:val="24"/>
          <w:szCs w:val="24"/>
        </w:rPr>
        <w:t xml:space="preserve"> </w:t>
      </w:r>
      <w:bookmarkEnd w:id="332"/>
    </w:p>
    <w:p w14:paraId="2EC8147A" w14:textId="77777777" w:rsidR="00BE71E3" w:rsidRPr="004737C5" w:rsidRDefault="00BE71E3" w:rsidP="006D3BE8">
      <w:pPr>
        <w:rPr>
          <w:rFonts w:cstheme="minorHAnsi"/>
        </w:rPr>
      </w:pPr>
      <w:r w:rsidRPr="004737C5">
        <w:rPr>
          <w:rFonts w:cstheme="minorHAnsi"/>
        </w:rPr>
        <w:t>Following up its 2012 recommendations, the World Bank carried out a survey of regulators involved in financial consumer protection in 114 jurisdictions.</w:t>
      </w:r>
      <w:r w:rsidRPr="004737C5">
        <w:rPr>
          <w:rStyle w:val="FootnoteReference"/>
          <w:rFonts w:cstheme="minorHAnsi"/>
        </w:rPr>
        <w:footnoteReference w:id="290"/>
      </w:r>
      <w:r w:rsidR="004F1235" w:rsidRPr="004737C5">
        <w:rPr>
          <w:rFonts w:cstheme="minorHAnsi"/>
        </w:rPr>
        <w:t xml:space="preserve"> It found that “</w:t>
      </w:r>
      <w:r w:rsidRPr="004737C5">
        <w:rPr>
          <w:rFonts w:cstheme="minorHAnsi"/>
        </w:rPr>
        <w:t>some form of legal framework is in place in 1</w:t>
      </w:r>
      <w:r w:rsidR="004F1235" w:rsidRPr="004737C5">
        <w:rPr>
          <w:rFonts w:cstheme="minorHAnsi"/>
        </w:rPr>
        <w:t>12 out of the 114 jurisdictions”</w:t>
      </w:r>
      <w:r w:rsidRPr="004737C5">
        <w:rPr>
          <w:rFonts w:cstheme="minorHAnsi"/>
        </w:rPr>
        <w:t xml:space="preserve"> but </w:t>
      </w:r>
      <w:r w:rsidR="004F1235" w:rsidRPr="004737C5">
        <w:rPr>
          <w:rFonts w:cstheme="minorHAnsi"/>
        </w:rPr>
        <w:t>also concluded that “</w:t>
      </w:r>
      <w:r w:rsidRPr="004737C5">
        <w:rPr>
          <w:rFonts w:cstheme="minorHAnsi"/>
        </w:rPr>
        <w:t>f</w:t>
      </w:r>
      <w:r w:rsidRPr="004737C5">
        <w:rPr>
          <w:rFonts w:cstheme="minorHAnsi"/>
          <w:color w:val="000000"/>
        </w:rPr>
        <w:t>ewer economies have provisions specific to financial industry such as restrict</w:t>
      </w:r>
      <w:r w:rsidR="004F1235" w:rsidRPr="004737C5">
        <w:rPr>
          <w:rFonts w:cstheme="minorHAnsi"/>
          <w:color w:val="000000"/>
        </w:rPr>
        <w:t>ions on predatory lending (59 percent</w:t>
      </w:r>
      <w:r w:rsidRPr="004737C5">
        <w:rPr>
          <w:rFonts w:cstheme="minorHAnsi"/>
          <w:color w:val="000000"/>
        </w:rPr>
        <w:t>)</w:t>
      </w:r>
      <w:r w:rsidR="004F1235" w:rsidRPr="004737C5">
        <w:rPr>
          <w:rFonts w:cstheme="minorHAnsi"/>
          <w:color w:val="000000"/>
        </w:rPr>
        <w:t>,</w:t>
      </w:r>
      <w:r w:rsidRPr="004737C5">
        <w:rPr>
          <w:rFonts w:cstheme="minorHAnsi"/>
          <w:color w:val="000000"/>
        </w:rPr>
        <w:t xml:space="preserve"> bund</w:t>
      </w:r>
      <w:r w:rsidR="004F1235" w:rsidRPr="004737C5">
        <w:rPr>
          <w:rFonts w:cstheme="minorHAnsi"/>
          <w:color w:val="000000"/>
        </w:rPr>
        <w:t>ling and tying of services (49 percent) and abusive collections (45 percent)”</w:t>
      </w:r>
      <w:r w:rsidRPr="004737C5">
        <w:rPr>
          <w:rFonts w:cstheme="minorHAnsi"/>
          <w:color w:val="000000"/>
        </w:rPr>
        <w:t>.</w:t>
      </w:r>
      <w:r w:rsidRPr="004737C5">
        <w:rPr>
          <w:rStyle w:val="FootnoteReference"/>
          <w:rFonts w:cstheme="minorHAnsi"/>
          <w:color w:val="000000"/>
        </w:rPr>
        <w:footnoteReference w:id="291"/>
      </w:r>
      <w:r w:rsidR="004F1235" w:rsidRPr="004737C5">
        <w:rPr>
          <w:rFonts w:cstheme="minorHAnsi"/>
          <w:color w:val="000000"/>
        </w:rPr>
        <w:t xml:space="preserve"> It concluded that “</w:t>
      </w:r>
      <w:r w:rsidRPr="004737C5">
        <w:rPr>
          <w:rFonts w:cstheme="minorHAnsi"/>
          <w:color w:val="000000"/>
        </w:rPr>
        <w:t xml:space="preserve">the function of financial consumer protection supervision is far behind prudential supervision in </w:t>
      </w:r>
      <w:r w:rsidRPr="004737C5">
        <w:rPr>
          <w:rFonts w:cstheme="minorHAnsi"/>
          <w:color w:val="000000"/>
        </w:rPr>
        <w:lastRenderedPageBreak/>
        <w:t>terms of available methodologies for compliance monitoring, range and nature of enforcement actions, and supervisory skills</w:t>
      </w:r>
      <w:r w:rsidR="004F1235" w:rsidRPr="004737C5">
        <w:rPr>
          <w:rFonts w:cstheme="minorHAnsi"/>
          <w:color w:val="000000"/>
        </w:rPr>
        <w:t>”.</w:t>
      </w:r>
      <w:r w:rsidRPr="004737C5">
        <w:rPr>
          <w:rFonts w:cstheme="minorHAnsi"/>
          <w:color w:val="000000"/>
        </w:rPr>
        <w:t xml:space="preserve"> Clearly there is some way to go even after the talk of post-crisis reform. </w:t>
      </w:r>
    </w:p>
    <w:p w14:paraId="4CC66542" w14:textId="77777777" w:rsidR="00BE71E3" w:rsidRPr="004737C5" w:rsidRDefault="00BE71E3" w:rsidP="006D3BE8">
      <w:pPr>
        <w:rPr>
          <w:rFonts w:cstheme="minorHAnsi"/>
        </w:rPr>
      </w:pPr>
      <w:r w:rsidRPr="004737C5">
        <w:rPr>
          <w:rFonts w:cstheme="minorHAnsi"/>
        </w:rPr>
        <w:t xml:space="preserve">Well-designed financial services legislation can promote efficient and fair markets. This can be achieved by enhancing the competitive environment relevant </w:t>
      </w:r>
      <w:r w:rsidR="004F1235" w:rsidRPr="004737C5">
        <w:rPr>
          <w:rFonts w:cstheme="minorHAnsi"/>
        </w:rPr>
        <w:t>to</w:t>
      </w:r>
      <w:r w:rsidRPr="004737C5">
        <w:rPr>
          <w:rFonts w:cstheme="minorHAnsi"/>
        </w:rPr>
        <w:t xml:space="preserve"> the provision of financial services and ensuring the fair treatment of consumers. The most common areas of regulation include: </w:t>
      </w:r>
    </w:p>
    <w:p w14:paraId="7227861E" w14:textId="77777777" w:rsidR="00BE71E3" w:rsidRPr="004737C5" w:rsidRDefault="00BE71E3" w:rsidP="00571C67">
      <w:pPr>
        <w:pStyle w:val="ListParagraph"/>
        <w:numPr>
          <w:ilvl w:val="0"/>
          <w:numId w:val="75"/>
        </w:numPr>
        <w:ind w:left="709" w:hanging="425"/>
        <w:rPr>
          <w:rFonts w:cstheme="minorHAnsi"/>
        </w:rPr>
      </w:pPr>
      <w:r w:rsidRPr="004737C5">
        <w:rPr>
          <w:rFonts w:cstheme="minorHAnsi"/>
        </w:rPr>
        <w:t>Licensing and supervision of suppliers (including intermediaries), agenci</w:t>
      </w:r>
      <w:r w:rsidR="004F1235" w:rsidRPr="004737C5">
        <w:rPr>
          <w:rFonts w:cstheme="minorHAnsi"/>
        </w:rPr>
        <w:t>es (such as credit referencing)</w:t>
      </w:r>
      <w:r w:rsidRPr="004737C5">
        <w:rPr>
          <w:rFonts w:cstheme="minorHAnsi"/>
        </w:rPr>
        <w:t xml:space="preserve"> a</w:t>
      </w:r>
      <w:r w:rsidR="004F1235" w:rsidRPr="004737C5">
        <w:rPr>
          <w:rFonts w:cstheme="minorHAnsi"/>
        </w:rPr>
        <w:t>nd financial services products</w:t>
      </w:r>
    </w:p>
    <w:p w14:paraId="71511160" w14:textId="77777777" w:rsidR="00BE71E3" w:rsidRPr="004737C5" w:rsidRDefault="00BE71E3" w:rsidP="00571C67">
      <w:pPr>
        <w:pStyle w:val="ListParagraph"/>
        <w:numPr>
          <w:ilvl w:val="0"/>
          <w:numId w:val="75"/>
        </w:numPr>
        <w:ind w:left="709" w:hanging="425"/>
        <w:rPr>
          <w:rFonts w:cstheme="minorHAnsi"/>
        </w:rPr>
      </w:pPr>
      <w:r w:rsidRPr="004737C5">
        <w:rPr>
          <w:rFonts w:cstheme="minorHAnsi"/>
        </w:rPr>
        <w:t>Responsible business conduc</w:t>
      </w:r>
      <w:r w:rsidR="004F1235" w:rsidRPr="004737C5">
        <w:rPr>
          <w:rFonts w:cstheme="minorHAnsi"/>
        </w:rPr>
        <w:t>t including responsible lending</w:t>
      </w:r>
    </w:p>
    <w:p w14:paraId="4E14800B" w14:textId="77777777" w:rsidR="00BE71E3" w:rsidRPr="004737C5" w:rsidRDefault="004F1235" w:rsidP="00571C67">
      <w:pPr>
        <w:pStyle w:val="ListParagraph"/>
        <w:numPr>
          <w:ilvl w:val="0"/>
          <w:numId w:val="75"/>
        </w:numPr>
        <w:ind w:left="709" w:hanging="425"/>
        <w:rPr>
          <w:rFonts w:cstheme="minorHAnsi"/>
        </w:rPr>
      </w:pPr>
      <w:r w:rsidRPr="004737C5">
        <w:rPr>
          <w:rFonts w:cstheme="minorHAnsi"/>
        </w:rPr>
        <w:t>Control of advertising</w:t>
      </w:r>
    </w:p>
    <w:p w14:paraId="0380FCB1" w14:textId="77777777" w:rsidR="00BE71E3" w:rsidRPr="004737C5" w:rsidRDefault="00BE71E3" w:rsidP="00571C67">
      <w:pPr>
        <w:pStyle w:val="ListParagraph"/>
        <w:numPr>
          <w:ilvl w:val="0"/>
          <w:numId w:val="75"/>
        </w:numPr>
        <w:ind w:left="709" w:hanging="425"/>
        <w:rPr>
          <w:rFonts w:cstheme="minorHAnsi"/>
        </w:rPr>
      </w:pPr>
      <w:r w:rsidRPr="004737C5">
        <w:rPr>
          <w:rFonts w:cstheme="minorHAnsi"/>
        </w:rPr>
        <w:t>Provision of information to consumers (comprehen</w:t>
      </w:r>
      <w:r w:rsidR="004F1235" w:rsidRPr="004737C5">
        <w:rPr>
          <w:rFonts w:cstheme="minorHAnsi"/>
        </w:rPr>
        <w:t>sibility and comprehensiveness)</w:t>
      </w:r>
    </w:p>
    <w:p w14:paraId="066ACBD9" w14:textId="77777777" w:rsidR="00BE71E3" w:rsidRPr="004737C5" w:rsidRDefault="00BE71E3" w:rsidP="00571C67">
      <w:pPr>
        <w:pStyle w:val="ListParagraph"/>
        <w:numPr>
          <w:ilvl w:val="0"/>
          <w:numId w:val="75"/>
        </w:numPr>
        <w:ind w:left="709" w:hanging="425"/>
        <w:rPr>
          <w:rFonts w:cstheme="minorHAnsi"/>
        </w:rPr>
      </w:pPr>
      <w:r w:rsidRPr="004737C5">
        <w:rPr>
          <w:rFonts w:cstheme="minorHAnsi"/>
        </w:rPr>
        <w:t>Fair contract terms, including reopening</w:t>
      </w:r>
      <w:r w:rsidR="004F1235" w:rsidRPr="004737C5">
        <w:rPr>
          <w:rFonts w:cstheme="minorHAnsi"/>
        </w:rPr>
        <w:t xml:space="preserve"> of contracts considered unfair</w:t>
      </w:r>
    </w:p>
    <w:p w14:paraId="4A1B0A7D" w14:textId="77777777" w:rsidR="00BE71E3" w:rsidRPr="004737C5" w:rsidRDefault="004F1235" w:rsidP="00571C67">
      <w:pPr>
        <w:pStyle w:val="ListParagraph"/>
        <w:numPr>
          <w:ilvl w:val="0"/>
          <w:numId w:val="75"/>
        </w:numPr>
        <w:ind w:left="709" w:hanging="425"/>
        <w:rPr>
          <w:rFonts w:cstheme="minorHAnsi"/>
        </w:rPr>
      </w:pPr>
      <w:r w:rsidRPr="004737C5">
        <w:rPr>
          <w:rFonts w:cstheme="minorHAnsi"/>
        </w:rPr>
        <w:t>Regulation of charges</w:t>
      </w:r>
    </w:p>
    <w:p w14:paraId="0A6E4244" w14:textId="77777777" w:rsidR="00BE71E3" w:rsidRPr="004737C5" w:rsidRDefault="00BE71E3" w:rsidP="00571C67">
      <w:pPr>
        <w:pStyle w:val="ListParagraph"/>
        <w:numPr>
          <w:ilvl w:val="0"/>
          <w:numId w:val="75"/>
        </w:numPr>
        <w:ind w:left="709" w:hanging="425"/>
        <w:rPr>
          <w:rFonts w:cstheme="minorHAnsi"/>
        </w:rPr>
      </w:pPr>
      <w:r w:rsidRPr="004737C5">
        <w:rPr>
          <w:rFonts w:cstheme="minorHAnsi"/>
        </w:rPr>
        <w:t>Tre</w:t>
      </w:r>
      <w:r w:rsidR="004F1235" w:rsidRPr="004737C5">
        <w:rPr>
          <w:rFonts w:cstheme="minorHAnsi"/>
        </w:rPr>
        <w:t>atment of customers in arrears</w:t>
      </w:r>
    </w:p>
    <w:p w14:paraId="42F0F0E9" w14:textId="77777777" w:rsidR="00BE71E3" w:rsidRPr="004737C5" w:rsidRDefault="00BE71E3" w:rsidP="00571C67">
      <w:pPr>
        <w:pStyle w:val="ListParagraph"/>
        <w:numPr>
          <w:ilvl w:val="0"/>
          <w:numId w:val="75"/>
        </w:numPr>
        <w:ind w:left="709" w:hanging="425"/>
        <w:rPr>
          <w:rFonts w:cstheme="minorHAnsi"/>
        </w:rPr>
      </w:pPr>
      <w:r w:rsidRPr="004737C5">
        <w:rPr>
          <w:rFonts w:cstheme="minorHAnsi"/>
        </w:rPr>
        <w:t xml:space="preserve">Financial education (not to be confused </w:t>
      </w:r>
      <w:r w:rsidR="004F1235" w:rsidRPr="004737C5">
        <w:rPr>
          <w:rFonts w:cstheme="minorHAnsi"/>
        </w:rPr>
        <w:t>with information, see chapter X</w:t>
      </w:r>
      <w:r w:rsidRPr="004737C5">
        <w:rPr>
          <w:rFonts w:cstheme="minorHAnsi"/>
        </w:rPr>
        <w:t>)</w:t>
      </w:r>
    </w:p>
    <w:p w14:paraId="3056FC0D" w14:textId="4A0A31E8" w:rsidR="00BE71E3" w:rsidRPr="004737C5" w:rsidRDefault="00BE71E3" w:rsidP="006D3BE8">
      <w:pPr>
        <w:rPr>
          <w:rFonts w:cstheme="minorHAnsi"/>
        </w:rPr>
      </w:pPr>
      <w:r w:rsidRPr="004737C5">
        <w:rPr>
          <w:rFonts w:cstheme="minorHAnsi"/>
        </w:rPr>
        <w:t xml:space="preserve">Many of the above issues could be described as widely supported good practice, but </w:t>
      </w:r>
      <w:r w:rsidR="00571C67" w:rsidRPr="004737C5">
        <w:rPr>
          <w:rFonts w:cstheme="minorHAnsi"/>
        </w:rPr>
        <w:t xml:space="preserve">are </w:t>
      </w:r>
      <w:r w:rsidRPr="004737C5">
        <w:rPr>
          <w:rFonts w:cstheme="minorHAnsi"/>
        </w:rPr>
        <w:t>still in need of legislation and improvement in many countries. In that respect the UNGCP</w:t>
      </w:r>
      <w:r w:rsidR="004F1235" w:rsidRPr="004737C5">
        <w:rPr>
          <w:rFonts w:cstheme="minorHAnsi"/>
        </w:rPr>
        <w:t>,</w:t>
      </w:r>
      <w:r w:rsidRPr="004737C5">
        <w:rPr>
          <w:rFonts w:cstheme="minorHAnsi"/>
        </w:rPr>
        <w:t xml:space="preserve"> </w:t>
      </w:r>
      <w:r w:rsidR="004F1235" w:rsidRPr="004737C5">
        <w:rPr>
          <w:rFonts w:cstheme="minorHAnsi"/>
        </w:rPr>
        <w:t>OECD/G20 HLPs</w:t>
      </w:r>
      <w:r w:rsidRPr="004737C5">
        <w:rPr>
          <w:rFonts w:cstheme="minorHAnsi"/>
        </w:rPr>
        <w:t xml:space="preserve"> and </w:t>
      </w:r>
      <w:r w:rsidR="004F1235" w:rsidRPr="004737C5">
        <w:rPr>
          <w:rFonts w:cstheme="minorHAnsi"/>
        </w:rPr>
        <w:t>World Bank good p</w:t>
      </w:r>
      <w:r w:rsidRPr="004737C5">
        <w:rPr>
          <w:rFonts w:cstheme="minorHAnsi"/>
        </w:rPr>
        <w:t>ractices all contain much t</w:t>
      </w:r>
      <w:r w:rsidR="004F1235" w:rsidRPr="004737C5">
        <w:rPr>
          <w:rFonts w:cstheme="minorHAnsi"/>
        </w:rPr>
        <w:t>hat can be used by a g</w:t>
      </w:r>
      <w:r w:rsidRPr="004737C5">
        <w:rPr>
          <w:rFonts w:cstheme="minorHAnsi"/>
        </w:rPr>
        <w:t xml:space="preserve">overnment that seeks to reform the sector. The Financial Stability Board credit proposals on consumer credit, having been part of the same mandate as the OECD/G20 HLPs could also claim to be implicitly cited. </w:t>
      </w:r>
      <w:r w:rsidR="004F1235" w:rsidRPr="004737C5">
        <w:rPr>
          <w:rFonts w:cstheme="minorHAnsi"/>
        </w:rPr>
        <w:t>The</w:t>
      </w:r>
      <w:r w:rsidRPr="004737C5">
        <w:rPr>
          <w:rFonts w:cstheme="minorHAnsi"/>
        </w:rPr>
        <w:t xml:space="preserve"> analysis below takes in proposals that are already widely supported and those that are more future-oriented or react to recent developments where legislation is yet to catch up. </w:t>
      </w:r>
    </w:p>
    <w:p w14:paraId="14105DA9" w14:textId="63E8757A" w:rsidR="00BE71E3" w:rsidRPr="004737C5" w:rsidRDefault="00BE71E3" w:rsidP="00571C67">
      <w:pPr>
        <w:pStyle w:val="Heading3"/>
        <w:spacing w:after="160" w:line="240" w:lineRule="auto"/>
        <w:rPr>
          <w:rFonts w:cstheme="minorHAnsi"/>
          <w:color w:val="auto"/>
        </w:rPr>
      </w:pPr>
      <w:bookmarkStart w:id="333" w:name="_Toc454293886"/>
      <w:bookmarkStart w:id="334" w:name="_Toc489950324"/>
      <w:bookmarkStart w:id="335" w:name="_Toc492650111"/>
      <w:r w:rsidRPr="004737C5">
        <w:rPr>
          <w:rFonts w:cstheme="minorHAnsi"/>
          <w:color w:val="auto"/>
        </w:rPr>
        <w:t>1</w:t>
      </w:r>
      <w:r w:rsidR="004F1235" w:rsidRPr="004737C5">
        <w:rPr>
          <w:rFonts w:cstheme="minorHAnsi"/>
          <w:color w:val="auto"/>
        </w:rPr>
        <w:t>.</w:t>
      </w:r>
      <w:r w:rsidR="00571C67" w:rsidRPr="004737C5">
        <w:rPr>
          <w:rFonts w:cstheme="minorHAnsi"/>
          <w:color w:val="auto"/>
        </w:rPr>
        <w:t xml:space="preserve"> Cooling-</w:t>
      </w:r>
      <w:r w:rsidRPr="004737C5">
        <w:rPr>
          <w:rFonts w:cstheme="minorHAnsi"/>
          <w:color w:val="auto"/>
        </w:rPr>
        <w:t>off periods: a success to be built upon</w:t>
      </w:r>
      <w:bookmarkEnd w:id="333"/>
      <w:bookmarkEnd w:id="334"/>
      <w:bookmarkEnd w:id="335"/>
    </w:p>
    <w:p w14:paraId="52E5D530" w14:textId="1EA30192" w:rsidR="00BE71E3" w:rsidRPr="004737C5" w:rsidRDefault="00BE71E3" w:rsidP="006D3BE8">
      <w:pPr>
        <w:rPr>
          <w:rFonts w:cstheme="minorHAnsi"/>
        </w:rPr>
      </w:pPr>
      <w:r w:rsidRPr="004737C5">
        <w:rPr>
          <w:rFonts w:cstheme="minorHAnsi"/>
        </w:rPr>
        <w:t>The World Bank guidance sets out several ap</w:t>
      </w:r>
      <w:r w:rsidR="004F1235" w:rsidRPr="004737C5">
        <w:rPr>
          <w:rFonts w:cstheme="minorHAnsi"/>
        </w:rPr>
        <w:t>plications of “</w:t>
      </w:r>
      <w:r w:rsidR="00571C67" w:rsidRPr="004737C5">
        <w:rPr>
          <w:rFonts w:cstheme="minorHAnsi"/>
        </w:rPr>
        <w:t>cooling-</w:t>
      </w:r>
      <w:r w:rsidRPr="004737C5">
        <w:rPr>
          <w:rFonts w:cstheme="minorHAnsi"/>
        </w:rPr>
        <w:t>off periods</w:t>
      </w:r>
      <w:r w:rsidR="004F1235" w:rsidRPr="004737C5">
        <w:rPr>
          <w:rFonts w:cstheme="minorHAnsi"/>
        </w:rPr>
        <w:t>”,</w:t>
      </w:r>
      <w:r w:rsidRPr="004737C5">
        <w:rPr>
          <w:rFonts w:cstheme="minorHAnsi"/>
        </w:rPr>
        <w:t xml:space="preserve"> which may be one of the most effective methods of allowing consume</w:t>
      </w:r>
      <w:r w:rsidR="004F1235" w:rsidRPr="004737C5">
        <w:rPr>
          <w:rFonts w:cstheme="minorHAnsi"/>
        </w:rPr>
        <w:t>rs who may have been pressured to have second thoughts.</w:t>
      </w:r>
      <w:r w:rsidRPr="004737C5">
        <w:rPr>
          <w:rStyle w:val="FootnoteReference"/>
          <w:rFonts w:cstheme="minorHAnsi"/>
        </w:rPr>
        <w:footnoteReference w:id="292"/>
      </w:r>
      <w:r w:rsidR="004F1235" w:rsidRPr="004737C5">
        <w:rPr>
          <w:rFonts w:cstheme="minorHAnsi"/>
        </w:rPr>
        <w:t xml:space="preserve"> </w:t>
      </w:r>
      <w:r w:rsidRPr="004737C5">
        <w:rPr>
          <w:rFonts w:cstheme="minorHAnsi"/>
        </w:rPr>
        <w:t xml:space="preserve">This consumer safeguard has been introduced by legislation more </w:t>
      </w:r>
      <w:r w:rsidR="00571C67" w:rsidRPr="004737C5">
        <w:rPr>
          <w:rFonts w:cstheme="minorHAnsi"/>
        </w:rPr>
        <w:t>widely in recent years. Cooling-</w:t>
      </w:r>
      <w:r w:rsidRPr="004737C5">
        <w:rPr>
          <w:rFonts w:cstheme="minorHAnsi"/>
        </w:rPr>
        <w:t>off periods are established in the United States</w:t>
      </w:r>
      <w:r w:rsidR="004F1235" w:rsidRPr="004737C5">
        <w:rPr>
          <w:rFonts w:cstheme="minorHAnsi"/>
        </w:rPr>
        <w:t xml:space="preserve"> of America </w:t>
      </w:r>
      <w:r w:rsidRPr="004737C5">
        <w:rPr>
          <w:rFonts w:cstheme="minorHAnsi"/>
        </w:rPr>
        <w:t>and the European Union. The European Union Directive on Credit Agreements of 2011 lays down a 14 day period after contract without having to give a reason. In Mexico, consumer credit providers are required to supply an offer binding on the provider for 20 days, so that the consumer has time to study and compare the offer be</w:t>
      </w:r>
      <w:r w:rsidR="00571C67" w:rsidRPr="004737C5">
        <w:rPr>
          <w:rFonts w:cstheme="minorHAnsi"/>
        </w:rPr>
        <w:t>fore making a decision. Cooling-</w:t>
      </w:r>
      <w:r w:rsidRPr="004737C5">
        <w:rPr>
          <w:rFonts w:cstheme="minorHAnsi"/>
        </w:rPr>
        <w:t>off periods are also required in South Africa.</w:t>
      </w:r>
    </w:p>
    <w:p w14:paraId="56308680" w14:textId="76611C4F" w:rsidR="00BE71E3" w:rsidRPr="004737C5" w:rsidRDefault="00BE71E3" w:rsidP="006D3BE8">
      <w:pPr>
        <w:rPr>
          <w:rFonts w:cstheme="minorHAnsi"/>
          <w:b/>
        </w:rPr>
      </w:pPr>
      <w:r w:rsidRPr="004737C5">
        <w:rPr>
          <w:rFonts w:cstheme="minorHAnsi"/>
        </w:rPr>
        <w:t>There is a danger, however, that this very important safeguard against aggressive marketing cou</w:t>
      </w:r>
      <w:r w:rsidR="004F1235" w:rsidRPr="004737C5">
        <w:rPr>
          <w:rFonts w:cstheme="minorHAnsi"/>
        </w:rPr>
        <w:t>ld be undermined by the use of “</w:t>
      </w:r>
      <w:r w:rsidRPr="004737C5">
        <w:rPr>
          <w:rFonts w:cstheme="minorHAnsi"/>
        </w:rPr>
        <w:t>processing fees</w:t>
      </w:r>
      <w:r w:rsidR="004F1235" w:rsidRPr="004737C5">
        <w:rPr>
          <w:rFonts w:cstheme="minorHAnsi"/>
        </w:rPr>
        <w:t>”, which was</w:t>
      </w:r>
      <w:r w:rsidRPr="004737C5">
        <w:rPr>
          <w:rFonts w:cstheme="minorHAnsi"/>
        </w:rPr>
        <w:t xml:space="preserve"> envisaged by the World Bank in its 2012 report. In effect, such fees would penalize cancellation d</w:t>
      </w:r>
      <w:r w:rsidR="00571C67" w:rsidRPr="004737C5">
        <w:rPr>
          <w:rFonts w:cstheme="minorHAnsi"/>
        </w:rPr>
        <w:t>uring a cooling-</w:t>
      </w:r>
      <w:r w:rsidRPr="004737C5">
        <w:rPr>
          <w:rFonts w:cstheme="minorHAnsi"/>
        </w:rPr>
        <w:t xml:space="preserve">off period. This rather negates the concept and could make service providers careless about the offers that they make. In the event that such a provision is adopted, there needs also to be a test of the reasonableness of processing fees. In practice they could be indistinguishable from penalties and be tantamount to an unfair contract term. </w:t>
      </w:r>
    </w:p>
    <w:p w14:paraId="1EA4C434" w14:textId="77777777" w:rsidR="00BE71E3" w:rsidRPr="004737C5" w:rsidRDefault="00BE71E3" w:rsidP="00571C67">
      <w:pPr>
        <w:pStyle w:val="Heading3"/>
        <w:spacing w:after="160" w:line="240" w:lineRule="auto"/>
        <w:rPr>
          <w:rFonts w:cstheme="minorHAnsi"/>
          <w:color w:val="auto"/>
        </w:rPr>
      </w:pPr>
      <w:bookmarkStart w:id="336" w:name="_Toc454293887"/>
      <w:bookmarkStart w:id="337" w:name="_Toc489950325"/>
      <w:bookmarkStart w:id="338" w:name="_Toc492650112"/>
      <w:r w:rsidRPr="004737C5">
        <w:rPr>
          <w:rFonts w:cstheme="minorHAnsi"/>
          <w:color w:val="auto"/>
        </w:rPr>
        <w:t>2</w:t>
      </w:r>
      <w:r w:rsidR="004F1235" w:rsidRPr="004737C5">
        <w:rPr>
          <w:rFonts w:cstheme="minorHAnsi"/>
          <w:color w:val="auto"/>
        </w:rPr>
        <w:t>.</w:t>
      </w:r>
      <w:r w:rsidRPr="004737C5">
        <w:rPr>
          <w:rFonts w:cstheme="minorHAnsi"/>
          <w:color w:val="auto"/>
        </w:rPr>
        <w:t xml:space="preserve"> Contract terms, transparency and comprehensibility</w:t>
      </w:r>
      <w:bookmarkEnd w:id="336"/>
      <w:bookmarkEnd w:id="337"/>
      <w:bookmarkEnd w:id="338"/>
    </w:p>
    <w:p w14:paraId="3207C15A" w14:textId="77777777" w:rsidR="00BE71E3" w:rsidRPr="004737C5" w:rsidRDefault="00BE71E3" w:rsidP="006D3BE8">
      <w:pPr>
        <w:rPr>
          <w:rFonts w:cstheme="minorHAnsi"/>
        </w:rPr>
      </w:pPr>
      <w:r w:rsidRPr="004737C5">
        <w:rPr>
          <w:rFonts w:cstheme="minorHAnsi"/>
        </w:rPr>
        <w:t xml:space="preserve">There is debate about whether financial services legislation should provide for certain built-in contractual rights laid out in statute without possibility of exclusion. It is becoming clearer that legislation or regulation must restrict contractual provisions that are harsh or likely to cause undue hardship, such as unauthorized bank charges, disproportionate penalties, nil refunds on single </w:t>
      </w:r>
      <w:r w:rsidRPr="004737C5">
        <w:rPr>
          <w:rFonts w:cstheme="minorHAnsi"/>
        </w:rPr>
        <w:lastRenderedPageBreak/>
        <w:t>premium insurance po</w:t>
      </w:r>
      <w:r w:rsidR="004F1235" w:rsidRPr="004737C5">
        <w:rPr>
          <w:rFonts w:cstheme="minorHAnsi"/>
        </w:rPr>
        <w:t>licies</w:t>
      </w:r>
      <w:r w:rsidRPr="004737C5">
        <w:rPr>
          <w:rFonts w:cstheme="minorHAnsi"/>
        </w:rPr>
        <w:t xml:space="preserve"> and terms applied retrospectively without notification in the contract. Disproportionate early debt settlement fees which may not be clearly set out at the time of the loan agreement are also under challenge. In that respect, the interpretation of context of sale is coming further to the fore. For example, courts in the United Kingdom </w:t>
      </w:r>
      <w:r w:rsidR="004F1235" w:rsidRPr="004737C5">
        <w:rPr>
          <w:rFonts w:cstheme="minorHAnsi"/>
        </w:rPr>
        <w:t>of Great Britain and Northern Ireland may use the “</w:t>
      </w:r>
      <w:r w:rsidRPr="004737C5">
        <w:rPr>
          <w:rFonts w:cstheme="minorHAnsi"/>
        </w:rPr>
        <w:t>unfair relationship test</w:t>
      </w:r>
      <w:r w:rsidR="004F1235" w:rsidRPr="004737C5">
        <w:rPr>
          <w:rFonts w:cstheme="minorHAnsi"/>
        </w:rPr>
        <w:t>”,</w:t>
      </w:r>
      <w:r w:rsidRPr="004737C5">
        <w:rPr>
          <w:rFonts w:cstheme="minorHAnsi"/>
        </w:rPr>
        <w:t xml:space="preserve"> which takes into account the overall context of a consumer credit agreement, to judge whether or not a particular consumer has been exploited by virtue of incapacity or illiteracy. The courts have wide-ranging powers in such circumstances, including the setting aside of the existing agreement.</w:t>
      </w:r>
      <w:r w:rsidRPr="004737C5">
        <w:rPr>
          <w:rStyle w:val="FootnoteReference"/>
          <w:rFonts w:cstheme="minorHAnsi"/>
        </w:rPr>
        <w:footnoteReference w:id="293"/>
      </w:r>
    </w:p>
    <w:p w14:paraId="6E9177F4" w14:textId="5EFE5403" w:rsidR="00BE71E3" w:rsidRPr="004737C5" w:rsidRDefault="00BE71E3" w:rsidP="006D3BE8">
      <w:pPr>
        <w:rPr>
          <w:rFonts w:cstheme="minorHAnsi"/>
        </w:rPr>
      </w:pPr>
      <w:r w:rsidRPr="004737C5">
        <w:rPr>
          <w:rFonts w:cstheme="minorHAnsi"/>
        </w:rPr>
        <w:t xml:space="preserve">The UNGCP contain a brief but powerful reference to </w:t>
      </w:r>
      <w:r w:rsidR="00571C67" w:rsidRPr="004737C5">
        <w:rPr>
          <w:rFonts w:cstheme="minorHAnsi"/>
        </w:rPr>
        <w:t>contract terms in g</w:t>
      </w:r>
      <w:r w:rsidR="004F1235" w:rsidRPr="004737C5">
        <w:rPr>
          <w:rFonts w:cstheme="minorHAnsi"/>
        </w:rPr>
        <w:t>uideline 14d</w:t>
      </w:r>
      <w:r w:rsidRPr="004737C5">
        <w:rPr>
          <w:rFonts w:cstheme="minorHAnsi"/>
        </w:rPr>
        <w:t>, by which national policies should encourage “clear, concise and easy to understand contract terms that are not unfair</w:t>
      </w:r>
      <w:r w:rsidR="004F1235" w:rsidRPr="004737C5">
        <w:rPr>
          <w:rFonts w:cstheme="minorHAnsi"/>
        </w:rPr>
        <w:t>”.</w:t>
      </w:r>
      <w:r w:rsidRPr="004737C5">
        <w:rPr>
          <w:rFonts w:cstheme="minorHAnsi"/>
        </w:rPr>
        <w:t xml:space="preserve"> Many unfair contract terms relate to information or its obscurity. It is often said that problems arise from the inability of consumers to comprehend financial documents such as those illustrating methods of calculation. The information is often daunting and is clearly outside the competence of an average consumer. Implicitly blaming consumers for their own ignorance is surely undesirable, </w:t>
      </w:r>
      <w:r w:rsidR="004F1235" w:rsidRPr="004737C5">
        <w:rPr>
          <w:rFonts w:cstheme="minorHAnsi"/>
        </w:rPr>
        <w:t xml:space="preserve">and </w:t>
      </w:r>
      <w:r w:rsidRPr="004737C5">
        <w:rPr>
          <w:rFonts w:cstheme="minorHAnsi"/>
        </w:rPr>
        <w:t>may even underestimate the problem. A</w:t>
      </w:r>
      <w:r w:rsidR="00571C67" w:rsidRPr="004737C5">
        <w:rPr>
          <w:rFonts w:cstheme="minorHAnsi"/>
        </w:rPr>
        <w:t>s the World Bank has</w:t>
      </w:r>
      <w:r w:rsidR="004F1235" w:rsidRPr="004737C5">
        <w:rPr>
          <w:rFonts w:cstheme="minorHAnsi"/>
        </w:rPr>
        <w:t xml:space="preserve"> suggested</w:t>
      </w:r>
      <w:r w:rsidRPr="004737C5">
        <w:rPr>
          <w:rFonts w:cstheme="minorHAnsi"/>
        </w:rPr>
        <w:t>, complexity may be a cove</w:t>
      </w:r>
      <w:r w:rsidR="004F1235" w:rsidRPr="004737C5">
        <w:rPr>
          <w:rFonts w:cstheme="minorHAnsi"/>
        </w:rPr>
        <w:t>r for unfairness and sometimes “even direct fraud”.</w:t>
      </w:r>
      <w:r w:rsidRPr="004737C5">
        <w:rPr>
          <w:rStyle w:val="FootnoteReference"/>
          <w:rFonts w:cstheme="minorHAnsi"/>
        </w:rPr>
        <w:footnoteReference w:id="294"/>
      </w:r>
      <w:r w:rsidR="004F1235" w:rsidRPr="004737C5">
        <w:rPr>
          <w:rFonts w:cstheme="minorHAnsi"/>
        </w:rPr>
        <w:t xml:space="preserve"> </w:t>
      </w:r>
      <w:r w:rsidRPr="004737C5">
        <w:rPr>
          <w:rFonts w:cstheme="minorHAnsi"/>
        </w:rPr>
        <w:t>Research by the European Commission using expert advisers has shown that even people familiar with the financial products may not be able to fully understand the terms.</w:t>
      </w:r>
      <w:r w:rsidRPr="004737C5">
        <w:rPr>
          <w:rStyle w:val="FootnoteReference"/>
          <w:rFonts w:cstheme="minorHAnsi"/>
        </w:rPr>
        <w:footnoteReference w:id="295"/>
      </w:r>
      <w:r w:rsidRPr="004737C5">
        <w:rPr>
          <w:rFonts w:cstheme="minorHAnsi"/>
        </w:rPr>
        <w:t xml:space="preserve"> As the United Na</w:t>
      </w:r>
      <w:r w:rsidR="00571C67" w:rsidRPr="004737C5">
        <w:rPr>
          <w:rFonts w:cstheme="minorHAnsi"/>
        </w:rPr>
        <w:t>tions Commission of Experts on Reforms of the International Monetary and F</w:t>
      </w:r>
      <w:r w:rsidRPr="004737C5">
        <w:rPr>
          <w:rFonts w:cstheme="minorHAnsi"/>
        </w:rPr>
        <w:t>ina</w:t>
      </w:r>
      <w:r w:rsidR="00571C67" w:rsidRPr="004737C5">
        <w:rPr>
          <w:rFonts w:cstheme="minorHAnsi"/>
        </w:rPr>
        <w:t>ncial S</w:t>
      </w:r>
      <w:r w:rsidRPr="004737C5">
        <w:rPr>
          <w:rFonts w:cstheme="minorHAnsi"/>
        </w:rPr>
        <w:t>ystem, chair</w:t>
      </w:r>
      <w:r w:rsidR="004F1235" w:rsidRPr="004737C5">
        <w:rPr>
          <w:rFonts w:cstheme="minorHAnsi"/>
        </w:rPr>
        <w:t>ed by Joseph Stiglitz, reported</w:t>
      </w:r>
      <w:r w:rsidR="00571C67" w:rsidRPr="004737C5">
        <w:rPr>
          <w:rFonts w:cstheme="minorHAnsi"/>
        </w:rPr>
        <w:t>,</w:t>
      </w:r>
      <w:r w:rsidRPr="004737C5">
        <w:rPr>
          <w:rFonts w:cstheme="minorHAnsi"/>
        </w:rPr>
        <w:t xml:space="preserve"> “even if there had been full disclosure of derivative positions, their complexity was so great as to make an evaluation of the balance sheet of the financial institu</w:t>
      </w:r>
      <w:r w:rsidR="004F1235" w:rsidRPr="004737C5">
        <w:rPr>
          <w:rFonts w:cstheme="minorHAnsi"/>
        </w:rPr>
        <w:t>tions extraordinarily difficult</w:t>
      </w:r>
      <w:r w:rsidRPr="004737C5">
        <w:rPr>
          <w:rFonts w:cstheme="minorHAnsi"/>
        </w:rPr>
        <w:t>”</w:t>
      </w:r>
      <w:r w:rsidR="004F1235" w:rsidRPr="004737C5">
        <w:rPr>
          <w:rFonts w:cstheme="minorHAnsi"/>
        </w:rPr>
        <w:t>.</w:t>
      </w:r>
      <w:r w:rsidRPr="004737C5">
        <w:rPr>
          <w:rStyle w:val="FootnoteReference"/>
          <w:rFonts w:cstheme="minorHAnsi"/>
        </w:rPr>
        <w:footnoteReference w:id="296"/>
      </w:r>
      <w:r w:rsidRPr="004737C5">
        <w:rPr>
          <w:rFonts w:cstheme="minorHAnsi"/>
        </w:rPr>
        <w:t xml:space="preserve"> In other words, the problem goes beyond consumer comprehension; certain products may simply be incomprehensible, even to regulators and sales staff.</w:t>
      </w:r>
      <w:r w:rsidRPr="004737C5">
        <w:rPr>
          <w:rStyle w:val="FootnoteReference"/>
          <w:rFonts w:cstheme="minorHAnsi"/>
        </w:rPr>
        <w:footnoteReference w:id="297"/>
      </w:r>
      <w:r w:rsidRPr="004737C5">
        <w:rPr>
          <w:rFonts w:cstheme="minorHAnsi"/>
          <w:color w:val="FF0000"/>
        </w:rPr>
        <w:t xml:space="preserve"> </w:t>
      </w:r>
      <w:r w:rsidRPr="004737C5">
        <w:rPr>
          <w:rFonts w:cstheme="minorHAnsi"/>
        </w:rPr>
        <w:t>So transparency and disclosure are not just matters of consumer information, they are a vital part of the regulatory process. For that reason, transparency and disclosure are not to be written off as unrealistic objectives. Some people h</w:t>
      </w:r>
      <w:r w:rsidR="00571C67" w:rsidRPr="004737C5">
        <w:rPr>
          <w:rFonts w:cstheme="minorHAnsi"/>
        </w:rPr>
        <w:t>ave a responsibility to be well-</w:t>
      </w:r>
      <w:r w:rsidRPr="004737C5">
        <w:rPr>
          <w:rFonts w:cstheme="minorHAnsi"/>
        </w:rPr>
        <w:t xml:space="preserve">informed and service providers have an obligation to set out their stall publicly and clearly. </w:t>
      </w:r>
    </w:p>
    <w:p w14:paraId="5DB3B8CF" w14:textId="77777777" w:rsidR="00BE71E3" w:rsidRPr="004737C5" w:rsidRDefault="00BE71E3" w:rsidP="006D3BE8">
      <w:pPr>
        <w:rPr>
          <w:rFonts w:cstheme="minorHAnsi"/>
        </w:rPr>
      </w:pPr>
      <w:r w:rsidRPr="004737C5">
        <w:rPr>
          <w:rFonts w:cstheme="minorHAnsi"/>
        </w:rPr>
        <w:t>The danger of information over</w:t>
      </w:r>
      <w:r w:rsidR="004F1235" w:rsidRPr="004737C5">
        <w:rPr>
          <w:rFonts w:cstheme="minorHAnsi"/>
        </w:rPr>
        <w:t>load, as discussed in chapter X, suggests the importance of “</w:t>
      </w:r>
      <w:r w:rsidRPr="004737C5">
        <w:rPr>
          <w:rFonts w:cstheme="minorHAnsi"/>
        </w:rPr>
        <w:t>key</w:t>
      </w:r>
      <w:r w:rsidR="004F1235" w:rsidRPr="004737C5">
        <w:rPr>
          <w:rFonts w:cstheme="minorHAnsi"/>
        </w:rPr>
        <w:t xml:space="preserve"> facts”</w:t>
      </w:r>
      <w:r w:rsidRPr="004737C5">
        <w:rPr>
          <w:rFonts w:cstheme="minorHAnsi"/>
        </w:rPr>
        <w:t xml:space="preserve"> documents being provided before an individual enters an agreement. The World Bank recommends accordingly for the insurance sector</w:t>
      </w:r>
      <w:r w:rsidR="004F1235" w:rsidRPr="004737C5">
        <w:rPr>
          <w:rFonts w:cstheme="minorHAnsi"/>
        </w:rPr>
        <w:t>,</w:t>
      </w:r>
      <w:r w:rsidRPr="004737C5">
        <w:rPr>
          <w:rFonts w:cstheme="minorHAnsi"/>
        </w:rPr>
        <w:t xml:space="preserve"> for example.</w:t>
      </w:r>
      <w:r w:rsidRPr="004737C5">
        <w:rPr>
          <w:rStyle w:val="FootnoteReference"/>
          <w:rFonts w:cstheme="minorHAnsi"/>
        </w:rPr>
        <w:footnoteReference w:id="298"/>
      </w:r>
      <w:r w:rsidRPr="004737C5">
        <w:rPr>
          <w:rFonts w:cstheme="minorHAnsi"/>
        </w:rPr>
        <w:t xml:space="preserve"> The continuing nature of many relationships mean that disclosures may be required to alert individuals to potential payment issues during the init</w:t>
      </w:r>
      <w:r w:rsidR="004F1235" w:rsidRPr="004737C5">
        <w:rPr>
          <w:rFonts w:cstheme="minorHAnsi"/>
        </w:rPr>
        <w:t>ial transaction and subsequent “</w:t>
      </w:r>
      <w:r w:rsidRPr="004737C5">
        <w:rPr>
          <w:rFonts w:cstheme="minorHAnsi"/>
        </w:rPr>
        <w:t>product life</w:t>
      </w:r>
      <w:r w:rsidR="004F1235" w:rsidRPr="004737C5">
        <w:rPr>
          <w:rFonts w:cstheme="minorHAnsi"/>
        </w:rPr>
        <w:t>”.</w:t>
      </w:r>
      <w:r w:rsidRPr="004737C5">
        <w:rPr>
          <w:rFonts w:cstheme="minorHAnsi"/>
        </w:rPr>
        <w:t xml:space="preserve"> Annual statements of amounts paid in charges on revolving credit may be effective in making consumers change their credit behaviour. Imaginative techniques might target consumers with information at the time of borrowing on revolving credit rather than the time of entering the contract. </w:t>
      </w:r>
    </w:p>
    <w:p w14:paraId="09CBE11D" w14:textId="227BF39F" w:rsidR="00BE71E3" w:rsidRPr="004737C5" w:rsidRDefault="00BE71E3" w:rsidP="00857811">
      <w:pPr>
        <w:rPr>
          <w:rFonts w:cstheme="minorHAnsi"/>
        </w:rPr>
      </w:pPr>
      <w:r w:rsidRPr="004737C5">
        <w:rPr>
          <w:rFonts w:cstheme="minorHAnsi"/>
        </w:rPr>
        <w:t xml:space="preserve">As part of the package of banking reforms, the Government </w:t>
      </w:r>
      <w:r w:rsidR="004F1235" w:rsidRPr="004737C5">
        <w:rPr>
          <w:rFonts w:cstheme="minorHAnsi"/>
        </w:rPr>
        <w:t xml:space="preserve">of Australia </w:t>
      </w:r>
      <w:r w:rsidRPr="004737C5">
        <w:rPr>
          <w:rFonts w:cstheme="minorHAnsi"/>
        </w:rPr>
        <w:t xml:space="preserve">has mandated the introduction of fact sheets for major financial products. The Home Loan Fact Sheet was introduced in 2012 (variable rate loans) and the Credit Card Fact Sheet was made mandatory the same year. However, the legislation requires a lender to provide the customer with a fact sheet only when the </w:t>
      </w:r>
      <w:r w:rsidRPr="004737C5">
        <w:rPr>
          <w:rFonts w:cstheme="minorHAnsi"/>
        </w:rPr>
        <w:lastRenderedPageBreak/>
        <w:t>customer asks for one and it was found by the Australi</w:t>
      </w:r>
      <w:r w:rsidR="004F1235" w:rsidRPr="004737C5">
        <w:rPr>
          <w:rFonts w:cstheme="minorHAnsi"/>
        </w:rPr>
        <w:t>an consumer association</w:t>
      </w:r>
      <w:r w:rsidR="00571C67" w:rsidRPr="004737C5">
        <w:rPr>
          <w:rFonts w:cstheme="minorHAnsi"/>
        </w:rPr>
        <w:t xml:space="preserve">, </w:t>
      </w:r>
      <w:r w:rsidR="004F1235" w:rsidRPr="004737C5">
        <w:rPr>
          <w:rFonts w:cstheme="minorHAnsi"/>
        </w:rPr>
        <w:t>Choice</w:t>
      </w:r>
      <w:r w:rsidR="00571C67" w:rsidRPr="004737C5">
        <w:rPr>
          <w:rFonts w:cstheme="minorHAnsi"/>
        </w:rPr>
        <w:t>,</w:t>
      </w:r>
      <w:r w:rsidRPr="004737C5">
        <w:rPr>
          <w:rFonts w:cstheme="minorHAnsi"/>
        </w:rPr>
        <w:t xml:space="preserve"> that lenders are adopting a very n</w:t>
      </w:r>
      <w:r w:rsidR="004F1235" w:rsidRPr="004737C5">
        <w:rPr>
          <w:rFonts w:cstheme="minorHAnsi"/>
        </w:rPr>
        <w:t>arrow view of what constitutes “</w:t>
      </w:r>
      <w:r w:rsidRPr="004737C5">
        <w:rPr>
          <w:rFonts w:cstheme="minorHAnsi"/>
        </w:rPr>
        <w:t>asking</w:t>
      </w:r>
      <w:r w:rsidR="003E5664" w:rsidRPr="004737C5">
        <w:rPr>
          <w:rFonts w:cstheme="minorHAnsi"/>
        </w:rPr>
        <w:t>”.</w:t>
      </w:r>
      <w:r w:rsidRPr="004737C5">
        <w:rPr>
          <w:rStyle w:val="FootnoteReference"/>
          <w:rFonts w:cstheme="minorHAnsi"/>
        </w:rPr>
        <w:footnoteReference w:id="299"/>
      </w:r>
      <w:r w:rsidR="00857811" w:rsidRPr="004737C5">
        <w:rPr>
          <w:rFonts w:cstheme="minorHAnsi"/>
        </w:rPr>
        <w:tab/>
      </w:r>
    </w:p>
    <w:tbl>
      <w:tblPr>
        <w:tblStyle w:val="TableGrid"/>
        <w:tblW w:w="0" w:type="auto"/>
        <w:tblLook w:val="04A0" w:firstRow="1" w:lastRow="0" w:firstColumn="1" w:lastColumn="0" w:noHBand="0" w:noVBand="1"/>
      </w:tblPr>
      <w:tblGrid>
        <w:gridCol w:w="9243"/>
      </w:tblGrid>
      <w:tr w:rsidR="00BE71E3" w:rsidRPr="004737C5" w14:paraId="6B917C72" w14:textId="77777777" w:rsidTr="00BC78F5">
        <w:tc>
          <w:tcPr>
            <w:tcW w:w="9628" w:type="dxa"/>
          </w:tcPr>
          <w:p w14:paraId="6D87CD34" w14:textId="77777777" w:rsidR="00BE71E3" w:rsidRPr="004737C5" w:rsidRDefault="003E5664" w:rsidP="00571C67">
            <w:pPr>
              <w:pStyle w:val="BodyText2"/>
              <w:spacing w:after="160"/>
              <w:rPr>
                <w:rFonts w:asciiTheme="minorHAnsi" w:hAnsiTheme="minorHAnsi" w:cstheme="minorHAnsi"/>
                <w:b/>
                <w:bCs/>
                <w:color w:val="auto"/>
                <w:szCs w:val="22"/>
              </w:rPr>
            </w:pPr>
            <w:r w:rsidRPr="004737C5">
              <w:rPr>
                <w:rFonts w:asciiTheme="minorHAnsi" w:hAnsiTheme="minorHAnsi" w:cstheme="minorHAnsi"/>
                <w:b/>
                <w:bCs/>
                <w:color w:val="auto"/>
                <w:szCs w:val="22"/>
              </w:rPr>
              <w:t>Box 21.</w:t>
            </w:r>
            <w:r w:rsidR="00BE71E3" w:rsidRPr="004737C5">
              <w:rPr>
                <w:rFonts w:asciiTheme="minorHAnsi" w:hAnsiTheme="minorHAnsi" w:cstheme="minorHAnsi"/>
                <w:b/>
                <w:bCs/>
                <w:color w:val="auto"/>
                <w:szCs w:val="22"/>
              </w:rPr>
              <w:t xml:space="preserve"> Transparency </w:t>
            </w:r>
            <w:r w:rsidRPr="004737C5">
              <w:rPr>
                <w:rFonts w:asciiTheme="minorHAnsi" w:hAnsiTheme="minorHAnsi" w:cstheme="minorHAnsi"/>
                <w:b/>
                <w:bCs/>
                <w:color w:val="auto"/>
                <w:szCs w:val="22"/>
              </w:rPr>
              <w:t>in consumer financial relations</w:t>
            </w:r>
          </w:p>
          <w:p w14:paraId="0DD84286" w14:textId="77777777" w:rsidR="00BE71E3" w:rsidRPr="004737C5" w:rsidRDefault="00BE71E3" w:rsidP="006D3BE8">
            <w:pPr>
              <w:pStyle w:val="BodyText2"/>
              <w:rPr>
                <w:rFonts w:asciiTheme="minorHAnsi" w:hAnsiTheme="minorHAnsi" w:cstheme="minorHAnsi"/>
                <w:color w:val="auto"/>
                <w:szCs w:val="22"/>
              </w:rPr>
            </w:pPr>
            <w:r w:rsidRPr="004737C5">
              <w:rPr>
                <w:rFonts w:asciiTheme="minorHAnsi" w:hAnsiTheme="minorHAnsi" w:cstheme="minorHAnsi"/>
                <w:color w:val="auto"/>
                <w:szCs w:val="22"/>
              </w:rPr>
              <w:t>Transparency focuses on the following elements:</w:t>
            </w:r>
          </w:p>
          <w:p w14:paraId="3C7CC142" w14:textId="77777777" w:rsidR="00BE71E3" w:rsidRPr="004737C5" w:rsidRDefault="00BE71E3" w:rsidP="002473E9">
            <w:pPr>
              <w:pStyle w:val="BodyText2"/>
              <w:numPr>
                <w:ilvl w:val="0"/>
                <w:numId w:val="66"/>
              </w:numPr>
              <w:ind w:left="709" w:hanging="425"/>
              <w:rPr>
                <w:rFonts w:asciiTheme="minorHAnsi" w:hAnsiTheme="minorHAnsi" w:cstheme="minorHAnsi"/>
                <w:color w:val="auto"/>
                <w:szCs w:val="22"/>
              </w:rPr>
            </w:pPr>
            <w:r w:rsidRPr="004737C5">
              <w:rPr>
                <w:rFonts w:asciiTheme="minorHAnsi" w:hAnsiTheme="minorHAnsi" w:cstheme="minorHAnsi"/>
                <w:b/>
                <w:bCs/>
                <w:color w:val="auto"/>
                <w:szCs w:val="22"/>
              </w:rPr>
              <w:t>Accuracy</w:t>
            </w:r>
            <w:r w:rsidR="003E5664" w:rsidRPr="004737C5">
              <w:rPr>
                <w:rFonts w:asciiTheme="minorHAnsi" w:hAnsiTheme="minorHAnsi" w:cstheme="minorHAnsi"/>
                <w:color w:val="auto"/>
                <w:szCs w:val="22"/>
              </w:rPr>
              <w:t>.</w:t>
            </w:r>
            <w:r w:rsidRPr="004737C5">
              <w:rPr>
                <w:rFonts w:asciiTheme="minorHAnsi" w:hAnsiTheme="minorHAnsi" w:cstheme="minorHAnsi"/>
                <w:color w:val="auto"/>
                <w:szCs w:val="22"/>
              </w:rPr>
              <w:t xml:space="preserve"> There is a need for accuracy in the information provided to consumers. This will enable them to form clear conclusions about the total cost of credit. The United States</w:t>
            </w:r>
            <w:r w:rsidR="003E5664" w:rsidRPr="004737C5">
              <w:rPr>
                <w:rFonts w:asciiTheme="minorHAnsi" w:hAnsiTheme="minorHAnsi" w:cstheme="minorHAnsi"/>
                <w:color w:val="auto"/>
                <w:szCs w:val="22"/>
              </w:rPr>
              <w:t xml:space="preserve"> of America led this field with the “Schumer Box”</w:t>
            </w:r>
            <w:r w:rsidRPr="004737C5">
              <w:rPr>
                <w:rFonts w:asciiTheme="minorHAnsi" w:hAnsiTheme="minorHAnsi" w:cstheme="minorHAnsi"/>
                <w:color w:val="auto"/>
                <w:szCs w:val="22"/>
              </w:rPr>
              <w:t xml:space="preserve"> imposing obligations regarding information and format in consumer credit and mortgage loans under the Truth in Lending Act 1968, covering such matters as: annual percentage rates, total charge for credit, charges included and excluded, calculation of extortionate credit and remedies. Similar provisions exist in Canada</w:t>
            </w:r>
            <w:r w:rsidR="003E5664" w:rsidRPr="004737C5">
              <w:rPr>
                <w:rFonts w:asciiTheme="minorHAnsi" w:hAnsiTheme="minorHAnsi" w:cstheme="minorHAnsi"/>
                <w:color w:val="auto"/>
                <w:szCs w:val="22"/>
              </w:rPr>
              <w:t>.</w:t>
            </w:r>
          </w:p>
          <w:p w14:paraId="190ECBC2" w14:textId="77777777" w:rsidR="00BE71E3" w:rsidRPr="004737C5" w:rsidRDefault="00BE71E3" w:rsidP="002473E9">
            <w:pPr>
              <w:pStyle w:val="BodyText2"/>
              <w:numPr>
                <w:ilvl w:val="0"/>
                <w:numId w:val="66"/>
              </w:numPr>
              <w:ind w:left="709" w:hanging="425"/>
              <w:rPr>
                <w:rFonts w:asciiTheme="minorHAnsi" w:hAnsiTheme="minorHAnsi" w:cstheme="minorHAnsi"/>
                <w:color w:val="auto"/>
                <w:szCs w:val="22"/>
              </w:rPr>
            </w:pPr>
            <w:r w:rsidRPr="004737C5">
              <w:rPr>
                <w:rFonts w:asciiTheme="minorHAnsi" w:hAnsiTheme="minorHAnsi" w:cstheme="minorHAnsi"/>
                <w:b/>
                <w:bCs/>
                <w:color w:val="auto"/>
                <w:szCs w:val="22"/>
              </w:rPr>
              <w:t>Comparability</w:t>
            </w:r>
            <w:r w:rsidR="003E5664" w:rsidRPr="004737C5">
              <w:rPr>
                <w:rFonts w:asciiTheme="minorHAnsi" w:hAnsiTheme="minorHAnsi" w:cstheme="minorHAnsi"/>
                <w:color w:val="auto"/>
                <w:szCs w:val="22"/>
              </w:rPr>
              <w:t>.</w:t>
            </w:r>
            <w:r w:rsidRPr="004737C5">
              <w:rPr>
                <w:rFonts w:asciiTheme="minorHAnsi" w:hAnsiTheme="minorHAnsi" w:cstheme="minorHAnsi"/>
                <w:color w:val="auto"/>
                <w:szCs w:val="22"/>
              </w:rPr>
              <w:t xml:space="preserve"> Transparency calls for comparable information</w:t>
            </w:r>
            <w:r w:rsidR="003E5664" w:rsidRPr="004737C5">
              <w:rPr>
                <w:rFonts w:asciiTheme="minorHAnsi" w:hAnsiTheme="minorHAnsi" w:cstheme="minorHAnsi"/>
                <w:color w:val="auto"/>
                <w:szCs w:val="22"/>
              </w:rPr>
              <w:t xml:space="preserve"> </w:t>
            </w:r>
            <w:r w:rsidRPr="004737C5">
              <w:rPr>
                <w:rFonts w:asciiTheme="minorHAnsi" w:hAnsiTheme="minorHAnsi" w:cstheme="minorHAnsi"/>
                <w:color w:val="auto"/>
                <w:szCs w:val="22"/>
              </w:rPr>
              <w:t>put forward by different service providers so as to ensure that consumers can make meaningful choices between competing offers. In 2011 the French Minister of Finance, Christine Lagarde, in the face of opposition from the profession, obliged French banks to produce tariffs in comparable form for 10 major banking services.</w:t>
            </w:r>
          </w:p>
          <w:p w14:paraId="67AB8F97" w14:textId="77777777" w:rsidR="00BE71E3" w:rsidRPr="004737C5" w:rsidRDefault="00BE71E3" w:rsidP="002473E9">
            <w:pPr>
              <w:pStyle w:val="BodyText2"/>
              <w:numPr>
                <w:ilvl w:val="0"/>
                <w:numId w:val="66"/>
              </w:numPr>
              <w:ind w:left="709" w:hanging="425"/>
              <w:rPr>
                <w:rFonts w:asciiTheme="minorHAnsi" w:hAnsiTheme="minorHAnsi" w:cstheme="minorHAnsi"/>
                <w:color w:val="auto"/>
                <w:szCs w:val="22"/>
              </w:rPr>
            </w:pPr>
            <w:r w:rsidRPr="004737C5">
              <w:rPr>
                <w:rFonts w:asciiTheme="minorHAnsi" w:hAnsiTheme="minorHAnsi" w:cstheme="minorHAnsi"/>
                <w:b/>
                <w:bCs/>
                <w:color w:val="auto"/>
                <w:szCs w:val="22"/>
              </w:rPr>
              <w:t>Conciseness</w:t>
            </w:r>
            <w:r w:rsidR="003E5664" w:rsidRPr="004737C5">
              <w:rPr>
                <w:rFonts w:asciiTheme="minorHAnsi" w:hAnsiTheme="minorHAnsi" w:cstheme="minorHAnsi"/>
                <w:color w:val="auto"/>
                <w:szCs w:val="22"/>
              </w:rPr>
              <w:t>.</w:t>
            </w:r>
            <w:r w:rsidRPr="004737C5">
              <w:rPr>
                <w:rFonts w:asciiTheme="minorHAnsi" w:hAnsiTheme="minorHAnsi" w:cstheme="minorHAnsi"/>
                <w:color w:val="auto"/>
                <w:szCs w:val="22"/>
              </w:rPr>
              <w:t xml:space="preserve"> Documents provided to consumers must be in a concise form, such as Key Fact statements as promoted by the World Bank. This will ensure that the documents are likely to be read and understood by consumers.</w:t>
            </w:r>
          </w:p>
          <w:p w14:paraId="3BB083F3" w14:textId="058B94FF" w:rsidR="00BE71E3" w:rsidRPr="004737C5" w:rsidRDefault="00BE71E3" w:rsidP="002473E9">
            <w:pPr>
              <w:pStyle w:val="BodyText2"/>
              <w:numPr>
                <w:ilvl w:val="0"/>
                <w:numId w:val="66"/>
              </w:numPr>
              <w:ind w:left="709" w:hanging="425"/>
              <w:rPr>
                <w:rFonts w:asciiTheme="minorHAnsi" w:hAnsiTheme="minorHAnsi" w:cstheme="minorHAnsi"/>
                <w:color w:val="auto"/>
                <w:szCs w:val="22"/>
              </w:rPr>
            </w:pPr>
            <w:r w:rsidRPr="004737C5">
              <w:rPr>
                <w:rFonts w:asciiTheme="minorHAnsi" w:hAnsiTheme="minorHAnsi" w:cstheme="minorHAnsi"/>
                <w:b/>
                <w:bCs/>
                <w:color w:val="auto"/>
                <w:szCs w:val="22"/>
              </w:rPr>
              <w:t>Clarity</w:t>
            </w:r>
            <w:r w:rsidR="003E5664" w:rsidRPr="004737C5">
              <w:rPr>
                <w:rFonts w:asciiTheme="minorHAnsi" w:hAnsiTheme="minorHAnsi" w:cstheme="minorHAnsi"/>
                <w:color w:val="auto"/>
                <w:szCs w:val="22"/>
              </w:rPr>
              <w:t>.</w:t>
            </w:r>
            <w:r w:rsidRPr="004737C5">
              <w:rPr>
                <w:rFonts w:asciiTheme="minorHAnsi" w:hAnsiTheme="minorHAnsi" w:cstheme="minorHAnsi"/>
                <w:color w:val="auto"/>
                <w:szCs w:val="22"/>
              </w:rPr>
              <w:t xml:space="preserve"> The information must be presented clearly</w:t>
            </w:r>
            <w:r w:rsidR="003E5664" w:rsidRPr="004737C5">
              <w:rPr>
                <w:rFonts w:asciiTheme="minorHAnsi" w:hAnsiTheme="minorHAnsi" w:cstheme="minorHAnsi"/>
                <w:color w:val="auto"/>
                <w:szCs w:val="22"/>
              </w:rPr>
              <w:t>,</w:t>
            </w:r>
            <w:r w:rsidRPr="004737C5">
              <w:rPr>
                <w:rFonts w:asciiTheme="minorHAnsi" w:hAnsiTheme="minorHAnsi" w:cstheme="minorHAnsi"/>
                <w:color w:val="auto"/>
                <w:szCs w:val="22"/>
              </w:rPr>
              <w:t xml:space="preserve"> as required by the </w:t>
            </w:r>
            <w:r w:rsidR="003E5664" w:rsidRPr="004737C5">
              <w:rPr>
                <w:rFonts w:asciiTheme="minorHAnsi" w:hAnsiTheme="minorHAnsi" w:cstheme="minorHAnsi"/>
                <w:color w:val="auto"/>
                <w:szCs w:val="22"/>
              </w:rPr>
              <w:t xml:space="preserve">2011 </w:t>
            </w:r>
            <w:r w:rsidR="00ED4EFA" w:rsidRPr="004737C5">
              <w:rPr>
                <w:rFonts w:asciiTheme="minorHAnsi" w:hAnsiTheme="minorHAnsi" w:cstheme="minorHAnsi"/>
                <w:color w:val="auto"/>
                <w:szCs w:val="22"/>
              </w:rPr>
              <w:t>OECD/G20 High-level Principles on F</w:t>
            </w:r>
            <w:r w:rsidRPr="004737C5">
              <w:rPr>
                <w:rFonts w:asciiTheme="minorHAnsi" w:hAnsiTheme="minorHAnsi" w:cstheme="minorHAnsi"/>
                <w:color w:val="auto"/>
                <w:szCs w:val="22"/>
              </w:rPr>
              <w:t>in</w:t>
            </w:r>
            <w:r w:rsidR="00ED4EFA" w:rsidRPr="004737C5">
              <w:rPr>
                <w:rFonts w:asciiTheme="minorHAnsi" w:hAnsiTheme="minorHAnsi" w:cstheme="minorHAnsi"/>
                <w:color w:val="auto"/>
                <w:szCs w:val="22"/>
              </w:rPr>
              <w:t>ancial Consumer P</w:t>
            </w:r>
            <w:r w:rsidR="003E5664" w:rsidRPr="004737C5">
              <w:rPr>
                <w:rFonts w:asciiTheme="minorHAnsi" w:hAnsiTheme="minorHAnsi" w:cstheme="minorHAnsi"/>
                <w:color w:val="auto"/>
                <w:szCs w:val="22"/>
              </w:rPr>
              <w:t>rotection</w:t>
            </w:r>
            <w:r w:rsidRPr="004737C5">
              <w:rPr>
                <w:rFonts w:asciiTheme="minorHAnsi" w:hAnsiTheme="minorHAnsi" w:cstheme="minorHAnsi"/>
                <w:color w:val="auto"/>
                <w:szCs w:val="22"/>
              </w:rPr>
              <w:t xml:space="preserve"> referred </w:t>
            </w:r>
            <w:r w:rsidR="003E5664" w:rsidRPr="004737C5">
              <w:rPr>
                <w:rFonts w:asciiTheme="minorHAnsi" w:hAnsiTheme="minorHAnsi" w:cstheme="minorHAnsi"/>
                <w:color w:val="auto"/>
                <w:szCs w:val="22"/>
              </w:rPr>
              <w:t xml:space="preserve">to </w:t>
            </w:r>
            <w:r w:rsidRPr="004737C5">
              <w:rPr>
                <w:rFonts w:asciiTheme="minorHAnsi" w:hAnsiTheme="minorHAnsi" w:cstheme="minorHAnsi"/>
                <w:color w:val="auto"/>
                <w:szCs w:val="22"/>
              </w:rPr>
              <w:t xml:space="preserve">in </w:t>
            </w:r>
            <w:r w:rsidR="003E5664" w:rsidRPr="004737C5">
              <w:rPr>
                <w:rFonts w:asciiTheme="minorHAnsi" w:hAnsiTheme="minorHAnsi" w:cstheme="minorHAnsi"/>
                <w:color w:val="auto"/>
                <w:szCs w:val="22"/>
              </w:rPr>
              <w:t>UNGCP g</w:t>
            </w:r>
            <w:r w:rsidRPr="004737C5">
              <w:rPr>
                <w:rFonts w:asciiTheme="minorHAnsi" w:hAnsiTheme="minorHAnsi" w:cstheme="minorHAnsi"/>
                <w:color w:val="auto"/>
                <w:szCs w:val="22"/>
              </w:rPr>
              <w:t>uideline 68.</w:t>
            </w:r>
          </w:p>
          <w:p w14:paraId="7DC2D0EC" w14:textId="77777777" w:rsidR="00BE71E3" w:rsidRPr="004737C5" w:rsidRDefault="00BE71E3" w:rsidP="002473E9">
            <w:pPr>
              <w:pStyle w:val="BodyText2"/>
              <w:numPr>
                <w:ilvl w:val="0"/>
                <w:numId w:val="66"/>
              </w:numPr>
              <w:ind w:left="709" w:hanging="425"/>
              <w:rPr>
                <w:rFonts w:asciiTheme="minorHAnsi" w:hAnsiTheme="minorHAnsi" w:cstheme="minorHAnsi"/>
                <w:b/>
                <w:caps/>
                <w:color w:val="auto"/>
                <w:szCs w:val="22"/>
              </w:rPr>
            </w:pPr>
            <w:r w:rsidRPr="004737C5">
              <w:rPr>
                <w:rFonts w:asciiTheme="minorHAnsi" w:hAnsiTheme="minorHAnsi" w:cstheme="minorHAnsi"/>
                <w:b/>
                <w:bCs/>
                <w:color w:val="auto"/>
                <w:szCs w:val="22"/>
              </w:rPr>
              <w:t>Timing</w:t>
            </w:r>
            <w:r w:rsidR="003E5664" w:rsidRPr="004737C5">
              <w:rPr>
                <w:rFonts w:asciiTheme="minorHAnsi" w:hAnsiTheme="minorHAnsi" w:cstheme="minorHAnsi"/>
                <w:color w:val="auto"/>
                <w:szCs w:val="22"/>
              </w:rPr>
              <w:t>.</w:t>
            </w:r>
            <w:r w:rsidRPr="004737C5">
              <w:rPr>
                <w:rFonts w:asciiTheme="minorHAnsi" w:hAnsiTheme="minorHAnsi" w:cstheme="minorHAnsi"/>
                <w:color w:val="auto"/>
                <w:szCs w:val="22"/>
              </w:rPr>
              <w:t xml:space="preserve"> There is a need to ensure consumers receive all relevant information before they commit to a particular credit transacti</w:t>
            </w:r>
            <w:r w:rsidR="003E5664" w:rsidRPr="004737C5">
              <w:rPr>
                <w:rFonts w:asciiTheme="minorHAnsi" w:hAnsiTheme="minorHAnsi" w:cstheme="minorHAnsi"/>
                <w:color w:val="auto"/>
                <w:szCs w:val="22"/>
              </w:rPr>
              <w:t>on. Under the French Loi Murcef</w:t>
            </w:r>
            <w:r w:rsidRPr="004737C5">
              <w:rPr>
                <w:rFonts w:asciiTheme="minorHAnsi" w:hAnsiTheme="minorHAnsi" w:cstheme="minorHAnsi"/>
                <w:color w:val="auto"/>
                <w:szCs w:val="22"/>
              </w:rPr>
              <w:t xml:space="preserve"> of 2001, banks were compelled to publish their tariffs, three months before they took effect.</w:t>
            </w:r>
          </w:p>
          <w:p w14:paraId="35D5F129" w14:textId="77777777" w:rsidR="00BE71E3" w:rsidRPr="004737C5" w:rsidRDefault="00BE71E3" w:rsidP="00ED4EFA">
            <w:pPr>
              <w:pStyle w:val="BodyText2"/>
              <w:spacing w:before="160"/>
              <w:rPr>
                <w:rFonts w:asciiTheme="minorHAnsi" w:hAnsiTheme="minorHAnsi" w:cstheme="minorHAnsi"/>
                <w:caps/>
                <w:color w:val="auto"/>
                <w:sz w:val="20"/>
              </w:rPr>
            </w:pPr>
            <w:r w:rsidRPr="004737C5">
              <w:rPr>
                <w:rFonts w:asciiTheme="minorHAnsi" w:hAnsiTheme="minorHAnsi" w:cstheme="minorHAnsi"/>
                <w:i/>
                <w:color w:val="auto"/>
                <w:sz w:val="20"/>
              </w:rPr>
              <w:t>Source</w:t>
            </w:r>
            <w:r w:rsidRPr="004737C5">
              <w:rPr>
                <w:rFonts w:asciiTheme="minorHAnsi" w:hAnsiTheme="minorHAnsi" w:cstheme="minorHAnsi"/>
                <w:color w:val="auto"/>
                <w:sz w:val="20"/>
              </w:rPr>
              <w:t>: UNCTAD.</w:t>
            </w:r>
          </w:p>
        </w:tc>
      </w:tr>
    </w:tbl>
    <w:p w14:paraId="4760175A" w14:textId="77777777" w:rsidR="00BE71E3" w:rsidRPr="004737C5" w:rsidRDefault="00BE71E3" w:rsidP="00ED4EFA">
      <w:pPr>
        <w:pStyle w:val="Heading3"/>
        <w:spacing w:after="160" w:line="240" w:lineRule="auto"/>
        <w:rPr>
          <w:rFonts w:cstheme="minorHAnsi"/>
          <w:color w:val="auto"/>
        </w:rPr>
      </w:pPr>
      <w:bookmarkStart w:id="339" w:name="_Toc454293888"/>
      <w:bookmarkStart w:id="340" w:name="_Toc489950326"/>
      <w:bookmarkStart w:id="341" w:name="_Toc492650113"/>
      <w:r w:rsidRPr="004737C5">
        <w:rPr>
          <w:rFonts w:cstheme="minorHAnsi"/>
          <w:color w:val="auto"/>
        </w:rPr>
        <w:t>3</w:t>
      </w:r>
      <w:r w:rsidR="003E5664" w:rsidRPr="004737C5">
        <w:rPr>
          <w:rFonts w:cstheme="minorHAnsi"/>
          <w:color w:val="auto"/>
        </w:rPr>
        <w:t>.</w:t>
      </w:r>
      <w:r w:rsidRPr="004737C5">
        <w:rPr>
          <w:rFonts w:cstheme="minorHAnsi"/>
          <w:color w:val="auto"/>
        </w:rPr>
        <w:t xml:space="preserve"> Transparency and remittances</w:t>
      </w:r>
      <w:bookmarkEnd w:id="339"/>
      <w:bookmarkEnd w:id="340"/>
      <w:bookmarkEnd w:id="341"/>
      <w:r w:rsidRPr="004737C5" w:rsidDel="00B04A46">
        <w:rPr>
          <w:rFonts w:cstheme="minorHAnsi"/>
          <w:color w:val="auto"/>
        </w:rPr>
        <w:t xml:space="preserve"> </w:t>
      </w:r>
    </w:p>
    <w:p w14:paraId="4C6CADF0" w14:textId="5FB4AAFA" w:rsidR="00BE71E3" w:rsidRPr="004737C5" w:rsidRDefault="00BE71E3" w:rsidP="006D3BE8">
      <w:pPr>
        <w:rPr>
          <w:rFonts w:cstheme="minorHAnsi"/>
        </w:rPr>
      </w:pPr>
      <w:r w:rsidRPr="004737C5">
        <w:rPr>
          <w:rFonts w:cstheme="minorHAnsi"/>
        </w:rPr>
        <w:t>One relatively straightforward way in which transparency can promote consumer protection in financial services is in the remitta</w:t>
      </w:r>
      <w:r w:rsidR="00ED4EFA" w:rsidRPr="004737C5">
        <w:rPr>
          <w:rFonts w:cstheme="minorHAnsi"/>
        </w:rPr>
        <w:t>nce sector, especially given</w:t>
      </w:r>
      <w:r w:rsidRPr="004737C5">
        <w:rPr>
          <w:rFonts w:cstheme="minorHAnsi"/>
        </w:rPr>
        <w:t xml:space="preserve"> improvements in mobile transactions which have the potential to i</w:t>
      </w:r>
      <w:r w:rsidR="00426BC0" w:rsidRPr="004737C5">
        <w:rPr>
          <w:rFonts w:cstheme="minorHAnsi"/>
        </w:rPr>
        <w:t>ncrease competition in this sub</w:t>
      </w:r>
      <w:r w:rsidRPr="004737C5">
        <w:rPr>
          <w:rFonts w:cstheme="minorHAnsi"/>
        </w:rPr>
        <w:t xml:space="preserve">sector. The UNGCP make explicit reference </w:t>
      </w:r>
      <w:r w:rsidR="00ED4EFA" w:rsidRPr="004737C5">
        <w:rPr>
          <w:rFonts w:cstheme="minorHAnsi"/>
        </w:rPr>
        <w:t>to this in g</w:t>
      </w:r>
      <w:r w:rsidR="003E5664" w:rsidRPr="004737C5">
        <w:rPr>
          <w:rFonts w:cstheme="minorHAnsi"/>
        </w:rPr>
        <w:t>uideline 66h</w:t>
      </w:r>
      <w:r w:rsidRPr="004737C5">
        <w:rPr>
          <w:rFonts w:cstheme="minorHAnsi"/>
        </w:rPr>
        <w:t xml:space="preserve">. </w:t>
      </w:r>
    </w:p>
    <w:p w14:paraId="0059ACA7" w14:textId="77777777" w:rsidR="00BE71E3" w:rsidRPr="004737C5" w:rsidRDefault="00BE71E3" w:rsidP="006D3BE8">
      <w:pPr>
        <w:rPr>
          <w:rFonts w:eastAsiaTheme="minorEastAsia" w:cstheme="minorHAnsi"/>
        </w:rPr>
      </w:pPr>
      <w:r w:rsidRPr="004737C5">
        <w:rPr>
          <w:rFonts w:cstheme="minorHAnsi"/>
        </w:rPr>
        <w:t>There need to be clear signals about what happens at both ends of the transaction (e</w:t>
      </w:r>
      <w:r w:rsidR="003E5664" w:rsidRPr="004737C5">
        <w:rPr>
          <w:rFonts w:cstheme="minorHAnsi"/>
        </w:rPr>
        <w:t>.</w:t>
      </w:r>
      <w:r w:rsidRPr="004737C5">
        <w:rPr>
          <w:rFonts w:cstheme="minorHAnsi"/>
        </w:rPr>
        <w:t>g. exchange rates in country of despatch and country of receipt). Consumers</w:t>
      </w:r>
      <w:r w:rsidR="003E5664" w:rsidRPr="004737C5">
        <w:rPr>
          <w:rFonts w:cstheme="minorHAnsi"/>
        </w:rPr>
        <w:t xml:space="preserve"> International have pointed out that “</w:t>
      </w:r>
      <w:r w:rsidR="003E5664" w:rsidRPr="004737C5">
        <w:rPr>
          <w:rFonts w:eastAsiaTheme="minorEastAsia" w:cstheme="minorHAnsi"/>
        </w:rPr>
        <w:t>t</w:t>
      </w:r>
      <w:r w:rsidRPr="004737C5">
        <w:rPr>
          <w:rFonts w:eastAsiaTheme="minorEastAsia" w:cstheme="minorHAnsi"/>
        </w:rPr>
        <w:t>he consumer is charged an initial fee to transfer funds, and is effectively charged a second time because the foreign exchange rate used generates a ‘bonus profit’ for the service provider who is not obligated to communicate this information to the consumer. Payout locations in some countries are also charging recipients to collect the remittances</w:t>
      </w:r>
      <w:r w:rsidR="003E5664" w:rsidRPr="004737C5">
        <w:rPr>
          <w:rFonts w:eastAsiaTheme="minorEastAsia" w:cstheme="minorHAnsi"/>
        </w:rPr>
        <w:t>”.</w:t>
      </w:r>
      <w:r w:rsidRPr="004737C5">
        <w:rPr>
          <w:rStyle w:val="FootnoteReference"/>
          <w:rFonts w:eastAsiaTheme="minorEastAsia" w:cstheme="minorHAnsi"/>
        </w:rPr>
        <w:footnoteReference w:id="300"/>
      </w:r>
      <w:r w:rsidR="003E5664" w:rsidRPr="004737C5">
        <w:rPr>
          <w:rFonts w:eastAsiaTheme="minorEastAsia" w:cstheme="minorHAnsi"/>
        </w:rPr>
        <w:t xml:space="preserve"> CI also argues that the “spread”</w:t>
      </w:r>
      <w:r w:rsidRPr="004737C5">
        <w:rPr>
          <w:rFonts w:eastAsiaTheme="minorEastAsia" w:cstheme="minorHAnsi"/>
        </w:rPr>
        <w:t xml:space="preserve"> of rates also needs to be referenced in c</w:t>
      </w:r>
      <w:r w:rsidR="003E5664" w:rsidRPr="004737C5">
        <w:rPr>
          <w:rFonts w:eastAsiaTheme="minorEastAsia" w:cstheme="minorHAnsi"/>
        </w:rPr>
        <w:t>omparable format. Guideline 66h</w:t>
      </w:r>
      <w:r w:rsidRPr="004737C5">
        <w:rPr>
          <w:rFonts w:eastAsiaTheme="minorEastAsia" w:cstheme="minorHAnsi"/>
        </w:rPr>
        <w:t xml:space="preserve"> lists the information </w:t>
      </w:r>
      <w:r w:rsidR="003E5664" w:rsidRPr="004737C5">
        <w:rPr>
          <w:rFonts w:eastAsiaTheme="minorEastAsia" w:cstheme="minorHAnsi"/>
        </w:rPr>
        <w:t>to be provided as “</w:t>
      </w:r>
      <w:r w:rsidRPr="004737C5">
        <w:rPr>
          <w:rFonts w:eastAsiaTheme="minorEastAsia" w:cstheme="minorHAnsi"/>
        </w:rPr>
        <w:t>the price and delivery of the funds to be transferred, exchange rates, all fees and any other costs associated with the money transfers offered, as well as remedies if tra</w:t>
      </w:r>
      <w:r w:rsidR="003E5664" w:rsidRPr="004737C5">
        <w:rPr>
          <w:rFonts w:eastAsiaTheme="minorEastAsia" w:cstheme="minorHAnsi"/>
        </w:rPr>
        <w:t>nsfers fail”</w:t>
      </w:r>
      <w:r w:rsidRPr="004737C5">
        <w:rPr>
          <w:rFonts w:eastAsiaTheme="minorEastAsia" w:cstheme="minorHAnsi"/>
        </w:rPr>
        <w:t>.</w:t>
      </w:r>
    </w:p>
    <w:p w14:paraId="0B413BB1" w14:textId="77777777" w:rsidR="00BE71E3" w:rsidRPr="004737C5" w:rsidRDefault="00BE71E3" w:rsidP="00ED4EFA">
      <w:pPr>
        <w:pStyle w:val="Heading3"/>
        <w:spacing w:after="160" w:line="240" w:lineRule="auto"/>
        <w:rPr>
          <w:rFonts w:cstheme="minorHAnsi"/>
          <w:color w:val="auto"/>
        </w:rPr>
      </w:pPr>
      <w:bookmarkStart w:id="342" w:name="_Toc454293889"/>
      <w:bookmarkStart w:id="343" w:name="_Toc489950327"/>
      <w:bookmarkStart w:id="344" w:name="_Toc492650114"/>
      <w:r w:rsidRPr="004737C5">
        <w:rPr>
          <w:rFonts w:cstheme="minorHAnsi"/>
          <w:color w:val="auto"/>
        </w:rPr>
        <w:lastRenderedPageBreak/>
        <w:t>4</w:t>
      </w:r>
      <w:r w:rsidR="003E5664" w:rsidRPr="004737C5">
        <w:rPr>
          <w:rFonts w:cstheme="minorHAnsi"/>
          <w:color w:val="auto"/>
        </w:rPr>
        <w:t>.</w:t>
      </w:r>
      <w:r w:rsidRPr="004737C5">
        <w:rPr>
          <w:rFonts w:cstheme="minorHAnsi"/>
          <w:color w:val="auto"/>
        </w:rPr>
        <w:t xml:space="preserve"> Control of advertising</w:t>
      </w:r>
      <w:bookmarkEnd w:id="342"/>
      <w:bookmarkEnd w:id="343"/>
      <w:bookmarkEnd w:id="344"/>
    </w:p>
    <w:p w14:paraId="609BB18B" w14:textId="46839715" w:rsidR="00BE71E3" w:rsidRPr="004737C5" w:rsidRDefault="00BE71E3" w:rsidP="006D3BE8">
      <w:pPr>
        <w:rPr>
          <w:rFonts w:cstheme="minorHAnsi"/>
        </w:rPr>
      </w:pPr>
      <w:r w:rsidRPr="004737C5">
        <w:rPr>
          <w:rFonts w:cstheme="minorHAnsi"/>
        </w:rPr>
        <w:t>The World Bank recommends a tough stance on misleading advertising and</w:t>
      </w:r>
      <w:r w:rsidR="003E5664" w:rsidRPr="004737C5">
        <w:rPr>
          <w:rFonts w:cstheme="minorHAnsi"/>
        </w:rPr>
        <w:t xml:space="preserve"> </w:t>
      </w:r>
      <w:r w:rsidRPr="004737C5">
        <w:rPr>
          <w:rFonts w:cstheme="minorHAnsi"/>
        </w:rPr>
        <w:t>in Ukraine</w:t>
      </w:r>
      <w:r w:rsidR="003E5664" w:rsidRPr="004737C5">
        <w:rPr>
          <w:rFonts w:cstheme="minorHAnsi"/>
        </w:rPr>
        <w:t>, for example, recommended that the r</w:t>
      </w:r>
      <w:r w:rsidRPr="004737C5">
        <w:rPr>
          <w:rFonts w:cstheme="minorHAnsi"/>
        </w:rPr>
        <w:t>egulator for financial services markets have the legal authority to order withdrawal of any advertising that breached truth in lending rules.</w:t>
      </w:r>
      <w:r w:rsidRPr="004737C5">
        <w:rPr>
          <w:rStyle w:val="FootnoteReference"/>
          <w:rFonts w:cstheme="minorHAnsi"/>
        </w:rPr>
        <w:footnoteReference w:id="301"/>
      </w:r>
      <w:r w:rsidRPr="004737C5">
        <w:rPr>
          <w:rFonts w:cstheme="minorHAnsi"/>
          <w:color w:val="FF0000"/>
        </w:rPr>
        <w:t xml:space="preserve"> </w:t>
      </w:r>
      <w:r w:rsidRPr="004737C5">
        <w:rPr>
          <w:rFonts w:cstheme="minorHAnsi"/>
        </w:rPr>
        <w:t xml:space="preserve">However, the consumer may be not so much misled as distracted by imagery, </w:t>
      </w:r>
      <w:r w:rsidR="00ED4EFA" w:rsidRPr="004737C5">
        <w:rPr>
          <w:rFonts w:cstheme="minorHAnsi"/>
        </w:rPr>
        <w:t>which may not be illegal but simply</w:t>
      </w:r>
      <w:r w:rsidRPr="004737C5">
        <w:rPr>
          <w:rFonts w:cstheme="minorHAnsi"/>
        </w:rPr>
        <w:t xml:space="preserve"> irrelevant. For example, a South African study provides a salutary reminder of the </w:t>
      </w:r>
      <w:r w:rsidR="003E5664" w:rsidRPr="004737C5">
        <w:rPr>
          <w:rFonts w:cstheme="minorHAnsi"/>
        </w:rPr>
        <w:t>difficulties of focu</w:t>
      </w:r>
      <w:r w:rsidR="00ED4EFA" w:rsidRPr="004737C5">
        <w:rPr>
          <w:rFonts w:cstheme="minorHAnsi"/>
        </w:rPr>
        <w:t>sing consumers’</w:t>
      </w:r>
      <w:r w:rsidRPr="004737C5">
        <w:rPr>
          <w:rFonts w:cstheme="minorHAnsi"/>
        </w:rPr>
        <w:t xml:space="preserve"> attention on what really matters in credit</w:t>
      </w:r>
      <w:r w:rsidR="003E5664" w:rsidRPr="004737C5">
        <w:rPr>
          <w:rFonts w:cstheme="minorHAnsi"/>
        </w:rPr>
        <w:t xml:space="preserve"> contracts. A study by </w:t>
      </w:r>
      <w:r w:rsidR="003B0370" w:rsidRPr="004737C5">
        <w:rPr>
          <w:rFonts w:cstheme="minorHAnsi"/>
        </w:rPr>
        <w:t xml:space="preserve">Marianne </w:t>
      </w:r>
      <w:r w:rsidR="003E5664" w:rsidRPr="004737C5">
        <w:rPr>
          <w:rFonts w:cstheme="minorHAnsi"/>
        </w:rPr>
        <w:t>Bertrand</w:t>
      </w:r>
      <w:r w:rsidRPr="004737C5">
        <w:rPr>
          <w:rFonts w:cstheme="minorHAnsi"/>
        </w:rPr>
        <w:t xml:space="preserve"> et al</w:t>
      </w:r>
      <w:r w:rsidR="003E5664" w:rsidRPr="004737C5">
        <w:rPr>
          <w:rFonts w:cstheme="minorHAnsi"/>
        </w:rPr>
        <w:t xml:space="preserve"> found that “</w:t>
      </w:r>
      <w:r w:rsidRPr="004737C5">
        <w:rPr>
          <w:rFonts w:cstheme="minorHAnsi"/>
        </w:rPr>
        <w:t>including a photo of an attractive woman increases loan demand by about as much as a 25</w:t>
      </w:r>
      <w:r w:rsidR="003E5664" w:rsidRPr="004737C5">
        <w:rPr>
          <w:rFonts w:cstheme="minorHAnsi"/>
        </w:rPr>
        <w:t xml:space="preserve"> percent </w:t>
      </w:r>
      <w:r w:rsidRPr="004737C5">
        <w:rPr>
          <w:rFonts w:cstheme="minorHAnsi"/>
        </w:rPr>
        <w:t>reduction in the interest rate</w:t>
      </w:r>
      <w:r w:rsidR="003E5664" w:rsidRPr="004737C5">
        <w:rPr>
          <w:rFonts w:cstheme="minorHAnsi"/>
        </w:rPr>
        <w:t>”.</w:t>
      </w:r>
      <w:r w:rsidRPr="004737C5">
        <w:rPr>
          <w:rStyle w:val="FootnoteReference"/>
          <w:rFonts w:cstheme="minorHAnsi"/>
        </w:rPr>
        <w:footnoteReference w:id="302"/>
      </w:r>
    </w:p>
    <w:p w14:paraId="4FF70B36" w14:textId="77777777" w:rsidR="00BE71E3" w:rsidRPr="004737C5" w:rsidRDefault="00BE71E3" w:rsidP="00ED4EFA">
      <w:pPr>
        <w:pStyle w:val="Heading3"/>
        <w:spacing w:after="160" w:line="240" w:lineRule="auto"/>
        <w:rPr>
          <w:rFonts w:cstheme="minorHAnsi"/>
          <w:color w:val="auto"/>
        </w:rPr>
      </w:pPr>
      <w:bookmarkStart w:id="345" w:name="_Toc454293890"/>
      <w:bookmarkStart w:id="346" w:name="_Toc489950328"/>
      <w:bookmarkStart w:id="347" w:name="_Toc492650115"/>
      <w:r w:rsidRPr="004737C5">
        <w:rPr>
          <w:rFonts w:cstheme="minorHAnsi"/>
          <w:color w:val="auto"/>
        </w:rPr>
        <w:t>5</w:t>
      </w:r>
      <w:r w:rsidR="003E5664" w:rsidRPr="004737C5">
        <w:rPr>
          <w:rFonts w:cstheme="minorHAnsi"/>
          <w:color w:val="auto"/>
        </w:rPr>
        <w:t>.</w:t>
      </w:r>
      <w:r w:rsidRPr="004737C5">
        <w:rPr>
          <w:rFonts w:cstheme="minorHAnsi"/>
          <w:color w:val="auto"/>
        </w:rPr>
        <w:t xml:space="preserve"> Prescribed limits on interest rates?</w:t>
      </w:r>
      <w:bookmarkEnd w:id="345"/>
      <w:bookmarkEnd w:id="346"/>
      <w:bookmarkEnd w:id="347"/>
    </w:p>
    <w:p w14:paraId="5375EC7C" w14:textId="77777777" w:rsidR="00BE71E3" w:rsidRPr="004737C5" w:rsidRDefault="00BE71E3" w:rsidP="006D3BE8">
      <w:pPr>
        <w:rPr>
          <w:rFonts w:cstheme="minorHAnsi"/>
        </w:rPr>
      </w:pPr>
      <w:r w:rsidRPr="004737C5">
        <w:rPr>
          <w:rFonts w:cstheme="minorHAnsi"/>
        </w:rPr>
        <w:t xml:space="preserve">The issue of interest rate caps stretches back to historic usury laws and the debate continues. It is even difficult to obtain agreement on establishing prescribed methods of calculating interest charges, both to ensure that consumers can compare effectively and also to inform the regulatory debate. Discussions on finance rates will necessarily require some understanding of financial mathematics. </w:t>
      </w:r>
    </w:p>
    <w:p w14:paraId="6DFE3107" w14:textId="186426DC" w:rsidR="00BE71E3" w:rsidRPr="004737C5" w:rsidRDefault="003E5664" w:rsidP="006D3BE8">
      <w:pPr>
        <w:rPr>
          <w:rFonts w:cstheme="minorHAnsi"/>
        </w:rPr>
      </w:pPr>
      <w:r w:rsidRPr="004737C5">
        <w:rPr>
          <w:rFonts w:cstheme="minorHAnsi"/>
        </w:rPr>
        <w:t xml:space="preserve">Many countries employ interest </w:t>
      </w:r>
      <w:r w:rsidR="00BE71E3" w:rsidRPr="004737C5">
        <w:rPr>
          <w:rFonts w:cstheme="minorHAnsi"/>
        </w:rPr>
        <w:t>rate ceilings. This is often justified as a means of protecting lower income c</w:t>
      </w:r>
      <w:r w:rsidRPr="004737C5">
        <w:rPr>
          <w:rFonts w:cstheme="minorHAnsi"/>
        </w:rPr>
        <w:t>onsumers from the risks of high-</w:t>
      </w:r>
      <w:r w:rsidR="00BE71E3" w:rsidRPr="004737C5">
        <w:rPr>
          <w:rFonts w:cstheme="minorHAnsi"/>
        </w:rPr>
        <w:t>cost credit and of providing credit at fair prices. Ceilings may take m</w:t>
      </w:r>
      <w:r w:rsidRPr="004737C5">
        <w:rPr>
          <w:rFonts w:cstheme="minorHAnsi"/>
        </w:rPr>
        <w:t>any forms</w:t>
      </w:r>
      <w:r w:rsidR="00ED4EFA" w:rsidRPr="004737C5">
        <w:rPr>
          <w:rFonts w:cstheme="minorHAnsi"/>
        </w:rPr>
        <w:t>,</w:t>
      </w:r>
      <w:r w:rsidRPr="004737C5">
        <w:rPr>
          <w:rFonts w:cstheme="minorHAnsi"/>
        </w:rPr>
        <w:t xml:space="preserve"> from a single ceiling</w:t>
      </w:r>
      <w:r w:rsidR="00BE71E3" w:rsidRPr="004737C5">
        <w:rPr>
          <w:rFonts w:cstheme="minorHAnsi"/>
        </w:rPr>
        <w:t xml:space="preserve"> through different ceilings for different types of loans. They may be linked to market prices or established as a fixed rate. They may include only interest charges or all costs associated with credit, in order to avoid diverting costs elsewhere such as administrative fees. There will be costs and benefits associated with ceilings. Some consumers will be pro</w:t>
      </w:r>
      <w:r w:rsidRPr="004737C5">
        <w:rPr>
          <w:rFonts w:cstheme="minorHAnsi"/>
        </w:rPr>
        <w:t>tected from the dangers of high-</w:t>
      </w:r>
      <w:r w:rsidR="00BE71E3" w:rsidRPr="004737C5">
        <w:rPr>
          <w:rFonts w:cstheme="minorHAnsi"/>
        </w:rPr>
        <w:t>cost credit while other consumers may see their access limited and resort to the black market. Policymakers should attempt to quantify these costs and benefits before introducing ceilings.</w:t>
      </w:r>
    </w:p>
    <w:p w14:paraId="4BABCD88" w14:textId="77777777" w:rsidR="00BE71E3" w:rsidRPr="004737C5" w:rsidRDefault="00BE71E3" w:rsidP="006D3BE8">
      <w:pPr>
        <w:rPr>
          <w:rFonts w:cstheme="minorHAnsi"/>
        </w:rPr>
      </w:pPr>
      <w:r w:rsidRPr="004737C5">
        <w:rPr>
          <w:rFonts w:cstheme="minorHAnsi"/>
        </w:rPr>
        <w:t>In S</w:t>
      </w:r>
      <w:r w:rsidR="003E5664" w:rsidRPr="004737C5">
        <w:rPr>
          <w:rFonts w:cstheme="minorHAnsi"/>
        </w:rPr>
        <w:t>outh Africa the “usury ceiling”</w:t>
      </w:r>
      <w:r w:rsidRPr="004737C5">
        <w:rPr>
          <w:rFonts w:cstheme="minorHAnsi"/>
        </w:rPr>
        <w:t xml:space="preserve"> was lifted in 1992</w:t>
      </w:r>
      <w:r w:rsidR="003E5664" w:rsidRPr="004737C5">
        <w:rPr>
          <w:rFonts w:cstheme="minorHAnsi"/>
        </w:rPr>
        <w:t>,</w:t>
      </w:r>
      <w:r w:rsidRPr="004737C5">
        <w:rPr>
          <w:rFonts w:cstheme="minorHAnsi"/>
        </w:rPr>
        <w:t xml:space="preserve"> since when cash lenders have been regulated by the Micro-Finance Regulatory Council.</w:t>
      </w:r>
      <w:r w:rsidRPr="004737C5">
        <w:rPr>
          <w:rStyle w:val="FootnoteReference"/>
          <w:rFonts w:cstheme="minorHAnsi"/>
        </w:rPr>
        <w:footnoteReference w:id="303"/>
      </w:r>
      <w:r w:rsidRPr="004737C5">
        <w:rPr>
          <w:rFonts w:cstheme="minorHAnsi"/>
        </w:rPr>
        <w:t xml:space="preserve"> The regulation requires that monthly repayment should not exceed a proportion of monthly income, an indirect way o</w:t>
      </w:r>
      <w:r w:rsidR="00D519E4" w:rsidRPr="004737C5">
        <w:rPr>
          <w:rFonts w:cstheme="minorHAnsi"/>
        </w:rPr>
        <w:t>f imposing a duty of assessing “affordability”</w:t>
      </w:r>
      <w:r w:rsidRPr="004737C5">
        <w:rPr>
          <w:rFonts w:cstheme="minorHAnsi"/>
        </w:rPr>
        <w:t xml:space="preserve"> on lenders. One problem concerning interest rate caps is that they can incite companies to recoup the implicit cost of the rate caps through administrative charges. This tendency can be, to some extent at least, limited by applying the principle of proportionality. For example, </w:t>
      </w:r>
      <w:r w:rsidR="00D519E4" w:rsidRPr="004737C5">
        <w:rPr>
          <w:rFonts w:cstheme="minorHAnsi"/>
        </w:rPr>
        <w:t xml:space="preserve">in the United States of America </w:t>
      </w:r>
      <w:r w:rsidRPr="004737C5">
        <w:rPr>
          <w:rFonts w:cstheme="minorHAnsi"/>
        </w:rPr>
        <w:t>the main federal consumer law that does contain such a requirement is the CARD Act 2009, which adopts a standard of reasonableness and proportionality against which all credit card penalty fees must be assessed.</w:t>
      </w:r>
      <w:r w:rsidRPr="004737C5">
        <w:rPr>
          <w:rStyle w:val="FootnoteReference"/>
          <w:rFonts w:cstheme="minorHAnsi"/>
        </w:rPr>
        <w:footnoteReference w:id="304"/>
      </w:r>
      <w:r w:rsidRPr="004737C5">
        <w:rPr>
          <w:rFonts w:cstheme="minorHAnsi"/>
        </w:rPr>
        <w:t xml:space="preserve"> Essentially, the CARD Act requires that the amount of any penalty fee or charge that a card issuer could impose for violation of the credit card contract “shall be reasonable and proportional to such omission or violation</w:t>
      </w:r>
      <w:r w:rsidR="00D519E4" w:rsidRPr="004737C5">
        <w:rPr>
          <w:rFonts w:cstheme="minorHAnsi"/>
        </w:rPr>
        <w:t>”.</w:t>
      </w:r>
      <w:r w:rsidRPr="004737C5">
        <w:rPr>
          <w:rFonts w:cstheme="minorHAnsi"/>
        </w:rPr>
        <w:t xml:space="preserve"> The Consumer Protection Financial Bureau</w:t>
      </w:r>
      <w:r w:rsidR="00D519E4" w:rsidRPr="004737C5">
        <w:rPr>
          <w:rFonts w:cstheme="minorHAnsi"/>
        </w:rPr>
        <w:t xml:space="preserve"> of the United States of America</w:t>
      </w:r>
      <w:r w:rsidRPr="004737C5">
        <w:rPr>
          <w:rFonts w:cstheme="minorHAnsi"/>
        </w:rPr>
        <w:t xml:space="preserve"> has issued regulations expanding on this concept, and at the time of writing, has proposed similar “reasonable and proportional” requirements for various types of prepaid cards.</w:t>
      </w:r>
    </w:p>
    <w:p w14:paraId="18F8BB24" w14:textId="77777777" w:rsidR="00BE71E3" w:rsidRPr="004737C5" w:rsidRDefault="00BE71E3" w:rsidP="00ED4EFA">
      <w:pPr>
        <w:pStyle w:val="Heading3"/>
        <w:spacing w:after="160" w:line="240" w:lineRule="auto"/>
        <w:rPr>
          <w:rFonts w:cstheme="minorHAnsi"/>
          <w:color w:val="auto"/>
        </w:rPr>
      </w:pPr>
      <w:bookmarkStart w:id="348" w:name="_Toc454293891"/>
      <w:bookmarkStart w:id="349" w:name="_Toc489950329"/>
      <w:bookmarkStart w:id="350" w:name="_Toc492650116"/>
      <w:r w:rsidRPr="004737C5">
        <w:rPr>
          <w:rFonts w:cstheme="minorHAnsi"/>
          <w:color w:val="auto"/>
        </w:rPr>
        <w:lastRenderedPageBreak/>
        <w:t>6</w:t>
      </w:r>
      <w:r w:rsidR="00D519E4" w:rsidRPr="004737C5">
        <w:rPr>
          <w:rFonts w:cstheme="minorHAnsi"/>
          <w:color w:val="auto"/>
        </w:rPr>
        <w:t>.</w:t>
      </w:r>
      <w:r w:rsidRPr="004737C5">
        <w:rPr>
          <w:rFonts w:cstheme="minorHAnsi"/>
          <w:color w:val="auto"/>
        </w:rPr>
        <w:t xml:space="preserve"> Payday lending</w:t>
      </w:r>
      <w:bookmarkEnd w:id="348"/>
      <w:bookmarkEnd w:id="349"/>
      <w:bookmarkEnd w:id="350"/>
    </w:p>
    <w:p w14:paraId="19301AAA" w14:textId="7EFD89FE" w:rsidR="00BE71E3" w:rsidRPr="004737C5" w:rsidRDefault="00BE71E3" w:rsidP="006D3BE8">
      <w:pPr>
        <w:rPr>
          <w:rFonts w:cstheme="minorHAnsi"/>
        </w:rPr>
      </w:pPr>
      <w:r w:rsidRPr="004737C5">
        <w:rPr>
          <w:rFonts w:cstheme="minorHAnsi"/>
        </w:rPr>
        <w:t>Among the more extreme manifestations of abusive lendi</w:t>
      </w:r>
      <w:r w:rsidR="00D519E4" w:rsidRPr="004737C5">
        <w:rPr>
          <w:rFonts w:cstheme="minorHAnsi"/>
        </w:rPr>
        <w:t>ng during the past years is pay</w:t>
      </w:r>
      <w:r w:rsidRPr="004737C5">
        <w:rPr>
          <w:rFonts w:cstheme="minorHAnsi"/>
        </w:rPr>
        <w:t xml:space="preserve">day lending, which is found in many jurisdictions as far apart as Australia and the Russian Federation, its use having been accelerated by </w:t>
      </w:r>
      <w:r w:rsidR="00D519E4" w:rsidRPr="004737C5">
        <w:rPr>
          <w:rFonts w:cstheme="minorHAnsi"/>
        </w:rPr>
        <w:t>online sales. As i</w:t>
      </w:r>
      <w:r w:rsidRPr="004737C5">
        <w:rPr>
          <w:rFonts w:cstheme="minorHAnsi"/>
        </w:rPr>
        <w:t>nternet access moves down the income scale this method of lending might spread. Although the stereotype of payday lending is one of loans offered at the moment of consumer liquidity (payday) at extortionate rates and subsequently enforced through violence and other threats, the approach of many lenders is in practice much mor</w:t>
      </w:r>
      <w:r w:rsidR="00426BC0" w:rsidRPr="004737C5">
        <w:rPr>
          <w:rFonts w:cstheme="minorHAnsi"/>
        </w:rPr>
        <w:t>e subtle, especially as the sub</w:t>
      </w:r>
      <w:r w:rsidRPr="004737C5">
        <w:rPr>
          <w:rFonts w:cstheme="minorHAnsi"/>
        </w:rPr>
        <w:t xml:space="preserve">sector has become more corporatized. Many contracts are designed to fail so that consumers, having defaulted on the first loan, are offered a second loan to clear the first one, with friendly sales staff disarming consumers who already feel guilty because of the first default. </w:t>
      </w:r>
    </w:p>
    <w:p w14:paraId="657BA347" w14:textId="52961185" w:rsidR="00BE71E3" w:rsidRPr="004737C5" w:rsidRDefault="00BE71E3" w:rsidP="006D3BE8">
      <w:pPr>
        <w:rPr>
          <w:rFonts w:cstheme="minorHAnsi"/>
        </w:rPr>
      </w:pPr>
      <w:r w:rsidRPr="004737C5">
        <w:rPr>
          <w:rFonts w:cstheme="minorHAnsi"/>
        </w:rPr>
        <w:t>In 2013, the Government</w:t>
      </w:r>
      <w:r w:rsidR="00D519E4" w:rsidRPr="004737C5">
        <w:rPr>
          <w:rFonts w:cstheme="minorHAnsi"/>
        </w:rPr>
        <w:t xml:space="preserve"> of Australia</w:t>
      </w:r>
      <w:r w:rsidRPr="004737C5">
        <w:rPr>
          <w:rFonts w:cstheme="minorHAnsi"/>
        </w:rPr>
        <w:t xml:space="preserve"> introduced a national tiered max</w:t>
      </w:r>
      <w:r w:rsidR="00ED4EFA" w:rsidRPr="004737C5">
        <w:rPr>
          <w:rFonts w:cstheme="minorHAnsi"/>
        </w:rPr>
        <w:t>imum cap on payday loan charges</w:t>
      </w:r>
      <w:r w:rsidRPr="004737C5">
        <w:rPr>
          <w:rFonts w:cstheme="minorHAnsi"/>
        </w:rPr>
        <w:t xml:space="preserve"> (not applied to banks and credit unions, which lend at far lower</w:t>
      </w:r>
      <w:r w:rsidR="00D519E4" w:rsidRPr="004737C5">
        <w:rPr>
          <w:rFonts w:cstheme="minorHAnsi"/>
        </w:rPr>
        <w:t xml:space="preserve"> rates). The overall cap was 48 percent</w:t>
      </w:r>
      <w:r w:rsidRPr="004737C5">
        <w:rPr>
          <w:rFonts w:cstheme="minorHAnsi"/>
        </w:rPr>
        <w:t xml:space="preserve"> per annum (including inte</w:t>
      </w:r>
      <w:r w:rsidR="00D519E4" w:rsidRPr="004737C5">
        <w:rPr>
          <w:rFonts w:cstheme="minorHAnsi"/>
        </w:rPr>
        <w:t>rest and fees) with additional “set up costs”</w:t>
      </w:r>
      <w:r w:rsidRPr="004737C5">
        <w:rPr>
          <w:rFonts w:cstheme="minorHAnsi"/>
        </w:rPr>
        <w:t xml:space="preserve"> allowed for smaller loans and a ban on small amounts where the term is 15 days or less. In the United Kingdom</w:t>
      </w:r>
      <w:r w:rsidR="00D519E4" w:rsidRPr="004737C5">
        <w:rPr>
          <w:rFonts w:cstheme="minorHAnsi"/>
        </w:rPr>
        <w:t xml:space="preserve"> of Great Britain and Northern Ireland</w:t>
      </w:r>
      <w:r w:rsidRPr="004737C5">
        <w:rPr>
          <w:rFonts w:cstheme="minorHAnsi"/>
        </w:rPr>
        <w:t>, where the Competition and Markets Authority concluded that the major payday loan companies made supra-normal profits,</w:t>
      </w:r>
      <w:r w:rsidRPr="004737C5">
        <w:rPr>
          <w:rStyle w:val="FootnoteReference"/>
          <w:rFonts w:cstheme="minorHAnsi"/>
        </w:rPr>
        <w:footnoteReference w:id="305"/>
      </w:r>
      <w:r w:rsidRPr="004737C5">
        <w:rPr>
          <w:rFonts w:cstheme="minorHAnsi"/>
        </w:rPr>
        <w:t xml:space="preserve"> the Financial Conduct Authority introduced a price cap in 2015</w:t>
      </w:r>
      <w:r w:rsidR="00D519E4" w:rsidRPr="004737C5">
        <w:rPr>
          <w:rFonts w:cstheme="minorHAnsi"/>
        </w:rPr>
        <w:t xml:space="preserve"> on daily interest rates of 0.8 percent</w:t>
      </w:r>
      <w:r w:rsidRPr="004737C5">
        <w:rPr>
          <w:rFonts w:cstheme="minorHAnsi"/>
        </w:rPr>
        <w:t xml:space="preserve"> per day and capped default fees, setting an overall repayment cap at twice the value of the original </w:t>
      </w:r>
      <w:r w:rsidR="00D519E4" w:rsidRPr="004737C5">
        <w:rPr>
          <w:rFonts w:cstheme="minorHAnsi"/>
        </w:rPr>
        <w:t>loan.</w:t>
      </w:r>
      <w:r w:rsidR="00ED4EFA" w:rsidRPr="004737C5">
        <w:rPr>
          <w:rFonts w:cstheme="minorHAnsi"/>
        </w:rPr>
        <w:t xml:space="preserve"> Other limits were set on “roll</w:t>
      </w:r>
      <w:r w:rsidR="00D519E4" w:rsidRPr="004737C5">
        <w:rPr>
          <w:rFonts w:cstheme="minorHAnsi"/>
        </w:rPr>
        <w:t>over”</w:t>
      </w:r>
      <w:r w:rsidRPr="004737C5">
        <w:rPr>
          <w:rFonts w:cstheme="minorHAnsi"/>
        </w:rPr>
        <w:t xml:space="preserve"> lending and stronger affordability checks were imposed in 2014.</w:t>
      </w:r>
      <w:r w:rsidRPr="004737C5">
        <w:rPr>
          <w:rStyle w:val="FootnoteReference"/>
          <w:rFonts w:cstheme="minorHAnsi"/>
        </w:rPr>
        <w:footnoteReference w:id="306"/>
      </w:r>
      <w:r w:rsidRPr="004737C5">
        <w:rPr>
          <w:rFonts w:cstheme="minorHAnsi"/>
        </w:rPr>
        <w:t xml:space="preserve"> In consequence, 2015 saw a massive decline in the volume of payday lending. It is worth noti</w:t>
      </w:r>
      <w:r w:rsidR="00ED4EFA" w:rsidRPr="004737C5">
        <w:rPr>
          <w:rFonts w:cstheme="minorHAnsi"/>
        </w:rPr>
        <w:t>ng that the approach was a twin-</w:t>
      </w:r>
      <w:r w:rsidRPr="004737C5">
        <w:rPr>
          <w:rFonts w:cstheme="minorHAnsi"/>
        </w:rPr>
        <w:t>track one, aimed at lending practices as well as mathematical rates. Th</w:t>
      </w:r>
      <w:r w:rsidR="00D519E4" w:rsidRPr="004737C5">
        <w:rPr>
          <w:rFonts w:cstheme="minorHAnsi"/>
        </w:rPr>
        <w:t>e same is relevant to the micro</w:t>
      </w:r>
      <w:r w:rsidRPr="004737C5">
        <w:rPr>
          <w:rFonts w:cstheme="minorHAnsi"/>
        </w:rPr>
        <w:t>credit market in developing countries.</w:t>
      </w:r>
    </w:p>
    <w:p w14:paraId="5333CB7C" w14:textId="77777777" w:rsidR="00BE71E3" w:rsidRPr="004737C5" w:rsidRDefault="00BE71E3" w:rsidP="00ED4EFA">
      <w:pPr>
        <w:pStyle w:val="Heading3"/>
        <w:spacing w:after="160" w:line="240" w:lineRule="auto"/>
        <w:rPr>
          <w:rFonts w:cstheme="minorHAnsi"/>
          <w:color w:val="auto"/>
        </w:rPr>
      </w:pPr>
      <w:bookmarkStart w:id="351" w:name="_Toc454293892"/>
      <w:bookmarkStart w:id="352" w:name="_Toc489950330"/>
      <w:bookmarkStart w:id="353" w:name="_Toc492650117"/>
      <w:r w:rsidRPr="004737C5">
        <w:rPr>
          <w:rFonts w:cstheme="minorHAnsi"/>
          <w:color w:val="auto"/>
        </w:rPr>
        <w:t>7</w:t>
      </w:r>
      <w:r w:rsidR="00D519E4" w:rsidRPr="004737C5">
        <w:rPr>
          <w:rFonts w:cstheme="minorHAnsi"/>
          <w:color w:val="auto"/>
        </w:rPr>
        <w:t>.</w:t>
      </w:r>
      <w:r w:rsidRPr="004737C5">
        <w:rPr>
          <w:rFonts w:cstheme="minorHAnsi"/>
          <w:color w:val="auto"/>
        </w:rPr>
        <w:t xml:space="preserve"> Regulation of credit-related insurance</w:t>
      </w:r>
      <w:bookmarkEnd w:id="351"/>
      <w:bookmarkEnd w:id="352"/>
      <w:bookmarkEnd w:id="353"/>
    </w:p>
    <w:p w14:paraId="05123515" w14:textId="77777777" w:rsidR="00BE71E3" w:rsidRPr="004737C5" w:rsidRDefault="00BE71E3" w:rsidP="006D3BE8">
      <w:pPr>
        <w:rPr>
          <w:rFonts w:cstheme="minorHAnsi"/>
        </w:rPr>
      </w:pPr>
      <w:r w:rsidRPr="004737C5">
        <w:rPr>
          <w:rFonts w:cstheme="minorHAnsi"/>
        </w:rPr>
        <w:t>Consumer credit insurance can also be used to ensure that repayments for a particular credit contract will continue to be made if the borrower dies, becomes unemployed or becomes ill. Home finance lenders may require a borrower to take out a life insurance policy with the value of the policy being assigned</w:t>
      </w:r>
      <w:r w:rsidR="00D519E4" w:rsidRPr="004737C5">
        <w:rPr>
          <w:rFonts w:cstheme="minorHAnsi"/>
        </w:rPr>
        <w:t xml:space="preserve"> to the lender. Consumer credit-</w:t>
      </w:r>
      <w:r w:rsidRPr="004737C5">
        <w:rPr>
          <w:rFonts w:cstheme="minorHAnsi"/>
        </w:rPr>
        <w:t>related insurance can be a detriment to consumers and in some countries has resulted in systematic consumer detriment through mis</w:t>
      </w:r>
      <w:r w:rsidR="00D519E4" w:rsidRPr="004737C5">
        <w:rPr>
          <w:rFonts w:cstheme="minorHAnsi"/>
        </w:rPr>
        <w:t>-</w:t>
      </w:r>
      <w:r w:rsidRPr="004737C5">
        <w:rPr>
          <w:rFonts w:cstheme="minorHAnsi"/>
        </w:rPr>
        <w:t xml:space="preserve">selling practices. Credit insurance (often known </w:t>
      </w:r>
      <w:r w:rsidR="00D519E4" w:rsidRPr="004737C5">
        <w:rPr>
          <w:rFonts w:cstheme="minorHAnsi"/>
        </w:rPr>
        <w:t xml:space="preserve">as payment protection insurance, </w:t>
      </w:r>
      <w:r w:rsidRPr="004737C5">
        <w:rPr>
          <w:rFonts w:cstheme="minorHAnsi"/>
        </w:rPr>
        <w:t>PPI) is often sold at point of sale when consumers are not in a good position to compare prices and is added to the cost of credit. Common problems include consumers having to pay e</w:t>
      </w:r>
      <w:r w:rsidR="00D519E4" w:rsidRPr="004737C5">
        <w:rPr>
          <w:rFonts w:cstheme="minorHAnsi"/>
        </w:rPr>
        <w:t>xcessive premiums for insurance</w:t>
      </w:r>
      <w:r w:rsidRPr="004737C5">
        <w:rPr>
          <w:rFonts w:cstheme="minorHAnsi"/>
        </w:rPr>
        <w:t xml:space="preserve"> or paying for policies which they do not need because they are already covered by other insurance, failure to di</w:t>
      </w:r>
      <w:r w:rsidR="00D519E4" w:rsidRPr="004737C5">
        <w:rPr>
          <w:rFonts w:cstheme="minorHAnsi"/>
        </w:rPr>
        <w:t>sclose policies to the consumer</w:t>
      </w:r>
      <w:r w:rsidRPr="004737C5">
        <w:rPr>
          <w:rFonts w:cstheme="minorHAnsi"/>
        </w:rPr>
        <w:t xml:space="preserve"> and inappropriate insurance cover. It may be appropriate to ban the sale of such credit insurance at point of sale of credit. </w:t>
      </w:r>
    </w:p>
    <w:p w14:paraId="268B22B9" w14:textId="77777777" w:rsidR="00BE71E3" w:rsidRPr="004737C5" w:rsidRDefault="00D519E4" w:rsidP="00ED4EFA">
      <w:pPr>
        <w:pStyle w:val="Heading2"/>
        <w:spacing w:after="160"/>
        <w:rPr>
          <w:rFonts w:cstheme="minorHAnsi"/>
          <w:color w:val="auto"/>
          <w:sz w:val="24"/>
          <w:szCs w:val="24"/>
        </w:rPr>
      </w:pPr>
      <w:bookmarkStart w:id="354" w:name="_Toc454293893"/>
      <w:bookmarkStart w:id="355" w:name="_Toc489950331"/>
      <w:bookmarkStart w:id="356" w:name="_Toc492650118"/>
      <w:r w:rsidRPr="004737C5">
        <w:rPr>
          <w:rFonts w:cstheme="minorHAnsi"/>
          <w:color w:val="auto"/>
          <w:sz w:val="24"/>
          <w:szCs w:val="24"/>
        </w:rPr>
        <w:t>E.</w:t>
      </w:r>
      <w:r w:rsidR="00BE71E3" w:rsidRPr="004737C5">
        <w:rPr>
          <w:rFonts w:cstheme="minorHAnsi"/>
          <w:color w:val="auto"/>
          <w:sz w:val="24"/>
          <w:szCs w:val="24"/>
        </w:rPr>
        <w:t xml:space="preserve"> Emerging issues</w:t>
      </w:r>
      <w:bookmarkEnd w:id="354"/>
      <w:bookmarkEnd w:id="355"/>
      <w:bookmarkEnd w:id="356"/>
    </w:p>
    <w:p w14:paraId="42BFE09C" w14:textId="77777777" w:rsidR="00BE71E3" w:rsidRPr="004737C5" w:rsidRDefault="00BE71E3" w:rsidP="00857811">
      <w:pPr>
        <w:pStyle w:val="Heading3"/>
        <w:spacing w:before="0" w:after="160" w:line="240" w:lineRule="auto"/>
        <w:rPr>
          <w:rFonts w:cstheme="minorHAnsi"/>
          <w:color w:val="auto"/>
        </w:rPr>
      </w:pPr>
      <w:bookmarkStart w:id="357" w:name="_Toc454293894"/>
      <w:bookmarkStart w:id="358" w:name="_Toc489950332"/>
      <w:bookmarkStart w:id="359" w:name="_Toc492650119"/>
      <w:r w:rsidRPr="004737C5">
        <w:rPr>
          <w:rFonts w:cstheme="minorHAnsi"/>
          <w:color w:val="auto"/>
        </w:rPr>
        <w:t>1</w:t>
      </w:r>
      <w:r w:rsidR="00D519E4" w:rsidRPr="004737C5">
        <w:rPr>
          <w:rFonts w:cstheme="minorHAnsi"/>
          <w:color w:val="auto"/>
        </w:rPr>
        <w:t>.</w:t>
      </w:r>
      <w:r w:rsidRPr="004737C5">
        <w:rPr>
          <w:rFonts w:cstheme="minorHAnsi"/>
          <w:color w:val="auto"/>
        </w:rPr>
        <w:t xml:space="preserve"> Remuneration structures and conflicts of interest</w:t>
      </w:r>
      <w:bookmarkEnd w:id="357"/>
      <w:bookmarkEnd w:id="358"/>
      <w:bookmarkEnd w:id="359"/>
    </w:p>
    <w:p w14:paraId="56188C80" w14:textId="17E5DE46" w:rsidR="00BE71E3" w:rsidRPr="004737C5" w:rsidRDefault="00ED4EFA" w:rsidP="006D3BE8">
      <w:pPr>
        <w:rPr>
          <w:rFonts w:cstheme="minorHAnsi"/>
          <w:bCs/>
        </w:rPr>
      </w:pPr>
      <w:r w:rsidRPr="004737C5">
        <w:rPr>
          <w:rFonts w:cstheme="minorHAnsi"/>
        </w:rPr>
        <w:t xml:space="preserve">Dominic </w:t>
      </w:r>
      <w:r w:rsidR="00BE71E3" w:rsidRPr="004737C5">
        <w:rPr>
          <w:rFonts w:cstheme="minorHAnsi"/>
        </w:rPr>
        <w:t xml:space="preserve">Lindley makes the point that inappropriate remuneration and sales incentive schemes were an important root cause of PPI mis-selling in the United Kingdom </w:t>
      </w:r>
      <w:r w:rsidR="00D519E4" w:rsidRPr="004737C5">
        <w:rPr>
          <w:rFonts w:cstheme="minorHAnsi"/>
        </w:rPr>
        <w:t xml:space="preserve">of Great Britain and Northern Ireland, </w:t>
      </w:r>
      <w:r w:rsidR="00BE71E3" w:rsidRPr="004737C5">
        <w:rPr>
          <w:rFonts w:cstheme="minorHAnsi"/>
        </w:rPr>
        <w:t>where many frontline staff were given strong incentives to sell the product regardless of whether it was appropriate for the consumer.</w:t>
      </w:r>
      <w:r w:rsidR="00BE71E3" w:rsidRPr="004737C5">
        <w:rPr>
          <w:rStyle w:val="FootnoteReference"/>
          <w:rFonts w:cstheme="minorHAnsi"/>
        </w:rPr>
        <w:footnoteReference w:id="307"/>
      </w:r>
      <w:r w:rsidR="00BE71E3" w:rsidRPr="004737C5">
        <w:rPr>
          <w:rFonts w:cstheme="minorHAnsi"/>
        </w:rPr>
        <w:t xml:space="preserve"> The consequences of the large scale mis-selling </w:t>
      </w:r>
      <w:r w:rsidR="00BE71E3" w:rsidRPr="004737C5">
        <w:rPr>
          <w:rFonts w:cstheme="minorHAnsi"/>
        </w:rPr>
        <w:lastRenderedPageBreak/>
        <w:t>have been serious not only for consumers, but also for the banks themselves who have had to set aside around US$40</w:t>
      </w:r>
      <w:r w:rsidR="00D519E4" w:rsidRPr="004737C5">
        <w:rPr>
          <w:rFonts w:cstheme="minorHAnsi"/>
        </w:rPr>
        <w:t xml:space="preserve"> billion</w:t>
      </w:r>
      <w:r w:rsidR="00BE71E3" w:rsidRPr="004737C5">
        <w:rPr>
          <w:rFonts w:cstheme="minorHAnsi"/>
        </w:rPr>
        <w:t xml:space="preserve"> to pay compensation to consumers, a sum that is still</w:t>
      </w:r>
      <w:r w:rsidR="00D519E4" w:rsidRPr="004737C5">
        <w:rPr>
          <w:rFonts w:cstheme="minorHAnsi"/>
        </w:rPr>
        <w:t xml:space="preserve"> rising at the time of writing.</w:t>
      </w:r>
      <w:r w:rsidR="00BE71E3" w:rsidRPr="004737C5">
        <w:rPr>
          <w:rStyle w:val="FootnoteReference"/>
          <w:rFonts w:cstheme="minorHAnsi"/>
        </w:rPr>
        <w:footnoteReference w:id="308"/>
      </w:r>
      <w:r w:rsidR="00BE71E3" w:rsidRPr="004737C5">
        <w:rPr>
          <w:rFonts w:cstheme="minorHAnsi"/>
        </w:rPr>
        <w:t xml:space="preserve"> </w:t>
      </w:r>
      <w:r w:rsidR="00D519E4" w:rsidRPr="004737C5">
        <w:rPr>
          <w:rFonts w:cstheme="minorHAnsi"/>
        </w:rPr>
        <w:t>Both the G20 HLPs and the UNGCP</w:t>
      </w:r>
      <w:r w:rsidR="00BE71E3" w:rsidRPr="004737C5">
        <w:rPr>
          <w:rFonts w:cstheme="minorHAnsi"/>
        </w:rPr>
        <w:t xml:space="preserve"> raise matters around the behaviour of retail sellers, whether direct or through authorized agents. G20/OECD</w:t>
      </w:r>
      <w:r w:rsidRPr="004737C5">
        <w:rPr>
          <w:rFonts w:cstheme="minorHAnsi"/>
        </w:rPr>
        <w:t xml:space="preserve"> HLPs</w:t>
      </w:r>
      <w:r w:rsidR="00BE71E3" w:rsidRPr="004737C5">
        <w:rPr>
          <w:rStyle w:val="FootnoteReference"/>
          <w:rFonts w:cstheme="minorHAnsi"/>
        </w:rPr>
        <w:footnoteReference w:id="309"/>
      </w:r>
      <w:r w:rsidR="00D519E4" w:rsidRPr="004737C5">
        <w:rPr>
          <w:rFonts w:cstheme="minorHAnsi"/>
        </w:rPr>
        <w:t xml:space="preserve"> paragraph 4 states that “</w:t>
      </w:r>
      <w:r w:rsidR="00BE71E3" w:rsidRPr="004737C5">
        <w:rPr>
          <w:rFonts w:cstheme="minorHAnsi"/>
        </w:rPr>
        <w:t>financial services providers and authorized agents should provide consumers with information on conflicts of interest associated with the authorized agent through which the product is sold</w:t>
      </w:r>
      <w:r w:rsidR="00D519E4" w:rsidRPr="004737C5">
        <w:rPr>
          <w:rFonts w:cstheme="minorHAnsi"/>
        </w:rPr>
        <w:t>”.</w:t>
      </w:r>
      <w:r w:rsidR="00BE71E3" w:rsidRPr="004737C5">
        <w:rPr>
          <w:rFonts w:cstheme="minorHAnsi"/>
        </w:rPr>
        <w:t xml:space="preserve"> The UNGCP</w:t>
      </w:r>
      <w:r w:rsidRPr="004737C5">
        <w:rPr>
          <w:rFonts w:cstheme="minorHAnsi"/>
        </w:rPr>
        <w:t>,</w:t>
      </w:r>
      <w:r w:rsidR="00BE71E3" w:rsidRPr="004737C5">
        <w:rPr>
          <w:rFonts w:cstheme="minorHAnsi"/>
        </w:rPr>
        <w:t xml:space="preserve"> as well as referring to the HLPs</w:t>
      </w:r>
      <w:r w:rsidRPr="004737C5">
        <w:rPr>
          <w:rFonts w:cstheme="minorHAnsi"/>
        </w:rPr>
        <w:t>,</w:t>
      </w:r>
      <w:r w:rsidR="00BE71E3" w:rsidRPr="004737C5">
        <w:rPr>
          <w:rFonts w:cstheme="minorHAnsi"/>
        </w:rPr>
        <w:t xml:space="preserve"> </w:t>
      </w:r>
      <w:r w:rsidRPr="004737C5">
        <w:rPr>
          <w:rFonts w:cstheme="minorHAnsi"/>
        </w:rPr>
        <w:t>also recommend in g</w:t>
      </w:r>
      <w:r w:rsidR="00D519E4" w:rsidRPr="004737C5">
        <w:rPr>
          <w:rFonts w:cstheme="minorHAnsi"/>
        </w:rPr>
        <w:t>uideline 66e that “</w:t>
      </w:r>
      <w:r w:rsidR="00BE71E3" w:rsidRPr="004737C5">
        <w:rPr>
          <w:rFonts w:cstheme="minorHAnsi"/>
          <w:bCs/>
        </w:rPr>
        <w:t>financial institutions are also responsible and accountable for the actions of their authorized agents. Financial services providers should have a written policy on conflict of interest, to help detect potential conflicts of interest. When the possibility of a conflict of interest arises between the provider and a third party, this should be disclosed to the consumer to ensure that potential consumer detriment generated by conflict of interest be avoided</w:t>
      </w:r>
      <w:r w:rsidR="00D519E4" w:rsidRPr="004737C5">
        <w:rPr>
          <w:rFonts w:cstheme="minorHAnsi"/>
          <w:bCs/>
        </w:rPr>
        <w:t>”.</w:t>
      </w:r>
    </w:p>
    <w:p w14:paraId="06D2DD73" w14:textId="14B4673C" w:rsidR="00BE71E3" w:rsidRPr="004737C5" w:rsidRDefault="00BE71E3" w:rsidP="006D3BE8">
      <w:pPr>
        <w:rPr>
          <w:rFonts w:cstheme="minorHAnsi"/>
        </w:rPr>
      </w:pPr>
      <w:r w:rsidRPr="004737C5">
        <w:rPr>
          <w:rFonts w:cstheme="minorHAnsi"/>
        </w:rPr>
        <w:t>European Union Directive 2014/17/EU of Fe</w:t>
      </w:r>
      <w:r w:rsidR="00D519E4" w:rsidRPr="004737C5">
        <w:rPr>
          <w:rFonts w:cstheme="minorHAnsi"/>
        </w:rPr>
        <w:t xml:space="preserve">bruary 2014 covering mortgages </w:t>
      </w:r>
      <w:r w:rsidRPr="004737C5">
        <w:rPr>
          <w:rFonts w:cstheme="minorHAnsi"/>
        </w:rPr>
        <w:t xml:space="preserve">on </w:t>
      </w:r>
      <w:r w:rsidR="00D519E4" w:rsidRPr="004737C5">
        <w:rPr>
          <w:rFonts w:cstheme="minorHAnsi"/>
        </w:rPr>
        <w:t>residential property describes “</w:t>
      </w:r>
      <w:r w:rsidRPr="004737C5">
        <w:rPr>
          <w:rFonts w:cstheme="minorHAnsi"/>
        </w:rPr>
        <w:t>appropriate mana</w:t>
      </w:r>
      <w:r w:rsidR="00D519E4" w:rsidRPr="004737C5">
        <w:rPr>
          <w:rFonts w:cstheme="minorHAnsi"/>
        </w:rPr>
        <w:t>gement of conflicts of interest”</w:t>
      </w:r>
      <w:r w:rsidRPr="004737C5">
        <w:rPr>
          <w:rFonts w:cstheme="minorHAnsi"/>
        </w:rPr>
        <w:t xml:space="preserve"> as a key element of consumer confiden</w:t>
      </w:r>
      <w:r w:rsidR="00D519E4" w:rsidRPr="004737C5">
        <w:rPr>
          <w:rFonts w:cstheme="minorHAnsi"/>
        </w:rPr>
        <w:t>ce</w:t>
      </w:r>
      <w:r w:rsidRPr="004737C5">
        <w:rPr>
          <w:rFonts w:cstheme="minorHAnsi"/>
        </w:rPr>
        <w:t xml:space="preserve"> and requir</w:t>
      </w:r>
      <w:r w:rsidR="00D519E4" w:rsidRPr="004737C5">
        <w:rPr>
          <w:rFonts w:cstheme="minorHAnsi"/>
        </w:rPr>
        <w:t>es that advice be given in the “</w:t>
      </w:r>
      <w:r w:rsidRPr="004737C5">
        <w:rPr>
          <w:rFonts w:cstheme="minorHAnsi"/>
        </w:rPr>
        <w:t>best interest of the consumer</w:t>
      </w:r>
      <w:r w:rsidR="00D519E4" w:rsidRPr="004737C5">
        <w:rPr>
          <w:rFonts w:cstheme="minorHAnsi"/>
        </w:rPr>
        <w:t>”.</w:t>
      </w:r>
      <w:r w:rsidRPr="004737C5">
        <w:rPr>
          <w:rFonts w:cstheme="minorHAnsi"/>
        </w:rPr>
        <w:t xml:space="preserve"> It also specifically requires measures to avoid conflicts as a result of numerical targets (such as bonuses).</w:t>
      </w:r>
    </w:p>
    <w:p w14:paraId="62863B2C" w14:textId="628A0156" w:rsidR="00BE71E3" w:rsidRPr="004737C5" w:rsidRDefault="00D519E4" w:rsidP="006D3BE8">
      <w:pPr>
        <w:rPr>
          <w:rFonts w:cstheme="minorHAnsi"/>
        </w:rPr>
      </w:pPr>
      <w:r w:rsidRPr="004737C5">
        <w:rPr>
          <w:rFonts w:cstheme="minorHAnsi"/>
          <w:bCs/>
        </w:rPr>
        <w:t>“</w:t>
      </w:r>
      <w:r w:rsidRPr="004737C5">
        <w:rPr>
          <w:rFonts w:cstheme="minorHAnsi"/>
          <w:bCs/>
          <w:color w:val="000000"/>
        </w:rPr>
        <w:t>Disclosure” in this context relates to two areas:</w:t>
      </w:r>
      <w:r w:rsidR="00BE71E3" w:rsidRPr="004737C5">
        <w:rPr>
          <w:rFonts w:cstheme="minorHAnsi"/>
          <w:bCs/>
          <w:color w:val="000000"/>
        </w:rPr>
        <w:t xml:space="preserve"> the terms of contracts and rates of charge, on the one hand, and the disclosure of commissions and bonuses paid to the sales staff on the other. This second form of disclosure is still relatively rare. It is </w:t>
      </w:r>
      <w:r w:rsidR="00BE71E3" w:rsidRPr="004737C5">
        <w:rPr>
          <w:rFonts w:cstheme="minorHAnsi"/>
        </w:rPr>
        <w:t>required in Australia and South Africa</w:t>
      </w:r>
      <w:r w:rsidR="00485405" w:rsidRPr="004737C5">
        <w:rPr>
          <w:rFonts w:cstheme="minorHAnsi"/>
        </w:rPr>
        <w:t>, while</w:t>
      </w:r>
      <w:r w:rsidR="00BE71E3" w:rsidRPr="004737C5">
        <w:rPr>
          <w:rFonts w:cstheme="minorHAnsi"/>
        </w:rPr>
        <w:t xml:space="preserve"> Japan has voluntary guidelines for the disclosure of incentives. The Financial Stability Board has said that the use of sales targets and remuneration structures rewarding sales are counterproductive to the aim of providing consumers with accurate and trustworthy information and increase the risk that products are being sold to customers who do not have the capacity to repay.</w:t>
      </w:r>
      <w:r w:rsidR="00BE71E3" w:rsidRPr="004737C5">
        <w:rPr>
          <w:rStyle w:val="FootnoteReference"/>
          <w:rFonts w:cstheme="minorHAnsi"/>
        </w:rPr>
        <w:footnoteReference w:id="310"/>
      </w:r>
      <w:r w:rsidR="00BE71E3" w:rsidRPr="004737C5">
        <w:rPr>
          <w:rFonts w:cstheme="minorHAnsi"/>
        </w:rPr>
        <w:t xml:space="preserve"> Sometimes the conflict of interest is not just at staff remuneration level but institutional</w:t>
      </w:r>
      <w:r w:rsidR="00485405" w:rsidRPr="004737C5">
        <w:rPr>
          <w:rFonts w:cstheme="minorHAnsi"/>
        </w:rPr>
        <w:t>,</w:t>
      </w:r>
      <w:r w:rsidR="00BE71E3" w:rsidRPr="004737C5">
        <w:rPr>
          <w:rFonts w:cstheme="minorHAnsi"/>
        </w:rPr>
        <w:t xml:space="preserve"> as shown by the case of the Spanish preferred shares set out</w:t>
      </w:r>
      <w:r w:rsidRPr="004737C5">
        <w:rPr>
          <w:rFonts w:cstheme="minorHAnsi"/>
        </w:rPr>
        <w:t xml:space="preserve"> in b</w:t>
      </w:r>
      <w:r w:rsidR="00BE71E3" w:rsidRPr="004737C5">
        <w:rPr>
          <w:rFonts w:cstheme="minorHAnsi"/>
        </w:rPr>
        <w:t>ox 22.</w:t>
      </w:r>
    </w:p>
    <w:tbl>
      <w:tblPr>
        <w:tblStyle w:val="TableGrid"/>
        <w:tblW w:w="0" w:type="auto"/>
        <w:tblLook w:val="04A0" w:firstRow="1" w:lastRow="0" w:firstColumn="1" w:lastColumn="0" w:noHBand="0" w:noVBand="1"/>
      </w:tblPr>
      <w:tblGrid>
        <w:gridCol w:w="9243"/>
      </w:tblGrid>
      <w:tr w:rsidR="00917476" w:rsidRPr="004737C5" w14:paraId="53AB3227" w14:textId="77777777" w:rsidTr="00917476">
        <w:tc>
          <w:tcPr>
            <w:tcW w:w="9628" w:type="dxa"/>
          </w:tcPr>
          <w:p w14:paraId="5299023E" w14:textId="77777777" w:rsidR="00917476" w:rsidRPr="004737C5" w:rsidRDefault="00917476" w:rsidP="00E53637">
            <w:pPr>
              <w:autoSpaceDE w:val="0"/>
              <w:autoSpaceDN w:val="0"/>
              <w:adjustRightInd w:val="0"/>
              <w:rPr>
                <w:rFonts w:cstheme="minorHAnsi"/>
                <w:b/>
              </w:rPr>
            </w:pPr>
            <w:r w:rsidRPr="004737C5">
              <w:rPr>
                <w:rFonts w:cstheme="minorHAnsi"/>
                <w:b/>
              </w:rPr>
              <w:t>Box 22. The Spanish preferred shares case</w:t>
            </w:r>
          </w:p>
          <w:p w14:paraId="52F7D6A5" w14:textId="19811CE2" w:rsidR="00917476" w:rsidRPr="004737C5" w:rsidRDefault="00917476" w:rsidP="00485405">
            <w:pPr>
              <w:autoSpaceDE w:val="0"/>
              <w:autoSpaceDN w:val="0"/>
              <w:adjustRightInd w:val="0"/>
              <w:spacing w:before="160" w:after="160"/>
              <w:rPr>
                <w:rFonts w:cstheme="minorHAnsi"/>
              </w:rPr>
            </w:pPr>
            <w:r w:rsidRPr="004737C5">
              <w:rPr>
                <w:rFonts w:cstheme="minorHAnsi"/>
              </w:rPr>
              <w:t>Before the financial crisis, banks in Spain raised money to increase their level of capital through the sale of “hybrid securities” to their retail customers. These complex products, known as “preferred shares” (</w:t>
            </w:r>
            <w:r w:rsidRPr="004737C5">
              <w:rPr>
                <w:rFonts w:cstheme="minorHAnsi"/>
                <w:i/>
              </w:rPr>
              <w:t>participaciones preferentes</w:t>
            </w:r>
            <w:r w:rsidRPr="004737C5">
              <w:rPr>
                <w:rFonts w:cstheme="minorHAnsi"/>
              </w:rPr>
              <w:t>), offered an income in the form of an annual payment. While they were sold to consumers as substitutes for simple deposits, the income paid by these hybrid</w:t>
            </w:r>
            <w:r w:rsidR="00485405" w:rsidRPr="004737C5">
              <w:rPr>
                <w:rFonts w:cstheme="minorHAnsi"/>
              </w:rPr>
              <w:t xml:space="preserve"> securities was variable and</w:t>
            </w:r>
            <w:r w:rsidRPr="004737C5">
              <w:rPr>
                <w:rFonts w:cstheme="minorHAnsi"/>
              </w:rPr>
              <w:t xml:space="preserve"> consumers were at risk of losing their capital if the bank </w:t>
            </w:r>
            <w:r w:rsidR="001872E7" w:rsidRPr="004737C5">
              <w:rPr>
                <w:rFonts w:cstheme="minorHAnsi"/>
              </w:rPr>
              <w:t>that</w:t>
            </w:r>
            <w:r w:rsidRPr="004737C5">
              <w:rPr>
                <w:rFonts w:cstheme="minorHAnsi"/>
              </w:rPr>
              <w:t xml:space="preserve"> issued and sold the product should run short of capital. </w:t>
            </w:r>
            <w:r w:rsidR="00E53637" w:rsidRPr="004737C5">
              <w:rPr>
                <w:rFonts w:cstheme="minorHAnsi"/>
              </w:rPr>
              <w:t>P</w:t>
            </w:r>
            <w:r w:rsidRPr="004737C5">
              <w:rPr>
                <w:rFonts w:cstheme="minorHAnsi"/>
              </w:rPr>
              <w:t>referred shares were converted into ordinary shares when the savings banks were recapitalized in the midst of the financial crises of 2008, fo</w:t>
            </w:r>
            <w:r w:rsidR="00E53637" w:rsidRPr="004737C5">
              <w:rPr>
                <w:rFonts w:cstheme="minorHAnsi"/>
              </w:rPr>
              <w:t xml:space="preserve">llowing a decision by the stock </w:t>
            </w:r>
            <w:r w:rsidRPr="004737C5">
              <w:rPr>
                <w:rFonts w:cstheme="minorHAnsi"/>
              </w:rPr>
              <w:t>market regulator. As the financial situation of these savings banks deteriorated</w:t>
            </w:r>
            <w:r w:rsidR="00E53637" w:rsidRPr="004737C5">
              <w:rPr>
                <w:rFonts w:cstheme="minorHAnsi"/>
              </w:rPr>
              <w:t>,</w:t>
            </w:r>
            <w:r w:rsidRPr="004737C5">
              <w:rPr>
                <w:rFonts w:cstheme="minorHAnsi"/>
              </w:rPr>
              <w:t xml:space="preserve"> consumers found that they were facing significant losses. Many of the customers affected were over retirement age and lost much of their savings as a result. After a campaign by the Spanish consumer group Organización </w:t>
            </w:r>
            <w:r w:rsidR="00485405" w:rsidRPr="004737C5">
              <w:rPr>
                <w:rFonts w:cstheme="minorHAnsi"/>
              </w:rPr>
              <w:t>de Consumidores y Usuarios, Santander Bank was fined US$</w:t>
            </w:r>
            <w:r w:rsidRPr="004737C5">
              <w:rPr>
                <w:rFonts w:cstheme="minorHAnsi"/>
              </w:rPr>
              <w:t>16.9 million in 2014, for inappropriately selling s</w:t>
            </w:r>
            <w:r w:rsidR="00E53637" w:rsidRPr="004737C5">
              <w:rPr>
                <w:rFonts w:cstheme="minorHAnsi"/>
              </w:rPr>
              <w:t xml:space="preserve">uch products to its customers. </w:t>
            </w:r>
          </w:p>
          <w:p w14:paraId="08F254C8" w14:textId="7E304F49" w:rsidR="00917476" w:rsidRPr="004737C5" w:rsidRDefault="00917476" w:rsidP="00485405">
            <w:pPr>
              <w:autoSpaceDE w:val="0"/>
              <w:autoSpaceDN w:val="0"/>
              <w:adjustRightInd w:val="0"/>
              <w:spacing w:after="23"/>
              <w:jc w:val="left"/>
              <w:rPr>
                <w:rFonts w:cstheme="minorHAnsi"/>
                <w:sz w:val="20"/>
                <w:szCs w:val="20"/>
              </w:rPr>
            </w:pPr>
            <w:r w:rsidRPr="004737C5">
              <w:rPr>
                <w:rFonts w:cstheme="minorHAnsi"/>
                <w:i/>
                <w:sz w:val="20"/>
                <w:szCs w:val="20"/>
              </w:rPr>
              <w:t>Source</w:t>
            </w:r>
            <w:r w:rsidRPr="004737C5">
              <w:rPr>
                <w:rFonts w:cstheme="minorHAnsi"/>
                <w:sz w:val="20"/>
                <w:szCs w:val="20"/>
              </w:rPr>
              <w:t xml:space="preserve">: Dominic Lindley, </w:t>
            </w:r>
            <w:r w:rsidR="00485405" w:rsidRPr="004737C5">
              <w:rPr>
                <w:rFonts w:cstheme="minorHAnsi"/>
                <w:sz w:val="20"/>
                <w:szCs w:val="20"/>
              </w:rPr>
              <w:t xml:space="preserve">2014, </w:t>
            </w:r>
            <w:r w:rsidR="00485405" w:rsidRPr="004737C5">
              <w:rPr>
                <w:rFonts w:cstheme="minorHAnsi"/>
                <w:i/>
                <w:sz w:val="20"/>
                <w:szCs w:val="20"/>
              </w:rPr>
              <w:t>Risky Business: The Case for Reform of Sales Incentives Schemes in Banks</w:t>
            </w:r>
            <w:r w:rsidRPr="004737C5">
              <w:rPr>
                <w:rFonts w:cstheme="minorHAnsi"/>
                <w:sz w:val="20"/>
                <w:szCs w:val="20"/>
              </w:rPr>
              <w:t xml:space="preserve"> </w:t>
            </w:r>
            <w:r w:rsidR="00485405" w:rsidRPr="004737C5">
              <w:rPr>
                <w:rFonts w:cstheme="minorHAnsi"/>
                <w:sz w:val="20"/>
                <w:szCs w:val="20"/>
              </w:rPr>
              <w:t>(</w:t>
            </w:r>
            <w:r w:rsidRPr="004737C5">
              <w:rPr>
                <w:rFonts w:cstheme="minorHAnsi"/>
                <w:sz w:val="20"/>
                <w:szCs w:val="20"/>
              </w:rPr>
              <w:t>CI</w:t>
            </w:r>
            <w:r w:rsidR="00485405" w:rsidRPr="004737C5">
              <w:rPr>
                <w:rFonts w:cstheme="minorHAnsi"/>
                <w:sz w:val="20"/>
                <w:szCs w:val="20"/>
              </w:rPr>
              <w:t>).</w:t>
            </w:r>
          </w:p>
        </w:tc>
      </w:tr>
    </w:tbl>
    <w:p w14:paraId="69AFF688" w14:textId="77777777" w:rsidR="00BE71E3" w:rsidRPr="004737C5" w:rsidRDefault="00BE71E3" w:rsidP="00485405">
      <w:pPr>
        <w:pStyle w:val="Heading3"/>
        <w:spacing w:after="160" w:line="240" w:lineRule="auto"/>
        <w:rPr>
          <w:rFonts w:cstheme="minorHAnsi"/>
          <w:color w:val="auto"/>
        </w:rPr>
      </w:pPr>
      <w:bookmarkStart w:id="360" w:name="_Toc454293895"/>
      <w:bookmarkStart w:id="361" w:name="_Toc489950333"/>
      <w:bookmarkStart w:id="362" w:name="_Toc492650120"/>
      <w:r w:rsidRPr="004737C5">
        <w:rPr>
          <w:rFonts w:cstheme="minorHAnsi"/>
          <w:color w:val="auto"/>
        </w:rPr>
        <w:lastRenderedPageBreak/>
        <w:t>2</w:t>
      </w:r>
      <w:r w:rsidR="00E53637" w:rsidRPr="004737C5">
        <w:rPr>
          <w:rFonts w:cstheme="minorHAnsi"/>
          <w:color w:val="auto"/>
        </w:rPr>
        <w:t>.</w:t>
      </w:r>
      <w:r w:rsidRPr="004737C5">
        <w:rPr>
          <w:rFonts w:cstheme="minorHAnsi"/>
          <w:color w:val="auto"/>
        </w:rPr>
        <w:t xml:space="preserve"> Responsible lending</w:t>
      </w:r>
      <w:bookmarkEnd w:id="360"/>
      <w:bookmarkEnd w:id="361"/>
      <w:bookmarkEnd w:id="362"/>
    </w:p>
    <w:p w14:paraId="1E919C9F" w14:textId="2302E55A" w:rsidR="00BE71E3" w:rsidRPr="004737C5" w:rsidRDefault="00BE71E3" w:rsidP="006D3BE8">
      <w:pPr>
        <w:rPr>
          <w:rFonts w:cstheme="minorHAnsi"/>
        </w:rPr>
      </w:pPr>
      <w:r w:rsidRPr="004737C5">
        <w:rPr>
          <w:rFonts w:cstheme="minorHAnsi"/>
        </w:rPr>
        <w:t>The UNGCP make reference to respo</w:t>
      </w:r>
      <w:r w:rsidR="00E53637" w:rsidRPr="004737C5">
        <w:rPr>
          <w:rFonts w:cstheme="minorHAnsi"/>
        </w:rPr>
        <w:t>nsible lending in guideline 66f</w:t>
      </w:r>
      <w:r w:rsidRPr="004737C5">
        <w:rPr>
          <w:rFonts w:cstheme="minorHAnsi"/>
        </w:rPr>
        <w:t xml:space="preserve">. Given the contribution </w:t>
      </w:r>
      <w:r w:rsidR="00E53637" w:rsidRPr="004737C5">
        <w:rPr>
          <w:rFonts w:cstheme="minorHAnsi"/>
        </w:rPr>
        <w:t xml:space="preserve">of </w:t>
      </w:r>
      <w:r w:rsidRPr="004737C5">
        <w:rPr>
          <w:rFonts w:cstheme="minorHAnsi"/>
        </w:rPr>
        <w:t>consumer default</w:t>
      </w:r>
      <w:r w:rsidR="00E53637" w:rsidRPr="004737C5">
        <w:rPr>
          <w:rFonts w:cstheme="minorHAnsi"/>
        </w:rPr>
        <w:t>s</w:t>
      </w:r>
      <w:r w:rsidRPr="004737C5">
        <w:rPr>
          <w:rFonts w:cstheme="minorHAnsi"/>
        </w:rPr>
        <w:t xml:space="preserve"> to the inception of the financial crisis, a consensus is emerging around responsible lending which requires ensuring that consumers can repay a debt in a sustainable manner without incurring financial difficulties</w:t>
      </w:r>
      <w:r w:rsidR="00485405" w:rsidRPr="004737C5">
        <w:rPr>
          <w:rFonts w:cstheme="minorHAnsi"/>
        </w:rPr>
        <w:t>,</w:t>
      </w:r>
      <w:r w:rsidRPr="004737C5">
        <w:rPr>
          <w:rFonts w:cstheme="minorHAnsi"/>
        </w:rPr>
        <w:t xml:space="preserve"> and that lenders treat borrowers fairly and consider their interests throughout the transaction. </w:t>
      </w:r>
    </w:p>
    <w:p w14:paraId="533231BD" w14:textId="77777777" w:rsidR="00BE71E3" w:rsidRPr="004737C5" w:rsidRDefault="00BE71E3" w:rsidP="006D3BE8">
      <w:pPr>
        <w:rPr>
          <w:rFonts w:cstheme="minorHAnsi"/>
        </w:rPr>
      </w:pPr>
      <w:r w:rsidRPr="004737C5">
        <w:rPr>
          <w:rFonts w:cstheme="minorHAnsi"/>
        </w:rPr>
        <w:t>Measures used to prevent over-indebtedness include compensation and fines in respect of bad sales practices. In Australia, under the National Consumer Credit Protection Act 2009, if a consumer has been sold an unsuitable product, the consumer can seek injunction against the provider from co</w:t>
      </w:r>
      <w:r w:rsidR="00E53637" w:rsidRPr="004737C5">
        <w:rPr>
          <w:rFonts w:cstheme="minorHAnsi"/>
        </w:rPr>
        <w:t>llecting more interest payments</w:t>
      </w:r>
      <w:r w:rsidRPr="004737C5">
        <w:rPr>
          <w:rFonts w:cstheme="minorHAnsi"/>
        </w:rPr>
        <w:t xml:space="preserve"> and seek compensation for the loss or damage due. In a number of jurisdictions (China, Germany, Hong Kong (China), Singapore)</w:t>
      </w:r>
      <w:r w:rsidR="00E53637" w:rsidRPr="004737C5">
        <w:rPr>
          <w:rFonts w:cstheme="minorHAnsi"/>
        </w:rPr>
        <w:t>,</w:t>
      </w:r>
      <w:r w:rsidRPr="004737C5">
        <w:rPr>
          <w:rFonts w:cstheme="minorHAnsi"/>
        </w:rPr>
        <w:t xml:space="preserve"> consumer credit providers are also required to conduct checks with credit</w:t>
      </w:r>
      <w:r w:rsidR="00E53637" w:rsidRPr="004737C5">
        <w:rPr>
          <w:rFonts w:cstheme="minorHAnsi"/>
        </w:rPr>
        <w:t xml:space="preserve"> registers to assess the credit</w:t>
      </w:r>
      <w:r w:rsidRPr="004737C5">
        <w:rPr>
          <w:rFonts w:cstheme="minorHAnsi"/>
        </w:rPr>
        <w:t>w</w:t>
      </w:r>
      <w:r w:rsidR="002A0D84" w:rsidRPr="004737C5">
        <w:rPr>
          <w:rFonts w:cstheme="minorHAnsi"/>
        </w:rPr>
        <w:t>orthiness of borrowers. Credit reference b</w:t>
      </w:r>
      <w:r w:rsidRPr="004737C5">
        <w:rPr>
          <w:rFonts w:cstheme="minorHAnsi"/>
        </w:rPr>
        <w:t>ureaux are in increasing use in Kenya t</w:t>
      </w:r>
      <w:r w:rsidR="00E53637" w:rsidRPr="004737C5">
        <w:rPr>
          <w:rFonts w:cstheme="minorHAnsi"/>
        </w:rPr>
        <w:t xml:space="preserve">oo, and it is a </w:t>
      </w:r>
      <w:r w:rsidR="002A0D84" w:rsidRPr="004737C5">
        <w:rPr>
          <w:rFonts w:cstheme="minorHAnsi"/>
        </w:rPr>
        <w:t xml:space="preserve">government </w:t>
      </w:r>
      <w:r w:rsidR="00E53637" w:rsidRPr="004737C5">
        <w:rPr>
          <w:rFonts w:cstheme="minorHAnsi"/>
        </w:rPr>
        <w:t xml:space="preserve">requirement </w:t>
      </w:r>
      <w:r w:rsidRPr="004737C5">
        <w:rPr>
          <w:rFonts w:cstheme="minorHAnsi"/>
        </w:rPr>
        <w:t xml:space="preserve">that the credit history of individuals be kept and made available when accessing credit. </w:t>
      </w:r>
    </w:p>
    <w:p w14:paraId="47AAFF6B" w14:textId="2872DE0D" w:rsidR="00BE71E3" w:rsidRPr="004737C5" w:rsidRDefault="00BE71E3" w:rsidP="006D3BE8">
      <w:pPr>
        <w:rPr>
          <w:rFonts w:cstheme="minorHAnsi"/>
          <w:bCs/>
          <w:color w:val="000000"/>
        </w:rPr>
      </w:pPr>
      <w:r w:rsidRPr="004737C5">
        <w:rPr>
          <w:rFonts w:cstheme="minorHAnsi"/>
        </w:rPr>
        <w:t xml:space="preserve">Assessment of consumers’ ability to repay loans is increasingly common, often through credit reference agencies or bureau, both public and private. As noted above in some jurisdictions, including France, Belgium and South Africa, such credit checks are mandatory. </w:t>
      </w:r>
      <w:r w:rsidRPr="004737C5">
        <w:rPr>
          <w:rFonts w:cstheme="minorHAnsi"/>
          <w:bCs/>
        </w:rPr>
        <w:t>The practice of credit referencing sometimes relies on reporting of default. For example</w:t>
      </w:r>
      <w:r w:rsidR="002A0D84" w:rsidRPr="004737C5">
        <w:rPr>
          <w:rFonts w:cstheme="minorHAnsi"/>
          <w:bCs/>
        </w:rPr>
        <w:t>,</w:t>
      </w:r>
      <w:r w:rsidRPr="004737C5">
        <w:rPr>
          <w:rFonts w:cstheme="minorHAnsi"/>
          <w:bCs/>
        </w:rPr>
        <w:t xml:space="preserve"> w</w:t>
      </w:r>
      <w:r w:rsidRPr="004737C5">
        <w:rPr>
          <w:rFonts w:cstheme="minorHAnsi"/>
          <w:bCs/>
          <w:color w:val="000000"/>
        </w:rPr>
        <w:t xml:space="preserve">ith the setting up of the Credit Information Bureau of India, the banks provide the credit rating </w:t>
      </w:r>
      <w:r w:rsidR="002A0D84" w:rsidRPr="004737C5">
        <w:rPr>
          <w:rFonts w:cstheme="minorHAnsi"/>
          <w:bCs/>
          <w:color w:val="000000"/>
        </w:rPr>
        <w:t>of customers who are defaulters</w:t>
      </w:r>
      <w:r w:rsidRPr="004737C5">
        <w:rPr>
          <w:rFonts w:cstheme="minorHAnsi"/>
          <w:bCs/>
          <w:color w:val="000000"/>
        </w:rPr>
        <w:t xml:space="preserve"> to the bureau</w:t>
      </w:r>
      <w:r w:rsidR="002A0D84" w:rsidRPr="004737C5">
        <w:rPr>
          <w:rFonts w:cstheme="minorHAnsi"/>
          <w:bCs/>
          <w:color w:val="000000"/>
        </w:rPr>
        <w:t>,</w:t>
      </w:r>
      <w:r w:rsidRPr="004737C5">
        <w:rPr>
          <w:rFonts w:cstheme="minorHAnsi"/>
          <w:bCs/>
          <w:color w:val="000000"/>
        </w:rPr>
        <w:t xml:space="preserve"> and lenders use this information before sanctioning the loan.</w:t>
      </w:r>
    </w:p>
    <w:p w14:paraId="06158AF5" w14:textId="61B59A46" w:rsidR="00BE71E3" w:rsidRPr="004737C5" w:rsidRDefault="00BE71E3" w:rsidP="006D3BE8">
      <w:pPr>
        <w:rPr>
          <w:rFonts w:cstheme="minorHAnsi"/>
        </w:rPr>
      </w:pPr>
      <w:r w:rsidRPr="004737C5">
        <w:rPr>
          <w:rFonts w:cstheme="minorHAnsi"/>
        </w:rPr>
        <w:t xml:space="preserve">The introduction of a credit bureau in a country may expand credit by reducing lender costs and in some countries may offset inefficiencies in the court enforcement system. </w:t>
      </w:r>
      <w:r w:rsidR="00485405" w:rsidRPr="004737C5">
        <w:rPr>
          <w:rFonts w:cstheme="minorHAnsi"/>
        </w:rPr>
        <w:t>It</w:t>
      </w:r>
      <w:r w:rsidRPr="004737C5">
        <w:rPr>
          <w:rFonts w:cstheme="minorHAnsi"/>
        </w:rPr>
        <w:t xml:space="preserve"> can promote competition by reducing the advantages of market incumbents. Credit bureaux often provide credit scores to lenders which are used to screen consumers and may include both negative and positive information, which may permit the deepening of the market to includ</w:t>
      </w:r>
      <w:r w:rsidR="002A0D84" w:rsidRPr="004737C5">
        <w:rPr>
          <w:rFonts w:cstheme="minorHAnsi"/>
        </w:rPr>
        <w:t>e more low-</w:t>
      </w:r>
      <w:r w:rsidRPr="004737C5">
        <w:rPr>
          <w:rFonts w:cstheme="minorHAnsi"/>
        </w:rPr>
        <w:t xml:space="preserve">income consumers with good records. </w:t>
      </w:r>
    </w:p>
    <w:p w14:paraId="03809FBD" w14:textId="043437CB" w:rsidR="00BE71E3" w:rsidRPr="004737C5" w:rsidRDefault="00BE71E3" w:rsidP="006D3BE8">
      <w:pPr>
        <w:rPr>
          <w:rFonts w:cstheme="minorHAnsi"/>
        </w:rPr>
      </w:pPr>
      <w:r w:rsidRPr="004737C5">
        <w:rPr>
          <w:rFonts w:cstheme="minorHAnsi"/>
        </w:rPr>
        <w:t>One of the more comprehensive databases is that established by the Peo</w:t>
      </w:r>
      <w:r w:rsidR="002A0D84" w:rsidRPr="004737C5">
        <w:rPr>
          <w:rFonts w:cstheme="minorHAnsi"/>
        </w:rPr>
        <w:t>ple’s Bank of China during the 19</w:t>
      </w:r>
      <w:r w:rsidRPr="004737C5">
        <w:rPr>
          <w:rFonts w:cstheme="minorHAnsi"/>
        </w:rPr>
        <w:t>90s. It features a personal credit information system connecting all commercial banks and some rural credi</w:t>
      </w:r>
      <w:r w:rsidR="002A0D84" w:rsidRPr="004737C5">
        <w:rPr>
          <w:rFonts w:cstheme="minorHAnsi"/>
        </w:rPr>
        <w:t>t co</w:t>
      </w:r>
      <w:r w:rsidRPr="004737C5">
        <w:rPr>
          <w:rFonts w:cstheme="minorHAnsi"/>
        </w:rPr>
        <w:t>op</w:t>
      </w:r>
      <w:r w:rsidR="002A0D84" w:rsidRPr="004737C5">
        <w:rPr>
          <w:rFonts w:cstheme="minorHAnsi"/>
        </w:rPr>
        <w:t>eratives</w:t>
      </w:r>
      <w:r w:rsidRPr="004737C5">
        <w:rPr>
          <w:rFonts w:cstheme="minorHAnsi"/>
        </w:rPr>
        <w:t xml:space="preserve"> and helps lenders with risk assessment (and thus indirectly consumers, whose consent is required before data is disclosed). It includes basic information </w:t>
      </w:r>
      <w:r w:rsidR="00485405" w:rsidRPr="004737C5">
        <w:rPr>
          <w:rFonts w:cstheme="minorHAnsi"/>
        </w:rPr>
        <w:t xml:space="preserve">such </w:t>
      </w:r>
      <w:r w:rsidRPr="004737C5">
        <w:rPr>
          <w:rFonts w:cstheme="minorHAnsi"/>
        </w:rPr>
        <w:t>as previous defaults or whether a property loan was granted to first</w:t>
      </w:r>
      <w:r w:rsidR="002A0D84" w:rsidRPr="004737C5">
        <w:rPr>
          <w:rFonts w:cstheme="minorHAnsi"/>
        </w:rPr>
        <w:t>-</w:t>
      </w:r>
      <w:r w:rsidRPr="004737C5">
        <w:rPr>
          <w:rFonts w:cstheme="minorHAnsi"/>
        </w:rPr>
        <w:t xml:space="preserve"> or second-time buyers. The introduction of</w:t>
      </w:r>
      <w:r w:rsidR="002A0D84" w:rsidRPr="004737C5">
        <w:rPr>
          <w:rFonts w:cstheme="minorHAnsi"/>
        </w:rPr>
        <w:t xml:space="preserve"> this database resulted in a 10 percent</w:t>
      </w:r>
      <w:r w:rsidRPr="004737C5">
        <w:rPr>
          <w:rFonts w:cstheme="minorHAnsi"/>
        </w:rPr>
        <w:t xml:space="preserve"> refusal rate in applications for credit. While this will have left some consumers unable to borrow, it is argued that reasonable constraints on credit granting are advisable in order to avoid the recent fate of less risk-averse markets, such as the United States</w:t>
      </w:r>
      <w:r w:rsidR="002A0D84" w:rsidRPr="004737C5">
        <w:rPr>
          <w:rFonts w:cstheme="minorHAnsi"/>
        </w:rPr>
        <w:t xml:space="preserve"> of America</w:t>
      </w:r>
      <w:r w:rsidRPr="004737C5">
        <w:rPr>
          <w:rFonts w:cstheme="minorHAnsi"/>
        </w:rPr>
        <w:t xml:space="preserve">. </w:t>
      </w:r>
    </w:p>
    <w:p w14:paraId="787CDB1E" w14:textId="77777777" w:rsidR="00BE71E3" w:rsidRPr="004737C5" w:rsidRDefault="00BE71E3" w:rsidP="006D3BE8">
      <w:pPr>
        <w:rPr>
          <w:rFonts w:cstheme="minorHAnsi"/>
        </w:rPr>
      </w:pPr>
      <w:r w:rsidRPr="004737C5">
        <w:rPr>
          <w:rFonts w:cstheme="minorHAnsi"/>
        </w:rPr>
        <w:t xml:space="preserve">China is at one end of the spectrum with positive and negative information </w:t>
      </w:r>
      <w:r w:rsidR="002A0D84" w:rsidRPr="004737C5">
        <w:rPr>
          <w:rFonts w:cstheme="minorHAnsi"/>
        </w:rPr>
        <w:t xml:space="preserve">brought </w:t>
      </w:r>
      <w:r w:rsidRPr="004737C5">
        <w:rPr>
          <w:rFonts w:cstheme="minorHAnsi"/>
        </w:rPr>
        <w:t xml:space="preserve">together and centralized. As a safeguard, consumers should have the right to check and challenge the data which is held about them. In Belgium, such access is free of charge, </w:t>
      </w:r>
      <w:r w:rsidR="002A0D84" w:rsidRPr="004737C5">
        <w:rPr>
          <w:rFonts w:cstheme="minorHAnsi"/>
        </w:rPr>
        <w:t xml:space="preserve">and </w:t>
      </w:r>
      <w:r w:rsidRPr="004737C5">
        <w:rPr>
          <w:rFonts w:cstheme="minorHAnsi"/>
        </w:rPr>
        <w:t xml:space="preserve">in the United Kingdom </w:t>
      </w:r>
      <w:r w:rsidR="002A0D84" w:rsidRPr="004737C5">
        <w:rPr>
          <w:rFonts w:cstheme="minorHAnsi"/>
        </w:rPr>
        <w:t xml:space="preserve">of Great Britain and Northern Ireland </w:t>
      </w:r>
      <w:r w:rsidRPr="004737C5">
        <w:rPr>
          <w:rFonts w:cstheme="minorHAnsi"/>
        </w:rPr>
        <w:t>for a nominal charge. In the United States</w:t>
      </w:r>
      <w:r w:rsidR="002A0D84" w:rsidRPr="004737C5">
        <w:rPr>
          <w:rFonts w:cstheme="minorHAnsi"/>
        </w:rPr>
        <w:t xml:space="preserve"> of America</w:t>
      </w:r>
      <w:r w:rsidRPr="004737C5">
        <w:rPr>
          <w:rFonts w:cstheme="minorHAnsi"/>
        </w:rPr>
        <w:t>, one credi</w:t>
      </w:r>
      <w:r w:rsidR="002A0D84" w:rsidRPr="004737C5">
        <w:rPr>
          <w:rFonts w:cstheme="minorHAnsi"/>
        </w:rPr>
        <w:t>t report per year is free. These</w:t>
      </w:r>
      <w:r w:rsidRPr="004737C5">
        <w:rPr>
          <w:rFonts w:cstheme="minorHAnsi"/>
        </w:rPr>
        <w:t xml:space="preserve"> rights of consumers and obligations of credit bureaux must be subject to strict oversight and enforcement. Consumer advocates in the United States</w:t>
      </w:r>
      <w:r w:rsidR="002A0D84" w:rsidRPr="004737C5">
        <w:rPr>
          <w:rFonts w:cstheme="minorHAnsi"/>
        </w:rPr>
        <w:t xml:space="preserve"> of America</w:t>
      </w:r>
      <w:r w:rsidRPr="004737C5">
        <w:rPr>
          <w:rFonts w:cstheme="minorHAnsi"/>
        </w:rPr>
        <w:t xml:space="preserve"> have documented serious problems in getting credit report errors fixed despite clear statutory mandate. Where there are multiple credit bureaux, it is difficult for consumers to challenge them all at once. </w:t>
      </w:r>
    </w:p>
    <w:p w14:paraId="68EEF659" w14:textId="77777777" w:rsidR="00BE71E3" w:rsidRPr="004737C5" w:rsidRDefault="00BE71E3" w:rsidP="00485405">
      <w:pPr>
        <w:pStyle w:val="Heading3"/>
        <w:spacing w:after="160" w:line="240" w:lineRule="auto"/>
        <w:rPr>
          <w:rFonts w:cstheme="minorHAnsi"/>
          <w:color w:val="auto"/>
        </w:rPr>
      </w:pPr>
      <w:bookmarkStart w:id="363" w:name="_Toc454293896"/>
      <w:bookmarkStart w:id="364" w:name="_Toc489950334"/>
      <w:bookmarkStart w:id="365" w:name="_Toc492650121"/>
      <w:r w:rsidRPr="004737C5">
        <w:rPr>
          <w:rFonts w:cstheme="minorHAnsi"/>
          <w:color w:val="auto"/>
        </w:rPr>
        <w:t>3</w:t>
      </w:r>
      <w:r w:rsidR="002A0D84" w:rsidRPr="004737C5">
        <w:rPr>
          <w:rFonts w:cstheme="minorHAnsi"/>
          <w:color w:val="auto"/>
        </w:rPr>
        <w:t>. Treatment of over-</w:t>
      </w:r>
      <w:r w:rsidRPr="004737C5">
        <w:rPr>
          <w:rFonts w:cstheme="minorHAnsi"/>
          <w:color w:val="auto"/>
        </w:rPr>
        <w:t>indebtedness</w:t>
      </w:r>
      <w:bookmarkEnd w:id="363"/>
      <w:bookmarkEnd w:id="364"/>
      <w:bookmarkEnd w:id="365"/>
    </w:p>
    <w:p w14:paraId="326D9644" w14:textId="47512C8E" w:rsidR="00BE71E3" w:rsidRPr="004737C5" w:rsidRDefault="00BE71E3" w:rsidP="006D3BE8">
      <w:pPr>
        <w:rPr>
          <w:rFonts w:cstheme="minorHAnsi"/>
        </w:rPr>
      </w:pPr>
      <w:r w:rsidRPr="004737C5">
        <w:rPr>
          <w:rFonts w:cstheme="minorHAnsi"/>
        </w:rPr>
        <w:t>The UNGCP als</w:t>
      </w:r>
      <w:r w:rsidR="002A0D84" w:rsidRPr="004737C5">
        <w:rPr>
          <w:rFonts w:cstheme="minorHAnsi"/>
        </w:rPr>
        <w:t>o mention over-indebtedness in g</w:t>
      </w:r>
      <w:r w:rsidRPr="004737C5">
        <w:rPr>
          <w:rFonts w:cstheme="minorHAnsi"/>
        </w:rPr>
        <w:t xml:space="preserve">uideline 40. Practice is developing to allow individuals to write down their debts when they are unable to repay and have a fresh start. Conditions need be included to ensure that access to such a facility is not abused. </w:t>
      </w:r>
    </w:p>
    <w:p w14:paraId="312A71B1" w14:textId="6C4AD7C6" w:rsidR="00BE71E3" w:rsidRPr="004737C5" w:rsidRDefault="00BE71E3" w:rsidP="006D3BE8">
      <w:pPr>
        <w:rPr>
          <w:rFonts w:cstheme="minorHAnsi"/>
        </w:rPr>
      </w:pPr>
      <w:r w:rsidRPr="004737C5">
        <w:rPr>
          <w:rFonts w:cstheme="minorHAnsi"/>
        </w:rPr>
        <w:lastRenderedPageBreak/>
        <w:t xml:space="preserve">Legislation for personal bankruptcy </w:t>
      </w:r>
      <w:r w:rsidR="002A0D84" w:rsidRPr="004737C5">
        <w:rPr>
          <w:rFonts w:cstheme="minorHAnsi"/>
        </w:rPr>
        <w:t>was adopted in Greece in 2010.</w:t>
      </w:r>
      <w:r w:rsidRPr="004737C5">
        <w:rPr>
          <w:rFonts w:cstheme="minorHAnsi"/>
        </w:rPr>
        <w:t xml:space="preserve"> After its introduction there were almost 35,000 applications during</w:t>
      </w:r>
      <w:r w:rsidR="002A0D84" w:rsidRPr="004737C5">
        <w:rPr>
          <w:rFonts w:cstheme="minorHAnsi"/>
        </w:rPr>
        <w:t xml:space="preserve"> 2011 and 2012, and during 2013</w:t>
      </w:r>
      <w:r w:rsidRPr="004737C5">
        <w:rPr>
          <w:rFonts w:cstheme="minorHAnsi"/>
        </w:rPr>
        <w:t xml:space="preserve"> the number of applications doubled. The law hi</w:t>
      </w:r>
      <w:r w:rsidR="002A0D84" w:rsidRPr="004737C5">
        <w:rPr>
          <w:rFonts w:cstheme="minorHAnsi"/>
        </w:rPr>
        <w:t>nges on the determination of a “</w:t>
      </w:r>
      <w:r w:rsidRPr="004737C5">
        <w:rPr>
          <w:rFonts w:cstheme="minorHAnsi"/>
        </w:rPr>
        <w:t>decent minimu</w:t>
      </w:r>
      <w:r w:rsidR="002A0D84" w:rsidRPr="004737C5">
        <w:rPr>
          <w:rFonts w:cstheme="minorHAnsi"/>
        </w:rPr>
        <w:t>m amount for the cost of living”</w:t>
      </w:r>
      <w:r w:rsidRPr="004737C5">
        <w:rPr>
          <w:rFonts w:cstheme="minorHAnsi"/>
        </w:rPr>
        <w:t xml:space="preserve"> and attempts to put into practice the Greek constitutional provision for participation in social and economic life an</w:t>
      </w:r>
      <w:r w:rsidR="002A0D84" w:rsidRPr="004737C5">
        <w:rPr>
          <w:rFonts w:cstheme="minorHAnsi"/>
        </w:rPr>
        <w:t>d development of personal life.</w:t>
      </w:r>
      <w:r w:rsidRPr="004737C5">
        <w:rPr>
          <w:rStyle w:val="FootnoteReference"/>
          <w:rFonts w:cstheme="minorHAnsi"/>
        </w:rPr>
        <w:footnoteReference w:id="311"/>
      </w:r>
      <w:r w:rsidRPr="004737C5">
        <w:rPr>
          <w:rFonts w:cstheme="minorHAnsi"/>
        </w:rPr>
        <w:t xml:space="preserve"> </w:t>
      </w:r>
      <w:r w:rsidR="002A0D84" w:rsidRPr="004737C5">
        <w:rPr>
          <w:rFonts w:cstheme="minorHAnsi"/>
        </w:rPr>
        <w:t>The “decent minimum amount”</w:t>
      </w:r>
      <w:r w:rsidRPr="004737C5">
        <w:rPr>
          <w:rFonts w:cstheme="minorHAnsi"/>
        </w:rPr>
        <w:t xml:space="preserve"> is not defined</w:t>
      </w:r>
      <w:r w:rsidR="002A0D84" w:rsidRPr="004737C5">
        <w:rPr>
          <w:rFonts w:cstheme="minorHAnsi"/>
        </w:rPr>
        <w:t>, however,</w:t>
      </w:r>
      <w:r w:rsidR="00485405" w:rsidRPr="004737C5">
        <w:rPr>
          <w:rFonts w:cstheme="minorHAnsi"/>
        </w:rPr>
        <w:t xml:space="preserve"> and is based on</w:t>
      </w:r>
      <w:r w:rsidRPr="004737C5">
        <w:rPr>
          <w:rFonts w:cstheme="minorHAnsi"/>
        </w:rPr>
        <w:t xml:space="preserve"> interpretation by the courts. </w:t>
      </w:r>
    </w:p>
    <w:p w14:paraId="4458559D" w14:textId="77777777" w:rsidR="00BE71E3" w:rsidRPr="004737C5" w:rsidRDefault="00BE71E3" w:rsidP="00485405">
      <w:pPr>
        <w:pStyle w:val="Heading3"/>
        <w:spacing w:after="160" w:line="240" w:lineRule="auto"/>
        <w:rPr>
          <w:rFonts w:cstheme="minorHAnsi"/>
          <w:color w:val="auto"/>
        </w:rPr>
      </w:pPr>
      <w:bookmarkStart w:id="366" w:name="_Toc454293897"/>
      <w:bookmarkStart w:id="367" w:name="_Toc489950335"/>
      <w:bookmarkStart w:id="368" w:name="_Toc492650122"/>
      <w:r w:rsidRPr="004737C5">
        <w:rPr>
          <w:rFonts w:cstheme="minorHAnsi"/>
          <w:color w:val="auto"/>
        </w:rPr>
        <w:t>4</w:t>
      </w:r>
      <w:r w:rsidR="002A0D84" w:rsidRPr="004737C5">
        <w:rPr>
          <w:rFonts w:cstheme="minorHAnsi"/>
          <w:color w:val="auto"/>
        </w:rPr>
        <w:t>.</w:t>
      </w:r>
      <w:r w:rsidRPr="004737C5">
        <w:rPr>
          <w:rFonts w:cstheme="minorHAnsi"/>
          <w:color w:val="auto"/>
        </w:rPr>
        <w:t xml:space="preserve"> Institutional structure: agency for regulation and enforcement</w:t>
      </w:r>
      <w:bookmarkEnd w:id="366"/>
      <w:bookmarkEnd w:id="367"/>
      <w:bookmarkEnd w:id="368"/>
    </w:p>
    <w:p w14:paraId="0BD9385D" w14:textId="6BEDDA21" w:rsidR="00BE71E3" w:rsidRPr="004737C5" w:rsidRDefault="00485405" w:rsidP="006D3BE8">
      <w:pPr>
        <w:rPr>
          <w:rFonts w:cstheme="minorHAnsi"/>
        </w:rPr>
      </w:pPr>
      <w:r w:rsidRPr="004737C5">
        <w:rPr>
          <w:rFonts w:cstheme="minorHAnsi"/>
        </w:rPr>
        <w:t>The UNGCP are</w:t>
      </w:r>
      <w:r w:rsidR="00BE71E3" w:rsidRPr="004737C5">
        <w:rPr>
          <w:rFonts w:cstheme="minorHAnsi"/>
        </w:rPr>
        <w:t xml:space="preserve"> understandably silent on the matter of detailed institutional structure</w:t>
      </w:r>
      <w:r w:rsidRPr="004737C5">
        <w:rPr>
          <w:rFonts w:cstheme="minorHAnsi"/>
        </w:rPr>
        <w:t>s</w:t>
      </w:r>
      <w:r w:rsidR="00BE71E3" w:rsidRPr="004737C5">
        <w:rPr>
          <w:rFonts w:cstheme="minorHAnsi"/>
        </w:rPr>
        <w:t xml:space="preserve"> fo</w:t>
      </w:r>
      <w:r w:rsidR="002A0D84" w:rsidRPr="004737C5">
        <w:rPr>
          <w:rFonts w:cstheme="minorHAnsi"/>
        </w:rPr>
        <w:t>r financial services, although guideline 66b calls for “</w:t>
      </w:r>
      <w:r w:rsidR="00BE71E3" w:rsidRPr="004737C5">
        <w:rPr>
          <w:rFonts w:cstheme="minorHAnsi"/>
          <w:bCs/>
        </w:rPr>
        <w:t>oversight bodies with the necessary authority and resou</w:t>
      </w:r>
      <w:r w:rsidR="002A0D84" w:rsidRPr="004737C5">
        <w:rPr>
          <w:rFonts w:cstheme="minorHAnsi"/>
          <w:bCs/>
        </w:rPr>
        <w:t>rces to carry out their mission”</w:t>
      </w:r>
      <w:r w:rsidR="00BE71E3" w:rsidRPr="004737C5">
        <w:rPr>
          <w:rFonts w:cstheme="minorHAnsi"/>
          <w:bCs/>
        </w:rPr>
        <w:t xml:space="preserve">. </w:t>
      </w:r>
      <w:r w:rsidR="00BE71E3" w:rsidRPr="004737C5">
        <w:rPr>
          <w:rFonts w:cstheme="minorHAnsi"/>
        </w:rPr>
        <w:t>Whatever the structure, a</w:t>
      </w:r>
      <w:r w:rsidRPr="004737C5">
        <w:rPr>
          <w:rFonts w:cstheme="minorHAnsi"/>
        </w:rPr>
        <w:t>n optimal agency should be well-</w:t>
      </w:r>
      <w:r w:rsidR="002A0D84" w:rsidRPr="004737C5">
        <w:rPr>
          <w:rFonts w:cstheme="minorHAnsi"/>
        </w:rPr>
        <w:t>funded (see guideline 15</w:t>
      </w:r>
      <w:r w:rsidR="00BE71E3" w:rsidRPr="004737C5">
        <w:rPr>
          <w:rFonts w:cstheme="minorHAnsi"/>
        </w:rPr>
        <w:t>)</w:t>
      </w:r>
      <w:r w:rsidR="002A0D84" w:rsidRPr="004737C5">
        <w:rPr>
          <w:rFonts w:cstheme="minorHAnsi"/>
        </w:rPr>
        <w:t>,</w:t>
      </w:r>
      <w:r w:rsidR="00BE71E3" w:rsidRPr="004737C5">
        <w:rPr>
          <w:rFonts w:cstheme="minorHAnsi"/>
        </w:rPr>
        <w:t xml:space="preserve"> able to obtain information at a low cost on emerging market practices, </w:t>
      </w:r>
      <w:r w:rsidR="002A0D84" w:rsidRPr="004737C5">
        <w:rPr>
          <w:rFonts w:cstheme="minorHAnsi"/>
        </w:rPr>
        <w:t xml:space="preserve">accurately </w:t>
      </w:r>
      <w:r w:rsidRPr="004737C5">
        <w:rPr>
          <w:rFonts w:cstheme="minorHAnsi"/>
        </w:rPr>
        <w:t>assess practices that create</w:t>
      </w:r>
      <w:r w:rsidR="00BE71E3" w:rsidRPr="004737C5">
        <w:rPr>
          <w:rFonts w:cstheme="minorHAnsi"/>
        </w:rPr>
        <w:t xml:space="preserve"> the greatest risks for consumers, be able to move quickl</w:t>
      </w:r>
      <w:r w:rsidR="002A0D84" w:rsidRPr="004737C5">
        <w:rPr>
          <w:rFonts w:cstheme="minorHAnsi"/>
        </w:rPr>
        <w:t>y to regulate emerging problems</w:t>
      </w:r>
      <w:r w:rsidR="00BE71E3" w:rsidRPr="004737C5">
        <w:rPr>
          <w:rFonts w:cstheme="minorHAnsi"/>
        </w:rPr>
        <w:t xml:space="preserve"> and be structured to avoid the dangers of capture by industry. Ideally</w:t>
      </w:r>
      <w:r w:rsidRPr="004737C5">
        <w:rPr>
          <w:rFonts w:cstheme="minorHAnsi"/>
        </w:rPr>
        <w:t>,</w:t>
      </w:r>
      <w:r w:rsidR="00BE71E3" w:rsidRPr="004737C5">
        <w:rPr>
          <w:rFonts w:cstheme="minorHAnsi"/>
        </w:rPr>
        <w:t xml:space="preserve"> credit regulation should be carried out by a dedicated financial consumer protection agency that can oversee the whole market. Regulation should be evidence</w:t>
      </w:r>
      <w:r w:rsidR="002A0D84" w:rsidRPr="004737C5">
        <w:rPr>
          <w:rFonts w:cstheme="minorHAnsi"/>
        </w:rPr>
        <w:t>-</w:t>
      </w:r>
      <w:r w:rsidR="00BE71E3" w:rsidRPr="004737C5">
        <w:rPr>
          <w:rFonts w:cstheme="minorHAnsi"/>
        </w:rPr>
        <w:t>based and take into account its impact on financial exclusion.</w:t>
      </w:r>
    </w:p>
    <w:p w14:paraId="2753F079" w14:textId="6FBC48DB" w:rsidR="00BE71E3" w:rsidRPr="004737C5" w:rsidRDefault="00BE71E3" w:rsidP="006D3BE8">
      <w:pPr>
        <w:rPr>
          <w:rFonts w:cstheme="minorHAnsi"/>
        </w:rPr>
      </w:pPr>
      <w:r w:rsidRPr="004737C5">
        <w:rPr>
          <w:rFonts w:cstheme="minorHAnsi"/>
        </w:rPr>
        <w:t xml:space="preserve">Several international organizations recommend that </w:t>
      </w:r>
      <w:r w:rsidR="00485405" w:rsidRPr="004737C5">
        <w:rPr>
          <w:rFonts w:cstheme="minorHAnsi"/>
        </w:rPr>
        <w:t>consumer credit regulation is</w:t>
      </w:r>
      <w:r w:rsidRPr="004737C5">
        <w:rPr>
          <w:rFonts w:cstheme="minorHAnsi"/>
        </w:rPr>
        <w:t xml:space="preserve"> part of a dedicated consumer finance authority or agency. One response to the financial crisis was for the Financial Consumer Protection Bureau </w:t>
      </w:r>
      <w:r w:rsidR="002A0D84" w:rsidRPr="004737C5">
        <w:rPr>
          <w:rFonts w:cstheme="minorHAnsi"/>
        </w:rPr>
        <w:t xml:space="preserve">of the United States of America </w:t>
      </w:r>
      <w:r w:rsidRPr="004737C5">
        <w:rPr>
          <w:rFonts w:cstheme="minorHAnsi"/>
        </w:rPr>
        <w:t>to be established</w:t>
      </w:r>
      <w:r w:rsidR="002A0D84" w:rsidRPr="004737C5">
        <w:rPr>
          <w:rFonts w:cstheme="minorHAnsi"/>
        </w:rPr>
        <w:t>,</w:t>
      </w:r>
      <w:r w:rsidRPr="004737C5">
        <w:rPr>
          <w:rFonts w:cstheme="minorHAnsi"/>
        </w:rPr>
        <w:t xml:space="preserve"> </w:t>
      </w:r>
      <w:r w:rsidR="002A0D84" w:rsidRPr="004737C5">
        <w:rPr>
          <w:rFonts w:cstheme="minorHAnsi"/>
        </w:rPr>
        <w:t xml:space="preserve">while </w:t>
      </w:r>
      <w:r w:rsidRPr="004737C5">
        <w:rPr>
          <w:rFonts w:cstheme="minorHAnsi"/>
        </w:rPr>
        <w:t xml:space="preserve">in the European Union, the new European Banking Authority was given a consumer protection mandate. In a hybrid version in Chile, </w:t>
      </w:r>
      <w:r w:rsidRPr="004737C5">
        <w:rPr>
          <w:rFonts w:cstheme="minorHAnsi"/>
          <w:iCs/>
        </w:rPr>
        <w:t>SERNAC Financiero</w:t>
      </w:r>
      <w:r w:rsidRPr="004737C5">
        <w:rPr>
          <w:rFonts w:cstheme="minorHAnsi"/>
        </w:rPr>
        <w:t xml:space="preserve"> is a specialized agency within the national consumer protection agency, SERNAC, with a mandate to address financial services.</w:t>
      </w:r>
    </w:p>
    <w:p w14:paraId="5A3D1DA2" w14:textId="77777777" w:rsidR="00BE71E3" w:rsidRPr="004737C5" w:rsidRDefault="00BE71E3" w:rsidP="006D3BE8">
      <w:pPr>
        <w:rPr>
          <w:rFonts w:cstheme="minorHAnsi"/>
        </w:rPr>
      </w:pPr>
      <w:r w:rsidRPr="004737C5">
        <w:rPr>
          <w:rFonts w:cstheme="minorHAnsi"/>
        </w:rPr>
        <w:t>There are several advantages of establishing a specialist enforcement agency to handle consumer credit issues</w:t>
      </w:r>
      <w:r w:rsidR="00162167" w:rsidRPr="004737C5">
        <w:rPr>
          <w:rFonts w:cstheme="minorHAnsi"/>
        </w:rPr>
        <w:t>, for example</w:t>
      </w:r>
      <w:r w:rsidRPr="004737C5">
        <w:rPr>
          <w:rFonts w:cstheme="minorHAnsi"/>
        </w:rPr>
        <w:t xml:space="preserve"> including specialist expertise in the complexities of credit law and being able to group together actions on behalf of a number of consumers who have each suffered a small loss and are unlikely to take any action individually. However, as banking, lending and insurance have moved out of their silos, the regulatory structure needs to evolve </w:t>
      </w:r>
      <w:r w:rsidR="00162167" w:rsidRPr="004737C5">
        <w:rPr>
          <w:rFonts w:cstheme="minorHAnsi"/>
        </w:rPr>
        <w:t xml:space="preserve">to </w:t>
      </w:r>
      <w:r w:rsidRPr="004737C5">
        <w:rPr>
          <w:rFonts w:cstheme="minorHAnsi"/>
        </w:rPr>
        <w:t>govern generic financial institutions in a way that picks up abuses that</w:t>
      </w:r>
      <w:r w:rsidR="00162167" w:rsidRPr="004737C5">
        <w:rPr>
          <w:rFonts w:cstheme="minorHAnsi"/>
        </w:rPr>
        <w:t xml:space="preserve"> take place in all subsectors.</w:t>
      </w:r>
      <w:r w:rsidRPr="004737C5">
        <w:rPr>
          <w:rFonts w:cstheme="minorHAnsi"/>
        </w:rPr>
        <w:t xml:space="preserve"> The agency should be able to enforce legislation proactively (by stopping certain behaviour before it causes more harm) as well as reactively (by providing redress for harm and punishing whoever caused the harm). The scope of the agency should not be limited to acting on consumer complaints</w:t>
      </w:r>
      <w:r w:rsidRPr="004737C5">
        <w:rPr>
          <w:rFonts w:cstheme="minorHAnsi"/>
          <w:b/>
        </w:rPr>
        <w:t xml:space="preserve"> </w:t>
      </w:r>
      <w:r w:rsidRPr="004737C5">
        <w:rPr>
          <w:rFonts w:cstheme="minorHAnsi"/>
        </w:rPr>
        <w:t>alone. It should actively monitor industry actions and developments.</w:t>
      </w:r>
    </w:p>
    <w:p w14:paraId="75A6BB39" w14:textId="6716241B" w:rsidR="00BE71E3" w:rsidRPr="004737C5" w:rsidRDefault="00BE71E3" w:rsidP="006D3BE8">
      <w:pPr>
        <w:rPr>
          <w:rFonts w:cstheme="minorHAnsi"/>
        </w:rPr>
      </w:pPr>
      <w:r w:rsidRPr="004737C5">
        <w:rPr>
          <w:rFonts w:cstheme="minorHAnsi"/>
        </w:rPr>
        <w:t>In the meantime, different products have varying and sometimes unique consumer protection needs</w:t>
      </w:r>
      <w:r w:rsidR="00426BC0" w:rsidRPr="004737C5">
        <w:rPr>
          <w:rFonts w:cstheme="minorHAnsi"/>
        </w:rPr>
        <w:t>,</w:t>
      </w:r>
      <w:r w:rsidRPr="004737C5">
        <w:rPr>
          <w:rFonts w:cstheme="minorHAnsi"/>
        </w:rPr>
        <w:t xml:space="preserve"> and may be regulated differently as a result. For instance, </w:t>
      </w:r>
      <w:r w:rsidR="00162167" w:rsidRPr="004737C5">
        <w:rPr>
          <w:rFonts w:cstheme="minorHAnsi"/>
        </w:rPr>
        <w:t>in Kenya, commercial banks and deposit-taking microfinance i</w:t>
      </w:r>
      <w:r w:rsidRPr="004737C5">
        <w:rPr>
          <w:rFonts w:cstheme="minorHAnsi"/>
        </w:rPr>
        <w:t xml:space="preserve">nstitutions are regulated by the Central Bank of Kenya (CBK) with the Kenya Bankers Association (KBA) responsible for promoting good conduct and self-regulation. </w:t>
      </w:r>
      <w:r w:rsidR="00162167" w:rsidRPr="004737C5">
        <w:rPr>
          <w:rFonts w:cstheme="minorHAnsi"/>
        </w:rPr>
        <w:t>Savings and credit c</w:t>
      </w:r>
      <w:r w:rsidRPr="004737C5">
        <w:rPr>
          <w:rFonts w:cstheme="minorHAnsi"/>
        </w:rPr>
        <w:t>ooperatives</w:t>
      </w:r>
      <w:r w:rsidR="00426BC0" w:rsidRPr="004737C5">
        <w:rPr>
          <w:rFonts w:cstheme="minorHAnsi"/>
        </w:rPr>
        <w:t xml:space="preserve"> </w:t>
      </w:r>
      <w:r w:rsidR="00162167" w:rsidRPr="004737C5">
        <w:rPr>
          <w:rFonts w:cstheme="minorHAnsi"/>
        </w:rPr>
        <w:t>are regulated by another g</w:t>
      </w:r>
      <w:r w:rsidRPr="004737C5">
        <w:rPr>
          <w:rFonts w:cstheme="minorHAnsi"/>
        </w:rPr>
        <w:t>overnment agency (Sacco Societies Regulatory Authorit</w:t>
      </w:r>
      <w:r w:rsidR="00162167" w:rsidRPr="004737C5">
        <w:rPr>
          <w:rFonts w:cstheme="minorHAnsi"/>
        </w:rPr>
        <w:t>y of Kenya) within a different a</w:t>
      </w:r>
      <w:r w:rsidRPr="004737C5">
        <w:rPr>
          <w:rFonts w:cstheme="minorHAnsi"/>
        </w:rPr>
        <w:t xml:space="preserve">ct and policy. </w:t>
      </w:r>
    </w:p>
    <w:p w14:paraId="18695EB7" w14:textId="77777777" w:rsidR="00BE71E3" w:rsidRPr="004737C5" w:rsidRDefault="00162167" w:rsidP="00426BC0">
      <w:pPr>
        <w:pStyle w:val="Heading2"/>
        <w:spacing w:after="160"/>
        <w:rPr>
          <w:rFonts w:cstheme="minorHAnsi"/>
          <w:color w:val="auto"/>
          <w:sz w:val="24"/>
          <w:szCs w:val="24"/>
        </w:rPr>
      </w:pPr>
      <w:bookmarkStart w:id="369" w:name="_Toc454293898"/>
      <w:bookmarkStart w:id="370" w:name="_Toc489950336"/>
      <w:bookmarkStart w:id="371" w:name="_Toc492650123"/>
      <w:r w:rsidRPr="004737C5">
        <w:rPr>
          <w:rFonts w:cstheme="minorHAnsi"/>
          <w:color w:val="auto"/>
          <w:sz w:val="24"/>
          <w:szCs w:val="24"/>
        </w:rPr>
        <w:t>F.</w:t>
      </w:r>
      <w:r w:rsidR="00BE71E3" w:rsidRPr="004737C5">
        <w:rPr>
          <w:rFonts w:cstheme="minorHAnsi"/>
          <w:color w:val="auto"/>
          <w:sz w:val="24"/>
          <w:szCs w:val="24"/>
        </w:rPr>
        <w:t xml:space="preserve"> Conclusion</w:t>
      </w:r>
      <w:bookmarkEnd w:id="369"/>
      <w:bookmarkEnd w:id="370"/>
      <w:bookmarkEnd w:id="371"/>
    </w:p>
    <w:p w14:paraId="1D634044" w14:textId="37440749" w:rsidR="00BE71E3" w:rsidRPr="004737C5" w:rsidRDefault="00BE71E3" w:rsidP="006D3BE8">
      <w:pPr>
        <w:rPr>
          <w:rFonts w:cstheme="minorHAnsi"/>
        </w:rPr>
      </w:pPr>
      <w:r w:rsidRPr="004737C5">
        <w:rPr>
          <w:rFonts w:cstheme="minorHAnsi"/>
        </w:rPr>
        <w:t xml:space="preserve">As a result of the traumas of the financial crisis, some have advocated a product </w:t>
      </w:r>
      <w:r w:rsidR="00162167" w:rsidRPr="004737C5">
        <w:rPr>
          <w:rFonts w:cstheme="minorHAnsi"/>
        </w:rPr>
        <w:t>safety approach to regulation: “c</w:t>
      </w:r>
      <w:r w:rsidRPr="004737C5">
        <w:rPr>
          <w:rFonts w:cstheme="minorHAnsi"/>
        </w:rPr>
        <w:t xml:space="preserve">onsumers can enter the market to buy physical products confident they won’t be tricked into buying exploding toasters and other unreasonably dangerous products. Consumers </w:t>
      </w:r>
      <w:r w:rsidRPr="004737C5">
        <w:rPr>
          <w:rFonts w:cstheme="minorHAnsi"/>
        </w:rPr>
        <w:lastRenderedPageBreak/>
        <w:t>entering the market to buy financial products should enjoy the same protection</w:t>
      </w:r>
      <w:r w:rsidR="00162167" w:rsidRPr="004737C5">
        <w:rPr>
          <w:rFonts w:cstheme="minorHAnsi"/>
        </w:rPr>
        <w:t>”.</w:t>
      </w:r>
      <w:r w:rsidRPr="004737C5">
        <w:rPr>
          <w:rStyle w:val="FootnoteReference"/>
          <w:rFonts w:cstheme="minorHAnsi"/>
        </w:rPr>
        <w:footnoteReference w:id="312"/>
      </w:r>
      <w:r w:rsidRPr="004737C5">
        <w:rPr>
          <w:rFonts w:cstheme="minorHAnsi"/>
        </w:rPr>
        <w:t xml:space="preserve"> When one compares law</w:t>
      </w:r>
      <w:r w:rsidR="00426BC0" w:rsidRPr="004737C5">
        <w:rPr>
          <w:rFonts w:cstheme="minorHAnsi"/>
        </w:rPr>
        <w:t>s</w:t>
      </w:r>
      <w:r w:rsidRPr="004737C5">
        <w:rPr>
          <w:rFonts w:cstheme="minorHAnsi"/>
        </w:rPr>
        <w:t xml:space="preserve"> imposing strict liability for physical products on product safety </w:t>
      </w:r>
      <w:r w:rsidR="00162167" w:rsidRPr="004737C5">
        <w:rPr>
          <w:rFonts w:cstheme="minorHAnsi"/>
        </w:rPr>
        <w:t xml:space="preserve">(as described in chapter IX) </w:t>
      </w:r>
      <w:r w:rsidRPr="004737C5">
        <w:rPr>
          <w:rFonts w:cstheme="minorHAnsi"/>
        </w:rPr>
        <w:t>with the emphasis on responsibility rather than blame, it is under</w:t>
      </w:r>
      <w:r w:rsidR="00426BC0" w:rsidRPr="004737C5">
        <w:rPr>
          <w:rFonts w:cstheme="minorHAnsi"/>
        </w:rPr>
        <w:t xml:space="preserve">standable that some will seek </w:t>
      </w:r>
      <w:r w:rsidRPr="004737C5">
        <w:rPr>
          <w:rFonts w:cstheme="minorHAnsi"/>
        </w:rPr>
        <w:t xml:space="preserve">similar protection in the field of financial services. </w:t>
      </w:r>
    </w:p>
    <w:p w14:paraId="03A52382" w14:textId="562AE76D" w:rsidR="00BE71E3" w:rsidRPr="004737C5" w:rsidRDefault="00426BC0" w:rsidP="006D3BE8">
      <w:pPr>
        <w:rPr>
          <w:rFonts w:cstheme="minorHAnsi"/>
        </w:rPr>
      </w:pPr>
      <w:r w:rsidRPr="004737C5">
        <w:rPr>
          <w:rFonts w:cstheme="minorHAnsi"/>
        </w:rPr>
        <w:t xml:space="preserve">After </w:t>
      </w:r>
      <w:r w:rsidR="00BE71E3" w:rsidRPr="004737C5">
        <w:rPr>
          <w:rFonts w:cstheme="minorHAnsi"/>
        </w:rPr>
        <w:t>years of deregulation were follo</w:t>
      </w:r>
      <w:r w:rsidR="00162167" w:rsidRPr="004737C5">
        <w:rPr>
          <w:rFonts w:cstheme="minorHAnsi"/>
        </w:rPr>
        <w:t>wed by financial crisis, there ha</w:t>
      </w:r>
      <w:r w:rsidR="00BE71E3" w:rsidRPr="004737C5">
        <w:rPr>
          <w:rFonts w:cstheme="minorHAnsi"/>
        </w:rPr>
        <w:t xml:space="preserve">s </w:t>
      </w:r>
      <w:r w:rsidR="00162167" w:rsidRPr="004737C5">
        <w:rPr>
          <w:rFonts w:cstheme="minorHAnsi"/>
        </w:rPr>
        <w:t xml:space="preserve">been </w:t>
      </w:r>
      <w:r w:rsidR="00BE71E3" w:rsidRPr="004737C5">
        <w:rPr>
          <w:rFonts w:cstheme="minorHAnsi"/>
        </w:rPr>
        <w:t xml:space="preserve">a perceptible interest in a more interventionist stance </w:t>
      </w:r>
      <w:r w:rsidR="00162167" w:rsidRPr="004737C5">
        <w:rPr>
          <w:rFonts w:cstheme="minorHAnsi"/>
        </w:rPr>
        <w:t xml:space="preserve">on the part of </w:t>
      </w:r>
      <w:r w:rsidR="00BE71E3" w:rsidRPr="004737C5">
        <w:rPr>
          <w:rFonts w:cstheme="minorHAnsi"/>
        </w:rPr>
        <w:t>financial services regulators. For example, while the original European Union Consumer Credit Directive of 1987 concentrated on information and minimal protection against unfair contract terms, the more recent Mortgage Credit Directive imposes far higher standards of responsible lending, while making reference to the OECD/G20 HLPs.</w:t>
      </w:r>
      <w:r w:rsidR="00BE71E3" w:rsidRPr="004737C5">
        <w:rPr>
          <w:rStyle w:val="FootnoteReference"/>
          <w:rFonts w:cstheme="minorHAnsi"/>
        </w:rPr>
        <w:footnoteReference w:id="313"/>
      </w:r>
      <w:r w:rsidR="00BE71E3" w:rsidRPr="004737C5">
        <w:rPr>
          <w:rFonts w:cstheme="minorHAnsi"/>
        </w:rPr>
        <w:t xml:space="preserve"> It is significant that greater interest is being shown in financial services remuneration structures with their potential for perverse results. The consumer credit sector has seen successful interventions to rein </w:t>
      </w:r>
      <w:r w:rsidR="00162167" w:rsidRPr="004737C5">
        <w:rPr>
          <w:rFonts w:cstheme="minorHAnsi"/>
        </w:rPr>
        <w:t>back the most abusive practices</w:t>
      </w:r>
      <w:r w:rsidR="00BE71E3" w:rsidRPr="004737C5">
        <w:rPr>
          <w:rFonts w:cstheme="minorHAnsi"/>
        </w:rPr>
        <w:t xml:space="preserve"> and to enforce a regime of credit checks in advance of loan agreements. Such safeguards are spreading to developing and transitional economies, including South Africa and China. </w:t>
      </w:r>
    </w:p>
    <w:p w14:paraId="714FEB8B" w14:textId="77777777" w:rsidR="00BE71E3" w:rsidRPr="004737C5" w:rsidRDefault="00BE71E3" w:rsidP="006D3BE8">
      <w:pPr>
        <w:rPr>
          <w:rFonts w:cstheme="minorHAnsi"/>
        </w:rPr>
      </w:pPr>
      <w:r w:rsidRPr="004737C5">
        <w:rPr>
          <w:rFonts w:cstheme="minorHAnsi"/>
        </w:rPr>
        <w:t>Turning to the reform agenda, the profile of consumer protection in financial services is rising and stronger safeguards are emerging in the availabi</w:t>
      </w:r>
      <w:r w:rsidR="00162167" w:rsidRPr="004737C5">
        <w:rPr>
          <w:rFonts w:cstheme="minorHAnsi"/>
        </w:rPr>
        <w:t>lity and enforcement of cooling-</w:t>
      </w:r>
      <w:r w:rsidRPr="004737C5">
        <w:rPr>
          <w:rFonts w:cstheme="minorHAnsi"/>
        </w:rPr>
        <w:t>off periods, a safeguard which becomes arguably even more important as online sales increase. Some jurisdictions apply pre-market approval mechanisms and, faced with the failures of disclosure and information obligations, stricter standards are b</w:t>
      </w:r>
      <w:r w:rsidR="00162167" w:rsidRPr="004737C5">
        <w:rPr>
          <w:rFonts w:cstheme="minorHAnsi"/>
        </w:rPr>
        <w:t>eing applied through mandatory fact sheets and summary b</w:t>
      </w:r>
      <w:r w:rsidRPr="004737C5">
        <w:rPr>
          <w:rFonts w:cstheme="minorHAnsi"/>
        </w:rPr>
        <w:t xml:space="preserve">oxes. Some particular sectors where services are intrinsically simple, such as remittances, </w:t>
      </w:r>
      <w:r w:rsidR="00162167" w:rsidRPr="004737C5">
        <w:rPr>
          <w:rFonts w:cstheme="minorHAnsi"/>
        </w:rPr>
        <w:t>could see progress through the “classical”</w:t>
      </w:r>
      <w:r w:rsidRPr="004737C5">
        <w:rPr>
          <w:rFonts w:cstheme="minorHAnsi"/>
        </w:rPr>
        <w:t xml:space="preserve"> approach of disclosure and competition.  </w:t>
      </w:r>
    </w:p>
    <w:p w14:paraId="220C31FA" w14:textId="77777777" w:rsidR="00BE71E3" w:rsidRPr="004737C5" w:rsidRDefault="00BE71E3" w:rsidP="006D3BE8">
      <w:pPr>
        <w:rPr>
          <w:rFonts w:cstheme="minorHAnsi"/>
        </w:rPr>
      </w:pPr>
      <w:r w:rsidRPr="004737C5">
        <w:rPr>
          <w:rFonts w:cstheme="minorHAnsi"/>
        </w:rPr>
        <w:t>Innovation in financial service products can be genuinely creative when responding to consumer needs. Unfortunately, too often innovation has been used to less positive effect, in effect spurious innovation to avoid regulatory constraints. To quote the Stiglitz committee again: “while there has been innovation, too much innovation was aimed at regulatory, tax and accounting arbitrage, and too little at meeting the real</w:t>
      </w:r>
      <w:r w:rsidR="00162167" w:rsidRPr="004737C5">
        <w:rPr>
          <w:rFonts w:cstheme="minorHAnsi"/>
        </w:rPr>
        <w:t xml:space="preserve"> needs of ordinary citizens, …</w:t>
      </w:r>
      <w:r w:rsidRPr="004737C5">
        <w:rPr>
          <w:rFonts w:cstheme="minorHAnsi"/>
        </w:rPr>
        <w:t xml:space="preserve"> financial regulation must be designed so as to enhance meaningful innovation that improves risk management and capital allocation</w:t>
      </w:r>
      <w:r w:rsidR="00162167" w:rsidRPr="004737C5">
        <w:rPr>
          <w:rFonts w:cstheme="minorHAnsi"/>
        </w:rPr>
        <w:t>”.</w:t>
      </w:r>
      <w:r w:rsidRPr="004737C5">
        <w:rPr>
          <w:rStyle w:val="FootnoteReference"/>
          <w:rFonts w:cstheme="minorHAnsi"/>
        </w:rPr>
        <w:footnoteReference w:id="314"/>
      </w:r>
      <w:r w:rsidRPr="004737C5">
        <w:rPr>
          <w:rFonts w:cstheme="minorHAnsi"/>
        </w:rPr>
        <w:t xml:space="preserve"> </w:t>
      </w:r>
      <w:r w:rsidRPr="004737C5">
        <w:rPr>
          <w:rFonts w:cstheme="minorHAnsi"/>
        </w:rPr>
        <w:br w:type="page"/>
      </w:r>
    </w:p>
    <w:p w14:paraId="48E60EAC" w14:textId="77777777" w:rsidR="00BE71E3" w:rsidRPr="004737C5" w:rsidRDefault="00DC4F79" w:rsidP="00DC4F79">
      <w:pPr>
        <w:jc w:val="left"/>
        <w:rPr>
          <w:b/>
          <w:sz w:val="28"/>
          <w:szCs w:val="28"/>
        </w:rPr>
      </w:pPr>
      <w:bookmarkStart w:id="372" w:name="_Toc454293899"/>
      <w:bookmarkStart w:id="373" w:name="_Toc489950337"/>
      <w:bookmarkStart w:id="374" w:name="_Toc492650124"/>
      <w:bookmarkEnd w:id="228"/>
      <w:bookmarkEnd w:id="229"/>
      <w:bookmarkEnd w:id="230"/>
      <w:r w:rsidRPr="004737C5">
        <w:rPr>
          <w:b/>
          <w:sz w:val="28"/>
          <w:szCs w:val="28"/>
        </w:rPr>
        <w:lastRenderedPageBreak/>
        <w:t>XV.</w:t>
      </w:r>
      <w:r w:rsidR="00162167" w:rsidRPr="004737C5">
        <w:rPr>
          <w:b/>
          <w:sz w:val="28"/>
          <w:szCs w:val="28"/>
        </w:rPr>
        <w:t xml:space="preserve"> </w:t>
      </w:r>
      <w:bookmarkStart w:id="375" w:name="_Toc183930684"/>
      <w:r w:rsidRPr="004737C5">
        <w:rPr>
          <w:b/>
          <w:sz w:val="28"/>
          <w:szCs w:val="28"/>
        </w:rPr>
        <w:t>Consumer protection in the provision of u</w:t>
      </w:r>
      <w:r w:rsidR="00BE71E3" w:rsidRPr="004737C5">
        <w:rPr>
          <w:b/>
          <w:sz w:val="28"/>
          <w:szCs w:val="28"/>
        </w:rPr>
        <w:t>tilities</w:t>
      </w:r>
      <w:bookmarkEnd w:id="372"/>
      <w:bookmarkEnd w:id="373"/>
      <w:bookmarkEnd w:id="374"/>
      <w:bookmarkEnd w:id="375"/>
    </w:p>
    <w:p w14:paraId="3CCDC7EF" w14:textId="77777777" w:rsidR="00DC4F79" w:rsidRPr="004737C5" w:rsidRDefault="00DC4F79" w:rsidP="006D3BE8">
      <w:pPr>
        <w:rPr>
          <w:rFonts w:cstheme="minorHAnsi"/>
        </w:rPr>
      </w:pPr>
      <w:bookmarkStart w:id="376" w:name="_Toc454293900"/>
      <w:bookmarkStart w:id="377" w:name="_Toc489950338"/>
      <w:bookmarkStart w:id="378" w:name="_Toc492650125"/>
      <w:bookmarkStart w:id="379" w:name="_Toc183930685"/>
      <w:r w:rsidRPr="004737C5">
        <w:rPr>
          <w:rStyle w:val="Heading2Char"/>
          <w:rFonts w:cstheme="minorHAnsi"/>
          <w:color w:val="auto"/>
          <w:sz w:val="24"/>
          <w:szCs w:val="24"/>
        </w:rPr>
        <w:t>A.</w:t>
      </w:r>
      <w:r w:rsidR="00BE71E3" w:rsidRPr="004737C5">
        <w:rPr>
          <w:rStyle w:val="Heading2Char"/>
          <w:rFonts w:cstheme="minorHAnsi"/>
          <w:color w:val="auto"/>
          <w:sz w:val="24"/>
          <w:szCs w:val="24"/>
        </w:rPr>
        <w:t xml:space="preserve"> Public utilities in the United Nations Guidelines for Consumer Protection</w:t>
      </w:r>
      <w:bookmarkEnd w:id="376"/>
      <w:bookmarkEnd w:id="377"/>
      <w:bookmarkEnd w:id="378"/>
      <w:r w:rsidR="00BE71E3" w:rsidRPr="004737C5">
        <w:rPr>
          <w:rStyle w:val="Heading2Char"/>
          <w:rFonts w:cstheme="minorHAnsi"/>
          <w:color w:val="auto"/>
          <w:sz w:val="24"/>
          <w:szCs w:val="24"/>
        </w:rPr>
        <w:tab/>
      </w:r>
    </w:p>
    <w:p w14:paraId="3D7BE16F" w14:textId="689C702C" w:rsidR="00BE71E3" w:rsidRPr="004737C5" w:rsidRDefault="00BE71E3" w:rsidP="006D3BE8">
      <w:pPr>
        <w:rPr>
          <w:rFonts w:cstheme="minorHAnsi"/>
        </w:rPr>
      </w:pPr>
      <w:r w:rsidRPr="004737C5">
        <w:rPr>
          <w:rFonts w:cstheme="minorHAnsi"/>
        </w:rPr>
        <w:t xml:space="preserve">The revised UNGCP represent a breakthrough in this very important field </w:t>
      </w:r>
      <w:r w:rsidR="00DC4F79" w:rsidRPr="004737C5">
        <w:rPr>
          <w:rFonts w:cstheme="minorHAnsi"/>
        </w:rPr>
        <w:t>as</w:t>
      </w:r>
      <w:r w:rsidRPr="004737C5">
        <w:rPr>
          <w:rFonts w:cstheme="minorHAnsi"/>
        </w:rPr>
        <w:t xml:space="preserve"> they put into place a new</w:t>
      </w:r>
      <w:r w:rsidR="00DC4F79" w:rsidRPr="004737C5">
        <w:rPr>
          <w:rFonts w:cstheme="minorHAnsi"/>
        </w:rPr>
        <w:t xml:space="preserve"> “legitimate need” in guideline 5a: “</w:t>
      </w:r>
      <w:r w:rsidR="00DC4F79" w:rsidRPr="004737C5">
        <w:rPr>
          <w:rFonts w:cstheme="minorHAnsi"/>
          <w:bCs/>
        </w:rPr>
        <w:t>a</w:t>
      </w:r>
      <w:r w:rsidRPr="004737C5">
        <w:rPr>
          <w:rFonts w:cstheme="minorHAnsi"/>
          <w:bCs/>
        </w:rPr>
        <w:t>ccess by consumers to essential goods and services</w:t>
      </w:r>
      <w:r w:rsidR="00DC4F79" w:rsidRPr="004737C5">
        <w:rPr>
          <w:rFonts w:cstheme="minorHAnsi"/>
          <w:bCs/>
        </w:rPr>
        <w:t>”, immediately followed in 5b by “</w:t>
      </w:r>
      <w:r w:rsidRPr="004737C5">
        <w:rPr>
          <w:rFonts w:cstheme="minorHAnsi"/>
          <w:bCs/>
        </w:rPr>
        <w:t>the protection of vulnerable and disadvantaged consumers</w:t>
      </w:r>
      <w:r w:rsidR="00DC4F79" w:rsidRPr="004737C5">
        <w:rPr>
          <w:rFonts w:cstheme="minorHAnsi"/>
          <w:bCs/>
        </w:rPr>
        <w:t>”.</w:t>
      </w:r>
      <w:r w:rsidRPr="004737C5">
        <w:rPr>
          <w:rFonts w:cstheme="minorHAnsi"/>
          <w:bCs/>
        </w:rPr>
        <w:t xml:space="preserve"> Of equal relevance to utilities is that</w:t>
      </w:r>
      <w:r w:rsidR="00DC4F79" w:rsidRPr="004737C5">
        <w:rPr>
          <w:rFonts w:cstheme="minorHAnsi"/>
          <w:bCs/>
        </w:rPr>
        <w:t>,</w:t>
      </w:r>
      <w:r w:rsidRPr="004737C5">
        <w:rPr>
          <w:rFonts w:cstheme="minorHAnsi"/>
          <w:bCs/>
        </w:rPr>
        <w:t xml:space="preserve"> for the first time, the UNGCP app</w:t>
      </w:r>
      <w:r w:rsidR="00DC4F79" w:rsidRPr="004737C5">
        <w:rPr>
          <w:rFonts w:cstheme="minorHAnsi"/>
          <w:bCs/>
        </w:rPr>
        <w:t>ly</w:t>
      </w:r>
      <w:r w:rsidRPr="004737C5">
        <w:rPr>
          <w:rFonts w:cstheme="minorHAnsi"/>
          <w:bCs/>
        </w:rPr>
        <w:t xml:space="preserve"> </w:t>
      </w:r>
      <w:r w:rsidR="00DC4F79" w:rsidRPr="004737C5">
        <w:rPr>
          <w:rFonts w:cstheme="minorHAnsi"/>
          <w:bCs/>
        </w:rPr>
        <w:t>to “s</w:t>
      </w:r>
      <w:r w:rsidRPr="004737C5">
        <w:rPr>
          <w:rFonts w:cstheme="minorHAnsi"/>
          <w:bCs/>
        </w:rPr>
        <w:t>tate-owned enterprises</w:t>
      </w:r>
      <w:r w:rsidR="00DC4F79" w:rsidRPr="004737C5">
        <w:rPr>
          <w:rFonts w:cstheme="minorHAnsi"/>
          <w:bCs/>
        </w:rPr>
        <w:t>” (guideline 2).</w:t>
      </w:r>
      <w:r w:rsidR="00426BC0" w:rsidRPr="004737C5">
        <w:rPr>
          <w:rFonts w:cstheme="minorHAnsi"/>
          <w:bCs/>
        </w:rPr>
        <w:t xml:space="preserve"> Section V.E on </w:t>
      </w:r>
      <w:r w:rsidRPr="004737C5">
        <w:rPr>
          <w:rFonts w:cstheme="minorHAnsi"/>
          <w:bCs/>
        </w:rPr>
        <w:t>distribution facilities for essential consumer goods and services is a</w:t>
      </w:r>
      <w:r w:rsidR="00DC4F79" w:rsidRPr="004737C5">
        <w:rPr>
          <w:rFonts w:cstheme="minorHAnsi"/>
          <w:bCs/>
        </w:rPr>
        <w:t>lso applicable and notable for guideline 36b’s encouragement of “</w:t>
      </w:r>
      <w:r w:rsidRPr="004737C5">
        <w:rPr>
          <w:rFonts w:cstheme="minorHAnsi"/>
        </w:rPr>
        <w:t>t</w:t>
      </w:r>
      <w:r w:rsidR="00DC4F79" w:rsidRPr="004737C5">
        <w:rPr>
          <w:rFonts w:cstheme="minorHAnsi"/>
        </w:rPr>
        <w:t>he establishment of consumer co</w:t>
      </w:r>
      <w:r w:rsidRPr="004737C5">
        <w:rPr>
          <w:rFonts w:cstheme="minorHAnsi"/>
        </w:rPr>
        <w:t>operatives and related trading activities, as well as information about t</w:t>
      </w:r>
      <w:r w:rsidR="00DC4F79" w:rsidRPr="004737C5">
        <w:rPr>
          <w:rFonts w:cstheme="minorHAnsi"/>
        </w:rPr>
        <w:t>hem, especially in rural areas”.</w:t>
      </w:r>
      <w:r w:rsidRPr="004737C5">
        <w:rPr>
          <w:rFonts w:cstheme="minorHAnsi"/>
        </w:rPr>
        <w:t xml:space="preserve"> Also relevant is the reference in the resolution to the Millennium Development Goals (MDGs) and Sustainable Development Goals (SDGs), the latter having just been agreed at the time of adoption of the new UNGCP.  </w:t>
      </w:r>
    </w:p>
    <w:p w14:paraId="54842F59" w14:textId="7BABFB4E" w:rsidR="00BE71E3" w:rsidRPr="004737C5" w:rsidRDefault="00BE71E3" w:rsidP="006D3BE8">
      <w:pPr>
        <w:rPr>
          <w:rFonts w:eastAsiaTheme="minorEastAsia" w:cstheme="minorHAnsi"/>
        </w:rPr>
      </w:pPr>
      <w:r w:rsidRPr="004737C5">
        <w:rPr>
          <w:rFonts w:cstheme="minorHAnsi"/>
        </w:rPr>
        <w:t>The most directly applicable section is V.</w:t>
      </w:r>
      <w:r w:rsidR="00291489" w:rsidRPr="004737C5">
        <w:rPr>
          <w:rFonts w:cstheme="minorHAnsi"/>
          <w:bCs/>
        </w:rPr>
        <w:t>K,</w:t>
      </w:r>
      <w:r w:rsidR="00DC4F79" w:rsidRPr="004737C5">
        <w:rPr>
          <w:rFonts w:cstheme="minorHAnsi"/>
          <w:bCs/>
        </w:rPr>
        <w:t xml:space="preserve"> “</w:t>
      </w:r>
      <w:r w:rsidR="00291489" w:rsidRPr="004737C5">
        <w:rPr>
          <w:rFonts w:cstheme="minorHAnsi"/>
          <w:bCs/>
        </w:rPr>
        <w:t>m</w:t>
      </w:r>
      <w:r w:rsidRPr="004737C5">
        <w:rPr>
          <w:rFonts w:cstheme="minorHAnsi"/>
          <w:bCs/>
        </w:rPr>
        <w:t>eas</w:t>
      </w:r>
      <w:r w:rsidR="00DC4F79" w:rsidRPr="004737C5">
        <w:rPr>
          <w:rFonts w:cstheme="minorHAnsi"/>
          <w:bCs/>
        </w:rPr>
        <w:t>ures relating to specific areas”</w:t>
      </w:r>
      <w:r w:rsidR="00291489" w:rsidRPr="004737C5">
        <w:rPr>
          <w:rFonts w:cstheme="minorHAnsi"/>
          <w:bCs/>
        </w:rPr>
        <w:t>,</w:t>
      </w:r>
      <w:r w:rsidR="00DC4F79" w:rsidRPr="004737C5">
        <w:rPr>
          <w:rFonts w:cstheme="minorHAnsi"/>
          <w:bCs/>
        </w:rPr>
        <w:t xml:space="preserve"> in which guideline 69 exhorts Member States to “</w:t>
      </w:r>
      <w:r w:rsidRPr="004737C5">
        <w:rPr>
          <w:rFonts w:cstheme="minorHAnsi"/>
        </w:rPr>
        <w:t xml:space="preserve">give priority to areas of essential concern for the health of the consumer, such as (among others) water, </w:t>
      </w:r>
      <w:r w:rsidRPr="004737C5">
        <w:rPr>
          <w:rFonts w:cstheme="minorHAnsi"/>
          <w:bCs/>
        </w:rPr>
        <w:t>energy, and public utilities</w:t>
      </w:r>
      <w:r w:rsidR="00DC4F79" w:rsidRPr="004737C5">
        <w:rPr>
          <w:rFonts w:cstheme="minorHAnsi"/>
          <w:bCs/>
        </w:rPr>
        <w:t>”.</w:t>
      </w:r>
      <w:r w:rsidRPr="004737C5">
        <w:rPr>
          <w:rFonts w:cstheme="minorHAnsi"/>
          <w:bCs/>
        </w:rPr>
        <w:t xml:space="preserve"> Gui</w:t>
      </w:r>
      <w:r w:rsidR="00DC4F79" w:rsidRPr="004737C5">
        <w:rPr>
          <w:rFonts w:cstheme="minorHAnsi"/>
          <w:bCs/>
        </w:rPr>
        <w:t>deline 72 asks Member States to “</w:t>
      </w:r>
      <w:r w:rsidRPr="004737C5">
        <w:rPr>
          <w:rFonts w:cstheme="minorHAnsi"/>
        </w:rPr>
        <w:t>formulate, maintain or strengthen national policies to improve the supply, distribution and quality of water for drinking. Due regard should be paid to the choice of appropriate levels of service, quality and technology, the need for education programmes and the importance of community participation</w:t>
      </w:r>
      <w:r w:rsidR="00DC4F79" w:rsidRPr="004737C5">
        <w:rPr>
          <w:rFonts w:cstheme="minorHAnsi"/>
        </w:rPr>
        <w:t>”.</w:t>
      </w:r>
      <w:r w:rsidRPr="004737C5">
        <w:rPr>
          <w:rFonts w:cstheme="minorHAnsi"/>
        </w:rPr>
        <w:t xml:space="preserve"> The continued absence of a commitment to sanitation is frustrating for advocates of this neglected sector, although there is a now obsolete reference to the </w:t>
      </w:r>
      <w:r w:rsidRPr="004737C5">
        <w:rPr>
          <w:rFonts w:eastAsiaTheme="minorEastAsia" w:cstheme="minorHAnsi"/>
        </w:rPr>
        <w:t>International Drinking Water Supply and Sanitation Decade which can serve as a marker</w:t>
      </w:r>
      <w:r w:rsidR="00426BC0" w:rsidRPr="004737C5">
        <w:rPr>
          <w:rFonts w:eastAsiaTheme="minorEastAsia" w:cstheme="minorHAnsi"/>
        </w:rPr>
        <w:t>. S</w:t>
      </w:r>
      <w:r w:rsidRPr="004737C5">
        <w:rPr>
          <w:rFonts w:eastAsiaTheme="minorEastAsia" w:cstheme="minorHAnsi"/>
        </w:rPr>
        <w:t>anitation is</w:t>
      </w:r>
      <w:r w:rsidR="00DC4F79" w:rsidRPr="004737C5">
        <w:rPr>
          <w:rFonts w:eastAsiaTheme="minorEastAsia" w:cstheme="minorHAnsi"/>
        </w:rPr>
        <w:t xml:space="preserve"> also</w:t>
      </w:r>
      <w:r w:rsidRPr="004737C5">
        <w:rPr>
          <w:rFonts w:eastAsiaTheme="minorEastAsia" w:cstheme="minorHAnsi"/>
        </w:rPr>
        <w:t xml:space="preserve"> explicitly included in the SDGs. </w:t>
      </w:r>
    </w:p>
    <w:p w14:paraId="6E1942DE" w14:textId="77777777" w:rsidR="00BE71E3" w:rsidRPr="004737C5" w:rsidRDefault="00BE71E3" w:rsidP="006D3BE8">
      <w:pPr>
        <w:rPr>
          <w:rFonts w:eastAsiaTheme="minorEastAsia" w:cstheme="minorHAnsi"/>
        </w:rPr>
      </w:pPr>
      <w:r w:rsidRPr="004737C5">
        <w:rPr>
          <w:rFonts w:eastAsiaTheme="minorEastAsia" w:cstheme="minorHAnsi"/>
        </w:rPr>
        <w:t xml:space="preserve">Guideline 76 advocates the promotion of </w:t>
      </w:r>
      <w:r w:rsidRPr="004737C5">
        <w:rPr>
          <w:rFonts w:cstheme="minorHAnsi"/>
          <w:bCs/>
        </w:rPr>
        <w:t>universal access to clean energy, a</w:t>
      </w:r>
      <w:r w:rsidR="00DC4F79" w:rsidRPr="004737C5">
        <w:rPr>
          <w:rFonts w:cstheme="minorHAnsi"/>
          <w:bCs/>
        </w:rPr>
        <w:t>nd Member States are asked to “</w:t>
      </w:r>
      <w:r w:rsidRPr="004737C5">
        <w:rPr>
          <w:rFonts w:cstheme="minorHAnsi"/>
          <w:bCs/>
        </w:rPr>
        <w:t>strengthen national policies to improve the supply, distribution and quality of affordable energy to consumers according to their economic circumstances</w:t>
      </w:r>
      <w:r w:rsidR="00DC4F79" w:rsidRPr="004737C5">
        <w:rPr>
          <w:rFonts w:cstheme="minorHAnsi"/>
          <w:bCs/>
        </w:rPr>
        <w:t>”.</w:t>
      </w:r>
      <w:r w:rsidRPr="004737C5">
        <w:rPr>
          <w:rFonts w:cstheme="minorHAnsi"/>
          <w:bCs/>
        </w:rPr>
        <w:t xml:space="preserve"> Guideline</w:t>
      </w:r>
      <w:r w:rsidR="00DC4F79" w:rsidRPr="004737C5">
        <w:rPr>
          <w:rFonts w:cstheme="minorHAnsi"/>
          <w:bCs/>
        </w:rPr>
        <w:t xml:space="preserve"> 77 advocates the promotion of “</w:t>
      </w:r>
      <w:r w:rsidRPr="004737C5">
        <w:rPr>
          <w:rFonts w:cstheme="minorHAnsi"/>
          <w:bCs/>
        </w:rPr>
        <w:t>universal access to public utilities</w:t>
      </w:r>
      <w:r w:rsidR="00DC4F79" w:rsidRPr="004737C5">
        <w:rPr>
          <w:rFonts w:cstheme="minorHAnsi"/>
          <w:bCs/>
        </w:rPr>
        <w:t>”,</w:t>
      </w:r>
      <w:r w:rsidRPr="004737C5">
        <w:rPr>
          <w:rFonts w:cstheme="minorHAnsi"/>
          <w:bCs/>
        </w:rPr>
        <w:t xml:space="preserve"> plus the incorporation of many elements of cu</w:t>
      </w:r>
      <w:r w:rsidR="00DC4F79" w:rsidRPr="004737C5">
        <w:rPr>
          <w:rFonts w:cstheme="minorHAnsi"/>
          <w:bCs/>
        </w:rPr>
        <w:t>stomer relations. It refers to “late payment fees”</w:t>
      </w:r>
      <w:r w:rsidRPr="004737C5">
        <w:rPr>
          <w:rFonts w:cstheme="minorHAnsi"/>
          <w:bCs/>
        </w:rPr>
        <w:t xml:space="preserve"> by consumers but contains no evident measure for compensation for non-service (such as interrupted service) by utilities, which is a major problem wor</w:t>
      </w:r>
      <w:r w:rsidR="00DC4F79" w:rsidRPr="004737C5">
        <w:rPr>
          <w:rFonts w:cstheme="minorHAnsi"/>
          <w:bCs/>
        </w:rPr>
        <w:t>ld</w:t>
      </w:r>
      <w:r w:rsidRPr="004737C5">
        <w:rPr>
          <w:rFonts w:cstheme="minorHAnsi"/>
          <w:bCs/>
        </w:rPr>
        <w:t xml:space="preserve">wide. </w:t>
      </w:r>
    </w:p>
    <w:p w14:paraId="5A27412C" w14:textId="77777777" w:rsidR="00BE71E3" w:rsidRPr="004737C5" w:rsidRDefault="00DC4F79" w:rsidP="00426BC0">
      <w:pPr>
        <w:pStyle w:val="Heading2"/>
        <w:spacing w:after="160"/>
        <w:rPr>
          <w:rFonts w:cstheme="minorHAnsi"/>
          <w:color w:val="auto"/>
          <w:sz w:val="24"/>
          <w:szCs w:val="24"/>
        </w:rPr>
      </w:pPr>
      <w:bookmarkStart w:id="380" w:name="_Toc183930686"/>
      <w:bookmarkStart w:id="381" w:name="_Toc454293901"/>
      <w:bookmarkStart w:id="382" w:name="_Toc489950339"/>
      <w:bookmarkStart w:id="383" w:name="_Toc492650126"/>
      <w:bookmarkEnd w:id="379"/>
      <w:r w:rsidRPr="004737C5">
        <w:rPr>
          <w:rFonts w:cstheme="minorHAnsi"/>
          <w:color w:val="auto"/>
          <w:sz w:val="24"/>
          <w:szCs w:val="24"/>
        </w:rPr>
        <w:t>B.</w:t>
      </w:r>
      <w:r w:rsidR="00BE71E3" w:rsidRPr="004737C5">
        <w:rPr>
          <w:rFonts w:cstheme="minorHAnsi"/>
          <w:color w:val="auto"/>
          <w:sz w:val="24"/>
          <w:szCs w:val="24"/>
        </w:rPr>
        <w:t xml:space="preserve"> The nature of utilities provision</w:t>
      </w:r>
      <w:bookmarkEnd w:id="380"/>
      <w:bookmarkEnd w:id="381"/>
      <w:bookmarkEnd w:id="382"/>
      <w:bookmarkEnd w:id="383"/>
    </w:p>
    <w:p w14:paraId="2EFC1F02" w14:textId="2362064F" w:rsidR="00BE71E3" w:rsidRPr="004737C5" w:rsidRDefault="00BE71E3" w:rsidP="006D3BE8">
      <w:pPr>
        <w:rPr>
          <w:rFonts w:cstheme="minorHAnsi"/>
        </w:rPr>
      </w:pPr>
      <w:r w:rsidRPr="004737C5">
        <w:rPr>
          <w:rFonts w:cstheme="minorHAnsi"/>
        </w:rPr>
        <w:t>Article 21 of the Universal Declaration of Human Rights state</w:t>
      </w:r>
      <w:r w:rsidR="00426BC0" w:rsidRPr="004737C5">
        <w:rPr>
          <w:rFonts w:cstheme="minorHAnsi"/>
        </w:rPr>
        <w:t>s that everyone has the right to</w:t>
      </w:r>
      <w:r w:rsidRPr="004737C5">
        <w:rPr>
          <w:rFonts w:cstheme="minorHAnsi"/>
        </w:rPr>
        <w:t xml:space="preserve"> equal access to public service. The United Nations General Assembly proclaims this as a common standard of achievement for </w:t>
      </w:r>
      <w:r w:rsidR="00426BC0" w:rsidRPr="004737C5">
        <w:rPr>
          <w:rFonts w:cstheme="minorHAnsi"/>
        </w:rPr>
        <w:t>all peoples and all nations, which</w:t>
      </w:r>
      <w:r w:rsidRPr="004737C5">
        <w:rPr>
          <w:rFonts w:cstheme="minorHAnsi"/>
        </w:rPr>
        <w:t xml:space="preserve"> must be observed by all. Unfortunately though, this is not what is happening around the world and the definition of public service is far less clear than hitherto. </w:t>
      </w:r>
    </w:p>
    <w:p w14:paraId="193E6A64" w14:textId="43DCEC5E" w:rsidR="00BE71E3" w:rsidRPr="004737C5" w:rsidRDefault="00BE71E3" w:rsidP="006D3BE8">
      <w:pPr>
        <w:rPr>
          <w:rFonts w:cstheme="minorHAnsi"/>
        </w:rPr>
      </w:pPr>
      <w:r w:rsidRPr="004737C5">
        <w:rPr>
          <w:rFonts w:cstheme="minorHAnsi"/>
        </w:rPr>
        <w:t>The conventionally defined utility industries, i.e. suppliers of water, sanitation, energy and communication services, among other</w:t>
      </w:r>
      <w:r w:rsidR="00426BC0" w:rsidRPr="004737C5">
        <w:rPr>
          <w:rFonts w:cstheme="minorHAnsi"/>
        </w:rPr>
        <w:t>s, present special challenges for</w:t>
      </w:r>
      <w:r w:rsidRPr="004737C5">
        <w:rPr>
          <w:rFonts w:cstheme="minorHAnsi"/>
        </w:rPr>
        <w:t xml:space="preserve"> consumer protection. Not only do these industries provide very basic and essential ser</w:t>
      </w:r>
      <w:r w:rsidR="00426BC0" w:rsidRPr="004737C5">
        <w:rPr>
          <w:rFonts w:cstheme="minorHAnsi"/>
        </w:rPr>
        <w:t>vices, but they also have particul</w:t>
      </w:r>
      <w:r w:rsidRPr="004737C5">
        <w:rPr>
          <w:rFonts w:cstheme="minorHAnsi"/>
        </w:rPr>
        <w:t>ar economic characteristics that often make it difficult to open their services up for competition. There have been attempts within the Euro</w:t>
      </w:r>
      <w:r w:rsidR="00F97A3C" w:rsidRPr="004737C5">
        <w:rPr>
          <w:rFonts w:cstheme="minorHAnsi"/>
        </w:rPr>
        <w:t>pean Union to redefine them as “services of general economic i</w:t>
      </w:r>
      <w:r w:rsidRPr="004737C5">
        <w:rPr>
          <w:rFonts w:cstheme="minorHAnsi"/>
        </w:rPr>
        <w:t>nterest</w:t>
      </w:r>
      <w:r w:rsidR="00F97A3C" w:rsidRPr="004737C5">
        <w:rPr>
          <w:rFonts w:cstheme="minorHAnsi"/>
        </w:rPr>
        <w:t>” (SGEI</w:t>
      </w:r>
      <w:r w:rsidRPr="004737C5">
        <w:rPr>
          <w:rFonts w:cstheme="minorHAnsi"/>
        </w:rPr>
        <w:t>) characterized by identifiable public policy goals, such as uni</w:t>
      </w:r>
      <w:r w:rsidR="00F97A3C" w:rsidRPr="004737C5">
        <w:rPr>
          <w:rFonts w:cstheme="minorHAnsi"/>
        </w:rPr>
        <w:t>versal service, leaving member states to specify the</w:t>
      </w:r>
      <w:r w:rsidRPr="004737C5">
        <w:rPr>
          <w:rFonts w:cstheme="minorHAnsi"/>
        </w:rPr>
        <w:t xml:space="preserve"> services included in the definition. </w:t>
      </w:r>
    </w:p>
    <w:p w14:paraId="0A844FEE" w14:textId="76ED1F71" w:rsidR="00F97A3C" w:rsidRPr="004737C5" w:rsidRDefault="00426BC0" w:rsidP="006D3BE8">
      <w:pPr>
        <w:rPr>
          <w:rFonts w:cstheme="minorHAnsi"/>
        </w:rPr>
      </w:pPr>
      <w:r w:rsidRPr="004737C5">
        <w:rPr>
          <w:rFonts w:cstheme="minorHAnsi"/>
        </w:rPr>
        <w:t>The European Union approach</w:t>
      </w:r>
      <w:r w:rsidR="00BE71E3" w:rsidRPr="004737C5">
        <w:rPr>
          <w:rFonts w:cstheme="minorHAnsi"/>
        </w:rPr>
        <w:t xml:space="preserve"> is that SGEIs are subject to duties other than purely commercial ones</w:t>
      </w:r>
      <w:r w:rsidR="00F97A3C" w:rsidRPr="004737C5">
        <w:rPr>
          <w:rFonts w:cstheme="minorHAnsi"/>
        </w:rPr>
        <w:t>,</w:t>
      </w:r>
      <w:r w:rsidR="00BE71E3" w:rsidRPr="004737C5">
        <w:rPr>
          <w:rFonts w:cstheme="minorHAnsi"/>
        </w:rPr>
        <w:t xml:space="preserve"> even though they may be run with a substantial commercial element and usually in return for payment. Such duties are summed up by the concept</w:t>
      </w:r>
      <w:r w:rsidR="00F97A3C" w:rsidRPr="004737C5">
        <w:rPr>
          <w:rFonts w:cstheme="minorHAnsi"/>
        </w:rPr>
        <w:t xml:space="preserve"> of public service obligations.</w:t>
      </w:r>
      <w:r w:rsidR="00BE71E3" w:rsidRPr="004737C5">
        <w:rPr>
          <w:rFonts w:cstheme="minorHAnsi"/>
        </w:rPr>
        <w:t xml:space="preserve"> A European Commission Eurostat </w:t>
      </w:r>
      <w:r w:rsidR="00F97A3C" w:rsidRPr="004737C5">
        <w:rPr>
          <w:rFonts w:cstheme="minorHAnsi"/>
        </w:rPr>
        <w:t xml:space="preserve">publication explained in 2007: </w:t>
      </w:r>
    </w:p>
    <w:p w14:paraId="10FB0986" w14:textId="77777777" w:rsidR="00F97A3C" w:rsidRPr="004737C5" w:rsidRDefault="00BE71E3" w:rsidP="00F97A3C">
      <w:pPr>
        <w:ind w:left="567" w:right="567"/>
        <w:rPr>
          <w:rFonts w:cstheme="minorHAnsi"/>
        </w:rPr>
      </w:pPr>
      <w:r w:rsidRPr="004737C5">
        <w:rPr>
          <w:rFonts w:cstheme="minorHAnsi"/>
        </w:rPr>
        <w:lastRenderedPageBreak/>
        <w:t>SGEIs can be defined as collective or social goods in the sense that they are differen</w:t>
      </w:r>
      <w:r w:rsidR="00F97A3C" w:rsidRPr="004737C5">
        <w:rPr>
          <w:rFonts w:cstheme="minorHAnsi"/>
        </w:rPr>
        <w:t>t from ordinary services …</w:t>
      </w:r>
      <w:r w:rsidRPr="004737C5">
        <w:rPr>
          <w:rFonts w:cstheme="minorHAnsi"/>
        </w:rPr>
        <w:t xml:space="preserve"> Public authorities can lay down a number of specific obligations for the provider. The fulfilment of these obligations may trigger the granting of special or exclusive rights, or the provision for specific funding mechanisms. The classic case is the universal service obligation i.e. the obligation to provide a certain service throughout the territory at affordable tariffs and on similar quality conditions, irrespective of the profitab</w:t>
      </w:r>
      <w:r w:rsidR="00F97A3C" w:rsidRPr="004737C5">
        <w:rPr>
          <w:rFonts w:cstheme="minorHAnsi"/>
        </w:rPr>
        <w:t>ility of individual operations.</w:t>
      </w:r>
      <w:r w:rsidRPr="004737C5">
        <w:rPr>
          <w:rStyle w:val="FootnoteReference"/>
          <w:rFonts w:cstheme="minorHAnsi"/>
        </w:rPr>
        <w:footnoteReference w:id="315"/>
      </w:r>
      <w:r w:rsidRPr="004737C5">
        <w:rPr>
          <w:rFonts w:cstheme="minorHAnsi"/>
        </w:rPr>
        <w:t xml:space="preserve">  </w:t>
      </w:r>
    </w:p>
    <w:p w14:paraId="09A905AB" w14:textId="77777777" w:rsidR="00BE71E3" w:rsidRPr="004737C5" w:rsidRDefault="00BE71E3" w:rsidP="006D3BE8">
      <w:pPr>
        <w:rPr>
          <w:rFonts w:cstheme="minorHAnsi"/>
        </w:rPr>
      </w:pPr>
      <w:r w:rsidRPr="004737C5">
        <w:rPr>
          <w:rFonts w:cstheme="minorHAnsi"/>
        </w:rPr>
        <w:t xml:space="preserve">While the SGEI nomenclature has not spread much further afield, the concept remains widely accepted. </w:t>
      </w:r>
    </w:p>
    <w:p w14:paraId="344B1623" w14:textId="77777777" w:rsidR="00BE71E3" w:rsidRPr="004737C5" w:rsidRDefault="00BE71E3" w:rsidP="006D3BE8">
      <w:pPr>
        <w:rPr>
          <w:rFonts w:cstheme="minorHAnsi"/>
        </w:rPr>
      </w:pPr>
      <w:r w:rsidRPr="004737C5">
        <w:rPr>
          <w:rFonts w:cstheme="minorHAnsi"/>
        </w:rPr>
        <w:t>Most utility industries rely on some sort of network to deliver their services. The economics of these fixed networks mean that it is cheaper for a single firm to supply an entire market than for several firms to do so. Once a distribution network is in place, it makes no economic sense to duplicate it by laying a second connectio</w:t>
      </w:r>
      <w:r w:rsidR="00F97A3C" w:rsidRPr="004737C5">
        <w:rPr>
          <w:rFonts w:cstheme="minorHAnsi"/>
        </w:rPr>
        <w:t>n between the same points. The “natural monopoly”</w:t>
      </w:r>
      <w:r w:rsidRPr="004737C5">
        <w:rPr>
          <w:rFonts w:cstheme="minorHAnsi"/>
        </w:rPr>
        <w:t xml:space="preserve"> produced by these distribution</w:t>
      </w:r>
      <w:r w:rsidR="00F97A3C" w:rsidRPr="004737C5">
        <w:rPr>
          <w:rFonts w:cstheme="minorHAnsi"/>
        </w:rPr>
        <w:t xml:space="preserve"> systems leaves consumers “tied in”</w:t>
      </w:r>
      <w:r w:rsidRPr="004737C5">
        <w:rPr>
          <w:rFonts w:cstheme="minorHAnsi"/>
        </w:rPr>
        <w:t xml:space="preserve"> to particular supply companies. </w:t>
      </w:r>
    </w:p>
    <w:p w14:paraId="3F9D0C37" w14:textId="6B8A361A" w:rsidR="00BE71E3" w:rsidRPr="004737C5" w:rsidRDefault="00BE71E3" w:rsidP="006D3BE8">
      <w:pPr>
        <w:rPr>
          <w:rFonts w:cstheme="minorHAnsi"/>
        </w:rPr>
      </w:pPr>
      <w:r w:rsidRPr="004737C5">
        <w:rPr>
          <w:rFonts w:cstheme="minorHAnsi"/>
        </w:rPr>
        <w:t>However, this assumption is less valid now than a generation ago. Many aspects of natural monopoly are dissolving and since the move of telecommunications to mobile individualized service, it has become a competitive service with fewer network effects as its relatively inexpensive capital assets can overlap in the same territo</w:t>
      </w:r>
      <w:r w:rsidR="00F97A3C" w:rsidRPr="004737C5">
        <w:rPr>
          <w:rFonts w:cstheme="minorHAnsi"/>
        </w:rPr>
        <w:t>ry. There are new issues about i</w:t>
      </w:r>
      <w:r w:rsidRPr="004737C5">
        <w:rPr>
          <w:rFonts w:cstheme="minorHAnsi"/>
        </w:rPr>
        <w:t>nternet capacity which could recreate network problems in the future</w:t>
      </w:r>
      <w:r w:rsidR="00844AD0" w:rsidRPr="004737C5">
        <w:rPr>
          <w:rFonts w:cstheme="minorHAnsi"/>
        </w:rPr>
        <w:t>,</w:t>
      </w:r>
      <w:r w:rsidRPr="004737C5">
        <w:rPr>
          <w:rFonts w:cstheme="minorHAnsi"/>
        </w:rPr>
        <w:t xml:space="preserve"> and there remain issues of spectrum availability which are not explored here. But for most purposes</w:t>
      </w:r>
      <w:r w:rsidR="00844AD0" w:rsidRPr="004737C5">
        <w:rPr>
          <w:rFonts w:cstheme="minorHAnsi"/>
        </w:rPr>
        <w:t>,</w:t>
      </w:r>
      <w:r w:rsidRPr="004737C5">
        <w:rPr>
          <w:rFonts w:cstheme="minorHAnsi"/>
        </w:rPr>
        <w:t xml:space="preserve"> telephone services are competitive and subject to individual contracts </w:t>
      </w:r>
      <w:r w:rsidR="00F97A3C" w:rsidRPr="004737C5">
        <w:rPr>
          <w:rFonts w:cstheme="minorHAnsi"/>
        </w:rPr>
        <w:t>which require supervision of a “fair trading”</w:t>
      </w:r>
      <w:r w:rsidRPr="004737C5">
        <w:rPr>
          <w:rFonts w:cstheme="minorHAnsi"/>
        </w:rPr>
        <w:t xml:space="preserve"> nature, checking for transparency, unfair contract terms and anti-competi</w:t>
      </w:r>
      <w:r w:rsidR="00F97A3C" w:rsidRPr="004737C5">
        <w:rPr>
          <w:rFonts w:cstheme="minorHAnsi"/>
        </w:rPr>
        <w:t>tive practices such as “lock in”</w:t>
      </w:r>
      <w:r w:rsidRPr="004737C5">
        <w:rPr>
          <w:rFonts w:cstheme="minorHAnsi"/>
        </w:rPr>
        <w:t xml:space="preserve"> contracts. Given the above, in this chapter we concentrate on water/sanitation and electricity. </w:t>
      </w:r>
    </w:p>
    <w:p w14:paraId="06EA691C" w14:textId="77777777" w:rsidR="00BE71E3" w:rsidRPr="004737C5" w:rsidRDefault="00F97A3C" w:rsidP="00844AD0">
      <w:pPr>
        <w:pStyle w:val="Heading2"/>
        <w:spacing w:after="160"/>
        <w:rPr>
          <w:rFonts w:cstheme="minorHAnsi"/>
          <w:color w:val="auto"/>
          <w:sz w:val="24"/>
          <w:szCs w:val="24"/>
        </w:rPr>
      </w:pPr>
      <w:bookmarkStart w:id="384" w:name="_Toc454293902"/>
      <w:bookmarkStart w:id="385" w:name="_Toc489950340"/>
      <w:bookmarkStart w:id="386" w:name="_Toc492650127"/>
      <w:r w:rsidRPr="004737C5">
        <w:rPr>
          <w:rFonts w:cstheme="minorHAnsi"/>
          <w:color w:val="auto"/>
          <w:sz w:val="24"/>
          <w:szCs w:val="24"/>
        </w:rPr>
        <w:t>C.</w:t>
      </w:r>
      <w:r w:rsidR="00BE71E3" w:rsidRPr="004737C5">
        <w:rPr>
          <w:rFonts w:cstheme="minorHAnsi"/>
          <w:color w:val="auto"/>
          <w:sz w:val="24"/>
          <w:szCs w:val="24"/>
        </w:rPr>
        <w:t xml:space="preserve"> Regulation</w:t>
      </w:r>
      <w:bookmarkEnd w:id="384"/>
      <w:bookmarkEnd w:id="385"/>
      <w:bookmarkEnd w:id="386"/>
    </w:p>
    <w:p w14:paraId="69CF0374" w14:textId="2ACF131B" w:rsidR="00BE71E3" w:rsidRPr="004737C5" w:rsidRDefault="00BE71E3" w:rsidP="006D3BE8">
      <w:pPr>
        <w:rPr>
          <w:rFonts w:cstheme="minorHAnsi"/>
          <w:b/>
          <w:color w:val="FF0000"/>
        </w:rPr>
      </w:pPr>
      <w:r w:rsidRPr="004737C5">
        <w:rPr>
          <w:rFonts w:cstheme="minorHAnsi"/>
        </w:rPr>
        <w:t>As natural monopolies were initially recognized as inevitable, many public policies concen</w:t>
      </w:r>
      <w:r w:rsidR="00F97A3C" w:rsidRPr="004737C5">
        <w:rPr>
          <w:rFonts w:cstheme="minorHAnsi"/>
        </w:rPr>
        <w:t>trated on formaliz</w:t>
      </w:r>
      <w:r w:rsidRPr="004737C5">
        <w:rPr>
          <w:rFonts w:cstheme="minorHAnsi"/>
        </w:rPr>
        <w:t xml:space="preserve">ing and regulating </w:t>
      </w:r>
      <w:r w:rsidR="00F97A3C" w:rsidRPr="004737C5">
        <w:rPr>
          <w:rFonts w:cstheme="minorHAnsi"/>
        </w:rPr>
        <w:t>monopolies through g</w:t>
      </w:r>
      <w:r w:rsidRPr="004737C5">
        <w:rPr>
          <w:rFonts w:cstheme="minorHAnsi"/>
        </w:rPr>
        <w:t xml:space="preserve">overnment control of profits, prices and other aspects of supply. </w:t>
      </w:r>
      <w:r w:rsidR="00F97A3C" w:rsidRPr="004737C5">
        <w:rPr>
          <w:rFonts w:cstheme="minorHAnsi"/>
        </w:rPr>
        <w:t>This is sometimes known as the “regulatory bargain”.</w:t>
      </w:r>
      <w:r w:rsidRPr="004737C5">
        <w:rPr>
          <w:rFonts w:cstheme="minorHAnsi"/>
        </w:rPr>
        <w:t xml:space="preserve"> </w:t>
      </w:r>
      <w:r w:rsidR="00F97A3C" w:rsidRPr="004737C5">
        <w:rPr>
          <w:rFonts w:cstheme="minorHAnsi"/>
        </w:rPr>
        <w:t>A</w:t>
      </w:r>
      <w:r w:rsidRPr="004737C5">
        <w:rPr>
          <w:rFonts w:cstheme="minorHAnsi"/>
        </w:rPr>
        <w:t xml:space="preserve">n effective rate cap is seen as balancing the need for affordable prices with the requirement for cost recovery and revenue. If the two goals cannot be reconciled, then </w:t>
      </w:r>
      <w:r w:rsidR="00844AD0" w:rsidRPr="004737C5">
        <w:rPr>
          <w:rFonts w:cstheme="minorHAnsi"/>
        </w:rPr>
        <w:t>a subsidy may come into operation</w:t>
      </w:r>
      <w:r w:rsidRPr="004737C5">
        <w:rPr>
          <w:rFonts w:cstheme="minorHAnsi"/>
        </w:rPr>
        <w:t xml:space="preserve"> in order to achieve specific objectives such as universal service. Regulation has take</w:t>
      </w:r>
      <w:r w:rsidR="004F6F7F" w:rsidRPr="004737C5">
        <w:rPr>
          <w:rFonts w:cstheme="minorHAnsi"/>
        </w:rPr>
        <w:t xml:space="preserve">n different forms with publicly </w:t>
      </w:r>
      <w:r w:rsidRPr="004737C5">
        <w:rPr>
          <w:rFonts w:cstheme="minorHAnsi"/>
        </w:rPr>
        <w:t xml:space="preserve">owned utilities often the least regulated in legal terms, but with more direct governmental control. </w:t>
      </w:r>
    </w:p>
    <w:p w14:paraId="45C46064" w14:textId="77777777" w:rsidR="00BE71E3" w:rsidRPr="004737C5" w:rsidRDefault="00BE71E3" w:rsidP="006D3BE8">
      <w:pPr>
        <w:rPr>
          <w:rFonts w:cstheme="minorHAnsi"/>
        </w:rPr>
      </w:pPr>
      <w:r w:rsidRPr="004737C5">
        <w:rPr>
          <w:rFonts w:cstheme="minorHAnsi"/>
        </w:rPr>
        <w:t>There are broadly four regulatory</w:t>
      </w:r>
      <w:r w:rsidR="004F6F7F" w:rsidRPr="004737C5">
        <w:rPr>
          <w:rFonts w:cstheme="minorHAnsi"/>
        </w:rPr>
        <w:t xml:space="preserve"> models identified by Eberhard:</w:t>
      </w:r>
      <w:r w:rsidRPr="004737C5">
        <w:rPr>
          <w:rStyle w:val="FootnoteReference"/>
          <w:rFonts w:eastAsiaTheme="majorEastAsia" w:cstheme="minorHAnsi"/>
        </w:rPr>
        <w:footnoteReference w:id="316"/>
      </w:r>
      <w:r w:rsidRPr="004737C5">
        <w:rPr>
          <w:rFonts w:cstheme="minorHAnsi"/>
        </w:rPr>
        <w:t xml:space="preserve"> </w:t>
      </w:r>
    </w:p>
    <w:p w14:paraId="19B2C1B5" w14:textId="77777777" w:rsidR="00BE71E3" w:rsidRPr="004737C5" w:rsidRDefault="004F6F7F" w:rsidP="002473E9">
      <w:pPr>
        <w:numPr>
          <w:ilvl w:val="0"/>
          <w:numId w:val="60"/>
        </w:numPr>
        <w:spacing w:after="0"/>
        <w:ind w:left="709" w:hanging="425"/>
        <w:rPr>
          <w:rFonts w:cstheme="minorHAnsi"/>
          <w:b/>
          <w:bCs/>
        </w:rPr>
      </w:pPr>
      <w:r w:rsidRPr="004737C5">
        <w:rPr>
          <w:rFonts w:cstheme="minorHAnsi"/>
          <w:b/>
          <w:bCs/>
        </w:rPr>
        <w:t>Regulation by government</w:t>
      </w:r>
      <w:r w:rsidRPr="004737C5">
        <w:rPr>
          <w:rFonts w:cstheme="minorHAnsi"/>
          <w:bCs/>
        </w:rPr>
        <w:t>.</w:t>
      </w:r>
      <w:r w:rsidR="00BE71E3" w:rsidRPr="004737C5">
        <w:rPr>
          <w:rFonts w:cstheme="minorHAnsi"/>
          <w:b/>
          <w:bCs/>
        </w:rPr>
        <w:t xml:space="preserve"> </w:t>
      </w:r>
      <w:r w:rsidRPr="004737C5">
        <w:rPr>
          <w:rFonts w:cstheme="minorHAnsi"/>
        </w:rPr>
        <w:t>A</w:t>
      </w:r>
      <w:r w:rsidR="00BE71E3" w:rsidRPr="004737C5">
        <w:rPr>
          <w:rFonts w:cstheme="minorHAnsi"/>
        </w:rPr>
        <w:t xml:space="preserve"> particular ch</w:t>
      </w:r>
      <w:r w:rsidRPr="004737C5">
        <w:rPr>
          <w:rFonts w:cstheme="minorHAnsi"/>
        </w:rPr>
        <w:t>allenge here is the ability of g</w:t>
      </w:r>
      <w:r w:rsidR="00BE71E3" w:rsidRPr="004737C5">
        <w:rPr>
          <w:rFonts w:cstheme="minorHAnsi"/>
        </w:rPr>
        <w:t>overnments to understand the costs and revenue requirements of individual utilities (necessary for economic regulation). There is an evident con</w:t>
      </w:r>
      <w:r w:rsidRPr="004737C5">
        <w:rPr>
          <w:rFonts w:cstheme="minorHAnsi"/>
        </w:rPr>
        <w:t>flict of interest presented by g</w:t>
      </w:r>
      <w:r w:rsidR="00BE71E3" w:rsidRPr="004737C5">
        <w:rPr>
          <w:rFonts w:cstheme="minorHAnsi"/>
        </w:rPr>
        <w:t>overnme</w:t>
      </w:r>
      <w:r w:rsidRPr="004737C5">
        <w:rPr>
          <w:rFonts w:cstheme="minorHAnsi"/>
        </w:rPr>
        <w:t>nts both owning and regulating state-owned utilities.</w:t>
      </w:r>
    </w:p>
    <w:p w14:paraId="79BE0D60" w14:textId="11F2C79A" w:rsidR="00BE71E3" w:rsidRPr="004737C5" w:rsidRDefault="004F6F7F" w:rsidP="002473E9">
      <w:pPr>
        <w:numPr>
          <w:ilvl w:val="0"/>
          <w:numId w:val="59"/>
        </w:numPr>
        <w:spacing w:after="0"/>
        <w:ind w:left="709" w:hanging="425"/>
        <w:rPr>
          <w:rFonts w:cstheme="minorHAnsi"/>
          <w:b/>
          <w:bCs/>
        </w:rPr>
      </w:pPr>
      <w:r w:rsidRPr="004737C5">
        <w:rPr>
          <w:rFonts w:cstheme="minorHAnsi"/>
          <w:b/>
          <w:bCs/>
        </w:rPr>
        <w:t>Independent regulation</w:t>
      </w:r>
      <w:r w:rsidRPr="004737C5">
        <w:rPr>
          <w:rFonts w:cstheme="minorHAnsi"/>
          <w:bCs/>
        </w:rPr>
        <w:t>.</w:t>
      </w:r>
      <w:r w:rsidR="00BE71E3" w:rsidRPr="004737C5">
        <w:rPr>
          <w:rFonts w:cstheme="minorHAnsi"/>
          <w:b/>
          <w:bCs/>
        </w:rPr>
        <w:t xml:space="preserve"> </w:t>
      </w:r>
      <w:r w:rsidRPr="004737C5">
        <w:rPr>
          <w:rFonts w:cstheme="minorHAnsi"/>
        </w:rPr>
        <w:t>This embodies</w:t>
      </w:r>
      <w:r w:rsidR="00BE71E3" w:rsidRPr="004737C5">
        <w:rPr>
          <w:rFonts w:cstheme="minorHAnsi"/>
        </w:rPr>
        <w:t xml:space="preserve"> principles of independence of</w:t>
      </w:r>
      <w:r w:rsidRPr="004737C5">
        <w:rPr>
          <w:rFonts w:cstheme="minorHAnsi"/>
        </w:rPr>
        <w:t xml:space="preserve"> decision-making. There are sub</w:t>
      </w:r>
      <w:r w:rsidR="00BE71E3" w:rsidRPr="004737C5">
        <w:rPr>
          <w:rFonts w:cstheme="minorHAnsi"/>
        </w:rPr>
        <w:t>variants such as</w:t>
      </w:r>
      <w:r w:rsidRPr="004737C5">
        <w:rPr>
          <w:rFonts w:cstheme="minorHAnsi"/>
        </w:rPr>
        <w:t xml:space="preserve"> price cap regulation (as in</w:t>
      </w:r>
      <w:r w:rsidR="00BE71E3" w:rsidRPr="004737C5">
        <w:rPr>
          <w:rFonts w:cstheme="minorHAnsi"/>
        </w:rPr>
        <w:t xml:space="preserve"> </w:t>
      </w:r>
      <w:r w:rsidR="00844AD0" w:rsidRPr="004737C5">
        <w:rPr>
          <w:rFonts w:cstheme="minorHAnsi"/>
        </w:rPr>
        <w:t xml:space="preserve">the </w:t>
      </w:r>
      <w:r w:rsidR="00BE71E3" w:rsidRPr="004737C5">
        <w:rPr>
          <w:rFonts w:cstheme="minorHAnsi"/>
        </w:rPr>
        <w:t>United Kingdom</w:t>
      </w:r>
      <w:r w:rsidRPr="004737C5">
        <w:rPr>
          <w:rFonts w:cstheme="minorHAnsi"/>
        </w:rPr>
        <w:t xml:space="preserve"> of Great Britain and Northern Ireland</w:t>
      </w:r>
      <w:r w:rsidR="00BE71E3" w:rsidRPr="004737C5">
        <w:rPr>
          <w:rFonts w:cstheme="minorHAnsi"/>
        </w:rPr>
        <w:t xml:space="preserve">) or rate of return regulation (as in </w:t>
      </w:r>
      <w:r w:rsidR="00844AD0" w:rsidRPr="004737C5">
        <w:rPr>
          <w:rFonts w:cstheme="minorHAnsi"/>
        </w:rPr>
        <w:t xml:space="preserve">the </w:t>
      </w:r>
      <w:r w:rsidR="00BE71E3" w:rsidRPr="004737C5">
        <w:rPr>
          <w:rFonts w:cstheme="minorHAnsi"/>
        </w:rPr>
        <w:t>United States</w:t>
      </w:r>
      <w:r w:rsidRPr="004737C5">
        <w:rPr>
          <w:rFonts w:cstheme="minorHAnsi"/>
        </w:rPr>
        <w:t xml:space="preserve"> of America</w:t>
      </w:r>
      <w:r w:rsidR="00BE71E3" w:rsidRPr="004737C5">
        <w:rPr>
          <w:rFonts w:cstheme="minorHAnsi"/>
        </w:rPr>
        <w:t>) and assumed operational pr</w:t>
      </w:r>
      <w:r w:rsidRPr="004737C5">
        <w:rPr>
          <w:rFonts w:cstheme="minorHAnsi"/>
        </w:rPr>
        <w:t xml:space="preserve">ofits </w:t>
      </w:r>
      <w:r w:rsidR="00844AD0" w:rsidRPr="004737C5">
        <w:rPr>
          <w:rFonts w:cstheme="minorHAnsi"/>
        </w:rPr>
        <w:t xml:space="preserve">(as </w:t>
      </w:r>
      <w:r w:rsidRPr="004737C5">
        <w:rPr>
          <w:rFonts w:cstheme="minorHAnsi"/>
        </w:rPr>
        <w:t>in the Russian Federation</w:t>
      </w:r>
      <w:r w:rsidR="00844AD0" w:rsidRPr="004737C5">
        <w:rPr>
          <w:rFonts w:cstheme="minorHAnsi"/>
        </w:rPr>
        <w:t>)</w:t>
      </w:r>
      <w:r w:rsidRPr="004737C5">
        <w:rPr>
          <w:rFonts w:cstheme="minorHAnsi"/>
        </w:rPr>
        <w:t>.</w:t>
      </w:r>
    </w:p>
    <w:p w14:paraId="0B1406CD" w14:textId="77777777" w:rsidR="00BE71E3" w:rsidRPr="004737C5" w:rsidRDefault="00BE71E3" w:rsidP="002473E9">
      <w:pPr>
        <w:numPr>
          <w:ilvl w:val="0"/>
          <w:numId w:val="59"/>
        </w:numPr>
        <w:spacing w:after="0"/>
        <w:ind w:left="709" w:hanging="425"/>
        <w:rPr>
          <w:rFonts w:cstheme="minorHAnsi"/>
        </w:rPr>
      </w:pPr>
      <w:r w:rsidRPr="004737C5">
        <w:rPr>
          <w:rFonts w:cstheme="minorHAnsi"/>
          <w:b/>
          <w:bCs/>
        </w:rPr>
        <w:t>Regulation by contract</w:t>
      </w:r>
      <w:r w:rsidR="004F6F7F" w:rsidRPr="004737C5">
        <w:rPr>
          <w:rFonts w:cstheme="minorHAnsi"/>
        </w:rPr>
        <w:t>, as in France.</w:t>
      </w:r>
    </w:p>
    <w:p w14:paraId="1A55A1BE" w14:textId="77777777" w:rsidR="00BE71E3" w:rsidRPr="004737C5" w:rsidRDefault="00BE71E3" w:rsidP="002473E9">
      <w:pPr>
        <w:numPr>
          <w:ilvl w:val="0"/>
          <w:numId w:val="59"/>
        </w:numPr>
        <w:ind w:left="709" w:hanging="425"/>
        <w:rPr>
          <w:rFonts w:cstheme="minorHAnsi"/>
          <w:b/>
          <w:bCs/>
        </w:rPr>
      </w:pPr>
      <w:r w:rsidRPr="004737C5">
        <w:rPr>
          <w:rFonts w:cstheme="minorHAnsi"/>
          <w:b/>
          <w:bCs/>
        </w:rPr>
        <w:lastRenderedPageBreak/>
        <w:t>Outsour</w:t>
      </w:r>
      <w:r w:rsidR="004F6F7F" w:rsidRPr="004737C5">
        <w:rPr>
          <w:rFonts w:cstheme="minorHAnsi"/>
          <w:b/>
          <w:bCs/>
        </w:rPr>
        <w:t>ced regulation to third parties</w:t>
      </w:r>
      <w:r w:rsidR="004F6F7F" w:rsidRPr="004737C5">
        <w:rPr>
          <w:rFonts w:cstheme="minorHAnsi"/>
          <w:bCs/>
        </w:rPr>
        <w:t>,</w:t>
      </w:r>
      <w:r w:rsidRPr="004737C5">
        <w:rPr>
          <w:rFonts w:cstheme="minorHAnsi"/>
          <w:b/>
          <w:bCs/>
        </w:rPr>
        <w:t xml:space="preserve"> </w:t>
      </w:r>
      <w:r w:rsidR="004F6F7F" w:rsidRPr="004737C5">
        <w:rPr>
          <w:rFonts w:cstheme="minorHAnsi"/>
        </w:rPr>
        <w:t>for example through tariff reviews, benchmarking and</w:t>
      </w:r>
      <w:r w:rsidRPr="004737C5">
        <w:rPr>
          <w:rFonts w:cstheme="minorHAnsi"/>
        </w:rPr>
        <w:t xml:space="preserve"> dispute resolution. Chile, Senegal and Romania have all applied such review mechanisms. </w:t>
      </w:r>
    </w:p>
    <w:p w14:paraId="622AC37F" w14:textId="77777777" w:rsidR="00BE71E3" w:rsidRPr="004737C5" w:rsidRDefault="00BE71E3" w:rsidP="006D3BE8">
      <w:pPr>
        <w:rPr>
          <w:rFonts w:cstheme="minorHAnsi"/>
        </w:rPr>
      </w:pPr>
      <w:r w:rsidRPr="004737C5">
        <w:rPr>
          <w:rFonts w:cstheme="minorHAnsi"/>
        </w:rPr>
        <w:t xml:space="preserve">There is however a problem of scale. Under the traditional utility model, as water and sanitation services tend to be regulated at municipal level, it is very difficult for a national agency to regulate such a large number of providers. In contrast, in electricity where the number of suppliers tends to be smaller and the territories larger, the national regulatory model has been more feasible. </w:t>
      </w:r>
    </w:p>
    <w:p w14:paraId="1D9AD84C" w14:textId="77777777" w:rsidR="00BE71E3" w:rsidRPr="004737C5" w:rsidRDefault="004F6F7F" w:rsidP="00844AD0">
      <w:pPr>
        <w:pStyle w:val="Heading2"/>
        <w:spacing w:after="160"/>
        <w:rPr>
          <w:rFonts w:cstheme="minorHAnsi"/>
          <w:sz w:val="24"/>
          <w:szCs w:val="24"/>
        </w:rPr>
      </w:pPr>
      <w:bookmarkStart w:id="387" w:name="_Toc454293903"/>
      <w:bookmarkStart w:id="388" w:name="_Toc489950341"/>
      <w:bookmarkStart w:id="389" w:name="_Toc492650128"/>
      <w:r w:rsidRPr="004737C5">
        <w:rPr>
          <w:rFonts w:cstheme="minorHAnsi"/>
          <w:color w:val="auto"/>
          <w:sz w:val="24"/>
          <w:szCs w:val="24"/>
        </w:rPr>
        <w:t>D.</w:t>
      </w:r>
      <w:r w:rsidR="00BE71E3" w:rsidRPr="004737C5">
        <w:rPr>
          <w:rFonts w:cstheme="minorHAnsi"/>
          <w:color w:val="auto"/>
          <w:sz w:val="24"/>
          <w:szCs w:val="24"/>
        </w:rPr>
        <w:t xml:space="preserve"> Ownership</w:t>
      </w:r>
      <w:bookmarkEnd w:id="387"/>
      <w:bookmarkEnd w:id="388"/>
      <w:bookmarkEnd w:id="389"/>
      <w:r w:rsidR="00BE71E3" w:rsidRPr="004737C5">
        <w:rPr>
          <w:rFonts w:cstheme="minorHAnsi"/>
          <w:color w:val="auto"/>
          <w:sz w:val="24"/>
          <w:szCs w:val="24"/>
        </w:rPr>
        <w:t xml:space="preserve"> </w:t>
      </w:r>
    </w:p>
    <w:p w14:paraId="5868AA6F" w14:textId="77777777" w:rsidR="00BE71E3" w:rsidRPr="004737C5" w:rsidRDefault="00BE71E3" w:rsidP="006D3BE8">
      <w:pPr>
        <w:rPr>
          <w:rFonts w:cstheme="minorHAnsi"/>
        </w:rPr>
      </w:pPr>
      <w:r w:rsidRPr="004737C5">
        <w:rPr>
          <w:rFonts w:cstheme="minorHAnsi"/>
        </w:rPr>
        <w:t>Public ownership of utilities providing water sanitat</w:t>
      </w:r>
      <w:r w:rsidR="004F6F7F" w:rsidRPr="004737C5">
        <w:rPr>
          <w:rFonts w:cstheme="minorHAnsi"/>
        </w:rPr>
        <w:t>ion and energy remains dominant,</w:t>
      </w:r>
      <w:r w:rsidRPr="004737C5">
        <w:rPr>
          <w:rFonts w:cstheme="minorHAnsi"/>
        </w:rPr>
        <w:t xml:space="preserve"> </w:t>
      </w:r>
      <w:r w:rsidR="004F6F7F" w:rsidRPr="004737C5">
        <w:rPr>
          <w:rFonts w:cstheme="minorHAnsi"/>
        </w:rPr>
        <w:t>y</w:t>
      </w:r>
      <w:r w:rsidRPr="004737C5">
        <w:rPr>
          <w:rFonts w:cstheme="minorHAnsi"/>
        </w:rPr>
        <w:t>et the issue of ownership is contested. There was a high level of inter</w:t>
      </w:r>
      <w:r w:rsidR="004F6F7F" w:rsidRPr="004737C5">
        <w:rPr>
          <w:rFonts w:cstheme="minorHAnsi"/>
        </w:rPr>
        <w:t>est in privatiz</w:t>
      </w:r>
      <w:r w:rsidRPr="004737C5">
        <w:rPr>
          <w:rFonts w:cstheme="minorHAnsi"/>
        </w:rPr>
        <w:t>ation at the end of the twentieth century and this was often seen at the time as unprecedented. In fact there have been private operators of utilities for many generations, as well as municipal counterparts with services at times passing between public and private control and sometimes back again in several European cities in the</w:t>
      </w:r>
      <w:r w:rsidRPr="004737C5">
        <w:rPr>
          <w:rFonts w:cstheme="minorHAnsi"/>
          <w:vertAlign w:val="superscript"/>
        </w:rPr>
        <w:t xml:space="preserve"> </w:t>
      </w:r>
      <w:r w:rsidRPr="004737C5">
        <w:rPr>
          <w:rFonts w:cstheme="minorHAnsi"/>
        </w:rPr>
        <w:t>nineteenth and twentieth centuries.</w:t>
      </w:r>
      <w:r w:rsidRPr="004737C5">
        <w:rPr>
          <w:rStyle w:val="FootnoteReference"/>
          <w:rFonts w:cstheme="minorHAnsi"/>
        </w:rPr>
        <w:footnoteReference w:id="317"/>
      </w:r>
    </w:p>
    <w:p w14:paraId="425F4176" w14:textId="77777777" w:rsidR="00BE71E3" w:rsidRPr="004737C5" w:rsidRDefault="00BE71E3" w:rsidP="00106A59">
      <w:pPr>
        <w:rPr>
          <w:rFonts w:cstheme="minorHAnsi"/>
        </w:rPr>
      </w:pPr>
      <w:r w:rsidRPr="004737C5">
        <w:rPr>
          <w:rFonts w:cstheme="minorHAnsi"/>
        </w:rPr>
        <w:t xml:space="preserve">The binary contrast of public and private can be very </w:t>
      </w:r>
      <w:r w:rsidR="004F6F7F" w:rsidRPr="004737C5">
        <w:rPr>
          <w:rFonts w:cstheme="minorHAnsi"/>
        </w:rPr>
        <w:t>misleading in countries with a</w:t>
      </w:r>
      <w:r w:rsidRPr="004737C5">
        <w:rPr>
          <w:rFonts w:cstheme="minorHAnsi"/>
        </w:rPr>
        <w:t xml:space="preserve"> tradition of regulation by contract as in France, where for example, the Compagnie Générale des Eaux was established in the 1</w:t>
      </w:r>
      <w:r w:rsidR="004F6F7F" w:rsidRPr="004737C5">
        <w:rPr>
          <w:rFonts w:cstheme="minorHAnsi"/>
        </w:rPr>
        <w:t>850s and still continues today.</w:t>
      </w:r>
      <w:r w:rsidRPr="004737C5">
        <w:rPr>
          <w:rStyle w:val="FootnoteReference"/>
          <w:rFonts w:cstheme="minorHAnsi"/>
        </w:rPr>
        <w:footnoteReference w:id="318"/>
      </w:r>
      <w:r w:rsidR="004F6F7F" w:rsidRPr="004737C5">
        <w:rPr>
          <w:rFonts w:cstheme="minorHAnsi"/>
        </w:rPr>
        <w:t xml:space="preserve"> </w:t>
      </w:r>
      <w:r w:rsidRPr="004737C5">
        <w:rPr>
          <w:rFonts w:cstheme="minorHAnsi"/>
        </w:rPr>
        <w:t>Table 1 illustrates a variety of contractual models</w:t>
      </w:r>
      <w:r w:rsidR="004F6F7F" w:rsidRPr="004737C5">
        <w:rPr>
          <w:rFonts w:cstheme="minorHAnsi"/>
        </w:rPr>
        <w:t>,</w:t>
      </w:r>
      <w:r w:rsidRPr="004737C5">
        <w:rPr>
          <w:rFonts w:cstheme="minorHAnsi"/>
        </w:rPr>
        <w:t xml:space="preserve"> most of which, except divestiture, originated under the French water services. French communes have had responsibility for drinking water since 1789, but the service is commonly provided by a private operator under contract.</w:t>
      </w:r>
      <w:r w:rsidRPr="004737C5">
        <w:rPr>
          <w:rStyle w:val="FootnoteReference"/>
          <w:rFonts w:cstheme="minorHAnsi"/>
        </w:rPr>
        <w:footnoteReference w:id="319"/>
      </w:r>
      <w:r w:rsidRPr="004737C5">
        <w:rPr>
          <w:rFonts w:cstheme="minorHAnsi"/>
        </w:rPr>
        <w:t xml:space="preserve"> National legislation sets standards (such as non-d</w:t>
      </w:r>
      <w:r w:rsidR="004F6F7F" w:rsidRPr="004737C5">
        <w:rPr>
          <w:rFonts w:cstheme="minorHAnsi"/>
        </w:rPr>
        <w:t>iscrimination between customers and</w:t>
      </w:r>
      <w:r w:rsidRPr="004737C5">
        <w:rPr>
          <w:rFonts w:cstheme="minorHAnsi"/>
        </w:rPr>
        <w:t xml:space="preserve"> fi</w:t>
      </w:r>
      <w:r w:rsidR="004F6F7F" w:rsidRPr="004737C5">
        <w:rPr>
          <w:rFonts w:cstheme="minorHAnsi"/>
        </w:rPr>
        <w:t>nancial probity of operators</w:t>
      </w:r>
      <w:r w:rsidRPr="004737C5">
        <w:rPr>
          <w:rFonts w:cstheme="minorHAnsi"/>
        </w:rPr>
        <w:t>). The various forms of contract have been elaborated around the world, often using the French variants as options for local implementation, with the municipalities as contractors and the pri</w:t>
      </w:r>
      <w:r w:rsidR="00106A59" w:rsidRPr="004737C5">
        <w:rPr>
          <w:rFonts w:cstheme="minorHAnsi"/>
        </w:rPr>
        <w:t xml:space="preserve">vate operators as contractees. </w:t>
      </w:r>
    </w:p>
    <w:p w14:paraId="5B5F1D3D" w14:textId="0B644B2A" w:rsidR="00BE71E3" w:rsidRPr="004737C5" w:rsidRDefault="00BE71E3" w:rsidP="00106A59">
      <w:pPr>
        <w:pStyle w:val="TableTitle"/>
        <w:spacing w:after="0"/>
        <w:jc w:val="left"/>
        <w:rPr>
          <w:rFonts w:asciiTheme="minorHAnsi" w:hAnsiTheme="minorHAnsi" w:cstheme="minorHAnsi"/>
          <w:sz w:val="22"/>
        </w:rPr>
      </w:pPr>
      <w:r w:rsidRPr="004737C5">
        <w:rPr>
          <w:rFonts w:asciiTheme="minorHAnsi" w:hAnsiTheme="minorHAnsi" w:cstheme="minorHAnsi"/>
          <w:sz w:val="22"/>
        </w:rPr>
        <w:t>Table 1. The</w:t>
      </w:r>
      <w:r w:rsidR="00844AD0" w:rsidRPr="004737C5">
        <w:rPr>
          <w:rFonts w:asciiTheme="minorHAnsi" w:hAnsiTheme="minorHAnsi" w:cstheme="minorHAnsi"/>
          <w:sz w:val="22"/>
        </w:rPr>
        <w:t xml:space="preserve"> spectrum of</w:t>
      </w:r>
      <w:r w:rsidRPr="004737C5">
        <w:rPr>
          <w:rFonts w:asciiTheme="minorHAnsi" w:hAnsiTheme="minorHAnsi" w:cstheme="minorHAnsi"/>
          <w:sz w:val="22"/>
        </w:rPr>
        <w:t xml:space="preserve"> </w:t>
      </w:r>
      <w:r w:rsidR="00844AD0" w:rsidRPr="004737C5">
        <w:rPr>
          <w:rFonts w:asciiTheme="minorHAnsi" w:hAnsiTheme="minorHAnsi" w:cstheme="minorHAnsi"/>
          <w:sz w:val="22"/>
        </w:rPr>
        <w:t>private sector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415"/>
        <w:gridCol w:w="1272"/>
        <w:gridCol w:w="1799"/>
        <w:gridCol w:w="1148"/>
        <w:gridCol w:w="1343"/>
        <w:gridCol w:w="847"/>
      </w:tblGrid>
      <w:tr w:rsidR="00106A59" w:rsidRPr="004737C5" w14:paraId="729DC419" w14:textId="77777777" w:rsidTr="00D110CD">
        <w:tc>
          <w:tcPr>
            <w:tcW w:w="1418" w:type="dxa"/>
          </w:tcPr>
          <w:p w14:paraId="6AF1910A" w14:textId="77777777" w:rsidR="00BE71E3" w:rsidRPr="004737C5" w:rsidRDefault="00BE71E3" w:rsidP="00106A59">
            <w:pPr>
              <w:tabs>
                <w:tab w:val="center" w:pos="4918"/>
                <w:tab w:val="right" w:pos="9071"/>
              </w:tabs>
              <w:spacing w:after="0"/>
              <w:jc w:val="left"/>
              <w:rPr>
                <w:rFonts w:cstheme="minorHAnsi"/>
                <w:b/>
              </w:rPr>
            </w:pPr>
            <w:r w:rsidRPr="004737C5">
              <w:rPr>
                <w:rFonts w:cstheme="minorHAnsi"/>
                <w:b/>
              </w:rPr>
              <w:t>Option</w:t>
            </w:r>
          </w:p>
        </w:tc>
        <w:tc>
          <w:tcPr>
            <w:tcW w:w="1554" w:type="dxa"/>
          </w:tcPr>
          <w:p w14:paraId="50560B57" w14:textId="77777777" w:rsidR="00BE71E3" w:rsidRPr="004737C5" w:rsidRDefault="00106A59" w:rsidP="00D110CD">
            <w:pPr>
              <w:tabs>
                <w:tab w:val="center" w:pos="4918"/>
                <w:tab w:val="right" w:pos="9071"/>
              </w:tabs>
              <w:spacing w:after="0"/>
              <w:jc w:val="left"/>
              <w:rPr>
                <w:rFonts w:cstheme="minorHAnsi"/>
                <w:b/>
              </w:rPr>
            </w:pPr>
            <w:r w:rsidRPr="004737C5">
              <w:rPr>
                <w:rFonts w:cstheme="minorHAnsi"/>
                <w:b/>
              </w:rPr>
              <w:t>Asset o</w:t>
            </w:r>
            <w:r w:rsidR="00BE71E3" w:rsidRPr="004737C5">
              <w:rPr>
                <w:rFonts w:cstheme="minorHAnsi"/>
                <w:b/>
              </w:rPr>
              <w:t>wners</w:t>
            </w:r>
          </w:p>
        </w:tc>
        <w:tc>
          <w:tcPr>
            <w:tcW w:w="1276" w:type="dxa"/>
          </w:tcPr>
          <w:p w14:paraId="0FFDF93A" w14:textId="77777777" w:rsidR="00BE71E3" w:rsidRPr="004737C5" w:rsidRDefault="00BE71E3" w:rsidP="00D110CD">
            <w:pPr>
              <w:tabs>
                <w:tab w:val="center" w:pos="4918"/>
                <w:tab w:val="right" w:pos="9071"/>
              </w:tabs>
              <w:spacing w:after="0"/>
              <w:jc w:val="left"/>
              <w:rPr>
                <w:rFonts w:cstheme="minorHAnsi"/>
                <w:b/>
              </w:rPr>
            </w:pPr>
            <w:r w:rsidRPr="004737C5">
              <w:rPr>
                <w:rFonts w:cstheme="minorHAnsi"/>
                <w:b/>
              </w:rPr>
              <w:t>Investment</w:t>
            </w:r>
          </w:p>
        </w:tc>
        <w:tc>
          <w:tcPr>
            <w:tcW w:w="1984" w:type="dxa"/>
          </w:tcPr>
          <w:p w14:paraId="1D4ED9C6" w14:textId="77777777" w:rsidR="00BE71E3" w:rsidRPr="004737C5" w:rsidRDefault="00BE71E3" w:rsidP="00D110CD">
            <w:pPr>
              <w:tabs>
                <w:tab w:val="center" w:pos="4918"/>
                <w:tab w:val="right" w:pos="9071"/>
              </w:tabs>
              <w:spacing w:after="0"/>
              <w:jc w:val="left"/>
              <w:rPr>
                <w:rFonts w:cstheme="minorHAnsi"/>
                <w:b/>
              </w:rPr>
            </w:pPr>
            <w:r w:rsidRPr="004737C5">
              <w:rPr>
                <w:rFonts w:cstheme="minorHAnsi"/>
                <w:b/>
              </w:rPr>
              <w:t>Revenue collection</w:t>
            </w:r>
          </w:p>
        </w:tc>
        <w:tc>
          <w:tcPr>
            <w:tcW w:w="1134" w:type="dxa"/>
          </w:tcPr>
          <w:p w14:paraId="75054124" w14:textId="77777777" w:rsidR="00BE71E3" w:rsidRPr="004737C5" w:rsidRDefault="00BE71E3" w:rsidP="00D110CD">
            <w:pPr>
              <w:tabs>
                <w:tab w:val="center" w:pos="4918"/>
                <w:tab w:val="right" w:pos="9071"/>
              </w:tabs>
              <w:spacing w:after="0"/>
              <w:jc w:val="left"/>
              <w:rPr>
                <w:rFonts w:cstheme="minorHAnsi"/>
                <w:b/>
              </w:rPr>
            </w:pPr>
            <w:r w:rsidRPr="004737C5">
              <w:rPr>
                <w:rFonts w:cstheme="minorHAnsi"/>
                <w:b/>
              </w:rPr>
              <w:t>Operation</w:t>
            </w:r>
          </w:p>
        </w:tc>
        <w:tc>
          <w:tcPr>
            <w:tcW w:w="1415" w:type="dxa"/>
          </w:tcPr>
          <w:p w14:paraId="65A0F577" w14:textId="77777777" w:rsidR="00D110CD" w:rsidRPr="004737C5" w:rsidRDefault="00BE71E3" w:rsidP="00D110CD">
            <w:pPr>
              <w:tabs>
                <w:tab w:val="center" w:pos="4918"/>
                <w:tab w:val="right" w:pos="9071"/>
              </w:tabs>
              <w:spacing w:after="0"/>
              <w:jc w:val="left"/>
              <w:rPr>
                <w:rFonts w:cstheme="minorHAnsi"/>
                <w:b/>
              </w:rPr>
            </w:pPr>
            <w:r w:rsidRPr="004737C5">
              <w:rPr>
                <w:rFonts w:cstheme="minorHAnsi"/>
                <w:b/>
              </w:rPr>
              <w:t>Length</w:t>
            </w:r>
          </w:p>
        </w:tc>
        <w:tc>
          <w:tcPr>
            <w:tcW w:w="0" w:type="auto"/>
          </w:tcPr>
          <w:p w14:paraId="6AF5CBF1" w14:textId="77777777" w:rsidR="00BE71E3" w:rsidRPr="004737C5" w:rsidRDefault="00BE71E3" w:rsidP="00D110CD">
            <w:pPr>
              <w:tabs>
                <w:tab w:val="center" w:pos="4918"/>
                <w:tab w:val="right" w:pos="9071"/>
              </w:tabs>
              <w:spacing w:after="0"/>
              <w:jc w:val="left"/>
              <w:rPr>
                <w:rFonts w:cstheme="minorHAnsi"/>
                <w:b/>
              </w:rPr>
            </w:pPr>
            <w:r w:rsidRPr="004737C5">
              <w:rPr>
                <w:rFonts w:cstheme="minorHAnsi"/>
                <w:b/>
              </w:rPr>
              <w:t>Risk</w:t>
            </w:r>
          </w:p>
        </w:tc>
      </w:tr>
      <w:tr w:rsidR="00106A59" w:rsidRPr="004737C5" w14:paraId="15821831" w14:textId="77777777" w:rsidTr="00D110CD">
        <w:tc>
          <w:tcPr>
            <w:tcW w:w="1418" w:type="dxa"/>
          </w:tcPr>
          <w:p w14:paraId="2978F47C"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Management contract</w:t>
            </w:r>
          </w:p>
        </w:tc>
        <w:tc>
          <w:tcPr>
            <w:tcW w:w="1554" w:type="dxa"/>
          </w:tcPr>
          <w:p w14:paraId="20480733" w14:textId="52224D5F" w:rsidR="00BE71E3" w:rsidRPr="004737C5" w:rsidRDefault="00844AD0" w:rsidP="00D110CD">
            <w:pPr>
              <w:tabs>
                <w:tab w:val="center" w:pos="4918"/>
                <w:tab w:val="right" w:pos="9071"/>
              </w:tabs>
              <w:spacing w:after="0"/>
              <w:jc w:val="left"/>
              <w:rPr>
                <w:rFonts w:cstheme="minorHAnsi"/>
              </w:rPr>
            </w:pPr>
            <w:r w:rsidRPr="004737C5">
              <w:rPr>
                <w:rFonts w:cstheme="minorHAnsi"/>
              </w:rPr>
              <w:t>p</w:t>
            </w:r>
            <w:r w:rsidR="00BE71E3" w:rsidRPr="004737C5">
              <w:rPr>
                <w:rFonts w:cstheme="minorHAnsi"/>
              </w:rPr>
              <w:t>ublic</w:t>
            </w:r>
          </w:p>
        </w:tc>
        <w:tc>
          <w:tcPr>
            <w:tcW w:w="1276" w:type="dxa"/>
          </w:tcPr>
          <w:p w14:paraId="0648F451" w14:textId="75BC3A9C" w:rsidR="00BE71E3" w:rsidRPr="004737C5" w:rsidRDefault="00844AD0" w:rsidP="00D110CD">
            <w:pPr>
              <w:tabs>
                <w:tab w:val="center" w:pos="4918"/>
                <w:tab w:val="right" w:pos="9071"/>
              </w:tabs>
              <w:spacing w:after="0"/>
              <w:jc w:val="left"/>
              <w:rPr>
                <w:rFonts w:cstheme="minorHAnsi"/>
              </w:rPr>
            </w:pPr>
            <w:r w:rsidRPr="004737C5">
              <w:rPr>
                <w:rFonts w:cstheme="minorHAnsi"/>
              </w:rPr>
              <w:t>p</w:t>
            </w:r>
            <w:r w:rsidR="00BE71E3" w:rsidRPr="004737C5">
              <w:rPr>
                <w:rFonts w:cstheme="minorHAnsi"/>
              </w:rPr>
              <w:t>ublic</w:t>
            </w:r>
          </w:p>
        </w:tc>
        <w:tc>
          <w:tcPr>
            <w:tcW w:w="1984" w:type="dxa"/>
          </w:tcPr>
          <w:p w14:paraId="37D17129"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public</w:t>
            </w:r>
          </w:p>
        </w:tc>
        <w:tc>
          <w:tcPr>
            <w:tcW w:w="1134" w:type="dxa"/>
          </w:tcPr>
          <w:p w14:paraId="78EF1266"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415" w:type="dxa"/>
          </w:tcPr>
          <w:p w14:paraId="06A1D176" w14:textId="77777777" w:rsidR="00BE71E3" w:rsidRPr="004737C5" w:rsidRDefault="00D110CD" w:rsidP="00D110CD">
            <w:pPr>
              <w:tabs>
                <w:tab w:val="center" w:pos="4918"/>
                <w:tab w:val="right" w:pos="9071"/>
              </w:tabs>
              <w:spacing w:after="0"/>
              <w:jc w:val="left"/>
              <w:rPr>
                <w:rFonts w:cstheme="minorHAnsi"/>
              </w:rPr>
            </w:pPr>
            <w:r w:rsidRPr="004737C5">
              <w:rPr>
                <w:rFonts w:cstheme="minorHAnsi"/>
              </w:rPr>
              <w:t>3‒5 years</w:t>
            </w:r>
          </w:p>
        </w:tc>
        <w:tc>
          <w:tcPr>
            <w:tcW w:w="0" w:type="auto"/>
          </w:tcPr>
          <w:p w14:paraId="08ED5FD5"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public</w:t>
            </w:r>
          </w:p>
        </w:tc>
      </w:tr>
      <w:tr w:rsidR="00106A59" w:rsidRPr="004737C5" w14:paraId="4B646B62" w14:textId="77777777" w:rsidTr="00D110CD">
        <w:tc>
          <w:tcPr>
            <w:tcW w:w="1418" w:type="dxa"/>
          </w:tcPr>
          <w:p w14:paraId="3AE6D0EA"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Lease or affermage</w:t>
            </w:r>
          </w:p>
        </w:tc>
        <w:tc>
          <w:tcPr>
            <w:tcW w:w="1554" w:type="dxa"/>
          </w:tcPr>
          <w:p w14:paraId="43E974ED" w14:textId="7AD6680A" w:rsidR="00BE71E3" w:rsidRPr="004737C5" w:rsidRDefault="00844AD0" w:rsidP="00D110CD">
            <w:pPr>
              <w:tabs>
                <w:tab w:val="center" w:pos="4918"/>
                <w:tab w:val="right" w:pos="9071"/>
              </w:tabs>
              <w:spacing w:after="0"/>
              <w:jc w:val="left"/>
              <w:rPr>
                <w:rFonts w:cstheme="minorHAnsi"/>
              </w:rPr>
            </w:pPr>
            <w:r w:rsidRPr="004737C5">
              <w:rPr>
                <w:rFonts w:cstheme="minorHAnsi"/>
              </w:rPr>
              <w:t>p</w:t>
            </w:r>
            <w:r w:rsidR="00BE71E3" w:rsidRPr="004737C5">
              <w:rPr>
                <w:rFonts w:cstheme="minorHAnsi"/>
              </w:rPr>
              <w:t>ublic</w:t>
            </w:r>
          </w:p>
        </w:tc>
        <w:tc>
          <w:tcPr>
            <w:tcW w:w="1276" w:type="dxa"/>
          </w:tcPr>
          <w:p w14:paraId="6E3792B8" w14:textId="5859529A" w:rsidR="00BE71E3" w:rsidRPr="004737C5" w:rsidRDefault="00844AD0" w:rsidP="00D110CD">
            <w:pPr>
              <w:tabs>
                <w:tab w:val="center" w:pos="4918"/>
                <w:tab w:val="right" w:pos="9071"/>
              </w:tabs>
              <w:spacing w:after="0"/>
              <w:jc w:val="left"/>
              <w:rPr>
                <w:rFonts w:cstheme="minorHAnsi"/>
              </w:rPr>
            </w:pPr>
            <w:r w:rsidRPr="004737C5">
              <w:rPr>
                <w:rFonts w:cstheme="minorHAnsi"/>
              </w:rPr>
              <w:t>s</w:t>
            </w:r>
            <w:r w:rsidR="00BE71E3" w:rsidRPr="004737C5">
              <w:rPr>
                <w:rFonts w:cstheme="minorHAnsi"/>
              </w:rPr>
              <w:t>hared</w:t>
            </w:r>
          </w:p>
        </w:tc>
        <w:tc>
          <w:tcPr>
            <w:tcW w:w="1984" w:type="dxa"/>
          </w:tcPr>
          <w:p w14:paraId="650488E3"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134" w:type="dxa"/>
          </w:tcPr>
          <w:p w14:paraId="7A0469F7"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415" w:type="dxa"/>
          </w:tcPr>
          <w:p w14:paraId="16623274" w14:textId="77777777" w:rsidR="00BE71E3" w:rsidRPr="004737C5" w:rsidRDefault="00D110CD" w:rsidP="00D110CD">
            <w:pPr>
              <w:tabs>
                <w:tab w:val="center" w:pos="4918"/>
                <w:tab w:val="right" w:pos="9071"/>
              </w:tabs>
              <w:spacing w:after="0"/>
              <w:jc w:val="left"/>
              <w:rPr>
                <w:rFonts w:cstheme="minorHAnsi"/>
              </w:rPr>
            </w:pPr>
            <w:r w:rsidRPr="004737C5">
              <w:rPr>
                <w:rFonts w:cstheme="minorHAnsi"/>
              </w:rPr>
              <w:t>8‒</w:t>
            </w:r>
            <w:r w:rsidR="00BE71E3" w:rsidRPr="004737C5">
              <w:rPr>
                <w:rFonts w:cstheme="minorHAnsi"/>
              </w:rPr>
              <w:t>15</w:t>
            </w:r>
            <w:r w:rsidRPr="004737C5">
              <w:rPr>
                <w:rFonts w:cstheme="minorHAnsi"/>
              </w:rPr>
              <w:t xml:space="preserve"> years</w:t>
            </w:r>
          </w:p>
        </w:tc>
        <w:tc>
          <w:tcPr>
            <w:tcW w:w="0" w:type="auto"/>
          </w:tcPr>
          <w:p w14:paraId="50363A39"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shared</w:t>
            </w:r>
          </w:p>
        </w:tc>
      </w:tr>
      <w:tr w:rsidR="00106A59" w:rsidRPr="004737C5" w14:paraId="0722FC5C" w14:textId="77777777" w:rsidTr="00D110CD">
        <w:tc>
          <w:tcPr>
            <w:tcW w:w="1418" w:type="dxa"/>
          </w:tcPr>
          <w:p w14:paraId="66785DCC"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Concession</w:t>
            </w:r>
          </w:p>
        </w:tc>
        <w:tc>
          <w:tcPr>
            <w:tcW w:w="1554" w:type="dxa"/>
          </w:tcPr>
          <w:p w14:paraId="32B35B17" w14:textId="4C0EBFC1" w:rsidR="00BE71E3" w:rsidRPr="004737C5" w:rsidRDefault="00844AD0" w:rsidP="00D110CD">
            <w:pPr>
              <w:tabs>
                <w:tab w:val="center" w:pos="4918"/>
                <w:tab w:val="right" w:pos="9071"/>
              </w:tabs>
              <w:spacing w:after="0"/>
              <w:jc w:val="left"/>
              <w:rPr>
                <w:rFonts w:cstheme="minorHAnsi"/>
              </w:rPr>
            </w:pPr>
            <w:r w:rsidRPr="004737C5">
              <w:rPr>
                <w:rFonts w:cstheme="minorHAnsi"/>
              </w:rPr>
              <w:t>p</w:t>
            </w:r>
            <w:r w:rsidR="00BE71E3" w:rsidRPr="004737C5">
              <w:rPr>
                <w:rFonts w:cstheme="minorHAnsi"/>
              </w:rPr>
              <w:t>ublic</w:t>
            </w:r>
          </w:p>
        </w:tc>
        <w:tc>
          <w:tcPr>
            <w:tcW w:w="1276" w:type="dxa"/>
          </w:tcPr>
          <w:p w14:paraId="25BA3E20" w14:textId="4BE06E88" w:rsidR="00BE71E3" w:rsidRPr="004737C5" w:rsidRDefault="00844AD0" w:rsidP="00D110CD">
            <w:pPr>
              <w:tabs>
                <w:tab w:val="center" w:pos="4918"/>
                <w:tab w:val="right" w:pos="9071"/>
              </w:tabs>
              <w:spacing w:after="0"/>
              <w:jc w:val="left"/>
              <w:rPr>
                <w:rFonts w:cstheme="minorHAnsi"/>
              </w:rPr>
            </w:pPr>
            <w:r w:rsidRPr="004737C5">
              <w:rPr>
                <w:rFonts w:cstheme="minorHAnsi"/>
              </w:rPr>
              <w:t>p</w:t>
            </w:r>
            <w:r w:rsidR="00BE71E3" w:rsidRPr="004737C5">
              <w:rPr>
                <w:rFonts w:cstheme="minorHAnsi"/>
              </w:rPr>
              <w:t>rivate</w:t>
            </w:r>
          </w:p>
        </w:tc>
        <w:tc>
          <w:tcPr>
            <w:tcW w:w="1984" w:type="dxa"/>
          </w:tcPr>
          <w:p w14:paraId="74EE1103"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134" w:type="dxa"/>
          </w:tcPr>
          <w:p w14:paraId="6C0F938D"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415" w:type="dxa"/>
          </w:tcPr>
          <w:p w14:paraId="2C9C84FB" w14:textId="77777777" w:rsidR="00BE71E3" w:rsidRPr="004737C5" w:rsidRDefault="00D110CD" w:rsidP="00D110CD">
            <w:pPr>
              <w:tabs>
                <w:tab w:val="center" w:pos="4918"/>
                <w:tab w:val="right" w:pos="9071"/>
              </w:tabs>
              <w:spacing w:after="0"/>
              <w:jc w:val="left"/>
              <w:rPr>
                <w:rFonts w:cstheme="minorHAnsi"/>
              </w:rPr>
            </w:pPr>
            <w:r w:rsidRPr="004737C5">
              <w:rPr>
                <w:rFonts w:cstheme="minorHAnsi"/>
              </w:rPr>
              <w:t>25‒</w:t>
            </w:r>
            <w:r w:rsidR="00BE71E3" w:rsidRPr="004737C5">
              <w:rPr>
                <w:rFonts w:cstheme="minorHAnsi"/>
              </w:rPr>
              <w:t>30</w:t>
            </w:r>
            <w:r w:rsidRPr="004737C5">
              <w:rPr>
                <w:rFonts w:cstheme="minorHAnsi"/>
              </w:rPr>
              <w:t xml:space="preserve"> years</w:t>
            </w:r>
          </w:p>
        </w:tc>
        <w:tc>
          <w:tcPr>
            <w:tcW w:w="0" w:type="auto"/>
          </w:tcPr>
          <w:p w14:paraId="0BA6554C"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r>
      <w:tr w:rsidR="00106A59" w:rsidRPr="004737C5" w14:paraId="42B6447A" w14:textId="77777777" w:rsidTr="00D110CD">
        <w:tc>
          <w:tcPr>
            <w:tcW w:w="1418" w:type="dxa"/>
          </w:tcPr>
          <w:p w14:paraId="64380E4A"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BOT</w:t>
            </w:r>
          </w:p>
        </w:tc>
        <w:tc>
          <w:tcPr>
            <w:tcW w:w="1554" w:type="dxa"/>
          </w:tcPr>
          <w:p w14:paraId="558927EA" w14:textId="12CAF315" w:rsidR="00BE71E3" w:rsidRPr="004737C5" w:rsidRDefault="00844AD0" w:rsidP="00D110CD">
            <w:pPr>
              <w:tabs>
                <w:tab w:val="center" w:pos="4918"/>
                <w:tab w:val="right" w:pos="9071"/>
              </w:tabs>
              <w:spacing w:after="0"/>
              <w:jc w:val="left"/>
              <w:rPr>
                <w:rFonts w:cstheme="minorHAnsi"/>
              </w:rPr>
            </w:pPr>
            <w:r w:rsidRPr="004737C5">
              <w:rPr>
                <w:rFonts w:cstheme="minorHAnsi"/>
              </w:rPr>
              <w:t>s</w:t>
            </w:r>
            <w:r w:rsidR="00BE71E3" w:rsidRPr="004737C5">
              <w:rPr>
                <w:rFonts w:cstheme="minorHAnsi"/>
              </w:rPr>
              <w:t>hared</w:t>
            </w:r>
          </w:p>
        </w:tc>
        <w:tc>
          <w:tcPr>
            <w:tcW w:w="1276" w:type="dxa"/>
          </w:tcPr>
          <w:p w14:paraId="09CD1F97"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984" w:type="dxa"/>
          </w:tcPr>
          <w:p w14:paraId="1D41A6B2"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134" w:type="dxa"/>
          </w:tcPr>
          <w:p w14:paraId="7AA4AF09"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415" w:type="dxa"/>
          </w:tcPr>
          <w:p w14:paraId="1ADBEB33" w14:textId="77777777" w:rsidR="00BE71E3" w:rsidRPr="004737C5" w:rsidRDefault="00D110CD" w:rsidP="00D110CD">
            <w:pPr>
              <w:tabs>
                <w:tab w:val="center" w:pos="4918"/>
                <w:tab w:val="right" w:pos="9071"/>
              </w:tabs>
              <w:spacing w:after="0"/>
              <w:jc w:val="left"/>
              <w:rPr>
                <w:rFonts w:cstheme="minorHAnsi"/>
              </w:rPr>
            </w:pPr>
            <w:r w:rsidRPr="004737C5">
              <w:rPr>
                <w:rFonts w:cstheme="minorHAnsi"/>
              </w:rPr>
              <w:t>20‒</w:t>
            </w:r>
            <w:r w:rsidR="00BE71E3" w:rsidRPr="004737C5">
              <w:rPr>
                <w:rFonts w:cstheme="minorHAnsi"/>
              </w:rPr>
              <w:t>30</w:t>
            </w:r>
            <w:r w:rsidRPr="004737C5">
              <w:rPr>
                <w:rFonts w:cstheme="minorHAnsi"/>
              </w:rPr>
              <w:t xml:space="preserve"> years</w:t>
            </w:r>
          </w:p>
        </w:tc>
        <w:tc>
          <w:tcPr>
            <w:tcW w:w="0" w:type="auto"/>
          </w:tcPr>
          <w:p w14:paraId="01DAD1FB"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r>
      <w:tr w:rsidR="00106A59" w:rsidRPr="004737C5" w14:paraId="53A392EF" w14:textId="77777777" w:rsidTr="00D110CD">
        <w:tc>
          <w:tcPr>
            <w:tcW w:w="1418" w:type="dxa"/>
          </w:tcPr>
          <w:p w14:paraId="656DE24C"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Divestiture</w:t>
            </w:r>
          </w:p>
        </w:tc>
        <w:tc>
          <w:tcPr>
            <w:tcW w:w="1554" w:type="dxa"/>
          </w:tcPr>
          <w:p w14:paraId="438F769E" w14:textId="3F59D8A4" w:rsidR="00BE71E3" w:rsidRPr="004737C5" w:rsidRDefault="007F0A4A" w:rsidP="00D110CD">
            <w:pPr>
              <w:tabs>
                <w:tab w:val="center" w:pos="4918"/>
                <w:tab w:val="right" w:pos="9071"/>
              </w:tabs>
              <w:spacing w:after="0"/>
              <w:jc w:val="left"/>
              <w:rPr>
                <w:rFonts w:cstheme="minorHAnsi"/>
              </w:rPr>
            </w:pPr>
            <w:r w:rsidRPr="004737C5">
              <w:rPr>
                <w:rFonts w:cstheme="minorHAnsi"/>
              </w:rPr>
              <w:t>P</w:t>
            </w:r>
            <w:r w:rsidR="00BE71E3" w:rsidRPr="004737C5">
              <w:rPr>
                <w:rFonts w:cstheme="minorHAnsi"/>
              </w:rPr>
              <w:t>rivate</w:t>
            </w:r>
          </w:p>
        </w:tc>
        <w:tc>
          <w:tcPr>
            <w:tcW w:w="1276" w:type="dxa"/>
          </w:tcPr>
          <w:p w14:paraId="71C672A6"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984" w:type="dxa"/>
          </w:tcPr>
          <w:p w14:paraId="65292FAE"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134" w:type="dxa"/>
          </w:tcPr>
          <w:p w14:paraId="78171D45"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c>
          <w:tcPr>
            <w:tcW w:w="1415" w:type="dxa"/>
          </w:tcPr>
          <w:p w14:paraId="29CAD1F6"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indefinite</w:t>
            </w:r>
          </w:p>
        </w:tc>
        <w:tc>
          <w:tcPr>
            <w:tcW w:w="0" w:type="auto"/>
          </w:tcPr>
          <w:p w14:paraId="64E58170" w14:textId="77777777" w:rsidR="00BE71E3" w:rsidRPr="004737C5" w:rsidRDefault="00BE71E3" w:rsidP="00D110CD">
            <w:pPr>
              <w:tabs>
                <w:tab w:val="center" w:pos="4918"/>
                <w:tab w:val="right" w:pos="9071"/>
              </w:tabs>
              <w:spacing w:after="0"/>
              <w:jc w:val="left"/>
              <w:rPr>
                <w:rFonts w:cstheme="minorHAnsi"/>
              </w:rPr>
            </w:pPr>
            <w:r w:rsidRPr="004737C5">
              <w:rPr>
                <w:rFonts w:cstheme="minorHAnsi"/>
              </w:rPr>
              <w:t>private</w:t>
            </w:r>
          </w:p>
        </w:tc>
      </w:tr>
    </w:tbl>
    <w:p w14:paraId="4548AE38" w14:textId="77777777" w:rsidR="00BE71E3" w:rsidRPr="004737C5" w:rsidRDefault="00BE71E3" w:rsidP="00844AD0">
      <w:pPr>
        <w:pStyle w:val="TableNote"/>
        <w:spacing w:after="0"/>
        <w:jc w:val="both"/>
        <w:rPr>
          <w:rFonts w:asciiTheme="minorHAnsi" w:hAnsiTheme="minorHAnsi" w:cstheme="minorHAnsi"/>
          <w:iCs/>
          <w:sz w:val="20"/>
          <w:szCs w:val="20"/>
        </w:rPr>
      </w:pPr>
      <w:r w:rsidRPr="004737C5">
        <w:rPr>
          <w:rFonts w:asciiTheme="minorHAnsi" w:hAnsiTheme="minorHAnsi" w:cstheme="minorHAnsi"/>
          <w:i/>
          <w:iCs/>
          <w:sz w:val="20"/>
          <w:szCs w:val="20"/>
        </w:rPr>
        <w:t xml:space="preserve">Notes: </w:t>
      </w:r>
      <w:r w:rsidRPr="004737C5">
        <w:rPr>
          <w:rFonts w:asciiTheme="minorHAnsi" w:hAnsiTheme="minorHAnsi" w:cstheme="minorHAnsi"/>
          <w:i/>
          <w:iCs/>
          <w:sz w:val="20"/>
          <w:szCs w:val="20"/>
        </w:rPr>
        <w:br/>
      </w:r>
      <w:r w:rsidRPr="004737C5">
        <w:rPr>
          <w:rFonts w:asciiTheme="minorHAnsi" w:hAnsiTheme="minorHAnsi" w:cstheme="minorHAnsi"/>
          <w:iCs/>
          <w:sz w:val="20"/>
          <w:szCs w:val="20"/>
        </w:rPr>
        <w:t xml:space="preserve">1. BOT is </w:t>
      </w:r>
      <w:r w:rsidR="00106A59" w:rsidRPr="004737C5">
        <w:rPr>
          <w:rFonts w:asciiTheme="minorHAnsi" w:hAnsiTheme="minorHAnsi" w:cstheme="minorHAnsi"/>
          <w:iCs/>
          <w:sz w:val="20"/>
          <w:szCs w:val="20"/>
        </w:rPr>
        <w:t>a particular form of concession</w:t>
      </w:r>
      <w:r w:rsidRPr="004737C5">
        <w:rPr>
          <w:rFonts w:asciiTheme="minorHAnsi" w:hAnsiTheme="minorHAnsi" w:cstheme="minorHAnsi"/>
          <w:iCs/>
          <w:sz w:val="20"/>
          <w:szCs w:val="20"/>
        </w:rPr>
        <w:t xml:space="preserve"> (Bu</w:t>
      </w:r>
      <w:r w:rsidR="00106A59" w:rsidRPr="004737C5">
        <w:rPr>
          <w:rFonts w:asciiTheme="minorHAnsi" w:hAnsiTheme="minorHAnsi" w:cstheme="minorHAnsi"/>
          <w:iCs/>
          <w:sz w:val="20"/>
          <w:szCs w:val="20"/>
        </w:rPr>
        <w:t>ild-Operate-Transfer)</w:t>
      </w:r>
      <w:r w:rsidRPr="004737C5">
        <w:rPr>
          <w:rFonts w:asciiTheme="minorHAnsi" w:hAnsiTheme="minorHAnsi" w:cstheme="minorHAnsi"/>
          <w:iCs/>
          <w:sz w:val="20"/>
          <w:szCs w:val="20"/>
        </w:rPr>
        <w:t xml:space="preserve"> in which ownership of a constructed operating asset effectively remains with the operator for a fixed term and is then transferred to the public authority for an agreed sum. In the short- to medium-term, it </w:t>
      </w:r>
      <w:r w:rsidR="00106A59" w:rsidRPr="004737C5">
        <w:rPr>
          <w:rFonts w:asciiTheme="minorHAnsi" w:hAnsiTheme="minorHAnsi" w:cstheme="minorHAnsi"/>
          <w:iCs/>
          <w:sz w:val="20"/>
          <w:szCs w:val="20"/>
        </w:rPr>
        <w:t xml:space="preserve">is akin to </w:t>
      </w:r>
      <w:r w:rsidRPr="004737C5">
        <w:rPr>
          <w:rFonts w:asciiTheme="minorHAnsi" w:hAnsiTheme="minorHAnsi" w:cstheme="minorHAnsi"/>
          <w:iCs/>
          <w:sz w:val="20"/>
          <w:szCs w:val="20"/>
        </w:rPr>
        <w:t>pri</w:t>
      </w:r>
      <w:r w:rsidR="00106A59" w:rsidRPr="004737C5">
        <w:rPr>
          <w:rFonts w:asciiTheme="minorHAnsi" w:hAnsiTheme="minorHAnsi" w:cstheme="minorHAnsi"/>
          <w:iCs/>
          <w:sz w:val="20"/>
          <w:szCs w:val="20"/>
        </w:rPr>
        <w:t>vatiz</w:t>
      </w:r>
      <w:r w:rsidRPr="004737C5">
        <w:rPr>
          <w:rFonts w:asciiTheme="minorHAnsi" w:hAnsiTheme="minorHAnsi" w:cstheme="minorHAnsi"/>
          <w:iCs/>
          <w:sz w:val="20"/>
          <w:szCs w:val="20"/>
        </w:rPr>
        <w:t xml:space="preserve">ation. </w:t>
      </w:r>
    </w:p>
    <w:p w14:paraId="10507A8E" w14:textId="77777777" w:rsidR="00BE71E3" w:rsidRPr="004737C5" w:rsidRDefault="00BE71E3" w:rsidP="00844AD0">
      <w:pPr>
        <w:pStyle w:val="TableNote"/>
        <w:spacing w:after="0"/>
        <w:jc w:val="both"/>
        <w:rPr>
          <w:rFonts w:asciiTheme="minorHAnsi" w:hAnsiTheme="minorHAnsi" w:cstheme="minorHAnsi"/>
          <w:iCs/>
          <w:sz w:val="20"/>
          <w:szCs w:val="20"/>
        </w:rPr>
      </w:pPr>
      <w:r w:rsidRPr="004737C5">
        <w:rPr>
          <w:rFonts w:asciiTheme="minorHAnsi" w:hAnsiTheme="minorHAnsi" w:cstheme="minorHAnsi"/>
          <w:iCs/>
          <w:sz w:val="20"/>
          <w:szCs w:val="20"/>
        </w:rPr>
        <w:t xml:space="preserve">2. The main difference between leases and affermages is that under leases, the operator’s remuneration depends on the customer tariff, while with affermages, the operator tariff is divorced from the customer tariff, even though the operator may be charged with collecting payments.  </w:t>
      </w:r>
    </w:p>
    <w:p w14:paraId="7A7A55C0" w14:textId="77777777" w:rsidR="00BE71E3" w:rsidRPr="004737C5" w:rsidRDefault="00BE71E3" w:rsidP="00106A59">
      <w:pPr>
        <w:pStyle w:val="TableNote"/>
        <w:spacing w:after="0"/>
        <w:rPr>
          <w:rFonts w:asciiTheme="minorHAnsi" w:hAnsiTheme="minorHAnsi" w:cstheme="minorHAnsi"/>
          <w:iCs/>
          <w:sz w:val="20"/>
          <w:szCs w:val="20"/>
        </w:rPr>
      </w:pPr>
      <w:r w:rsidRPr="004737C5">
        <w:rPr>
          <w:rFonts w:asciiTheme="minorHAnsi" w:hAnsiTheme="minorHAnsi" w:cstheme="minorHAnsi"/>
          <w:iCs/>
          <w:sz w:val="20"/>
          <w:szCs w:val="20"/>
        </w:rPr>
        <w:t>3. Across the whole spectrum inc</w:t>
      </w:r>
      <w:r w:rsidR="00106A59" w:rsidRPr="004737C5">
        <w:rPr>
          <w:rFonts w:asciiTheme="minorHAnsi" w:hAnsiTheme="minorHAnsi" w:cstheme="minorHAnsi"/>
          <w:iCs/>
          <w:sz w:val="20"/>
          <w:szCs w:val="20"/>
        </w:rPr>
        <w:t>luding divestiture, it is usual for there to be g</w:t>
      </w:r>
      <w:r w:rsidRPr="004737C5">
        <w:rPr>
          <w:rFonts w:asciiTheme="minorHAnsi" w:hAnsiTheme="minorHAnsi" w:cstheme="minorHAnsi"/>
          <w:iCs/>
          <w:sz w:val="20"/>
          <w:szCs w:val="20"/>
        </w:rPr>
        <w:t xml:space="preserve">overnment controls on tariffs. </w:t>
      </w:r>
    </w:p>
    <w:p w14:paraId="4238A17C" w14:textId="77777777" w:rsidR="00BE71E3" w:rsidRPr="004737C5" w:rsidRDefault="00106A59" w:rsidP="00844AD0">
      <w:pPr>
        <w:pStyle w:val="TableNote"/>
        <w:spacing w:after="0"/>
        <w:jc w:val="both"/>
        <w:rPr>
          <w:rFonts w:asciiTheme="minorHAnsi" w:hAnsiTheme="minorHAnsi" w:cstheme="minorHAnsi"/>
          <w:iCs/>
          <w:sz w:val="20"/>
          <w:szCs w:val="20"/>
        </w:rPr>
      </w:pPr>
      <w:r w:rsidRPr="004737C5">
        <w:rPr>
          <w:rFonts w:asciiTheme="minorHAnsi" w:hAnsiTheme="minorHAnsi" w:cstheme="minorHAnsi"/>
          <w:iCs/>
          <w:sz w:val="20"/>
          <w:szCs w:val="20"/>
        </w:rPr>
        <w:lastRenderedPageBreak/>
        <w:t>4. “Traditional”</w:t>
      </w:r>
      <w:r w:rsidR="00BE71E3" w:rsidRPr="004737C5">
        <w:rPr>
          <w:rFonts w:asciiTheme="minorHAnsi" w:hAnsiTheme="minorHAnsi" w:cstheme="minorHAnsi"/>
          <w:iCs/>
          <w:sz w:val="20"/>
          <w:szCs w:val="20"/>
        </w:rPr>
        <w:t xml:space="preserve"> outsourcing has similar features to management contracts, although the latter tend to be more comprehensive. </w:t>
      </w:r>
    </w:p>
    <w:p w14:paraId="1197D9E8" w14:textId="77777777" w:rsidR="00BE71E3" w:rsidRPr="004737C5" w:rsidRDefault="00BE71E3" w:rsidP="00106A59">
      <w:pPr>
        <w:pStyle w:val="TableNote"/>
        <w:rPr>
          <w:rFonts w:asciiTheme="minorHAnsi" w:hAnsiTheme="minorHAnsi" w:cstheme="minorHAnsi"/>
          <w:i/>
          <w:iCs/>
          <w:sz w:val="20"/>
          <w:szCs w:val="20"/>
        </w:rPr>
      </w:pPr>
      <w:r w:rsidRPr="004737C5">
        <w:rPr>
          <w:rFonts w:asciiTheme="minorHAnsi" w:hAnsiTheme="minorHAnsi" w:cstheme="minorHAnsi"/>
          <w:i/>
          <w:iCs/>
          <w:sz w:val="20"/>
          <w:szCs w:val="20"/>
        </w:rPr>
        <w:t xml:space="preserve">Sources: </w:t>
      </w:r>
      <w:r w:rsidRPr="004737C5">
        <w:rPr>
          <w:rFonts w:asciiTheme="minorHAnsi" w:hAnsiTheme="minorHAnsi" w:cstheme="minorHAnsi"/>
          <w:iCs/>
          <w:sz w:val="20"/>
          <w:szCs w:val="20"/>
        </w:rPr>
        <w:t>principally Foster et al.</w:t>
      </w:r>
      <w:r w:rsidR="00106A59" w:rsidRPr="004737C5">
        <w:rPr>
          <w:rFonts w:asciiTheme="minorHAnsi" w:hAnsiTheme="minorHAnsi" w:cstheme="minorHAnsi"/>
          <w:iCs/>
          <w:sz w:val="20"/>
          <w:szCs w:val="20"/>
        </w:rPr>
        <w:t xml:space="preserve"> 2005;</w:t>
      </w:r>
      <w:r w:rsidRPr="004737C5">
        <w:rPr>
          <w:rFonts w:asciiTheme="minorHAnsi" w:hAnsiTheme="minorHAnsi" w:cstheme="minorHAnsi"/>
          <w:iCs/>
          <w:sz w:val="20"/>
          <w:szCs w:val="20"/>
        </w:rPr>
        <w:t xml:space="preserve"> also Guasch</w:t>
      </w:r>
      <w:r w:rsidR="00106A59" w:rsidRPr="004737C5">
        <w:rPr>
          <w:rFonts w:asciiTheme="minorHAnsi" w:hAnsiTheme="minorHAnsi" w:cstheme="minorHAnsi"/>
          <w:iCs/>
          <w:sz w:val="20"/>
          <w:szCs w:val="20"/>
        </w:rPr>
        <w:t xml:space="preserve"> </w:t>
      </w:r>
      <w:r w:rsidRPr="004737C5">
        <w:rPr>
          <w:rFonts w:asciiTheme="minorHAnsi" w:hAnsiTheme="minorHAnsi" w:cstheme="minorHAnsi"/>
          <w:iCs/>
          <w:sz w:val="20"/>
          <w:szCs w:val="20"/>
        </w:rPr>
        <w:t>2004.</w:t>
      </w:r>
    </w:p>
    <w:p w14:paraId="098F542E" w14:textId="77777777" w:rsidR="00BE71E3" w:rsidRPr="004737C5" w:rsidRDefault="004F6F7F" w:rsidP="006D3BE8">
      <w:pPr>
        <w:rPr>
          <w:rFonts w:cstheme="minorHAnsi"/>
          <w:snapToGrid w:val="0"/>
        </w:rPr>
      </w:pPr>
      <w:r w:rsidRPr="004737C5">
        <w:rPr>
          <w:rFonts w:cstheme="minorHAnsi"/>
          <w:snapToGrid w:val="0"/>
        </w:rPr>
        <w:t>Interest in privatiz</w:t>
      </w:r>
      <w:r w:rsidR="00BE71E3" w:rsidRPr="004737C5">
        <w:rPr>
          <w:rFonts w:cstheme="minorHAnsi"/>
          <w:snapToGrid w:val="0"/>
        </w:rPr>
        <w:t xml:space="preserve">ation reached its peak around the turn of the millennium. </w:t>
      </w:r>
      <w:r w:rsidR="00BE71E3" w:rsidRPr="004737C5">
        <w:rPr>
          <w:rFonts w:cstheme="minorHAnsi"/>
        </w:rPr>
        <w:t>A</w:t>
      </w:r>
      <w:r w:rsidRPr="004737C5">
        <w:rPr>
          <w:rFonts w:cstheme="minorHAnsi"/>
        </w:rPr>
        <w:t>n OECD</w:t>
      </w:r>
      <w:r w:rsidR="00BE71E3" w:rsidRPr="004737C5">
        <w:rPr>
          <w:rFonts w:cstheme="minorHAnsi"/>
        </w:rPr>
        <w:t xml:space="preserve"> study of private sector participation in the</w:t>
      </w:r>
      <w:r w:rsidRPr="004737C5">
        <w:rPr>
          <w:rFonts w:cstheme="minorHAnsi"/>
        </w:rPr>
        <w:t xml:space="preserve"> water sector completed in 2009</w:t>
      </w:r>
      <w:r w:rsidR="00BE71E3" w:rsidRPr="004737C5">
        <w:rPr>
          <w:rFonts w:cstheme="minorHAnsi"/>
        </w:rPr>
        <w:t xml:space="preserve"> distinguished two purposes for the trend towards the private sector:</w:t>
      </w:r>
      <w:r w:rsidRPr="004737C5">
        <w:rPr>
          <w:rFonts w:cstheme="minorHAnsi"/>
        </w:rPr>
        <w:t xml:space="preserve"> “</w:t>
      </w:r>
      <w:r w:rsidR="00BE71E3" w:rsidRPr="004737C5">
        <w:rPr>
          <w:rFonts w:cstheme="minorHAnsi"/>
        </w:rPr>
        <w:t>private sector involvement was seen as a way to improve the often poor performance of publicly run u</w:t>
      </w:r>
      <w:r w:rsidRPr="004737C5">
        <w:rPr>
          <w:rFonts w:cstheme="minorHAnsi"/>
        </w:rPr>
        <w:t xml:space="preserve">tilities, and/or to inject much </w:t>
      </w:r>
      <w:r w:rsidR="00BE71E3" w:rsidRPr="004737C5">
        <w:rPr>
          <w:rFonts w:cstheme="minorHAnsi"/>
        </w:rPr>
        <w:t>needed investment capital. However, experience has not always matched expectations and the hoped for surge in private investment flows has not materialized</w:t>
      </w:r>
      <w:r w:rsidRPr="004737C5">
        <w:rPr>
          <w:rFonts w:cstheme="minorHAnsi"/>
        </w:rPr>
        <w:t>”.</w:t>
      </w:r>
      <w:r w:rsidR="00BE71E3" w:rsidRPr="004737C5">
        <w:rPr>
          <w:rStyle w:val="FootnoteReference"/>
          <w:rFonts w:cstheme="minorHAnsi"/>
        </w:rPr>
        <w:footnoteReference w:id="320"/>
      </w:r>
    </w:p>
    <w:p w14:paraId="5A9D1358" w14:textId="00F5FC7A" w:rsidR="00BE71E3" w:rsidRPr="004737C5" w:rsidRDefault="00BE71E3" w:rsidP="006D3BE8">
      <w:pPr>
        <w:rPr>
          <w:rFonts w:cstheme="minorHAnsi"/>
        </w:rPr>
      </w:pPr>
      <w:r w:rsidRPr="004737C5">
        <w:rPr>
          <w:rFonts w:cstheme="minorHAnsi"/>
        </w:rPr>
        <w:t>The turn of the millennium saw a shif</w:t>
      </w:r>
      <w:r w:rsidR="00844AD0" w:rsidRPr="004737C5">
        <w:rPr>
          <w:rFonts w:cstheme="minorHAnsi"/>
        </w:rPr>
        <w:t>t in the pattern of participation</w:t>
      </w:r>
      <w:r w:rsidRPr="004737C5">
        <w:rPr>
          <w:rFonts w:cstheme="minorHAnsi"/>
        </w:rPr>
        <w:t xml:space="preserve"> in the water sector in particular. By 2000, just five international companies accounted for 80</w:t>
      </w:r>
      <w:r w:rsidR="004F6F7F" w:rsidRPr="004737C5">
        <w:rPr>
          <w:rFonts w:cstheme="minorHAnsi"/>
        </w:rPr>
        <w:t xml:space="preserve"> percent</w:t>
      </w:r>
      <w:r w:rsidRPr="004737C5">
        <w:rPr>
          <w:rFonts w:cstheme="minorHAnsi"/>
        </w:rPr>
        <w:t xml:space="preserve"> of the population served by private operators. From </w:t>
      </w:r>
      <w:r w:rsidR="004F6F7F" w:rsidRPr="004737C5">
        <w:rPr>
          <w:rFonts w:cstheme="minorHAnsi"/>
        </w:rPr>
        <w:t>1990‒97, the same five won 53 percent</w:t>
      </w:r>
      <w:r w:rsidRPr="004737C5">
        <w:rPr>
          <w:rFonts w:cstheme="minorHAnsi"/>
        </w:rPr>
        <w:t xml:space="preserve"> of all contracts awarded to private water operators.</w:t>
      </w:r>
      <w:r w:rsidR="004F6F7F" w:rsidRPr="004737C5">
        <w:rPr>
          <w:rFonts w:cstheme="minorHAnsi"/>
        </w:rPr>
        <w:t xml:space="preserve"> In 2002 their share fell to 23 percent</w:t>
      </w:r>
      <w:r w:rsidRPr="004737C5">
        <w:rPr>
          <w:rFonts w:cstheme="minorHAnsi"/>
        </w:rPr>
        <w:t xml:space="preserve"> with a greater prevalence of local and regional actors and hybrids, for example, public companies operating abroad as private companies.</w:t>
      </w:r>
      <w:r w:rsidRPr="004737C5">
        <w:rPr>
          <w:rStyle w:val="FootnoteReference"/>
          <w:rFonts w:cstheme="minorHAnsi"/>
        </w:rPr>
        <w:footnoteReference w:id="321"/>
      </w:r>
      <w:r w:rsidRPr="004737C5">
        <w:rPr>
          <w:rFonts w:cstheme="minorHAnsi"/>
        </w:rPr>
        <w:t xml:space="preserve"> By 2007, private water operators from developing coun</w:t>
      </w:r>
      <w:r w:rsidR="004F6F7F" w:rsidRPr="004737C5">
        <w:rPr>
          <w:rFonts w:cstheme="minorHAnsi"/>
        </w:rPr>
        <w:t>tries were serving more than 40 percent</w:t>
      </w:r>
      <w:r w:rsidRPr="004737C5">
        <w:rPr>
          <w:rFonts w:cstheme="minorHAnsi"/>
        </w:rPr>
        <w:t xml:space="preserve"> of the developing country urban market (not including China, where there were hybrid contracts). By the end of 2007, some of the mos</w:t>
      </w:r>
      <w:r w:rsidR="004F6F7F" w:rsidRPr="004737C5">
        <w:rPr>
          <w:rFonts w:cstheme="minorHAnsi"/>
        </w:rPr>
        <w:t>t active private operators had “</w:t>
      </w:r>
      <w:r w:rsidRPr="004737C5">
        <w:rPr>
          <w:rFonts w:cstheme="minorHAnsi"/>
        </w:rPr>
        <w:t>significantly retr</w:t>
      </w:r>
      <w:r w:rsidR="004F6F7F" w:rsidRPr="004737C5">
        <w:rPr>
          <w:rFonts w:cstheme="minorHAnsi"/>
        </w:rPr>
        <w:t>eated from developing countries”</w:t>
      </w:r>
      <w:r w:rsidRPr="004737C5">
        <w:rPr>
          <w:rFonts w:cstheme="minorHAnsi"/>
        </w:rPr>
        <w:t xml:space="preserve"> according to Philippe Marin’s study of the sector for the World Bank.</w:t>
      </w:r>
      <w:r w:rsidRPr="004737C5">
        <w:rPr>
          <w:rStyle w:val="FootnoteReference"/>
          <w:rFonts w:cstheme="minorHAnsi"/>
        </w:rPr>
        <w:footnoteReference w:id="322"/>
      </w:r>
    </w:p>
    <w:p w14:paraId="56FBFE5E" w14:textId="7D1E23E6" w:rsidR="00BE71E3" w:rsidRPr="004737C5" w:rsidRDefault="00BE71E3" w:rsidP="006D3BE8">
      <w:pPr>
        <w:rPr>
          <w:rFonts w:cstheme="minorHAnsi"/>
        </w:rPr>
      </w:pPr>
      <w:r w:rsidRPr="004737C5">
        <w:rPr>
          <w:rFonts w:cstheme="minorHAnsi"/>
        </w:rPr>
        <w:t>Marin and Izaguirre argued at the time that the enthusiasm, particularly for concessions, that char</w:t>
      </w:r>
      <w:r w:rsidR="004F6F7F" w:rsidRPr="004737C5">
        <w:rPr>
          <w:rFonts w:cstheme="minorHAnsi"/>
        </w:rPr>
        <w:t>acterized the 1990s had faded: “</w:t>
      </w:r>
      <w:r w:rsidRPr="004737C5">
        <w:rPr>
          <w:rFonts w:cstheme="minorHAnsi"/>
        </w:rPr>
        <w:t>contracts often reflected excessive optimism</w:t>
      </w:r>
      <w:r w:rsidR="004F6F7F" w:rsidRPr="004737C5">
        <w:rPr>
          <w:rFonts w:cstheme="minorHAnsi"/>
        </w:rPr>
        <w:t xml:space="preserve"> by both private investors and g</w:t>
      </w:r>
      <w:r w:rsidR="00844AD0" w:rsidRPr="004737C5">
        <w:rPr>
          <w:rFonts w:cstheme="minorHAnsi"/>
        </w:rPr>
        <w:t>overnments, and the socio-</w:t>
      </w:r>
      <w:r w:rsidRPr="004737C5">
        <w:rPr>
          <w:rFonts w:cstheme="minorHAnsi"/>
        </w:rPr>
        <w:t>political difficulties of raising tariffs to levels covering costs were often</w:t>
      </w:r>
      <w:r w:rsidR="00844AD0" w:rsidRPr="004737C5">
        <w:rPr>
          <w:rFonts w:cstheme="minorHAnsi"/>
        </w:rPr>
        <w:t xml:space="preserve"> underestimated.</w:t>
      </w:r>
      <w:r w:rsidRPr="004737C5">
        <w:rPr>
          <w:rFonts w:cstheme="minorHAnsi"/>
        </w:rPr>
        <w:t xml:space="preserve"> Financial markets were hesitant to provide nonrecourse financing for water projects, often requiring that financing be backed by the sponsors’ balance sheets</w:t>
      </w:r>
      <w:r w:rsidR="004F6F7F" w:rsidRPr="004737C5">
        <w:rPr>
          <w:rFonts w:cstheme="minorHAnsi"/>
        </w:rPr>
        <w:t>”.</w:t>
      </w:r>
      <w:r w:rsidRPr="004737C5">
        <w:rPr>
          <w:rStyle w:val="FootnoteReference"/>
          <w:rFonts w:cstheme="minorHAnsi"/>
        </w:rPr>
        <w:footnoteReference w:id="323"/>
      </w:r>
      <w:r w:rsidRPr="004737C5">
        <w:rPr>
          <w:rFonts w:cstheme="minorHAnsi"/>
        </w:rPr>
        <w:t xml:space="preserve"> By 2005, 34</w:t>
      </w:r>
      <w:r w:rsidR="004F6F7F" w:rsidRPr="004737C5">
        <w:rPr>
          <w:rFonts w:cstheme="minorHAnsi"/>
        </w:rPr>
        <w:t xml:space="preserve"> percent</w:t>
      </w:r>
      <w:r w:rsidRPr="004737C5">
        <w:rPr>
          <w:rFonts w:cstheme="minorHAnsi"/>
        </w:rPr>
        <w:t xml:space="preserve"> of investment </w:t>
      </w:r>
      <w:r w:rsidR="004F6F7F" w:rsidRPr="004737C5">
        <w:rPr>
          <w:rFonts w:cstheme="minorHAnsi"/>
        </w:rPr>
        <w:t>commitments made since 1990 (11 percent</w:t>
      </w:r>
      <w:r w:rsidRPr="004737C5">
        <w:rPr>
          <w:rFonts w:cstheme="minorHAnsi"/>
        </w:rPr>
        <w:t xml:space="preserve"> in number) were either cancelled or under distress, i.e. under request for cancellation or in international arbitration.</w:t>
      </w:r>
      <w:r w:rsidRPr="004737C5">
        <w:rPr>
          <w:rStyle w:val="FootnoteReference"/>
          <w:rFonts w:cstheme="minorHAnsi"/>
        </w:rPr>
        <w:footnoteReference w:id="324"/>
      </w:r>
      <w:r w:rsidRPr="004737C5">
        <w:rPr>
          <w:rFonts w:cstheme="minorHAnsi"/>
        </w:rPr>
        <w:t xml:space="preserve">   </w:t>
      </w:r>
    </w:p>
    <w:p w14:paraId="1C5A4F77" w14:textId="19A12C20" w:rsidR="00BE71E3" w:rsidRPr="004737C5" w:rsidRDefault="00BE71E3" w:rsidP="006D3BE8">
      <w:pPr>
        <w:rPr>
          <w:rFonts w:cstheme="minorHAnsi"/>
        </w:rPr>
      </w:pPr>
      <w:r w:rsidRPr="004737C5">
        <w:rPr>
          <w:rFonts w:cstheme="minorHAnsi"/>
        </w:rPr>
        <w:t xml:space="preserve">One of the reasons for the unpopularity of private sector operators was the frequency of renegotiations of contracts before their due date. This was particularly frequent in </w:t>
      </w:r>
      <w:r w:rsidR="00844AD0" w:rsidRPr="004737C5">
        <w:rPr>
          <w:rFonts w:cstheme="minorHAnsi"/>
        </w:rPr>
        <w:t>Latin America during the final</w:t>
      </w:r>
      <w:r w:rsidRPr="004737C5">
        <w:rPr>
          <w:rFonts w:cstheme="minorHAnsi"/>
        </w:rPr>
        <w:t xml:space="preserve"> years of the last century.</w:t>
      </w:r>
      <w:r w:rsidRPr="004737C5">
        <w:rPr>
          <w:rStyle w:val="FootnoteReference"/>
          <w:rFonts w:cstheme="minorHAnsi"/>
        </w:rPr>
        <w:footnoteReference w:id="325"/>
      </w:r>
      <w:r w:rsidRPr="004737C5">
        <w:rPr>
          <w:rFonts w:cstheme="minorHAnsi"/>
        </w:rPr>
        <w:t xml:space="preserve"> Another reason was</w:t>
      </w:r>
      <w:r w:rsidR="00844AD0" w:rsidRPr="004737C5">
        <w:rPr>
          <w:rFonts w:cstheme="minorHAnsi"/>
        </w:rPr>
        <w:t xml:space="preserve"> a function not of </w:t>
      </w:r>
      <w:r w:rsidR="004F6F7F" w:rsidRPr="004737C5">
        <w:rPr>
          <w:rFonts w:cstheme="minorHAnsi"/>
        </w:rPr>
        <w:t>operator</w:t>
      </w:r>
      <w:r w:rsidRPr="004737C5">
        <w:rPr>
          <w:rFonts w:cstheme="minorHAnsi"/>
        </w:rPr>
        <w:t>s</w:t>
      </w:r>
      <w:r w:rsidR="004F6F7F" w:rsidRPr="004737C5">
        <w:rPr>
          <w:rFonts w:cstheme="minorHAnsi"/>
        </w:rPr>
        <w:t>’</w:t>
      </w:r>
      <w:r w:rsidRPr="004737C5">
        <w:rPr>
          <w:rFonts w:cstheme="minorHAnsi"/>
        </w:rPr>
        <w:t xml:space="preserve"> perfo</w:t>
      </w:r>
      <w:r w:rsidR="00844AD0" w:rsidRPr="004737C5">
        <w:rPr>
          <w:rFonts w:cstheme="minorHAnsi"/>
        </w:rPr>
        <w:t>rmance but of the contracts</w:t>
      </w:r>
      <w:r w:rsidRPr="004737C5">
        <w:rPr>
          <w:rFonts w:cstheme="minorHAnsi"/>
        </w:rPr>
        <w:t xml:space="preserve"> they were given</w:t>
      </w:r>
      <w:r w:rsidR="00844AD0" w:rsidRPr="004737C5">
        <w:rPr>
          <w:rFonts w:cstheme="minorHAnsi"/>
        </w:rPr>
        <w:t>,</w:t>
      </w:r>
      <w:r w:rsidRPr="004737C5">
        <w:rPr>
          <w:rFonts w:cstheme="minorHAnsi"/>
        </w:rPr>
        <w:t xml:space="preserve"> which focused heavily on price as opposed to coverage. The contracts for the two zones of Manila for example, saw bids which set price levels of only</w:t>
      </w:r>
      <w:r w:rsidR="004F6F7F" w:rsidRPr="004737C5">
        <w:rPr>
          <w:rFonts w:cstheme="minorHAnsi"/>
        </w:rPr>
        <w:t xml:space="preserve"> 26 percent (eastern zone) and 57 percent (w</w:t>
      </w:r>
      <w:r w:rsidRPr="004737C5">
        <w:rPr>
          <w:rFonts w:cstheme="minorHAnsi"/>
        </w:rPr>
        <w:t>estern zone) of pre-bid levels. This meant that the connected populations, which were of course the better off, received a windfall, while the non-connected poor gained nothing.</w:t>
      </w:r>
      <w:r w:rsidRPr="004737C5">
        <w:rPr>
          <w:rStyle w:val="FootnoteReference"/>
          <w:rFonts w:cstheme="minorHAnsi"/>
        </w:rPr>
        <w:footnoteReference w:id="326"/>
      </w:r>
    </w:p>
    <w:p w14:paraId="4FA7509C" w14:textId="77777777" w:rsidR="00BE71E3" w:rsidRPr="004737C5" w:rsidRDefault="00BE71E3" w:rsidP="006D3BE8">
      <w:pPr>
        <w:rPr>
          <w:rFonts w:cstheme="minorHAnsi"/>
          <w:b/>
        </w:rPr>
      </w:pPr>
      <w:r w:rsidRPr="004737C5">
        <w:rPr>
          <w:rFonts w:cstheme="minorHAnsi"/>
        </w:rPr>
        <w:t xml:space="preserve">The decline of concessions was particularly interesting from the point of view of capital finance, </w:t>
      </w:r>
      <w:r w:rsidR="004F6F7F" w:rsidRPr="004737C5">
        <w:rPr>
          <w:rFonts w:cstheme="minorHAnsi"/>
        </w:rPr>
        <w:t>as</w:t>
      </w:r>
      <w:r w:rsidRPr="004737C5">
        <w:rPr>
          <w:rFonts w:cstheme="minorHAnsi"/>
        </w:rPr>
        <w:t xml:space="preserve"> it is concessions that bring private </w:t>
      </w:r>
      <w:r w:rsidR="004F6F7F" w:rsidRPr="004737C5">
        <w:rPr>
          <w:rFonts w:cstheme="minorHAnsi"/>
        </w:rPr>
        <w:t>finance capital, hence the long-</w:t>
      </w:r>
      <w:r w:rsidRPr="004737C5">
        <w:rPr>
          <w:rFonts w:cstheme="minorHAnsi"/>
        </w:rPr>
        <w:t>term nature of the contracts. Their decline indicated a shift to a more flexible involvement of the private sector, through leases</w:t>
      </w:r>
      <w:r w:rsidR="004F6F7F" w:rsidRPr="004737C5">
        <w:rPr>
          <w:rFonts w:cstheme="minorHAnsi"/>
        </w:rPr>
        <w:t>, affermages</w:t>
      </w:r>
      <w:r w:rsidRPr="004737C5">
        <w:rPr>
          <w:rFonts w:cstheme="minorHAnsi"/>
        </w:rPr>
        <w:t xml:space="preserve"> or simple mana</w:t>
      </w:r>
      <w:r w:rsidR="004F6F7F" w:rsidRPr="004737C5">
        <w:rPr>
          <w:rFonts w:cstheme="minorHAnsi"/>
        </w:rPr>
        <w:t>gement contracts as set out in t</w:t>
      </w:r>
      <w:r w:rsidRPr="004737C5">
        <w:rPr>
          <w:rFonts w:cstheme="minorHAnsi"/>
        </w:rPr>
        <w:t xml:space="preserve">able 1. </w:t>
      </w:r>
    </w:p>
    <w:p w14:paraId="60CC5C58" w14:textId="77777777" w:rsidR="00BE71E3" w:rsidRPr="004737C5" w:rsidRDefault="004F6F7F" w:rsidP="00670D81">
      <w:pPr>
        <w:pStyle w:val="Heading2"/>
        <w:spacing w:after="160"/>
        <w:rPr>
          <w:rFonts w:cstheme="minorHAnsi"/>
          <w:color w:val="auto"/>
          <w:sz w:val="24"/>
          <w:szCs w:val="24"/>
        </w:rPr>
      </w:pPr>
      <w:bookmarkStart w:id="390" w:name="_Toc454293904"/>
      <w:bookmarkStart w:id="391" w:name="_Toc489950342"/>
      <w:bookmarkStart w:id="392" w:name="_Toc492650129"/>
      <w:r w:rsidRPr="004737C5">
        <w:rPr>
          <w:rFonts w:cstheme="minorHAnsi"/>
          <w:color w:val="auto"/>
          <w:sz w:val="24"/>
          <w:szCs w:val="24"/>
        </w:rPr>
        <w:lastRenderedPageBreak/>
        <w:t>E.</w:t>
      </w:r>
      <w:r w:rsidR="00BE71E3" w:rsidRPr="004737C5">
        <w:rPr>
          <w:rFonts w:cstheme="minorHAnsi"/>
          <w:color w:val="auto"/>
          <w:sz w:val="24"/>
          <w:szCs w:val="24"/>
        </w:rPr>
        <w:t xml:space="preserve"> The performance of public utilities</w:t>
      </w:r>
      <w:bookmarkEnd w:id="390"/>
      <w:bookmarkEnd w:id="391"/>
      <w:bookmarkEnd w:id="392"/>
    </w:p>
    <w:p w14:paraId="1AFF767C" w14:textId="77777777" w:rsidR="00BE71E3" w:rsidRPr="004737C5" w:rsidRDefault="00BE71E3" w:rsidP="006D3BE8">
      <w:pPr>
        <w:rPr>
          <w:rFonts w:cstheme="minorHAnsi"/>
          <w:snapToGrid w:val="0"/>
        </w:rPr>
      </w:pPr>
      <w:r w:rsidRPr="004737C5">
        <w:rPr>
          <w:rFonts w:cstheme="minorHAnsi"/>
          <w:snapToGrid w:val="0"/>
        </w:rPr>
        <w:t xml:space="preserve">What gave rise to the vogue for the private sector was a widespread failure of some incumbents in developing countries to provide the level of service that was in their mandate. Essentially this was a problem of connectivity arising from revenue starvation. </w:t>
      </w:r>
    </w:p>
    <w:p w14:paraId="557136B5" w14:textId="369252D2" w:rsidR="00BE71E3" w:rsidRPr="004737C5" w:rsidRDefault="00BE71E3" w:rsidP="006D3BE8">
      <w:pPr>
        <w:rPr>
          <w:rFonts w:cstheme="minorHAnsi"/>
          <w:snapToGrid w:val="0"/>
        </w:rPr>
      </w:pPr>
      <w:r w:rsidRPr="004737C5">
        <w:rPr>
          <w:rFonts w:cstheme="minorHAnsi"/>
          <w:snapToGrid w:val="0"/>
        </w:rPr>
        <w:t>By the mid-2000s, surveys by Global Water Intelligence of over 100 cities at all levels of development found that about two</w:t>
      </w:r>
      <w:r w:rsidR="00670D81" w:rsidRPr="004737C5">
        <w:rPr>
          <w:rFonts w:cstheme="minorHAnsi"/>
          <w:snapToGrid w:val="0"/>
        </w:rPr>
        <w:t xml:space="preserve"> fifths (and nine tenths in low-</w:t>
      </w:r>
      <w:r w:rsidRPr="004737C5">
        <w:rPr>
          <w:rFonts w:cstheme="minorHAnsi"/>
          <w:snapToGrid w:val="0"/>
        </w:rPr>
        <w:t xml:space="preserve">income countries) did not recover even operations and </w:t>
      </w:r>
      <w:r w:rsidR="004F6F7F" w:rsidRPr="004737C5">
        <w:rPr>
          <w:rFonts w:cstheme="minorHAnsi"/>
          <w:snapToGrid w:val="0"/>
        </w:rPr>
        <w:t>maintenance costs. 30 percent</w:t>
      </w:r>
      <w:r w:rsidRPr="004737C5">
        <w:rPr>
          <w:rFonts w:cstheme="minorHAnsi"/>
          <w:snapToGrid w:val="0"/>
        </w:rPr>
        <w:t xml:space="preserve"> paid some contribution to capital costs, but in low income count</w:t>
      </w:r>
      <w:r w:rsidR="004F6F7F" w:rsidRPr="004737C5">
        <w:rPr>
          <w:rFonts w:cstheme="minorHAnsi"/>
          <w:snapToGrid w:val="0"/>
        </w:rPr>
        <w:t>ries this was very rare (only 3 percent)</w:t>
      </w:r>
      <w:r w:rsidRPr="004737C5">
        <w:rPr>
          <w:rFonts w:cstheme="minorHAnsi"/>
          <w:snapToGrid w:val="0"/>
        </w:rPr>
        <w:t>.</w:t>
      </w:r>
      <w:r w:rsidRPr="004737C5">
        <w:rPr>
          <w:rStyle w:val="FootnoteReference"/>
          <w:rFonts w:cstheme="minorHAnsi"/>
          <w:snapToGrid w:val="0"/>
        </w:rPr>
        <w:footnoteReference w:id="327"/>
      </w:r>
      <w:r w:rsidRPr="004737C5">
        <w:rPr>
          <w:rFonts w:cstheme="minorHAnsi"/>
          <w:snapToGrid w:val="0"/>
        </w:rPr>
        <w:t xml:space="preserve"> For electricity, the picture was more sustainable. Out of 84 countries surveyed by a World Bank team, almost </w:t>
      </w:r>
      <w:r w:rsidR="00670D81" w:rsidRPr="004737C5">
        <w:rPr>
          <w:rFonts w:cstheme="minorHAnsi"/>
          <w:snapToGrid w:val="0"/>
        </w:rPr>
        <w:t>a third of low-</w:t>
      </w:r>
      <w:r w:rsidR="004F6F7F" w:rsidRPr="004737C5">
        <w:rPr>
          <w:rFonts w:cstheme="minorHAnsi"/>
          <w:snapToGrid w:val="0"/>
        </w:rPr>
        <w:t>income countries</w:t>
      </w:r>
      <w:r w:rsidRPr="004737C5">
        <w:rPr>
          <w:rFonts w:cstheme="minorHAnsi"/>
          <w:snapToGrid w:val="0"/>
        </w:rPr>
        <w:t xml:space="preserve"> did not cover operation an</w:t>
      </w:r>
      <w:r w:rsidR="004F6F7F" w:rsidRPr="004737C5">
        <w:rPr>
          <w:rFonts w:cstheme="minorHAnsi"/>
          <w:snapToGrid w:val="0"/>
        </w:rPr>
        <w:t>d management costs. Globally</w:t>
      </w:r>
      <w:r w:rsidR="00670D81" w:rsidRPr="004737C5">
        <w:rPr>
          <w:rFonts w:cstheme="minorHAnsi"/>
          <w:snapToGrid w:val="0"/>
        </w:rPr>
        <w:t>,</w:t>
      </w:r>
      <w:r w:rsidR="004F6F7F" w:rsidRPr="004737C5">
        <w:rPr>
          <w:rFonts w:cstheme="minorHAnsi"/>
          <w:snapToGrid w:val="0"/>
        </w:rPr>
        <w:t xml:space="preserve"> 41 percent</w:t>
      </w:r>
      <w:r w:rsidRPr="004737C5">
        <w:rPr>
          <w:rFonts w:cstheme="minorHAnsi"/>
          <w:snapToGrid w:val="0"/>
        </w:rPr>
        <w:t xml:space="preserve"> made a contribution to capital costs.</w:t>
      </w:r>
      <w:r w:rsidRPr="004737C5">
        <w:rPr>
          <w:rStyle w:val="FootnoteReference"/>
          <w:rFonts w:cstheme="minorHAnsi"/>
          <w:snapToGrid w:val="0"/>
        </w:rPr>
        <w:footnoteReference w:id="328"/>
      </w:r>
      <w:r w:rsidRPr="004737C5">
        <w:rPr>
          <w:rFonts w:cstheme="minorHAnsi"/>
          <w:snapToGrid w:val="0"/>
        </w:rPr>
        <w:t xml:space="preserve"> </w:t>
      </w:r>
    </w:p>
    <w:p w14:paraId="734C986A" w14:textId="6A33A313" w:rsidR="00BE71E3" w:rsidRPr="004737C5" w:rsidRDefault="00BE71E3" w:rsidP="006D3BE8">
      <w:pPr>
        <w:rPr>
          <w:rFonts w:cstheme="minorHAnsi"/>
          <w:snapToGrid w:val="0"/>
        </w:rPr>
      </w:pPr>
      <w:r w:rsidRPr="004737C5">
        <w:rPr>
          <w:rFonts w:cstheme="minorHAnsi"/>
          <w:snapToGrid w:val="0"/>
        </w:rPr>
        <w:t>The above shortfal</w:t>
      </w:r>
      <w:r w:rsidR="004F6F7F" w:rsidRPr="004737C5">
        <w:rPr>
          <w:rFonts w:cstheme="minorHAnsi"/>
          <w:snapToGrid w:val="0"/>
        </w:rPr>
        <w:t>ls had either to be made up by g</w:t>
      </w:r>
      <w:r w:rsidRPr="004737C5">
        <w:rPr>
          <w:rFonts w:cstheme="minorHAnsi"/>
          <w:snapToGrid w:val="0"/>
        </w:rPr>
        <w:t>overnments or costs were reduced</w:t>
      </w:r>
      <w:r w:rsidR="004F6F7F" w:rsidRPr="004737C5">
        <w:rPr>
          <w:rFonts w:cstheme="minorHAnsi"/>
          <w:snapToGrid w:val="0"/>
        </w:rPr>
        <w:t xml:space="preserve"> by failing</w:t>
      </w:r>
      <w:r w:rsidRPr="004737C5">
        <w:rPr>
          <w:rFonts w:cstheme="minorHAnsi"/>
          <w:snapToGrid w:val="0"/>
        </w:rPr>
        <w:t xml:space="preserve"> to maintain </w:t>
      </w:r>
      <w:r w:rsidR="004F6F7F" w:rsidRPr="004737C5">
        <w:rPr>
          <w:rFonts w:cstheme="minorHAnsi"/>
          <w:snapToGrid w:val="0"/>
        </w:rPr>
        <w:t xml:space="preserve">networks, </w:t>
      </w:r>
      <w:r w:rsidRPr="004737C5">
        <w:rPr>
          <w:rFonts w:cstheme="minorHAnsi"/>
          <w:snapToGrid w:val="0"/>
        </w:rPr>
        <w:t>thus allowing the</w:t>
      </w:r>
      <w:r w:rsidR="004F6F7F" w:rsidRPr="004737C5">
        <w:rPr>
          <w:rFonts w:cstheme="minorHAnsi"/>
          <w:snapToGrid w:val="0"/>
        </w:rPr>
        <w:t>m</w:t>
      </w:r>
      <w:r w:rsidRPr="004737C5">
        <w:rPr>
          <w:rFonts w:cstheme="minorHAnsi"/>
          <w:snapToGrid w:val="0"/>
        </w:rPr>
        <w:t xml:space="preserve"> to deteriorate. </w:t>
      </w:r>
      <w:r w:rsidR="004F6F7F" w:rsidRPr="004737C5">
        <w:rPr>
          <w:rFonts w:cstheme="minorHAnsi"/>
          <w:snapToGrid w:val="0"/>
        </w:rPr>
        <w:t>T</w:t>
      </w:r>
      <w:r w:rsidRPr="004737C5">
        <w:rPr>
          <w:rFonts w:cstheme="minorHAnsi"/>
          <w:snapToGrid w:val="0"/>
        </w:rPr>
        <w:t xml:space="preserve">he consequences were </w:t>
      </w:r>
      <w:r w:rsidR="004F6F7F" w:rsidRPr="004737C5">
        <w:rPr>
          <w:rFonts w:cstheme="minorHAnsi"/>
          <w:snapToGrid w:val="0"/>
        </w:rPr>
        <w:t xml:space="preserve">thus </w:t>
      </w:r>
      <w:r w:rsidR="00670D81" w:rsidRPr="004737C5">
        <w:rPr>
          <w:rFonts w:cstheme="minorHAnsi"/>
          <w:snapToGrid w:val="0"/>
        </w:rPr>
        <w:t xml:space="preserve">even worse than </w:t>
      </w:r>
      <w:r w:rsidRPr="004737C5">
        <w:rPr>
          <w:rFonts w:cstheme="minorHAnsi"/>
          <w:snapToGrid w:val="0"/>
        </w:rPr>
        <w:t>balance sheets demonstrated. First of all, be</w:t>
      </w:r>
      <w:r w:rsidR="004F6F7F" w:rsidRPr="004737C5">
        <w:rPr>
          <w:rFonts w:cstheme="minorHAnsi"/>
          <w:snapToGrid w:val="0"/>
        </w:rPr>
        <w:t>low cost prices encouraged over-</w:t>
      </w:r>
      <w:r w:rsidRPr="004737C5">
        <w:rPr>
          <w:rFonts w:cstheme="minorHAnsi"/>
          <w:snapToGrid w:val="0"/>
        </w:rPr>
        <w:t>consumption among customers (or at best discouraged conservation) often con</w:t>
      </w:r>
      <w:r w:rsidR="00670D81" w:rsidRPr="004737C5">
        <w:rPr>
          <w:rFonts w:cstheme="minorHAnsi"/>
          <w:snapToGrid w:val="0"/>
        </w:rPr>
        <w:t>tributing to shortages. Secondly</w:t>
      </w:r>
      <w:r w:rsidRPr="004737C5">
        <w:rPr>
          <w:rFonts w:cstheme="minorHAnsi"/>
          <w:snapToGrid w:val="0"/>
        </w:rPr>
        <w:t xml:space="preserve"> and most importantly, artificially low prices for both the poor and wealthy meant that no revenue could be generated to fund extensions to networks.  </w:t>
      </w:r>
    </w:p>
    <w:p w14:paraId="5C801277" w14:textId="53AA8A82" w:rsidR="00BE71E3" w:rsidRPr="004737C5" w:rsidRDefault="00BE71E3" w:rsidP="006D3BE8">
      <w:pPr>
        <w:rPr>
          <w:rFonts w:cstheme="minorHAnsi"/>
        </w:rPr>
      </w:pPr>
      <w:r w:rsidRPr="004737C5">
        <w:rPr>
          <w:rFonts w:cstheme="minorHAnsi"/>
          <w:snapToGrid w:val="0"/>
        </w:rPr>
        <w:t xml:space="preserve">Those who paid the price in terms of their daily lives were therefore the non-connected and unserved. But private sector participation did not necessarily solve this problem either, especially where contracts did not specify network extension. It is </w:t>
      </w:r>
      <w:r w:rsidRPr="004737C5">
        <w:rPr>
          <w:rFonts w:cstheme="minorHAnsi"/>
        </w:rPr>
        <w:t>questionable whether it will ever be more profitable to connect a new consumer than to just take profits from the existing network, or at least not incur losses by extending to the less profitable customers, unless a company is given an explicit re</w:t>
      </w:r>
      <w:r w:rsidR="004F6F7F" w:rsidRPr="004737C5">
        <w:rPr>
          <w:rFonts w:cstheme="minorHAnsi"/>
        </w:rPr>
        <w:t>quirement to increase coverage.</w:t>
      </w:r>
      <w:r w:rsidRPr="004737C5">
        <w:rPr>
          <w:rFonts w:cstheme="minorHAnsi"/>
        </w:rPr>
        <w:t xml:space="preserve"> In the absence of such requirements, or without the finance to implement them, the incumbents proved unable to meet the challenges of demography and urbanization. This was most vividly demonstrated by the development of peri-urban settlements in developing countries. It is such places that are the focus of the MDGs and the SDGs</w:t>
      </w:r>
      <w:r w:rsidR="00670D81" w:rsidRPr="004737C5">
        <w:rPr>
          <w:rFonts w:cstheme="minorHAnsi"/>
        </w:rPr>
        <w:t>,</w:t>
      </w:r>
      <w:r w:rsidRPr="004737C5">
        <w:rPr>
          <w:rFonts w:cstheme="minorHAnsi"/>
        </w:rPr>
        <w:t xml:space="preserve"> and by extension the UNGCP.</w:t>
      </w:r>
    </w:p>
    <w:p w14:paraId="38515817" w14:textId="02E57172" w:rsidR="00BE71E3" w:rsidRPr="004737C5" w:rsidRDefault="00BE71E3" w:rsidP="006D3BE8">
      <w:pPr>
        <w:rPr>
          <w:rFonts w:cstheme="minorHAnsi"/>
        </w:rPr>
      </w:pPr>
      <w:r w:rsidRPr="004737C5">
        <w:rPr>
          <w:rFonts w:cstheme="minorHAnsi"/>
        </w:rPr>
        <w:t>Given that energy, water and sanitation are essenti</w:t>
      </w:r>
      <w:r w:rsidR="003D3D80" w:rsidRPr="004737C5">
        <w:rPr>
          <w:rFonts w:cstheme="minorHAnsi"/>
        </w:rPr>
        <w:t>al services, and that going without i</w:t>
      </w:r>
      <w:r w:rsidRPr="004737C5">
        <w:rPr>
          <w:rFonts w:cstheme="minorHAnsi"/>
        </w:rPr>
        <w:t>s not an option, the populations of unserved areas often had to make other less formal arrangements.</w:t>
      </w:r>
      <w:r w:rsidRPr="004737C5">
        <w:rPr>
          <w:rStyle w:val="FootnoteReference"/>
          <w:rFonts w:cstheme="minorHAnsi"/>
        </w:rPr>
        <w:footnoteReference w:id="329"/>
      </w:r>
      <w:r w:rsidRPr="004737C5">
        <w:rPr>
          <w:rFonts w:cstheme="minorHAnsi"/>
        </w:rPr>
        <w:t xml:space="preserve"> The scale of this has often been underestimated partly because the infor</w:t>
      </w:r>
      <w:r w:rsidR="003D3D80" w:rsidRPr="004737C5">
        <w:rPr>
          <w:rFonts w:cstheme="minorHAnsi"/>
        </w:rPr>
        <w:t>mality (even illegality) itself</w:t>
      </w:r>
      <w:r w:rsidRPr="004737C5">
        <w:rPr>
          <w:rFonts w:cstheme="minorHAnsi"/>
        </w:rPr>
        <w:t xml:space="preserve"> makes </w:t>
      </w:r>
      <w:r w:rsidR="003D3D80" w:rsidRPr="004737C5">
        <w:rPr>
          <w:rFonts w:cstheme="minorHAnsi"/>
        </w:rPr>
        <w:t xml:space="preserve">it </w:t>
      </w:r>
      <w:r w:rsidRPr="004737C5">
        <w:rPr>
          <w:rFonts w:cstheme="minorHAnsi"/>
        </w:rPr>
        <w:t>difficult to estimate, and partly because informal settlements grew so quickly and were sometimes seen as embarrassing or even viewed with hostility.</w:t>
      </w:r>
      <w:r w:rsidR="00670D81" w:rsidRPr="004737C5">
        <w:rPr>
          <w:rFonts w:cstheme="minorHAnsi"/>
        </w:rPr>
        <w:t xml:space="preserve"> The same was true of the small-</w:t>
      </w:r>
      <w:r w:rsidRPr="004737C5">
        <w:rPr>
          <w:rFonts w:cstheme="minorHAnsi"/>
        </w:rPr>
        <w:t>scale independent providers (SSIPs) that sprung up all over the world. They could be small piped or wired networks, sometimes running supplies illegally from the official networks; they could be point sources such as sta</w:t>
      </w:r>
      <w:r w:rsidR="003D3D80" w:rsidRPr="004737C5">
        <w:rPr>
          <w:rFonts w:cstheme="minorHAnsi"/>
        </w:rPr>
        <w:t xml:space="preserve">ndpipes or battery chargers, </w:t>
      </w:r>
      <w:r w:rsidRPr="004737C5">
        <w:rPr>
          <w:rFonts w:cstheme="minorHAnsi"/>
        </w:rPr>
        <w:t>mobile distributors such as water vendors on bicycles or trucks,</w:t>
      </w:r>
      <w:r w:rsidR="003D3D80" w:rsidRPr="004737C5">
        <w:rPr>
          <w:rFonts w:cstheme="minorHAnsi"/>
        </w:rPr>
        <w:t xml:space="preserve"> or</w:t>
      </w:r>
      <w:r w:rsidRPr="004737C5">
        <w:rPr>
          <w:rFonts w:cstheme="minorHAnsi"/>
        </w:rPr>
        <w:t xml:space="preserve"> wood sellers, often gathering their own fu</w:t>
      </w:r>
      <w:r w:rsidR="003D3D80" w:rsidRPr="004737C5">
        <w:rPr>
          <w:rFonts w:cstheme="minorHAnsi"/>
        </w:rPr>
        <w:t>el sources. They could also be “frogmen”</w:t>
      </w:r>
      <w:r w:rsidRPr="004737C5">
        <w:rPr>
          <w:rFonts w:cstheme="minorHAnsi"/>
        </w:rPr>
        <w:t xml:space="preserve"> operating often illegally in the absence of a sanitation system. Sometimes high proportions of populations in cities are served by drinking water SSIPs. During the first decade of thi</w:t>
      </w:r>
      <w:r w:rsidR="003D3D80" w:rsidRPr="004737C5">
        <w:rPr>
          <w:rFonts w:cstheme="minorHAnsi"/>
        </w:rPr>
        <w:t>s century the levels reached 44 percent in Jakarta, 60 percent in</w:t>
      </w:r>
      <w:r w:rsidR="00670D81" w:rsidRPr="004737C5">
        <w:rPr>
          <w:rFonts w:cstheme="minorHAnsi"/>
        </w:rPr>
        <w:t xml:space="preserve"> Nairobi, 66 percent in Conakry and</w:t>
      </w:r>
      <w:r w:rsidR="003D3D80" w:rsidRPr="004737C5">
        <w:rPr>
          <w:rFonts w:cstheme="minorHAnsi"/>
        </w:rPr>
        <w:t xml:space="preserve"> 80 percent</w:t>
      </w:r>
      <w:r w:rsidRPr="004737C5">
        <w:rPr>
          <w:rFonts w:cstheme="minorHAnsi"/>
        </w:rPr>
        <w:t xml:space="preserve"> in K</w:t>
      </w:r>
      <w:r w:rsidR="003D3D80" w:rsidRPr="004737C5">
        <w:rPr>
          <w:rFonts w:cstheme="minorHAnsi"/>
        </w:rPr>
        <w:t>h</w:t>
      </w:r>
      <w:r w:rsidRPr="004737C5">
        <w:rPr>
          <w:rFonts w:cstheme="minorHAnsi"/>
        </w:rPr>
        <w:t>artoum. Conversely, bett</w:t>
      </w:r>
      <w:r w:rsidR="003D3D80" w:rsidRPr="004737C5">
        <w:rPr>
          <w:rFonts w:cstheme="minorHAnsi"/>
        </w:rPr>
        <w:t>er served cities like Dakar (21 percent</w:t>
      </w:r>
      <w:r w:rsidRPr="004737C5">
        <w:rPr>
          <w:rFonts w:cstheme="minorHAnsi"/>
        </w:rPr>
        <w:t>) saw lower proportions.</w:t>
      </w:r>
      <w:r w:rsidRPr="004737C5">
        <w:rPr>
          <w:rStyle w:val="FootnoteReference"/>
          <w:rFonts w:cstheme="minorHAnsi"/>
        </w:rPr>
        <w:footnoteReference w:id="330"/>
      </w:r>
      <w:r w:rsidRPr="004737C5">
        <w:rPr>
          <w:rFonts w:cstheme="minorHAnsi"/>
        </w:rPr>
        <w:t xml:space="preserve"> </w:t>
      </w:r>
    </w:p>
    <w:p w14:paraId="23AD43AC" w14:textId="1B6CE9A1" w:rsidR="00BE71E3" w:rsidRPr="004737C5" w:rsidRDefault="00BE71E3" w:rsidP="006D3BE8">
      <w:pPr>
        <w:rPr>
          <w:rFonts w:cstheme="minorHAnsi"/>
        </w:rPr>
      </w:pPr>
      <w:r w:rsidRPr="004737C5">
        <w:rPr>
          <w:rFonts w:cstheme="minorHAnsi"/>
        </w:rPr>
        <w:lastRenderedPageBreak/>
        <w:t>One way of describin</w:t>
      </w:r>
      <w:r w:rsidR="003D3D80" w:rsidRPr="004737C5">
        <w:rPr>
          <w:rFonts w:cstheme="minorHAnsi"/>
        </w:rPr>
        <w:t>g SSIPs is as being present by “</w:t>
      </w:r>
      <w:r w:rsidRPr="004737C5">
        <w:rPr>
          <w:rFonts w:cstheme="minorHAnsi"/>
        </w:rPr>
        <w:t>default or design</w:t>
      </w:r>
      <w:r w:rsidR="003D3D80" w:rsidRPr="004737C5">
        <w:rPr>
          <w:rFonts w:cstheme="minorHAnsi"/>
        </w:rPr>
        <w:t>”.</w:t>
      </w:r>
      <w:r w:rsidRPr="004737C5">
        <w:rPr>
          <w:rFonts w:cstheme="minorHAnsi"/>
        </w:rPr>
        <w:t xml:space="preserve"> There has been some shift towards the latter as SSIPs are increasingly seen as operating small public systems </w:t>
      </w:r>
      <w:r w:rsidR="003D3D80" w:rsidRPr="004737C5">
        <w:rPr>
          <w:rFonts w:cstheme="minorHAnsi"/>
        </w:rPr>
        <w:t>that need to expand or improve.</w:t>
      </w:r>
      <w:r w:rsidRPr="004737C5">
        <w:rPr>
          <w:rFonts w:cstheme="minorHAnsi"/>
        </w:rPr>
        <w:t xml:space="preserve"> A well-known example is that of the </w:t>
      </w:r>
      <w:r w:rsidRPr="004737C5">
        <w:rPr>
          <w:rFonts w:cstheme="minorHAnsi"/>
          <w:i/>
        </w:rPr>
        <w:t>aguateros</w:t>
      </w:r>
      <w:r w:rsidRPr="004737C5">
        <w:rPr>
          <w:rFonts w:cstheme="minorHAnsi"/>
        </w:rPr>
        <w:t xml:space="preserve"> in Asunción/Ciudad del Este, Paraguay.</w:t>
      </w:r>
      <w:r w:rsidRPr="004737C5">
        <w:rPr>
          <w:rStyle w:val="FootnoteReference"/>
          <w:rFonts w:cstheme="minorHAnsi"/>
        </w:rPr>
        <w:footnoteReference w:id="331"/>
      </w:r>
      <w:r w:rsidRPr="004737C5">
        <w:rPr>
          <w:rFonts w:cstheme="minorHAnsi"/>
        </w:rPr>
        <w:t xml:space="preserve"> </w:t>
      </w:r>
      <w:r w:rsidR="00670D81" w:rsidRPr="004737C5">
        <w:rPr>
          <w:rFonts w:cstheme="minorHAnsi"/>
        </w:rPr>
        <w:t>Little by little,</w:t>
      </w:r>
      <w:r w:rsidRPr="004737C5">
        <w:rPr>
          <w:rFonts w:cstheme="minorHAnsi"/>
        </w:rPr>
        <w:t xml:space="preserve"> informal services have been recognized and sometimes operate under</w:t>
      </w:r>
      <w:r w:rsidR="00670D81" w:rsidRPr="004737C5">
        <w:rPr>
          <w:rFonts w:cstheme="minorHAnsi"/>
        </w:rPr>
        <w:t xml:space="preserve"> licence, even as regulated sub</w:t>
      </w:r>
      <w:r w:rsidRPr="004737C5">
        <w:rPr>
          <w:rFonts w:cstheme="minorHAnsi"/>
        </w:rPr>
        <w:t xml:space="preserve">contractors within private concession contracts as was the case with Inpart Engineering in Manila. </w:t>
      </w:r>
    </w:p>
    <w:p w14:paraId="4909E4BE" w14:textId="77777777" w:rsidR="00BE71E3" w:rsidRPr="004737C5" w:rsidRDefault="003D3D80" w:rsidP="00670D81">
      <w:pPr>
        <w:pStyle w:val="Heading2"/>
        <w:spacing w:after="160"/>
        <w:rPr>
          <w:rFonts w:cstheme="minorHAnsi"/>
          <w:color w:val="auto"/>
          <w:sz w:val="24"/>
          <w:szCs w:val="24"/>
        </w:rPr>
      </w:pPr>
      <w:bookmarkStart w:id="393" w:name="_Toc454293905"/>
      <w:bookmarkStart w:id="394" w:name="_Toc489950343"/>
      <w:bookmarkStart w:id="395" w:name="_Toc492650130"/>
      <w:r w:rsidRPr="004737C5">
        <w:rPr>
          <w:rFonts w:cstheme="minorHAnsi"/>
          <w:color w:val="auto"/>
          <w:sz w:val="24"/>
          <w:szCs w:val="24"/>
        </w:rPr>
        <w:t>F.</w:t>
      </w:r>
      <w:r w:rsidR="00BE71E3" w:rsidRPr="004737C5">
        <w:rPr>
          <w:rFonts w:cstheme="minorHAnsi"/>
          <w:color w:val="auto"/>
          <w:sz w:val="24"/>
          <w:szCs w:val="24"/>
        </w:rPr>
        <w:t xml:space="preserve"> Pricing and subsidies</w:t>
      </w:r>
      <w:bookmarkEnd w:id="393"/>
      <w:bookmarkEnd w:id="394"/>
      <w:bookmarkEnd w:id="395"/>
      <w:r w:rsidR="00BE71E3" w:rsidRPr="004737C5">
        <w:rPr>
          <w:rFonts w:cstheme="minorHAnsi"/>
          <w:color w:val="auto"/>
          <w:sz w:val="24"/>
          <w:szCs w:val="24"/>
        </w:rPr>
        <w:t xml:space="preserve"> </w:t>
      </w:r>
    </w:p>
    <w:p w14:paraId="1B991CE6" w14:textId="431174DE" w:rsidR="00BE71E3" w:rsidRPr="004737C5" w:rsidRDefault="00BE71E3" w:rsidP="006D3BE8">
      <w:pPr>
        <w:rPr>
          <w:rFonts w:cstheme="minorHAnsi"/>
        </w:rPr>
      </w:pPr>
      <w:r w:rsidRPr="004737C5">
        <w:rPr>
          <w:rFonts w:cstheme="minorHAnsi"/>
        </w:rPr>
        <w:t xml:space="preserve">Two of the main causes </w:t>
      </w:r>
      <w:r w:rsidR="003D3D80" w:rsidRPr="004737C5">
        <w:rPr>
          <w:rFonts w:cstheme="minorHAnsi"/>
        </w:rPr>
        <w:t>of</w:t>
      </w:r>
      <w:r w:rsidRPr="004737C5">
        <w:rPr>
          <w:rFonts w:cstheme="minorHAnsi"/>
        </w:rPr>
        <w:t xml:space="preserve"> the underfunding of utilities are affordability and the fear of consumer</w:t>
      </w:r>
      <w:r w:rsidR="003D3D80" w:rsidRPr="004737C5">
        <w:rPr>
          <w:rFonts w:cstheme="minorHAnsi"/>
        </w:rPr>
        <w:t>s’</w:t>
      </w:r>
      <w:r w:rsidRPr="004737C5">
        <w:rPr>
          <w:rFonts w:cstheme="minorHAnsi"/>
        </w:rPr>
        <w:t xml:space="preserve"> reaction</w:t>
      </w:r>
      <w:r w:rsidR="003D3D80" w:rsidRPr="004737C5">
        <w:rPr>
          <w:rFonts w:cstheme="minorHAnsi"/>
        </w:rPr>
        <w:t>s</w:t>
      </w:r>
      <w:r w:rsidRPr="004737C5">
        <w:rPr>
          <w:rFonts w:cstheme="minorHAnsi"/>
        </w:rPr>
        <w:t xml:space="preserve"> to unaffordability. There are many estimates of an affordable percentage of disposable income. (Such estimates are often theoretical, for the most expensive service is that which does not exist at all because it drives consumers towards the more expensive informal sector). At various times, the United Nations Development Programme has recommended a 3</w:t>
      </w:r>
      <w:r w:rsidR="003D3D80" w:rsidRPr="004737C5">
        <w:rPr>
          <w:rFonts w:cstheme="minorHAnsi"/>
        </w:rPr>
        <w:t xml:space="preserve"> percent</w:t>
      </w:r>
      <w:r w:rsidRPr="004737C5">
        <w:rPr>
          <w:rFonts w:cstheme="minorHAnsi"/>
        </w:rPr>
        <w:t xml:space="preserve"> limit of household income for drinking water,</w:t>
      </w:r>
      <w:r w:rsidR="003D3D80" w:rsidRPr="004737C5">
        <w:rPr>
          <w:rFonts w:cstheme="minorHAnsi"/>
        </w:rPr>
        <w:t xml:space="preserve"> while</w:t>
      </w:r>
      <w:r w:rsidRPr="004737C5">
        <w:rPr>
          <w:rFonts w:cstheme="minorHAnsi"/>
        </w:rPr>
        <w:t xml:space="preserve"> 5</w:t>
      </w:r>
      <w:r w:rsidR="003D3D80" w:rsidRPr="004737C5">
        <w:rPr>
          <w:rFonts w:cstheme="minorHAnsi"/>
        </w:rPr>
        <w:t xml:space="preserve"> percent </w:t>
      </w:r>
      <w:r w:rsidRPr="004737C5">
        <w:rPr>
          <w:rFonts w:cstheme="minorHAnsi"/>
        </w:rPr>
        <w:t>has been commonly used in Latin America for both water and electricity.</w:t>
      </w:r>
      <w:r w:rsidRPr="004737C5">
        <w:rPr>
          <w:rStyle w:val="FootnoteReference"/>
          <w:rFonts w:cstheme="minorHAnsi"/>
        </w:rPr>
        <w:footnoteReference w:id="332"/>
      </w:r>
      <w:r w:rsidRPr="004737C5">
        <w:rPr>
          <w:rFonts w:cstheme="minorHAnsi"/>
        </w:rPr>
        <w:t xml:space="preserve"> Energy poverty h</w:t>
      </w:r>
      <w:r w:rsidR="00753C1B" w:rsidRPr="004737C5">
        <w:rPr>
          <w:rFonts w:cstheme="minorHAnsi"/>
        </w:rPr>
        <w:t>as been deemed to be above a 10 percent</w:t>
      </w:r>
      <w:r w:rsidRPr="004737C5">
        <w:rPr>
          <w:rFonts w:cstheme="minorHAnsi"/>
        </w:rPr>
        <w:t xml:space="preserve"> threshold in</w:t>
      </w:r>
      <w:r w:rsidR="00670D81" w:rsidRPr="004737C5">
        <w:rPr>
          <w:rFonts w:cstheme="minorHAnsi"/>
        </w:rPr>
        <w:t xml:space="preserve"> the</w:t>
      </w:r>
      <w:r w:rsidRPr="004737C5">
        <w:rPr>
          <w:rFonts w:cstheme="minorHAnsi"/>
        </w:rPr>
        <w:t xml:space="preserve"> United Kingdom </w:t>
      </w:r>
      <w:r w:rsidR="00753C1B" w:rsidRPr="004737C5">
        <w:rPr>
          <w:rFonts w:cstheme="minorHAnsi"/>
        </w:rPr>
        <w:t xml:space="preserve">of Great Britain and Northern Ireland </w:t>
      </w:r>
      <w:r w:rsidRPr="004737C5">
        <w:rPr>
          <w:rFonts w:cstheme="minorHAnsi"/>
        </w:rPr>
        <w:t xml:space="preserve">and that concept </w:t>
      </w:r>
      <w:r w:rsidR="00753C1B" w:rsidRPr="004737C5">
        <w:rPr>
          <w:rFonts w:cstheme="minorHAnsi"/>
        </w:rPr>
        <w:t>has</w:t>
      </w:r>
      <w:r w:rsidRPr="004737C5">
        <w:rPr>
          <w:rFonts w:cstheme="minorHAnsi"/>
        </w:rPr>
        <w:t xml:space="preserve"> been widely used in other European Union member</w:t>
      </w:r>
      <w:r w:rsidR="00753C1B" w:rsidRPr="004737C5">
        <w:rPr>
          <w:rFonts w:cstheme="minorHAnsi"/>
        </w:rPr>
        <w:t xml:space="preserve"> </w:t>
      </w:r>
      <w:r w:rsidRPr="004737C5">
        <w:rPr>
          <w:rFonts w:cstheme="minorHAnsi"/>
        </w:rPr>
        <w:t>s</w:t>
      </w:r>
      <w:r w:rsidR="00753C1B" w:rsidRPr="004737C5">
        <w:rPr>
          <w:rFonts w:cstheme="minorHAnsi"/>
        </w:rPr>
        <w:t>tates</w:t>
      </w:r>
      <w:r w:rsidRPr="004737C5">
        <w:rPr>
          <w:rFonts w:cstheme="minorHAnsi"/>
        </w:rPr>
        <w:t>. In fact, arbitrary limits can close down options. Where famili</w:t>
      </w:r>
      <w:r w:rsidR="00753C1B" w:rsidRPr="004737C5">
        <w:rPr>
          <w:rFonts w:cstheme="minorHAnsi"/>
        </w:rPr>
        <w:t>es spend far higher proportions (</w:t>
      </w:r>
      <w:r w:rsidRPr="004737C5">
        <w:rPr>
          <w:rFonts w:cstheme="minorHAnsi"/>
        </w:rPr>
        <w:t>well in excess of 10</w:t>
      </w:r>
      <w:r w:rsidR="00753C1B" w:rsidRPr="004737C5">
        <w:rPr>
          <w:rFonts w:cstheme="minorHAnsi"/>
        </w:rPr>
        <w:t xml:space="preserve"> percent </w:t>
      </w:r>
      <w:r w:rsidRPr="004737C5">
        <w:rPr>
          <w:rFonts w:cstheme="minorHAnsi"/>
        </w:rPr>
        <w:t>is widely re</w:t>
      </w:r>
      <w:r w:rsidR="00753C1B" w:rsidRPr="004737C5">
        <w:rPr>
          <w:rFonts w:cstheme="minorHAnsi"/>
        </w:rPr>
        <w:t>ported in developing countries) and</w:t>
      </w:r>
      <w:r w:rsidRPr="004737C5">
        <w:rPr>
          <w:rFonts w:cstheme="minorHAnsi"/>
        </w:rPr>
        <w:t xml:space="preserve"> incur vast amounts of time fetching and carrying, then even </w:t>
      </w:r>
      <w:r w:rsidR="00753C1B" w:rsidRPr="004737C5">
        <w:rPr>
          <w:rFonts w:cstheme="minorHAnsi"/>
        </w:rPr>
        <w:t xml:space="preserve">spending </w:t>
      </w:r>
      <w:r w:rsidRPr="004737C5">
        <w:rPr>
          <w:rFonts w:cstheme="minorHAnsi"/>
        </w:rPr>
        <w:t>8</w:t>
      </w:r>
      <w:r w:rsidR="00753C1B" w:rsidRPr="004737C5">
        <w:rPr>
          <w:rFonts w:cstheme="minorHAnsi"/>
        </w:rPr>
        <w:t xml:space="preserve"> percent of income on </w:t>
      </w:r>
      <w:r w:rsidRPr="004737C5">
        <w:rPr>
          <w:rFonts w:cstheme="minorHAnsi"/>
        </w:rPr>
        <w:t>drinking water would be an improvement on the present situation, especially if the service were provided on site. The Africa Infrastructure Country Diagnostic (AICD) found that a mont</w:t>
      </w:r>
      <w:r w:rsidR="00753C1B" w:rsidRPr="004737C5">
        <w:rPr>
          <w:rFonts w:cstheme="minorHAnsi"/>
        </w:rPr>
        <w:t>hly power and water bill of US$</w:t>
      </w:r>
      <w:r w:rsidRPr="004737C5">
        <w:rPr>
          <w:rFonts w:cstheme="minorHAnsi"/>
        </w:rPr>
        <w:t xml:space="preserve">10 would be enough to meet full cost recovery for typical household consumption </w:t>
      </w:r>
      <w:r w:rsidR="00753C1B" w:rsidRPr="004737C5">
        <w:rPr>
          <w:rFonts w:cstheme="minorHAnsi"/>
        </w:rPr>
        <w:t>in Africa and would absorb 1‒4 percent</w:t>
      </w:r>
      <w:r w:rsidRPr="004737C5">
        <w:rPr>
          <w:rFonts w:cstheme="minorHAnsi"/>
        </w:rPr>
        <w:t xml:space="preserve"> of the incomes of higher income customers who currently enjoy those services. However, the same</w:t>
      </w:r>
      <w:r w:rsidR="00753C1B" w:rsidRPr="004737C5">
        <w:rPr>
          <w:rFonts w:cstheme="minorHAnsi"/>
        </w:rPr>
        <w:t xml:space="preserve"> utility bill would absorb 7‒</w:t>
      </w:r>
      <w:r w:rsidRPr="004737C5">
        <w:rPr>
          <w:rFonts w:cstheme="minorHAnsi"/>
        </w:rPr>
        <w:t>15</w:t>
      </w:r>
      <w:r w:rsidR="00753C1B" w:rsidRPr="004737C5">
        <w:rPr>
          <w:rFonts w:cstheme="minorHAnsi"/>
        </w:rPr>
        <w:t xml:space="preserve"> percent</w:t>
      </w:r>
      <w:r w:rsidRPr="004737C5">
        <w:rPr>
          <w:rFonts w:cstheme="minorHAnsi"/>
        </w:rPr>
        <w:t xml:space="preserve"> of the household budget of the poor.</w:t>
      </w:r>
      <w:r w:rsidRPr="004737C5">
        <w:rPr>
          <w:rStyle w:val="FootnoteReference"/>
          <w:rFonts w:cstheme="minorHAnsi"/>
        </w:rPr>
        <w:footnoteReference w:id="333"/>
      </w:r>
      <w:r w:rsidRPr="004737C5">
        <w:rPr>
          <w:rFonts w:cstheme="minorHAnsi"/>
        </w:rPr>
        <w:t xml:space="preserve"> Cost recovery tariffs may well be beyond the means of the poorest and there is some evidence that if tariffs rise t</w:t>
      </w:r>
      <w:r w:rsidR="00753C1B" w:rsidRPr="004737C5">
        <w:rPr>
          <w:rFonts w:cstheme="minorHAnsi"/>
        </w:rPr>
        <w:t>oo far too fast then consumers “</w:t>
      </w:r>
      <w:r w:rsidRPr="004737C5">
        <w:rPr>
          <w:rFonts w:cstheme="minorHAnsi"/>
        </w:rPr>
        <w:t>self-disconnect</w:t>
      </w:r>
      <w:r w:rsidR="00753C1B" w:rsidRPr="004737C5">
        <w:rPr>
          <w:rFonts w:cstheme="minorHAnsi"/>
        </w:rPr>
        <w:t>”.</w:t>
      </w:r>
    </w:p>
    <w:p w14:paraId="5BF66F28" w14:textId="77777777" w:rsidR="00BE71E3" w:rsidRPr="004737C5" w:rsidRDefault="00BE71E3" w:rsidP="006D3BE8">
      <w:pPr>
        <w:rPr>
          <w:rFonts w:cstheme="minorHAnsi"/>
        </w:rPr>
      </w:pPr>
      <w:r w:rsidRPr="004737C5">
        <w:rPr>
          <w:rFonts w:cstheme="minorHAnsi"/>
        </w:rPr>
        <w:t>What are the unserved poor alrea</w:t>
      </w:r>
      <w:r w:rsidR="00753C1B" w:rsidRPr="004737C5">
        <w:rPr>
          <w:rFonts w:cstheme="minorHAnsi"/>
        </w:rPr>
        <w:t>dy paying? AICD reported that “</w:t>
      </w:r>
      <w:r w:rsidRPr="004737C5">
        <w:rPr>
          <w:rFonts w:cstheme="minorHAnsi"/>
        </w:rPr>
        <w:t>in the largest African cities, alternatives to piped water supply are priced from 1.3 times as high for small piped networks to 10 to 20 times as high for mobile distributors</w:t>
      </w:r>
      <w:r w:rsidR="00753C1B" w:rsidRPr="004737C5">
        <w:rPr>
          <w:rFonts w:cstheme="minorHAnsi"/>
        </w:rPr>
        <w:t>”.</w:t>
      </w:r>
      <w:r w:rsidRPr="004737C5">
        <w:rPr>
          <w:rFonts w:cstheme="minorHAnsi"/>
        </w:rPr>
        <w:t xml:space="preserve"> For energy, non-connected consumers use more costly sources such as candles, kerosene, car batteries, wood or charcoal. In Mali, these sources cost ten times more per kilowatt hour than supply from the grid which only </w:t>
      </w:r>
      <w:r w:rsidR="00753C1B" w:rsidRPr="004737C5">
        <w:rPr>
          <w:rFonts w:cstheme="minorHAnsi"/>
        </w:rPr>
        <w:t>goes</w:t>
      </w:r>
      <w:r w:rsidRPr="004737C5">
        <w:rPr>
          <w:rFonts w:cstheme="minorHAnsi"/>
        </w:rPr>
        <w:t xml:space="preserve"> to 13</w:t>
      </w:r>
      <w:r w:rsidR="00753C1B" w:rsidRPr="004737C5">
        <w:rPr>
          <w:rFonts w:cstheme="minorHAnsi"/>
        </w:rPr>
        <w:t xml:space="preserve"> percent </w:t>
      </w:r>
      <w:r w:rsidRPr="004737C5">
        <w:rPr>
          <w:rFonts w:cstheme="minorHAnsi"/>
        </w:rPr>
        <w:t>of the population.</w:t>
      </w:r>
      <w:r w:rsidRPr="004737C5">
        <w:rPr>
          <w:rStyle w:val="FootnoteReference"/>
          <w:rFonts w:cstheme="minorHAnsi"/>
        </w:rPr>
        <w:footnoteReference w:id="334"/>
      </w:r>
    </w:p>
    <w:p w14:paraId="181335F0" w14:textId="77777777" w:rsidR="00BE71E3" w:rsidRPr="004737C5" w:rsidRDefault="00BE71E3" w:rsidP="006D3BE8">
      <w:pPr>
        <w:rPr>
          <w:rFonts w:cstheme="minorHAnsi"/>
        </w:rPr>
      </w:pPr>
      <w:r w:rsidRPr="004737C5">
        <w:rPr>
          <w:rFonts w:cstheme="minorHAnsi"/>
        </w:rPr>
        <w:t>This add</w:t>
      </w:r>
      <w:r w:rsidR="00753C1B" w:rsidRPr="004737C5">
        <w:rPr>
          <w:rFonts w:cstheme="minorHAnsi"/>
        </w:rPr>
        <w:t>s up to a clear example of the “poor pay more syndrome”</w:t>
      </w:r>
      <w:r w:rsidRPr="004737C5">
        <w:rPr>
          <w:rFonts w:cstheme="minorHAnsi"/>
        </w:rPr>
        <w:t xml:space="preserve"> which has been described several times in this manual. It has several dimensions:</w:t>
      </w:r>
    </w:p>
    <w:p w14:paraId="3408FAF3" w14:textId="77777777" w:rsidR="00BE71E3" w:rsidRPr="004737C5" w:rsidRDefault="00BE71E3" w:rsidP="002473E9">
      <w:pPr>
        <w:pStyle w:val="ListParagraph"/>
        <w:numPr>
          <w:ilvl w:val="0"/>
          <w:numId w:val="76"/>
        </w:numPr>
        <w:ind w:left="709" w:hanging="425"/>
        <w:rPr>
          <w:rFonts w:cstheme="minorHAnsi"/>
        </w:rPr>
      </w:pPr>
      <w:r w:rsidRPr="004737C5">
        <w:rPr>
          <w:rFonts w:cstheme="minorHAnsi"/>
        </w:rPr>
        <w:t>The poor pay more per u</w:t>
      </w:r>
      <w:r w:rsidR="00753C1B" w:rsidRPr="004737C5">
        <w:rPr>
          <w:rFonts w:cstheme="minorHAnsi"/>
        </w:rPr>
        <w:t>nit because they depend on high-cost small-scale independent providers</w:t>
      </w:r>
    </w:p>
    <w:p w14:paraId="5790100C" w14:textId="77777777" w:rsidR="00BE71E3" w:rsidRPr="004737C5" w:rsidRDefault="00753C1B" w:rsidP="002473E9">
      <w:pPr>
        <w:pStyle w:val="ListParagraph"/>
        <w:numPr>
          <w:ilvl w:val="0"/>
          <w:numId w:val="76"/>
        </w:numPr>
        <w:ind w:left="709" w:hanging="425"/>
        <w:rPr>
          <w:rFonts w:cstheme="minorHAnsi"/>
        </w:rPr>
      </w:pPr>
      <w:r w:rsidRPr="004737C5">
        <w:rPr>
          <w:rFonts w:cstheme="minorHAnsi"/>
        </w:rPr>
        <w:t xml:space="preserve">The better </w:t>
      </w:r>
      <w:r w:rsidR="00BE71E3" w:rsidRPr="004737C5">
        <w:rPr>
          <w:rFonts w:cstheme="minorHAnsi"/>
        </w:rPr>
        <w:t>off receive a subsidy from below cost network prices f</w:t>
      </w:r>
      <w:r w:rsidRPr="004737C5">
        <w:rPr>
          <w:rFonts w:cstheme="minorHAnsi"/>
        </w:rPr>
        <w:t>rom which the poor are excluded</w:t>
      </w:r>
    </w:p>
    <w:p w14:paraId="4CC4790C" w14:textId="77777777" w:rsidR="00BE71E3" w:rsidRPr="004737C5" w:rsidRDefault="00BE71E3" w:rsidP="002473E9">
      <w:pPr>
        <w:pStyle w:val="ListParagraph"/>
        <w:numPr>
          <w:ilvl w:val="0"/>
          <w:numId w:val="76"/>
        </w:numPr>
        <w:ind w:left="709" w:hanging="425"/>
        <w:rPr>
          <w:rFonts w:cstheme="minorHAnsi"/>
        </w:rPr>
      </w:pPr>
      <w:r w:rsidRPr="004737C5">
        <w:rPr>
          <w:rFonts w:cstheme="minorHAnsi"/>
        </w:rPr>
        <w:lastRenderedPageBreak/>
        <w:t>The poor may pay f</w:t>
      </w:r>
      <w:r w:rsidR="00753C1B" w:rsidRPr="004737C5">
        <w:rPr>
          <w:rFonts w:cstheme="minorHAnsi"/>
        </w:rPr>
        <w:t>or those subsidies as taxpayers</w:t>
      </w:r>
    </w:p>
    <w:p w14:paraId="28648F49" w14:textId="77777777" w:rsidR="00BE71E3" w:rsidRPr="004737C5" w:rsidRDefault="00BE71E3" w:rsidP="002473E9">
      <w:pPr>
        <w:pStyle w:val="ListParagraph"/>
        <w:numPr>
          <w:ilvl w:val="0"/>
          <w:numId w:val="76"/>
        </w:numPr>
        <w:ind w:left="709" w:hanging="425"/>
        <w:rPr>
          <w:rFonts w:cstheme="minorHAnsi"/>
        </w:rPr>
      </w:pPr>
      <w:r w:rsidRPr="004737C5">
        <w:rPr>
          <w:rFonts w:cstheme="minorHAnsi"/>
        </w:rPr>
        <w:t>Connection charges go up to recoup revenue when network running costs are below costs thus making it even more diffic</w:t>
      </w:r>
      <w:r w:rsidR="00753C1B" w:rsidRPr="004737C5">
        <w:rPr>
          <w:rFonts w:cstheme="minorHAnsi"/>
        </w:rPr>
        <w:t>ult for the poor to gain access</w:t>
      </w:r>
    </w:p>
    <w:p w14:paraId="34D9B9C3" w14:textId="77777777" w:rsidR="00BE71E3" w:rsidRPr="004737C5" w:rsidRDefault="00BE71E3" w:rsidP="002473E9">
      <w:pPr>
        <w:pStyle w:val="ListParagraph"/>
        <w:numPr>
          <w:ilvl w:val="0"/>
          <w:numId w:val="76"/>
        </w:numPr>
        <w:ind w:left="709" w:hanging="425"/>
        <w:rPr>
          <w:rFonts w:cstheme="minorHAnsi"/>
        </w:rPr>
      </w:pPr>
      <w:r w:rsidRPr="004737C5">
        <w:rPr>
          <w:rFonts w:cstheme="minorHAnsi"/>
        </w:rPr>
        <w:t>The non-connected poor waste</w:t>
      </w:r>
      <w:r w:rsidR="00753C1B" w:rsidRPr="004737C5">
        <w:rPr>
          <w:rFonts w:cstheme="minorHAnsi"/>
        </w:rPr>
        <w:t xml:space="preserve"> time fetching and carrying</w:t>
      </w:r>
    </w:p>
    <w:p w14:paraId="1FB84A4E" w14:textId="77777777" w:rsidR="00BE71E3" w:rsidRPr="004737C5" w:rsidRDefault="00BE71E3" w:rsidP="002473E9">
      <w:pPr>
        <w:pStyle w:val="ListParagraph"/>
        <w:numPr>
          <w:ilvl w:val="0"/>
          <w:numId w:val="76"/>
        </w:numPr>
        <w:ind w:left="709" w:hanging="425"/>
        <w:rPr>
          <w:rFonts w:cstheme="minorHAnsi"/>
        </w:rPr>
      </w:pPr>
      <w:r w:rsidRPr="004737C5">
        <w:rPr>
          <w:rFonts w:cstheme="minorHAnsi"/>
        </w:rPr>
        <w:t>The quality of alternative services to the poor will of</w:t>
      </w:r>
      <w:r w:rsidR="00753C1B" w:rsidRPr="004737C5">
        <w:rPr>
          <w:rFonts w:cstheme="minorHAnsi"/>
        </w:rPr>
        <w:t>ten be low and even dangerous</w:t>
      </w:r>
    </w:p>
    <w:p w14:paraId="7C074B5A" w14:textId="61ACCD28" w:rsidR="00BE71E3" w:rsidRPr="004737C5" w:rsidRDefault="00753C1B" w:rsidP="006D3BE8">
      <w:pPr>
        <w:rPr>
          <w:rFonts w:cstheme="minorHAnsi"/>
        </w:rPr>
      </w:pPr>
      <w:r w:rsidRPr="004737C5">
        <w:rPr>
          <w:rFonts w:cstheme="minorHAnsi"/>
        </w:rPr>
        <w:t>T</w:t>
      </w:r>
      <w:r w:rsidR="00BE71E3" w:rsidRPr="004737C5">
        <w:rPr>
          <w:rFonts w:cstheme="minorHAnsi"/>
        </w:rPr>
        <w:t xml:space="preserve">he poor paying high unit prices gives some sort of clue for eventually moving away from the present pattern of regressive subsidy to the better off and no service for </w:t>
      </w:r>
      <w:r w:rsidRPr="004737C5">
        <w:rPr>
          <w:rFonts w:cstheme="minorHAnsi"/>
        </w:rPr>
        <w:t>the poorest. The AICD concludes that “i</w:t>
      </w:r>
      <w:r w:rsidR="00BE71E3" w:rsidRPr="004737C5">
        <w:rPr>
          <w:rFonts w:cstheme="minorHAnsi"/>
        </w:rPr>
        <w:t>f provided with access to utility networks, even at cost recovery prices, poor households would still be better off than they are today using alternative service. This su</w:t>
      </w:r>
      <w:r w:rsidR="00670D81" w:rsidRPr="004737C5">
        <w:rPr>
          <w:rFonts w:cstheme="minorHAnsi"/>
        </w:rPr>
        <w:t>ggests that ultimately, subsidiz</w:t>
      </w:r>
      <w:r w:rsidR="00BE71E3" w:rsidRPr="004737C5">
        <w:rPr>
          <w:rFonts w:cstheme="minorHAnsi"/>
        </w:rPr>
        <w:t>ation of connection costs may be a more equitable and cost-effective way of targeting public resources.”</w:t>
      </w:r>
      <w:r w:rsidR="00BE71E3" w:rsidRPr="004737C5">
        <w:rPr>
          <w:rStyle w:val="FootnoteReference"/>
          <w:rFonts w:cstheme="minorHAnsi"/>
        </w:rPr>
        <w:t xml:space="preserve"> </w:t>
      </w:r>
      <w:r w:rsidR="00BE71E3" w:rsidRPr="004737C5">
        <w:rPr>
          <w:rStyle w:val="FootnoteReference"/>
          <w:rFonts w:cstheme="minorHAnsi"/>
        </w:rPr>
        <w:footnoteReference w:id="335"/>
      </w:r>
      <w:r w:rsidR="00670D81" w:rsidRPr="004737C5">
        <w:rPr>
          <w:rFonts w:cstheme="minorHAnsi"/>
        </w:rPr>
        <w:t xml:space="preserve"> Subsidiz</w:t>
      </w:r>
      <w:r w:rsidR="00BE71E3" w:rsidRPr="004737C5">
        <w:rPr>
          <w:rFonts w:cstheme="minorHAnsi"/>
        </w:rPr>
        <w:t>ing consumption rather than connection would then seem to be the wrong strategy. If that is assumed, then there are two approaches to protecting the poor while moving a</w:t>
      </w:r>
      <w:r w:rsidR="00AA2A83" w:rsidRPr="004737C5">
        <w:rPr>
          <w:rFonts w:cstheme="minorHAnsi"/>
        </w:rPr>
        <w:t>way from consumption subsidies: through carefully restricted “social”</w:t>
      </w:r>
      <w:r w:rsidR="00BE71E3" w:rsidRPr="004737C5">
        <w:rPr>
          <w:rFonts w:cstheme="minorHAnsi"/>
        </w:rPr>
        <w:t xml:space="preserve"> tariffs or through direct subsidies to individual householders.</w:t>
      </w:r>
    </w:p>
    <w:p w14:paraId="3EE2C4AA" w14:textId="77777777" w:rsidR="00BE71E3" w:rsidRPr="004737C5" w:rsidRDefault="00BE71E3" w:rsidP="00670D81">
      <w:pPr>
        <w:pStyle w:val="Heading3"/>
        <w:spacing w:after="160" w:line="240" w:lineRule="auto"/>
        <w:rPr>
          <w:rFonts w:cstheme="minorHAnsi"/>
          <w:color w:val="auto"/>
        </w:rPr>
      </w:pPr>
      <w:bookmarkStart w:id="396" w:name="_Toc454293906"/>
      <w:bookmarkStart w:id="397" w:name="_Toc489950344"/>
      <w:bookmarkStart w:id="398" w:name="_Toc492650131"/>
      <w:r w:rsidRPr="004737C5">
        <w:rPr>
          <w:rFonts w:cstheme="minorHAnsi"/>
          <w:color w:val="auto"/>
        </w:rPr>
        <w:t>1</w:t>
      </w:r>
      <w:r w:rsidR="00AA2A83" w:rsidRPr="004737C5">
        <w:rPr>
          <w:rFonts w:cstheme="minorHAnsi"/>
          <w:color w:val="auto"/>
        </w:rPr>
        <w:t>.</w:t>
      </w:r>
      <w:r w:rsidRPr="004737C5">
        <w:rPr>
          <w:rFonts w:cstheme="minorHAnsi"/>
          <w:color w:val="auto"/>
        </w:rPr>
        <w:t xml:space="preserve"> Tariff-based measures</w:t>
      </w:r>
      <w:bookmarkEnd w:id="396"/>
      <w:bookmarkEnd w:id="397"/>
      <w:bookmarkEnd w:id="398"/>
    </w:p>
    <w:p w14:paraId="1C9F8919" w14:textId="635B734D" w:rsidR="00BE71E3" w:rsidRPr="004737C5" w:rsidRDefault="00BE71E3" w:rsidP="006D3BE8">
      <w:pPr>
        <w:rPr>
          <w:rFonts w:cstheme="minorHAnsi"/>
        </w:rPr>
      </w:pPr>
      <w:r w:rsidRPr="004737C5">
        <w:rPr>
          <w:rFonts w:cstheme="minorHAnsi"/>
        </w:rPr>
        <w:t>Tariff-based measures provided b</w:t>
      </w:r>
      <w:r w:rsidR="00670D81" w:rsidRPr="004737C5">
        <w:rPr>
          <w:rFonts w:cstheme="minorHAnsi"/>
        </w:rPr>
        <w:t>y service providers to help low-</w:t>
      </w:r>
      <w:r w:rsidRPr="004737C5">
        <w:rPr>
          <w:rFonts w:cstheme="minorHAnsi"/>
        </w:rPr>
        <w:t>income consumers usually take the form of an initial tranche of consumption charged below cost price (or sometimes</w:t>
      </w:r>
      <w:r w:rsidR="00AA2A83" w:rsidRPr="004737C5">
        <w:rPr>
          <w:rFonts w:cstheme="minorHAnsi"/>
        </w:rPr>
        <w:t xml:space="preserve"> even</w:t>
      </w:r>
      <w:r w:rsidRPr="004737C5">
        <w:rPr>
          <w:rFonts w:cstheme="minorHAnsi"/>
        </w:rPr>
        <w:t xml:space="preserve"> at zero price) in an increasing/rising block tariff structure (IBTs or RBTs). One of the common criticisms of RBTs has been that they tend to be indiscriminate, in that all consumers pay low tariffs for their first tranche of consumption. For this reason, raising the threshold too high erodes the revenue base of the service. </w:t>
      </w:r>
    </w:p>
    <w:p w14:paraId="2F5B47AB" w14:textId="369FD2C2" w:rsidR="00BE71E3" w:rsidRPr="004737C5" w:rsidRDefault="00AA2A83" w:rsidP="006D3BE8">
      <w:pPr>
        <w:rPr>
          <w:rFonts w:cstheme="minorHAnsi"/>
        </w:rPr>
      </w:pPr>
      <w:r w:rsidRPr="004737C5">
        <w:rPr>
          <w:rFonts w:cstheme="minorHAnsi"/>
        </w:rPr>
        <w:t>Tariff-</w:t>
      </w:r>
      <w:r w:rsidR="00BE71E3" w:rsidRPr="004737C5">
        <w:rPr>
          <w:rFonts w:cstheme="minorHAnsi"/>
        </w:rPr>
        <w:t>based measures hav</w:t>
      </w:r>
      <w:r w:rsidRPr="004737C5">
        <w:rPr>
          <w:rFonts w:cstheme="minorHAnsi"/>
        </w:rPr>
        <w:t>e been severely criticized for “</w:t>
      </w:r>
      <w:r w:rsidR="00BE71E3" w:rsidRPr="004737C5">
        <w:rPr>
          <w:rFonts w:cstheme="minorHAnsi"/>
        </w:rPr>
        <w:t xml:space="preserve">errors of </w:t>
      </w:r>
      <w:r w:rsidRPr="004737C5">
        <w:rPr>
          <w:rFonts w:cstheme="minorHAnsi"/>
        </w:rPr>
        <w:t>inclusion”</w:t>
      </w:r>
      <w:r w:rsidR="00BE71E3" w:rsidRPr="004737C5">
        <w:rPr>
          <w:rFonts w:cstheme="minorHAnsi"/>
        </w:rPr>
        <w:t xml:space="preserve"> (subsidies going to peopl</w:t>
      </w:r>
      <w:r w:rsidRPr="004737C5">
        <w:rPr>
          <w:rFonts w:cstheme="minorHAnsi"/>
        </w:rPr>
        <w:t>e who are not defined as needy) and “errors of exclusion”</w:t>
      </w:r>
      <w:r w:rsidR="00BE71E3" w:rsidRPr="004737C5">
        <w:rPr>
          <w:rFonts w:cstheme="minorHAnsi"/>
        </w:rPr>
        <w:t xml:space="preserve"> (needy consumers not receiving benefits to which they are entitled).</w:t>
      </w:r>
      <w:r w:rsidR="00BE71E3" w:rsidRPr="004737C5">
        <w:rPr>
          <w:rFonts w:cstheme="minorHAnsi"/>
          <w:vertAlign w:val="superscript"/>
        </w:rPr>
        <w:footnoteReference w:id="336"/>
      </w:r>
      <w:r w:rsidR="00BE71E3" w:rsidRPr="004737C5">
        <w:rPr>
          <w:rFonts w:cstheme="minorHAnsi"/>
        </w:rPr>
        <w:t xml:space="preserve"> For example, according to the Global Monitoring Re</w:t>
      </w:r>
      <w:r w:rsidRPr="004737C5">
        <w:rPr>
          <w:rFonts w:cstheme="minorHAnsi"/>
        </w:rPr>
        <w:t>port of the World Bank for 2014‒2015: “</w:t>
      </w:r>
      <w:r w:rsidR="00670D81" w:rsidRPr="004737C5">
        <w:rPr>
          <w:rFonts w:cstheme="minorHAnsi"/>
        </w:rPr>
        <w:t>in low- and middle-</w:t>
      </w:r>
      <w:r w:rsidR="00BE71E3" w:rsidRPr="004737C5">
        <w:rPr>
          <w:rFonts w:cstheme="minorHAnsi"/>
        </w:rPr>
        <w:t>income countries, blanket subsidies for energy (except for kerosene in low income co</w:t>
      </w:r>
      <w:r w:rsidRPr="004737C5">
        <w:rPr>
          <w:rFonts w:cstheme="minorHAnsi"/>
        </w:rPr>
        <w:t>untries) benefit the richest 20 percent</w:t>
      </w:r>
      <w:r w:rsidR="00BE71E3" w:rsidRPr="004737C5">
        <w:rPr>
          <w:rFonts w:cstheme="minorHAnsi"/>
        </w:rPr>
        <w:t xml:space="preserve"> of households six</w:t>
      </w:r>
      <w:r w:rsidRPr="004737C5">
        <w:rPr>
          <w:rFonts w:cstheme="minorHAnsi"/>
        </w:rPr>
        <w:t xml:space="preserve"> times more than the poorest 20 percent”.</w:t>
      </w:r>
      <w:r w:rsidR="00BE71E3" w:rsidRPr="004737C5">
        <w:rPr>
          <w:rStyle w:val="FootnoteReference"/>
          <w:rFonts w:cstheme="minorHAnsi"/>
        </w:rPr>
        <w:footnoteReference w:id="337"/>
      </w:r>
      <w:r w:rsidR="00BE71E3" w:rsidRPr="004737C5">
        <w:rPr>
          <w:rFonts w:cstheme="minorHAnsi"/>
        </w:rPr>
        <w:t xml:space="preserve"> However, it is worth noting that </w:t>
      </w:r>
      <w:r w:rsidRPr="004737C5">
        <w:rPr>
          <w:rFonts w:cstheme="minorHAnsi"/>
        </w:rPr>
        <w:t xml:space="preserve">there </w:t>
      </w:r>
      <w:r w:rsidR="00BE71E3" w:rsidRPr="004737C5">
        <w:rPr>
          <w:rFonts w:cstheme="minorHAnsi"/>
        </w:rPr>
        <w:t>are many families that hover on the bri</w:t>
      </w:r>
      <w:r w:rsidRPr="004737C5">
        <w:rPr>
          <w:rFonts w:cstheme="minorHAnsi"/>
        </w:rPr>
        <w:t>nk of poverty</w:t>
      </w:r>
      <w:r w:rsidR="00BE71E3" w:rsidRPr="004737C5">
        <w:rPr>
          <w:rFonts w:cstheme="minorHAnsi"/>
        </w:rPr>
        <w:t xml:space="preserve"> and for whom exposure to full cost recovery might thrust them back again.  </w:t>
      </w:r>
    </w:p>
    <w:p w14:paraId="5BD93ED1" w14:textId="77777777" w:rsidR="00BE71E3" w:rsidRPr="004737C5" w:rsidRDefault="00AA2A83" w:rsidP="006D3BE8">
      <w:pPr>
        <w:rPr>
          <w:rFonts w:cstheme="minorHAnsi"/>
        </w:rPr>
      </w:pPr>
      <w:r w:rsidRPr="004737C5">
        <w:rPr>
          <w:rFonts w:cstheme="minorHAnsi"/>
        </w:rPr>
        <w:t>There are examples of well-</w:t>
      </w:r>
      <w:r w:rsidR="00BE71E3" w:rsidRPr="004737C5">
        <w:rPr>
          <w:rFonts w:cstheme="minorHAnsi"/>
        </w:rPr>
        <w:t>targeted RBT thresholds which have sheltered poor consumers from the problem of rising tariffs without undermining the revenue of the service provid</w:t>
      </w:r>
      <w:r w:rsidRPr="004737C5">
        <w:rPr>
          <w:rFonts w:cstheme="minorHAnsi"/>
        </w:rPr>
        <w:t>er. For example, until recently</w:t>
      </w:r>
      <w:r w:rsidR="00BE71E3" w:rsidRPr="004737C5">
        <w:rPr>
          <w:rFonts w:cstheme="minorHAnsi"/>
        </w:rPr>
        <w:t xml:space="preserve"> the Serbian electricity</w:t>
      </w:r>
      <w:r w:rsidRPr="004737C5">
        <w:rPr>
          <w:rFonts w:cstheme="minorHAnsi"/>
        </w:rPr>
        <w:t xml:space="preserve"> service provided a general low-</w:t>
      </w:r>
      <w:r w:rsidR="00BE71E3" w:rsidRPr="004737C5">
        <w:rPr>
          <w:rFonts w:cstheme="minorHAnsi"/>
        </w:rPr>
        <w:t>cost tranche below 350kWh per month that went to all users of the system, a classic RBT such as is found in many countries. During price increases in 2011, the consumpt</w:t>
      </w:r>
      <w:r w:rsidRPr="004737C5">
        <w:rPr>
          <w:rFonts w:cstheme="minorHAnsi"/>
        </w:rPr>
        <w:t>ion discounts shielded the poor</w:t>
      </w:r>
      <w:r w:rsidR="00BE71E3" w:rsidRPr="004737C5">
        <w:rPr>
          <w:rFonts w:cstheme="minorHAnsi"/>
        </w:rPr>
        <w:t xml:space="preserve"> and the overall increase in electricity tariffs by 13.5 percent had only a small impact on electricity poverty.</w:t>
      </w:r>
      <w:r w:rsidR="00BE71E3" w:rsidRPr="004737C5">
        <w:rPr>
          <w:rStyle w:val="FootnoteReference"/>
          <w:rFonts w:cstheme="minorHAnsi"/>
        </w:rPr>
        <w:footnoteReference w:id="338"/>
      </w:r>
      <w:r w:rsidR="00BE71E3" w:rsidRPr="004737C5">
        <w:rPr>
          <w:rFonts w:cstheme="minorHAnsi"/>
        </w:rPr>
        <w:t xml:space="preserve"> This is due partly to the fact that tariffs for the bottom consumption block remained unchanged, showing that the threshold was well chosen. Households that are below the poverty line in Serbia have particularly low electricity consumption, around 300kWh per month, </w:t>
      </w:r>
      <w:r w:rsidRPr="004737C5">
        <w:rPr>
          <w:rFonts w:cstheme="minorHAnsi"/>
        </w:rPr>
        <w:t>well</w:t>
      </w:r>
      <w:r w:rsidR="00BE71E3" w:rsidRPr="004737C5">
        <w:rPr>
          <w:rFonts w:cstheme="minorHAnsi"/>
        </w:rPr>
        <w:t xml:space="preserve"> below the national average. So holding the bottom block tariff constant helped protect households at the bottom of the income distribution during a very difficult period for Serbian society.</w:t>
      </w:r>
    </w:p>
    <w:p w14:paraId="384BADA5" w14:textId="77777777" w:rsidR="00BE71E3" w:rsidRPr="004737C5" w:rsidRDefault="00BE71E3" w:rsidP="006D3BE8">
      <w:pPr>
        <w:rPr>
          <w:rFonts w:cstheme="minorHAnsi"/>
        </w:rPr>
      </w:pPr>
      <w:r w:rsidRPr="004737C5">
        <w:rPr>
          <w:rFonts w:cstheme="minorHAnsi"/>
        </w:rPr>
        <w:lastRenderedPageBreak/>
        <w:t xml:space="preserve">It could be argued that the RBT threshold is best situated somewhere around average consumption for poor households. Setting it at a higher level makes it more difficult to recoup revenue from consumers whose consumption may be above the threshold but who may nevertheless be hard-pressed. </w:t>
      </w:r>
    </w:p>
    <w:p w14:paraId="4A5164FD" w14:textId="77777777" w:rsidR="00BE71E3" w:rsidRPr="004737C5" w:rsidRDefault="00BE71E3" w:rsidP="00670D81">
      <w:pPr>
        <w:pStyle w:val="Heading3"/>
        <w:spacing w:after="160" w:line="240" w:lineRule="auto"/>
        <w:rPr>
          <w:rFonts w:cstheme="minorHAnsi"/>
          <w:color w:val="auto"/>
        </w:rPr>
      </w:pPr>
      <w:bookmarkStart w:id="399" w:name="_Toc454293907"/>
      <w:bookmarkStart w:id="400" w:name="_Toc489950345"/>
      <w:bookmarkStart w:id="401" w:name="_Toc492650132"/>
      <w:r w:rsidRPr="004737C5">
        <w:rPr>
          <w:rFonts w:cstheme="minorHAnsi"/>
          <w:color w:val="auto"/>
        </w:rPr>
        <w:t>2</w:t>
      </w:r>
      <w:r w:rsidR="00AA2A83" w:rsidRPr="004737C5">
        <w:rPr>
          <w:rFonts w:cstheme="minorHAnsi"/>
          <w:color w:val="auto"/>
        </w:rPr>
        <w:t>. Means-</w:t>
      </w:r>
      <w:r w:rsidRPr="004737C5">
        <w:rPr>
          <w:rFonts w:cstheme="minorHAnsi"/>
          <w:color w:val="auto"/>
        </w:rPr>
        <w:t>tested assistance</w:t>
      </w:r>
      <w:bookmarkEnd w:id="399"/>
      <w:bookmarkEnd w:id="400"/>
      <w:bookmarkEnd w:id="401"/>
    </w:p>
    <w:p w14:paraId="2F9C13C8" w14:textId="77777777" w:rsidR="00BE71E3" w:rsidRPr="004737C5" w:rsidRDefault="00BE71E3" w:rsidP="006D3BE8">
      <w:pPr>
        <w:rPr>
          <w:rFonts w:cstheme="minorHAnsi"/>
          <w:lang w:eastAsia="ar-SA"/>
        </w:rPr>
      </w:pPr>
      <w:r w:rsidRPr="004737C5">
        <w:rPr>
          <w:rFonts w:cstheme="minorHAnsi"/>
        </w:rPr>
        <w:t>An alternative to attempting to assist poorer households through prices is to do so through their incomes,</w:t>
      </w:r>
      <w:r w:rsidRPr="004737C5">
        <w:rPr>
          <w:rFonts w:cstheme="minorHAnsi"/>
          <w:lang w:eastAsia="ar-SA"/>
        </w:rPr>
        <w:t xml:space="preserve"> a practice favoured by many World Bank and other experts, who prefer a neat differentiation between service provision on the one hand, and income support on the other. </w:t>
      </w:r>
    </w:p>
    <w:p w14:paraId="11AF9947" w14:textId="146E937C" w:rsidR="00BE71E3" w:rsidRPr="004737C5" w:rsidRDefault="00BE71E3" w:rsidP="006D3BE8">
      <w:pPr>
        <w:rPr>
          <w:rFonts w:cstheme="minorHAnsi"/>
        </w:rPr>
      </w:pPr>
      <w:r w:rsidRPr="004737C5">
        <w:rPr>
          <w:rFonts w:cstheme="minorHAnsi"/>
          <w:lang w:eastAsia="ar-SA"/>
        </w:rPr>
        <w:t xml:space="preserve">The problem with this apparently simple logic is consumer resistance. </w:t>
      </w:r>
      <w:r w:rsidR="00AA2A83" w:rsidRPr="004737C5">
        <w:rPr>
          <w:rFonts w:cstheme="minorHAnsi"/>
        </w:rPr>
        <w:t>Means-</w:t>
      </w:r>
      <w:r w:rsidRPr="004737C5">
        <w:rPr>
          <w:rFonts w:cstheme="minorHAnsi"/>
        </w:rPr>
        <w:t>tested benefits are invasive, expensive to administer and suffer f</w:t>
      </w:r>
      <w:r w:rsidR="00AA2A83" w:rsidRPr="004737C5">
        <w:rPr>
          <w:rFonts w:cstheme="minorHAnsi"/>
        </w:rPr>
        <w:t xml:space="preserve">rom widespread failures of take </w:t>
      </w:r>
      <w:r w:rsidRPr="004737C5">
        <w:rPr>
          <w:rFonts w:cstheme="minorHAnsi"/>
        </w:rPr>
        <w:t>up, usually only going to a minority of those eligible, even among much admired schemes such as water and energy direct subsidies in Chile.</w:t>
      </w:r>
      <w:r w:rsidRPr="004737C5">
        <w:rPr>
          <w:rStyle w:val="FootnoteReference"/>
          <w:rFonts w:cstheme="minorHAnsi"/>
        </w:rPr>
        <w:footnoteReference w:id="339"/>
      </w:r>
      <w:r w:rsidRPr="004737C5">
        <w:rPr>
          <w:rFonts w:cstheme="minorHAnsi"/>
        </w:rPr>
        <w:t xml:space="preserve"> </w:t>
      </w:r>
      <w:r w:rsidRPr="004737C5">
        <w:rPr>
          <w:rFonts w:cstheme="minorHAnsi"/>
          <w:szCs w:val="24"/>
        </w:rPr>
        <w:t xml:space="preserve">Such subsidies often do not work partly because people dislike applying for them </w:t>
      </w:r>
      <w:r w:rsidR="00AA2A83" w:rsidRPr="004737C5">
        <w:rPr>
          <w:rFonts w:cstheme="minorHAnsi"/>
          <w:szCs w:val="24"/>
        </w:rPr>
        <w:t xml:space="preserve">as </w:t>
      </w:r>
      <w:r w:rsidRPr="004737C5">
        <w:rPr>
          <w:rFonts w:cstheme="minorHAnsi"/>
          <w:szCs w:val="24"/>
        </w:rPr>
        <w:t>they find them humiliating, and partly because of the sheer volume of documentation required. To reach a percentage figure of household income, there has to be a definition of that income, which is not a simple matter. Income needs to be defined over a given period to avoid a misleading picture. How long should that period be? Whose incomes should be assessed? The individual</w:t>
      </w:r>
      <w:r w:rsidR="00E8784A" w:rsidRPr="004737C5">
        <w:rPr>
          <w:rFonts w:cstheme="minorHAnsi"/>
          <w:szCs w:val="24"/>
        </w:rPr>
        <w:t>? Parents? O</w:t>
      </w:r>
      <w:r w:rsidRPr="004737C5">
        <w:rPr>
          <w:rFonts w:cstheme="minorHAnsi"/>
          <w:szCs w:val="24"/>
        </w:rPr>
        <w:t xml:space="preserve">ther household members? Should savings be taken into account? </w:t>
      </w:r>
    </w:p>
    <w:p w14:paraId="1898066C" w14:textId="4DD946A7" w:rsidR="00BE71E3" w:rsidRPr="004737C5" w:rsidRDefault="00BE71E3" w:rsidP="006D3BE8">
      <w:pPr>
        <w:rPr>
          <w:rFonts w:cstheme="minorHAnsi"/>
          <w:lang w:eastAsia="ar-SA"/>
        </w:rPr>
      </w:pPr>
      <w:r w:rsidRPr="004737C5">
        <w:rPr>
          <w:rFonts w:cstheme="minorHAnsi"/>
          <w:lang w:eastAsia="ar-SA"/>
        </w:rPr>
        <w:t xml:space="preserve">Particularly ineffective have been sector-specific social assistance mechanisms payable by public authorities, often from social assistance offices, as they usually only deal with a relatively small proportion of a consumer’s expenditure – </w:t>
      </w:r>
      <w:r w:rsidR="00AA2A83" w:rsidRPr="004737C5">
        <w:rPr>
          <w:rFonts w:cstheme="minorHAnsi"/>
          <w:lang w:eastAsia="ar-SA"/>
        </w:rPr>
        <w:t>for example</w:t>
      </w:r>
      <w:r w:rsidRPr="004737C5">
        <w:rPr>
          <w:rFonts w:cstheme="minorHAnsi"/>
          <w:lang w:eastAsia="ar-SA"/>
        </w:rPr>
        <w:t xml:space="preserve"> </w:t>
      </w:r>
      <w:r w:rsidR="00AA2A83" w:rsidRPr="004737C5">
        <w:rPr>
          <w:rFonts w:cstheme="minorHAnsi"/>
          <w:lang w:eastAsia="ar-SA"/>
        </w:rPr>
        <w:t>10</w:t>
      </w:r>
      <w:r w:rsidRPr="004737C5">
        <w:rPr>
          <w:rFonts w:cstheme="minorHAnsi"/>
          <w:lang w:eastAsia="ar-SA"/>
        </w:rPr>
        <w:t xml:space="preserve"> per cent of dis</w:t>
      </w:r>
      <w:r w:rsidR="00AA2A83" w:rsidRPr="004737C5">
        <w:rPr>
          <w:rFonts w:cstheme="minorHAnsi"/>
          <w:lang w:eastAsia="ar-SA"/>
        </w:rPr>
        <w:t>posable income as we have seen.</w:t>
      </w:r>
      <w:r w:rsidRPr="004737C5">
        <w:rPr>
          <w:rFonts w:cstheme="minorHAnsi"/>
          <w:lang w:eastAsia="ar-SA"/>
        </w:rPr>
        <w:t xml:space="preserve"> Further, if fuel poverty is the result of the inefficiency of appliances and the quality of </w:t>
      </w:r>
      <w:r w:rsidR="00AA2A83" w:rsidRPr="004737C5">
        <w:rPr>
          <w:rFonts w:cstheme="minorHAnsi"/>
          <w:lang w:eastAsia="ar-SA"/>
        </w:rPr>
        <w:t>housing, means-</w:t>
      </w:r>
      <w:r w:rsidRPr="004737C5">
        <w:rPr>
          <w:rFonts w:cstheme="minorHAnsi"/>
          <w:lang w:eastAsia="ar-SA"/>
        </w:rPr>
        <w:t xml:space="preserve">tested social assistance bears little impact on this fundamental problem and puts the burden on the public purse to continue to pay </w:t>
      </w:r>
      <w:r w:rsidR="00E8784A" w:rsidRPr="004737C5">
        <w:rPr>
          <w:rFonts w:cstheme="minorHAnsi"/>
          <w:lang w:eastAsia="ar-SA"/>
        </w:rPr>
        <w:t>for the income support, while letting</w:t>
      </w:r>
      <w:r w:rsidRPr="004737C5">
        <w:rPr>
          <w:rFonts w:cstheme="minorHAnsi"/>
          <w:lang w:eastAsia="ar-SA"/>
        </w:rPr>
        <w:t xml:space="preserve"> inefficient household energy consumption continue. One efficient and sustainable way of proceeding in this case would be to charge cost recovery tariffs and reduce energy consumption (therefore holding bills steady) while shielding the poor. The Government of Hong Kong (China) offers assistance to certain categories of consumers to invest in energy saving. The great virtue of energy saving schemes is t</w:t>
      </w:r>
      <w:r w:rsidR="009A50E2" w:rsidRPr="004737C5">
        <w:rPr>
          <w:rFonts w:cstheme="minorHAnsi"/>
          <w:lang w:eastAsia="ar-SA"/>
        </w:rPr>
        <w:t>hat, even if they have a wider “trawl”</w:t>
      </w:r>
      <w:r w:rsidRPr="004737C5">
        <w:rPr>
          <w:rFonts w:cstheme="minorHAnsi"/>
          <w:lang w:eastAsia="ar-SA"/>
        </w:rPr>
        <w:t xml:space="preserve"> in social terms than direct assistance through incomes or tariffs, there is a benefit to all in terms of reduced consumption and hence reduced pollution.</w:t>
      </w:r>
      <w:r w:rsidRPr="004737C5">
        <w:rPr>
          <w:rStyle w:val="FootnoteReference"/>
          <w:rFonts w:cstheme="minorHAnsi"/>
          <w:lang w:eastAsia="ar-SA"/>
        </w:rPr>
        <w:footnoteReference w:id="340"/>
      </w:r>
      <w:r w:rsidRPr="004737C5">
        <w:rPr>
          <w:rFonts w:cstheme="minorHAnsi"/>
          <w:lang w:eastAsia="ar-SA"/>
        </w:rPr>
        <w:t xml:space="preserve"> </w:t>
      </w:r>
      <w:r w:rsidR="009A50E2" w:rsidRPr="004737C5">
        <w:rPr>
          <w:rFonts w:cstheme="minorHAnsi"/>
          <w:lang w:eastAsia="ar-SA"/>
        </w:rPr>
        <w:t>B</w:t>
      </w:r>
      <w:r w:rsidRPr="004737C5">
        <w:rPr>
          <w:rFonts w:cstheme="minorHAnsi"/>
          <w:lang w:eastAsia="ar-SA"/>
        </w:rPr>
        <w:t>etter appliances and more energy efficient housing can</w:t>
      </w:r>
      <w:r w:rsidR="009A50E2" w:rsidRPr="004737C5">
        <w:rPr>
          <w:rFonts w:cstheme="minorHAnsi"/>
          <w:lang w:eastAsia="ar-SA"/>
        </w:rPr>
        <w:t xml:space="preserve"> also</w:t>
      </w:r>
      <w:r w:rsidRPr="004737C5">
        <w:rPr>
          <w:rFonts w:cstheme="minorHAnsi"/>
          <w:lang w:eastAsia="ar-SA"/>
        </w:rPr>
        <w:t xml:space="preserve"> be passed on for future use.</w:t>
      </w:r>
    </w:p>
    <w:p w14:paraId="1B3B179B" w14:textId="77777777" w:rsidR="00BE71E3" w:rsidRPr="004737C5" w:rsidRDefault="009A50E2" w:rsidP="00E8784A">
      <w:pPr>
        <w:pStyle w:val="Heading2"/>
        <w:spacing w:after="160"/>
        <w:rPr>
          <w:rFonts w:cstheme="minorHAnsi"/>
          <w:caps/>
          <w:color w:val="auto"/>
          <w:sz w:val="24"/>
          <w:szCs w:val="24"/>
        </w:rPr>
      </w:pPr>
      <w:bookmarkStart w:id="402" w:name="_Toc454293908"/>
      <w:bookmarkStart w:id="403" w:name="_Toc489950346"/>
      <w:bookmarkStart w:id="404" w:name="_Toc492650133"/>
      <w:r w:rsidRPr="004737C5">
        <w:rPr>
          <w:rFonts w:cstheme="minorHAnsi"/>
          <w:color w:val="auto"/>
          <w:sz w:val="24"/>
          <w:szCs w:val="24"/>
        </w:rPr>
        <w:t>G.</w:t>
      </w:r>
      <w:r w:rsidR="00BE71E3" w:rsidRPr="004737C5">
        <w:rPr>
          <w:rFonts w:cstheme="minorHAnsi"/>
          <w:color w:val="auto"/>
          <w:sz w:val="24"/>
          <w:szCs w:val="24"/>
        </w:rPr>
        <w:t xml:space="preserve"> Access at the MDG/SDG interface</w:t>
      </w:r>
      <w:bookmarkEnd w:id="402"/>
      <w:bookmarkEnd w:id="403"/>
      <w:bookmarkEnd w:id="404"/>
    </w:p>
    <w:p w14:paraId="45055BE4" w14:textId="60C4F20B" w:rsidR="00BE71E3" w:rsidRPr="004737C5" w:rsidRDefault="00BE71E3" w:rsidP="006D3BE8">
      <w:pPr>
        <w:rPr>
          <w:rFonts w:cstheme="minorHAnsi"/>
        </w:rPr>
      </w:pPr>
      <w:r w:rsidRPr="004737C5">
        <w:rPr>
          <w:rFonts w:cstheme="minorHAnsi"/>
        </w:rPr>
        <w:t>According to the United Nations’ Millennium Development Goals Report 2015, about</w:t>
      </w:r>
      <w:r w:rsidRPr="004737C5">
        <w:rPr>
          <w:rFonts w:cstheme="minorHAnsi"/>
          <w:color w:val="FF0000"/>
        </w:rPr>
        <w:t xml:space="preserve"> </w:t>
      </w:r>
      <w:r w:rsidRPr="004737C5">
        <w:rPr>
          <w:rFonts w:cstheme="minorHAnsi"/>
        </w:rPr>
        <w:t>660 million people use unimproved water sources and 2.4 billion do not have access to acceptable sanita</w:t>
      </w:r>
      <w:r w:rsidR="009A50E2" w:rsidRPr="004737C5">
        <w:rPr>
          <w:rFonts w:cstheme="minorHAnsi"/>
        </w:rPr>
        <w:t>tion facilities.</w:t>
      </w:r>
      <w:r w:rsidRPr="004737C5">
        <w:rPr>
          <w:rStyle w:val="FootnoteReference"/>
          <w:rFonts w:cstheme="minorHAnsi"/>
        </w:rPr>
        <w:footnoteReference w:id="341"/>
      </w:r>
      <w:r w:rsidRPr="004737C5">
        <w:rPr>
          <w:rFonts w:cstheme="minorHAnsi"/>
        </w:rPr>
        <w:t xml:space="preserve"> In announcing the SDGs in 2015 the United Nations reported that 1.2 billion people in the world do not have access to electricity.</w:t>
      </w:r>
      <w:r w:rsidR="009A50E2" w:rsidRPr="004737C5">
        <w:rPr>
          <w:rFonts w:cstheme="minorHAnsi"/>
          <w:color w:val="000000"/>
        </w:rPr>
        <w:t xml:space="preserve"> </w:t>
      </w:r>
      <w:r w:rsidR="009A50E2" w:rsidRPr="004737C5">
        <w:rPr>
          <w:rFonts w:cstheme="minorHAnsi"/>
        </w:rPr>
        <w:t>T</w:t>
      </w:r>
      <w:r w:rsidRPr="004737C5">
        <w:rPr>
          <w:rFonts w:cstheme="minorHAnsi"/>
        </w:rPr>
        <w:t>he situation regarding telecommunications has transformed</w:t>
      </w:r>
      <w:r w:rsidR="009A50E2" w:rsidRPr="004737C5">
        <w:rPr>
          <w:rFonts w:cstheme="minorHAnsi"/>
        </w:rPr>
        <w:t>, however,</w:t>
      </w:r>
      <w:r w:rsidRPr="004737C5">
        <w:rPr>
          <w:rFonts w:cstheme="minorHAnsi"/>
        </w:rPr>
        <w:t xml:space="preserve"> since the last manual. There are now 7 billion mobile phones in use, taking on ever more sophisticated functions. P</w:t>
      </w:r>
      <w:r w:rsidR="009A50E2" w:rsidRPr="004737C5">
        <w:rPr>
          <w:rFonts w:cstheme="minorHAnsi"/>
        </w:rPr>
        <w:t>artly as a result of this, the internet is now emerging as a new public utility.</w:t>
      </w:r>
      <w:r w:rsidRPr="004737C5">
        <w:rPr>
          <w:rStyle w:val="FootnoteReference"/>
          <w:rFonts w:cstheme="minorHAnsi"/>
        </w:rPr>
        <w:footnoteReference w:id="342"/>
      </w:r>
      <w:r w:rsidRPr="004737C5">
        <w:rPr>
          <w:rFonts w:cstheme="minorHAnsi"/>
        </w:rPr>
        <w:t xml:space="preserve"> </w:t>
      </w:r>
    </w:p>
    <w:p w14:paraId="79A317B6" w14:textId="77777777" w:rsidR="00BE71E3" w:rsidRPr="004737C5" w:rsidRDefault="00BE71E3" w:rsidP="006D3BE8">
      <w:pPr>
        <w:rPr>
          <w:rFonts w:eastAsiaTheme="minorEastAsia" w:cstheme="minorHAnsi"/>
        </w:rPr>
      </w:pPr>
      <w:r w:rsidRPr="004737C5">
        <w:rPr>
          <w:rFonts w:cstheme="minorHAnsi"/>
        </w:rPr>
        <w:lastRenderedPageBreak/>
        <w:t>Progress has been made in correcting one of the greatest failures, namely integrating informal settlements. Accor</w:t>
      </w:r>
      <w:r w:rsidR="009A50E2" w:rsidRPr="004737C5">
        <w:rPr>
          <w:rFonts w:cstheme="minorHAnsi"/>
        </w:rPr>
        <w:t>ding to the United Nations MDG R</w:t>
      </w:r>
      <w:r w:rsidRPr="004737C5">
        <w:rPr>
          <w:rFonts w:cstheme="minorHAnsi"/>
        </w:rPr>
        <w:t>eport 2015,</w:t>
      </w:r>
      <w:r w:rsidRPr="004737C5">
        <w:rPr>
          <w:rFonts w:eastAsiaTheme="minorEastAsia" w:cstheme="minorHAnsi"/>
        </w:rPr>
        <w:t xml:space="preserve"> over 880 million people are estimated to be living in slum-like conditions in the developing world’s cities, compared to 792 million reported in 2000 and 689 million in 1990. However, the proportion of urban population living in slums in developing regions fell from approximately 39 per cent in 2000 to 30 per cent in 2014. That sounds like progress and indeed, the corresponding MDG target has been met, but absolute numbers of urban residents living in slums continue to grow, partly due to accelerating urbanization, population growth and the lack of appropriate land and housing policies. Sub-Saharan Africa continues to have the highest prevalence of slum conditions of all regions, estimated at 55 per cent of urban population in 2014. Nevertheless, this represents a decline of almost 10 percentage points in prevalence</w:t>
      </w:r>
      <w:r w:rsidR="009A50E2" w:rsidRPr="004737C5">
        <w:rPr>
          <w:rFonts w:eastAsiaTheme="minorEastAsia" w:cstheme="minorHAnsi"/>
        </w:rPr>
        <w:t xml:space="preserve"> since 2000. This is a case of “running fast to stand still”</w:t>
      </w:r>
      <w:r w:rsidRPr="004737C5">
        <w:rPr>
          <w:rFonts w:eastAsiaTheme="minorEastAsia" w:cstheme="minorHAnsi"/>
        </w:rPr>
        <w:t xml:space="preserve"> and there are setbacks due to local or regional conflicts which have increased the prevalence of slum settlements. Iraq, for example, experienced an increase of more than 60 per cent between 2000 and 2014.</w:t>
      </w:r>
      <w:r w:rsidRPr="004737C5">
        <w:rPr>
          <w:rStyle w:val="FootnoteReference"/>
          <w:rFonts w:eastAsiaTheme="minorEastAsia" w:cstheme="minorHAnsi"/>
        </w:rPr>
        <w:footnoteReference w:id="343"/>
      </w:r>
    </w:p>
    <w:p w14:paraId="00D191D0" w14:textId="77777777" w:rsidR="00BE71E3" w:rsidRPr="004737C5" w:rsidRDefault="009A50E2" w:rsidP="00E8784A">
      <w:pPr>
        <w:pStyle w:val="Heading2"/>
        <w:spacing w:after="160"/>
        <w:rPr>
          <w:rFonts w:cstheme="minorHAnsi"/>
          <w:color w:val="auto"/>
          <w:sz w:val="24"/>
          <w:szCs w:val="24"/>
        </w:rPr>
      </w:pPr>
      <w:bookmarkStart w:id="405" w:name="_Toc183930689"/>
      <w:bookmarkStart w:id="406" w:name="_Toc454293909"/>
      <w:bookmarkStart w:id="407" w:name="_Toc489950347"/>
      <w:bookmarkStart w:id="408" w:name="_Toc492650134"/>
      <w:r w:rsidRPr="004737C5">
        <w:rPr>
          <w:rFonts w:cstheme="minorHAnsi"/>
          <w:color w:val="auto"/>
          <w:sz w:val="24"/>
          <w:szCs w:val="24"/>
        </w:rPr>
        <w:t>H.</w:t>
      </w:r>
      <w:r w:rsidR="00BE71E3" w:rsidRPr="004737C5">
        <w:rPr>
          <w:rFonts w:cstheme="minorHAnsi"/>
          <w:color w:val="auto"/>
          <w:sz w:val="24"/>
          <w:szCs w:val="24"/>
        </w:rPr>
        <w:t xml:space="preserve"> Safeguarding the consumer interest</w:t>
      </w:r>
      <w:bookmarkEnd w:id="405"/>
      <w:bookmarkEnd w:id="406"/>
      <w:bookmarkEnd w:id="407"/>
      <w:bookmarkEnd w:id="408"/>
    </w:p>
    <w:p w14:paraId="02D3933C" w14:textId="52EE17C3" w:rsidR="00BE71E3" w:rsidRPr="004737C5" w:rsidRDefault="00BE71E3" w:rsidP="006D3BE8">
      <w:pPr>
        <w:rPr>
          <w:rFonts w:cstheme="minorHAnsi"/>
        </w:rPr>
      </w:pPr>
      <w:r w:rsidRPr="004737C5">
        <w:rPr>
          <w:rFonts w:cstheme="minorHAnsi"/>
        </w:rPr>
        <w:t>The above difficulties and proposals to solve them may overlook some rather basic issues around quality of service and customer care. Some of these have bee</w:t>
      </w:r>
      <w:r w:rsidR="009A50E2" w:rsidRPr="004737C5">
        <w:rPr>
          <w:rFonts w:cstheme="minorHAnsi"/>
        </w:rPr>
        <w:t>n taken up by ISO 24510 (2007)</w:t>
      </w:r>
      <w:r w:rsidR="00E8784A" w:rsidRPr="004737C5">
        <w:rPr>
          <w:rFonts w:cstheme="minorHAnsi"/>
        </w:rPr>
        <w:t>,</w:t>
      </w:r>
      <w:r w:rsidR="009A50E2" w:rsidRPr="004737C5">
        <w:rPr>
          <w:rFonts w:cstheme="minorHAnsi"/>
        </w:rPr>
        <w:t xml:space="preserve"> “</w:t>
      </w:r>
      <w:r w:rsidRPr="004737C5">
        <w:rPr>
          <w:rFonts w:cstheme="minorHAnsi"/>
        </w:rPr>
        <w:t>Activities relating to drinkin</w:t>
      </w:r>
      <w:r w:rsidR="009A50E2" w:rsidRPr="004737C5">
        <w:rPr>
          <w:rFonts w:cstheme="minorHAnsi"/>
        </w:rPr>
        <w:t>g water and wastewater services:</w:t>
      </w:r>
      <w:r w:rsidRPr="004737C5">
        <w:rPr>
          <w:rFonts w:cstheme="minorHAnsi"/>
        </w:rPr>
        <w:t xml:space="preserve"> Guidelines for assessment and </w:t>
      </w:r>
      <w:r w:rsidR="009A50E2" w:rsidRPr="004737C5">
        <w:rPr>
          <w:rFonts w:cstheme="minorHAnsi"/>
        </w:rPr>
        <w:t>improvement of service to users”,</w:t>
      </w:r>
      <w:r w:rsidRPr="004737C5">
        <w:rPr>
          <w:rFonts w:cstheme="minorHAnsi"/>
        </w:rPr>
        <w:t xml:space="preserve"> which attempts to improve customer care. The hope underp</w:t>
      </w:r>
      <w:r w:rsidR="00E8784A" w:rsidRPr="004737C5">
        <w:rPr>
          <w:rFonts w:cstheme="minorHAnsi"/>
        </w:rPr>
        <w:t>inning the standard is that it</w:t>
      </w:r>
      <w:r w:rsidRPr="004737C5">
        <w:rPr>
          <w:rFonts w:cstheme="minorHAnsi"/>
        </w:rPr>
        <w:t xml:space="preserve"> will improve customer compliance including payment rates and set in train a virtuous circle of rising standards and widening networks. The objectives adopted by consumer representatives for incorporation into ISO 24510 are worth spelling out</w:t>
      </w:r>
      <w:r w:rsidR="009A50E2" w:rsidRPr="004737C5">
        <w:rPr>
          <w:rFonts w:cstheme="minorHAnsi"/>
        </w:rPr>
        <w:t>, as</w:t>
      </w:r>
      <w:r w:rsidRPr="004737C5">
        <w:rPr>
          <w:rFonts w:cstheme="minorHAnsi"/>
        </w:rPr>
        <w:t xml:space="preserve"> the standard has been widely adopted in Latin America and an analogous standard for energy services (ISO</w:t>
      </w:r>
      <w:r w:rsidR="009A50E2" w:rsidRPr="004737C5">
        <w:rPr>
          <w:rFonts w:cstheme="minorHAnsi"/>
        </w:rPr>
        <w:t xml:space="preserve"> 50007) is under final approval</w:t>
      </w:r>
      <w:r w:rsidRPr="004737C5">
        <w:rPr>
          <w:rFonts w:cstheme="minorHAnsi"/>
        </w:rPr>
        <w:t xml:space="preserve"> at the time of writing.</w:t>
      </w:r>
      <w:r w:rsidRPr="004737C5">
        <w:rPr>
          <w:rStyle w:val="FootnoteReference"/>
          <w:rFonts w:cstheme="minorHAnsi"/>
        </w:rPr>
        <w:footnoteReference w:id="344"/>
      </w:r>
    </w:p>
    <w:p w14:paraId="09C420E5" w14:textId="77777777" w:rsidR="00BE71E3" w:rsidRPr="004737C5" w:rsidRDefault="00BE71E3" w:rsidP="002473E9">
      <w:pPr>
        <w:pStyle w:val="ListParagraph"/>
        <w:numPr>
          <w:ilvl w:val="0"/>
          <w:numId w:val="61"/>
        </w:numPr>
        <w:spacing w:after="0"/>
        <w:ind w:left="709" w:hanging="425"/>
        <w:rPr>
          <w:rFonts w:cstheme="minorHAnsi"/>
        </w:rPr>
      </w:pPr>
      <w:r w:rsidRPr="004737C5">
        <w:rPr>
          <w:rFonts w:cstheme="minorHAnsi"/>
        </w:rPr>
        <w:t>The standard should be applied to</w:t>
      </w:r>
      <w:r w:rsidR="009A50E2" w:rsidRPr="004737C5">
        <w:rPr>
          <w:rFonts w:cstheme="minorHAnsi"/>
          <w:b/>
          <w:bCs/>
        </w:rPr>
        <w:t xml:space="preserve"> “non-reticulated”</w:t>
      </w:r>
      <w:r w:rsidRPr="004737C5">
        <w:rPr>
          <w:rFonts w:cstheme="minorHAnsi"/>
          <w:b/>
          <w:bCs/>
        </w:rPr>
        <w:t xml:space="preserve"> systems</w:t>
      </w:r>
      <w:r w:rsidRPr="004737C5">
        <w:rPr>
          <w:rFonts w:cstheme="minorHAnsi"/>
          <w:bCs/>
        </w:rPr>
        <w:t>,</w:t>
      </w:r>
      <w:r w:rsidRPr="004737C5">
        <w:rPr>
          <w:rFonts w:cstheme="minorHAnsi"/>
          <w:b/>
          <w:bCs/>
        </w:rPr>
        <w:t xml:space="preserve"> </w:t>
      </w:r>
      <w:r w:rsidRPr="004737C5">
        <w:rPr>
          <w:rFonts w:cstheme="minorHAnsi"/>
        </w:rPr>
        <w:t xml:space="preserve">i.e. those systems </w:t>
      </w:r>
      <w:r w:rsidR="009A50E2" w:rsidRPr="004737C5">
        <w:rPr>
          <w:rFonts w:cstheme="minorHAnsi"/>
        </w:rPr>
        <w:t xml:space="preserve">that </w:t>
      </w:r>
      <w:r w:rsidRPr="004737C5">
        <w:rPr>
          <w:rFonts w:cstheme="minorHAnsi"/>
        </w:rPr>
        <w:t xml:space="preserve">are not necessarily physically connected and fully integrated. </w:t>
      </w:r>
      <w:r w:rsidR="00B02777" w:rsidRPr="004737C5">
        <w:rPr>
          <w:rFonts w:cstheme="minorHAnsi"/>
        </w:rPr>
        <w:t>I</w:t>
      </w:r>
      <w:r w:rsidRPr="004737C5">
        <w:rPr>
          <w:rFonts w:cstheme="minorHAnsi"/>
        </w:rPr>
        <w:t>t should cover services such as drinking water services delivered by trucks or distribution of bottles, or systems of dry la</w:t>
      </w:r>
      <w:r w:rsidR="009A50E2" w:rsidRPr="004737C5">
        <w:rPr>
          <w:rFonts w:cstheme="minorHAnsi"/>
        </w:rPr>
        <w:t>trines and cess</w:t>
      </w:r>
      <w:r w:rsidRPr="004737C5">
        <w:rPr>
          <w:rFonts w:cstheme="minorHAnsi"/>
        </w:rPr>
        <w:t>pit emptying services. Furthermore</w:t>
      </w:r>
      <w:r w:rsidR="00B02777" w:rsidRPr="004737C5">
        <w:rPr>
          <w:rFonts w:cstheme="minorHAnsi"/>
        </w:rPr>
        <w:t>,</w:t>
      </w:r>
      <w:r w:rsidRPr="004737C5">
        <w:rPr>
          <w:rFonts w:cstheme="minorHAnsi"/>
        </w:rPr>
        <w:t xml:space="preserve"> if people are not served they should have the right t</w:t>
      </w:r>
      <w:r w:rsidR="00B02777" w:rsidRPr="004737C5">
        <w:rPr>
          <w:rFonts w:cstheme="minorHAnsi"/>
        </w:rPr>
        <w:t>o know when they will be served.</w:t>
      </w:r>
    </w:p>
    <w:p w14:paraId="442EA3BA" w14:textId="77777777" w:rsidR="00BE71E3" w:rsidRPr="004737C5" w:rsidRDefault="00BE71E3" w:rsidP="002473E9">
      <w:pPr>
        <w:pStyle w:val="ListParagraph"/>
        <w:numPr>
          <w:ilvl w:val="0"/>
          <w:numId w:val="61"/>
        </w:numPr>
        <w:spacing w:after="0"/>
        <w:ind w:left="709" w:hanging="425"/>
        <w:rPr>
          <w:rFonts w:cstheme="minorHAnsi"/>
        </w:rPr>
      </w:pPr>
      <w:r w:rsidRPr="004737C5">
        <w:rPr>
          <w:rFonts w:cstheme="minorHAnsi"/>
        </w:rPr>
        <w:t xml:space="preserve">The principle of </w:t>
      </w:r>
      <w:r w:rsidRPr="004737C5">
        <w:rPr>
          <w:rFonts w:cstheme="minorHAnsi"/>
          <w:b/>
          <w:bCs/>
        </w:rPr>
        <w:t>equitable distribution of service</w:t>
      </w:r>
      <w:r w:rsidRPr="004737C5">
        <w:rPr>
          <w:rFonts w:cstheme="minorHAnsi"/>
        </w:rPr>
        <w:t>. If existing networks are subject, as many are, to cuts in supply then such cuts should be managed in an equitable manner, avoiding discrimination against poor districts wh</w:t>
      </w:r>
      <w:r w:rsidR="00B02777" w:rsidRPr="004737C5">
        <w:rPr>
          <w:rFonts w:cstheme="minorHAnsi"/>
        </w:rPr>
        <w:t>ich is common in many countries.</w:t>
      </w:r>
    </w:p>
    <w:p w14:paraId="4C4C006A" w14:textId="77777777" w:rsidR="00BE71E3" w:rsidRPr="004737C5" w:rsidRDefault="00BE71E3" w:rsidP="002473E9">
      <w:pPr>
        <w:pStyle w:val="ListParagraph"/>
        <w:numPr>
          <w:ilvl w:val="0"/>
          <w:numId w:val="61"/>
        </w:numPr>
        <w:spacing w:after="0"/>
        <w:ind w:left="709" w:hanging="425"/>
        <w:rPr>
          <w:rFonts w:cstheme="minorHAnsi"/>
        </w:rPr>
      </w:pPr>
      <w:r w:rsidRPr="004737C5">
        <w:rPr>
          <w:rFonts w:cstheme="minorHAnsi"/>
        </w:rPr>
        <w:t xml:space="preserve">There should be </w:t>
      </w:r>
      <w:r w:rsidRPr="004737C5">
        <w:rPr>
          <w:rFonts w:cstheme="minorHAnsi"/>
          <w:b/>
          <w:bCs/>
        </w:rPr>
        <w:t>contractual rights to service</w:t>
      </w:r>
      <w:r w:rsidRPr="004737C5">
        <w:rPr>
          <w:rFonts w:cstheme="minorHAnsi"/>
        </w:rPr>
        <w:t xml:space="preserve">. </w:t>
      </w:r>
      <w:r w:rsidR="00B02777" w:rsidRPr="004737C5">
        <w:rPr>
          <w:rFonts w:cstheme="minorHAnsi"/>
        </w:rPr>
        <w:t>Contracts should be “</w:t>
      </w:r>
      <w:r w:rsidRPr="004737C5">
        <w:rPr>
          <w:rFonts w:cstheme="minorHAnsi"/>
        </w:rPr>
        <w:t>implicit</w:t>
      </w:r>
      <w:r w:rsidR="00B02777" w:rsidRPr="004737C5">
        <w:rPr>
          <w:rFonts w:cstheme="minorHAnsi"/>
        </w:rPr>
        <w:t>”,</w:t>
      </w:r>
      <w:r w:rsidRPr="004737C5">
        <w:rPr>
          <w:rFonts w:cstheme="minorHAnsi"/>
        </w:rPr>
        <w:t xml:space="preserve"> that is not necessarily in the form of individualized paper contracts for individual households. Of course contractual rights need to be written down in order for people to exercise their rights but the individual should be able to assert rights when not in possession of a written contract. This is of particular importance to the significant proportion of the world’s adults </w:t>
      </w:r>
      <w:r w:rsidR="00B02777" w:rsidRPr="004737C5">
        <w:rPr>
          <w:rFonts w:cstheme="minorHAnsi"/>
        </w:rPr>
        <w:t>who are illiterate.</w:t>
      </w:r>
    </w:p>
    <w:p w14:paraId="1AB8CE2F" w14:textId="77777777" w:rsidR="00BE71E3" w:rsidRPr="004737C5" w:rsidRDefault="00BE71E3" w:rsidP="002473E9">
      <w:pPr>
        <w:pStyle w:val="ListParagraph"/>
        <w:numPr>
          <w:ilvl w:val="0"/>
          <w:numId w:val="61"/>
        </w:numPr>
        <w:spacing w:after="0"/>
        <w:ind w:left="709" w:hanging="425"/>
        <w:rPr>
          <w:rFonts w:cstheme="minorHAnsi"/>
        </w:rPr>
      </w:pPr>
      <w:r w:rsidRPr="004737C5">
        <w:rPr>
          <w:rFonts w:cstheme="minorHAnsi"/>
        </w:rPr>
        <w:t xml:space="preserve">There needs to be </w:t>
      </w:r>
      <w:r w:rsidRPr="004737C5">
        <w:rPr>
          <w:rFonts w:cstheme="minorHAnsi"/>
          <w:b/>
          <w:bCs/>
        </w:rPr>
        <w:t>public participation in the regulation of the service</w:t>
      </w:r>
      <w:r w:rsidRPr="004737C5">
        <w:rPr>
          <w:rFonts w:cstheme="minorHAnsi"/>
        </w:rPr>
        <w:t>, not necessarily in its internal management, although that should not be ruled out where such models are developed such as cooperatives. This requires the development of forums for such participation and the release of relevant inf</w:t>
      </w:r>
      <w:r w:rsidR="00B02777" w:rsidRPr="004737C5">
        <w:rPr>
          <w:rFonts w:cstheme="minorHAnsi"/>
        </w:rPr>
        <w:t>ormation in comprehensible form.</w:t>
      </w:r>
    </w:p>
    <w:p w14:paraId="3ECA953A" w14:textId="77777777" w:rsidR="00BE71E3" w:rsidRPr="004737C5" w:rsidRDefault="00BE71E3" w:rsidP="002473E9">
      <w:pPr>
        <w:pStyle w:val="ListParagraph"/>
        <w:numPr>
          <w:ilvl w:val="0"/>
          <w:numId w:val="61"/>
        </w:numPr>
        <w:spacing w:after="0"/>
        <w:ind w:left="709" w:hanging="425"/>
        <w:rPr>
          <w:rFonts w:cstheme="minorHAnsi"/>
        </w:rPr>
      </w:pPr>
      <w:r w:rsidRPr="004737C5">
        <w:rPr>
          <w:rFonts w:cstheme="minorHAnsi"/>
          <w:b/>
          <w:bCs/>
        </w:rPr>
        <w:t xml:space="preserve">Payment methods should be developed to help those on low incomes. </w:t>
      </w:r>
      <w:r w:rsidRPr="004737C5">
        <w:rPr>
          <w:rFonts w:cstheme="minorHAnsi"/>
        </w:rPr>
        <w:t>For example</w:t>
      </w:r>
      <w:r w:rsidR="00B02777" w:rsidRPr="004737C5">
        <w:rPr>
          <w:rFonts w:cstheme="minorHAnsi"/>
        </w:rPr>
        <w:t>,</w:t>
      </w:r>
      <w:r w:rsidRPr="004737C5">
        <w:rPr>
          <w:rFonts w:cstheme="minorHAnsi"/>
        </w:rPr>
        <w:t xml:space="preserve"> it is well established that consumers on low incomes much prefer to make frequent small payments, and in doing so often prove to be no less willing to pay than more wealthy consumers</w:t>
      </w:r>
      <w:r w:rsidR="00B02777" w:rsidRPr="004737C5">
        <w:rPr>
          <w:rFonts w:cstheme="minorHAnsi"/>
        </w:rPr>
        <w:t>.</w:t>
      </w:r>
    </w:p>
    <w:p w14:paraId="7CCB95BA" w14:textId="77777777" w:rsidR="00BE71E3" w:rsidRPr="004737C5" w:rsidRDefault="00BE71E3" w:rsidP="002473E9">
      <w:pPr>
        <w:pStyle w:val="ListParagraph"/>
        <w:numPr>
          <w:ilvl w:val="0"/>
          <w:numId w:val="61"/>
        </w:numPr>
        <w:ind w:left="709" w:hanging="425"/>
        <w:rPr>
          <w:rFonts w:cstheme="minorHAnsi"/>
        </w:rPr>
      </w:pPr>
      <w:r w:rsidRPr="004737C5">
        <w:rPr>
          <w:rFonts w:cstheme="minorHAnsi"/>
          <w:b/>
          <w:bCs/>
        </w:rPr>
        <w:lastRenderedPageBreak/>
        <w:t>Prices need to be set in function of a range of factors including capacity to pay of the population, costs of production, historic prices and rate of return on capital</w:t>
      </w:r>
      <w:r w:rsidRPr="004737C5">
        <w:rPr>
          <w:rFonts w:cstheme="minorHAnsi"/>
        </w:rPr>
        <w:t xml:space="preserve"> (regardless of public or private). There is no fixed answer as to which factor should predominate</w:t>
      </w:r>
      <w:r w:rsidR="00B02777" w:rsidRPr="004737C5">
        <w:rPr>
          <w:rFonts w:cstheme="minorHAnsi"/>
        </w:rPr>
        <w:t>:</w:t>
      </w:r>
      <w:r w:rsidRPr="004737C5">
        <w:rPr>
          <w:rFonts w:cstheme="minorHAnsi"/>
        </w:rPr>
        <w:t xml:space="preserve"> that is a matter for local political decision. </w:t>
      </w:r>
    </w:p>
    <w:p w14:paraId="293C0199" w14:textId="77777777" w:rsidR="00BE71E3" w:rsidRPr="004737C5" w:rsidRDefault="00BE71E3" w:rsidP="006D3BE8">
      <w:pPr>
        <w:rPr>
          <w:rFonts w:cstheme="minorHAnsi"/>
        </w:rPr>
      </w:pPr>
      <w:r w:rsidRPr="004737C5">
        <w:rPr>
          <w:rFonts w:cstheme="minorHAnsi"/>
        </w:rPr>
        <w:t>One very basic improvement which can mitigate the pressure for tariff improvements is raising collection rates. Extremely low levels of payment have been reported from many developing and transition</w:t>
      </w:r>
      <w:r w:rsidR="00B02777" w:rsidRPr="004737C5">
        <w:rPr>
          <w:rFonts w:cstheme="minorHAnsi"/>
        </w:rPr>
        <w:t>al economies, some as low as 35 percent</w:t>
      </w:r>
      <w:r w:rsidRPr="004737C5">
        <w:rPr>
          <w:rFonts w:cstheme="minorHAnsi"/>
        </w:rPr>
        <w:t>.</w:t>
      </w:r>
      <w:r w:rsidRPr="004737C5">
        <w:rPr>
          <w:rStyle w:val="FootnoteReference"/>
          <w:rFonts w:cstheme="minorHAnsi"/>
        </w:rPr>
        <w:footnoteReference w:id="345"/>
      </w:r>
      <w:r w:rsidRPr="004737C5">
        <w:rPr>
          <w:rFonts w:cstheme="minorHAnsi"/>
        </w:rPr>
        <w:t xml:space="preserve"> Raising tariffs can be very provocative when it is widely known that many consumers choose not to pay, so improved collection both raises revenue and, by moderating tariffs, diminishes the incentive to avoid payment. In East Africa, the rise of the M-Pesa system has allowed service providers such as Kenya Light and Power to introduce payment from mobile phones, which will bring with it the benefit of avoiding lengthy queues at offices. If revenue is to be improved, it is essential that payment is made easier.</w:t>
      </w:r>
    </w:p>
    <w:p w14:paraId="7E161C53" w14:textId="405F102E" w:rsidR="00BE71E3" w:rsidRPr="004737C5" w:rsidRDefault="00BE71E3" w:rsidP="006D3BE8">
      <w:pPr>
        <w:rPr>
          <w:rFonts w:cstheme="minorHAnsi"/>
        </w:rPr>
      </w:pPr>
      <w:r w:rsidRPr="004737C5">
        <w:rPr>
          <w:rFonts w:cstheme="minorHAnsi"/>
        </w:rPr>
        <w:t xml:space="preserve">Further innovations, controversial to some, involve a choice of service levels (such as hours of </w:t>
      </w:r>
      <w:r w:rsidR="00B02777" w:rsidRPr="004737C5">
        <w:rPr>
          <w:rFonts w:cstheme="minorHAnsi"/>
        </w:rPr>
        <w:t>service, voltage of electricity</w:t>
      </w:r>
      <w:r w:rsidRPr="004737C5">
        <w:rPr>
          <w:rFonts w:cstheme="minorHAnsi"/>
        </w:rPr>
        <w:t>)</w:t>
      </w:r>
      <w:r w:rsidR="00B02777" w:rsidRPr="004737C5">
        <w:rPr>
          <w:rFonts w:cstheme="minorHAnsi"/>
        </w:rPr>
        <w:t>,</w:t>
      </w:r>
      <w:r w:rsidRPr="004737C5">
        <w:rPr>
          <w:rFonts w:cstheme="minorHAnsi"/>
        </w:rPr>
        <w:t xml:space="preserve"> which might enable some service to be provided when otherwise none is on offer. This option has been </w:t>
      </w:r>
      <w:r w:rsidR="00B02777" w:rsidRPr="004737C5">
        <w:rPr>
          <w:rFonts w:cstheme="minorHAnsi"/>
        </w:rPr>
        <w:t>offered on the basis of village-</w:t>
      </w:r>
      <w:r w:rsidRPr="004737C5">
        <w:rPr>
          <w:rFonts w:cstheme="minorHAnsi"/>
        </w:rPr>
        <w:t>level consulta</w:t>
      </w:r>
      <w:r w:rsidR="00E8784A" w:rsidRPr="004737C5">
        <w:rPr>
          <w:rFonts w:cstheme="minorHAnsi"/>
        </w:rPr>
        <w:t>tion in remote areas of e</w:t>
      </w:r>
      <w:r w:rsidRPr="004737C5">
        <w:rPr>
          <w:rFonts w:cstheme="minorHAnsi"/>
        </w:rPr>
        <w:t>astern Senegal</w:t>
      </w:r>
      <w:r w:rsidR="00B02777" w:rsidRPr="004737C5">
        <w:rPr>
          <w:rFonts w:cstheme="minorHAnsi"/>
        </w:rPr>
        <w:t>,</w:t>
      </w:r>
      <w:r w:rsidRPr="004737C5">
        <w:rPr>
          <w:rFonts w:cstheme="minorHAnsi"/>
        </w:rPr>
        <w:t xml:space="preserve"> for example.</w:t>
      </w:r>
      <w:r w:rsidRPr="004737C5">
        <w:rPr>
          <w:rStyle w:val="FootnoteReference"/>
          <w:rFonts w:cstheme="minorHAnsi"/>
        </w:rPr>
        <w:footnoteReference w:id="346"/>
      </w:r>
      <w:r w:rsidRPr="004737C5">
        <w:rPr>
          <w:rFonts w:cstheme="minorHAnsi"/>
        </w:rPr>
        <w:t xml:space="preserve"> This is open to the charge of double standards but at least provides service to disadvantaged consumers. The UNGCP envisage </w:t>
      </w:r>
      <w:r w:rsidR="00B02777" w:rsidRPr="004737C5">
        <w:rPr>
          <w:rFonts w:cstheme="minorHAnsi"/>
        </w:rPr>
        <w:t>different levels of service in g</w:t>
      </w:r>
      <w:r w:rsidRPr="004737C5">
        <w:rPr>
          <w:rFonts w:cstheme="minorHAnsi"/>
        </w:rPr>
        <w:t>uidelines 72 and 76 covering water and en</w:t>
      </w:r>
      <w:r w:rsidR="00B02777" w:rsidRPr="004737C5">
        <w:rPr>
          <w:rFonts w:cstheme="minorHAnsi"/>
        </w:rPr>
        <w:t>ergy, both of which refer to “</w:t>
      </w:r>
      <w:r w:rsidRPr="004737C5">
        <w:rPr>
          <w:rFonts w:cstheme="minorHAnsi"/>
        </w:rPr>
        <w:t xml:space="preserve">appropriate levels of </w:t>
      </w:r>
      <w:r w:rsidR="00B02777" w:rsidRPr="004737C5">
        <w:rPr>
          <w:rFonts w:cstheme="minorHAnsi"/>
        </w:rPr>
        <w:t>service, quality and technology”</w:t>
      </w:r>
      <w:r w:rsidRPr="004737C5">
        <w:rPr>
          <w:rFonts w:cstheme="minorHAnsi"/>
        </w:rPr>
        <w:t xml:space="preserve">. </w:t>
      </w:r>
    </w:p>
    <w:p w14:paraId="3149A2E0" w14:textId="49CBCF47" w:rsidR="00BE71E3" w:rsidRPr="004737C5" w:rsidRDefault="00BE71E3" w:rsidP="006D3BE8">
      <w:pPr>
        <w:rPr>
          <w:rFonts w:cstheme="minorHAnsi"/>
          <w:snapToGrid w:val="0"/>
        </w:rPr>
      </w:pPr>
      <w:r w:rsidRPr="004737C5">
        <w:rPr>
          <w:rFonts w:cstheme="minorHAnsi"/>
        </w:rPr>
        <w:t>Steps regarding service levels may be taken in consultation with consumers, or rather with potential consumers</w:t>
      </w:r>
      <w:r w:rsidR="00B02777" w:rsidRPr="004737C5">
        <w:rPr>
          <w:rFonts w:cstheme="minorHAnsi"/>
        </w:rPr>
        <w:t>.</w:t>
      </w:r>
      <w:r w:rsidRPr="004737C5">
        <w:rPr>
          <w:rFonts w:cstheme="minorHAnsi"/>
        </w:rPr>
        <w:t xml:space="preserve"> </w:t>
      </w:r>
      <w:r w:rsidR="00B02777" w:rsidRPr="004737C5">
        <w:rPr>
          <w:rFonts w:cstheme="minorHAnsi"/>
        </w:rPr>
        <w:t>T</w:t>
      </w:r>
      <w:r w:rsidRPr="004737C5">
        <w:rPr>
          <w:rFonts w:cstheme="minorHAnsi"/>
        </w:rPr>
        <w:t>here is a rich tradition of consumer participation in the governance of these sectors, which t</w:t>
      </w:r>
      <w:r w:rsidR="00B02777" w:rsidRPr="004737C5">
        <w:rPr>
          <w:rFonts w:cstheme="minorHAnsi"/>
        </w:rPr>
        <w:t>he UNGCP acknowledge, again in g</w:t>
      </w:r>
      <w:r w:rsidRPr="004737C5">
        <w:rPr>
          <w:rFonts w:cstheme="minorHAnsi"/>
        </w:rPr>
        <w:t>uidelines 72 and 76. A comp</w:t>
      </w:r>
      <w:r w:rsidR="00B02777" w:rsidRPr="004737C5">
        <w:rPr>
          <w:rFonts w:cstheme="minorHAnsi"/>
        </w:rPr>
        <w:t xml:space="preserve">rehensive study by </w:t>
      </w:r>
      <w:r w:rsidR="00E8784A" w:rsidRPr="004737C5">
        <w:rPr>
          <w:rFonts w:cstheme="minorHAnsi"/>
        </w:rPr>
        <w:t xml:space="preserve">Meike </w:t>
      </w:r>
      <w:r w:rsidR="00B02777" w:rsidRPr="004737C5">
        <w:rPr>
          <w:rFonts w:cstheme="minorHAnsi"/>
        </w:rPr>
        <w:t>van Ginneken</w:t>
      </w:r>
      <w:r w:rsidRPr="004737C5">
        <w:rPr>
          <w:rFonts w:cstheme="minorHAnsi"/>
        </w:rPr>
        <w:t xml:space="preserve"> </w:t>
      </w:r>
      <w:r w:rsidR="00B02777" w:rsidRPr="004737C5">
        <w:rPr>
          <w:rFonts w:cstheme="minorHAnsi"/>
        </w:rPr>
        <w:t>et al</w:t>
      </w:r>
      <w:r w:rsidRPr="004737C5">
        <w:rPr>
          <w:rFonts w:cstheme="minorHAnsi"/>
        </w:rPr>
        <w:t xml:space="preserve"> sets out the various gradations of consumer involvement in the water sector,</w:t>
      </w:r>
      <w:r w:rsidR="00B02777" w:rsidRPr="004737C5">
        <w:rPr>
          <w:rFonts w:cstheme="minorHAnsi"/>
        </w:rPr>
        <w:t xml:space="preserve"> including information, consultation,</w:t>
      </w:r>
      <w:r w:rsidRPr="004737C5">
        <w:rPr>
          <w:rFonts w:cstheme="minorHAnsi"/>
        </w:rPr>
        <w:t xml:space="preserve"> </w:t>
      </w:r>
      <w:r w:rsidR="00B02777" w:rsidRPr="004737C5">
        <w:rPr>
          <w:rFonts w:cstheme="minorHAnsi"/>
        </w:rPr>
        <w:t>participation and</w:t>
      </w:r>
      <w:r w:rsidRPr="004737C5">
        <w:rPr>
          <w:rFonts w:cstheme="minorHAnsi"/>
        </w:rPr>
        <w:t xml:space="preserve"> redress or recourse.</w:t>
      </w:r>
      <w:r w:rsidR="00B02777" w:rsidRPr="004737C5">
        <w:rPr>
          <w:rStyle w:val="FootnoteReference"/>
          <w:rFonts w:cstheme="minorHAnsi"/>
        </w:rPr>
        <w:footnoteReference w:id="347"/>
      </w:r>
      <w:r w:rsidRPr="004737C5">
        <w:rPr>
          <w:rFonts w:cstheme="minorHAnsi"/>
          <w:snapToGrid w:val="0"/>
        </w:rPr>
        <w:t xml:space="preserve"> </w:t>
      </w:r>
      <w:r w:rsidRPr="004737C5">
        <w:rPr>
          <w:rFonts w:cstheme="minorHAnsi"/>
        </w:rPr>
        <w:t>Some participatory schemes have been a great success</w:t>
      </w:r>
      <w:r w:rsidR="00B02777" w:rsidRPr="004737C5">
        <w:rPr>
          <w:rFonts w:cstheme="minorHAnsi"/>
        </w:rPr>
        <w:t>;</w:t>
      </w:r>
      <w:r w:rsidRPr="004737C5">
        <w:rPr>
          <w:rFonts w:cstheme="minorHAnsi"/>
        </w:rPr>
        <w:t xml:space="preserve"> Porto Alegre in Brazil is often cited. On the other hand, one of the greatest public sector success stories, that of Phnom Penh water service, did not use the participator</w:t>
      </w:r>
      <w:r w:rsidR="00B02777" w:rsidRPr="004737C5">
        <w:rPr>
          <w:rFonts w:cstheme="minorHAnsi"/>
        </w:rPr>
        <w:t>y model at all, instead it was “</w:t>
      </w:r>
      <w:r w:rsidRPr="004737C5">
        <w:rPr>
          <w:rFonts w:cstheme="minorHAnsi"/>
        </w:rPr>
        <w:t>lead from the front</w:t>
      </w:r>
      <w:r w:rsidR="00B02777" w:rsidRPr="004737C5">
        <w:rPr>
          <w:rFonts w:cstheme="minorHAnsi"/>
        </w:rPr>
        <w:t>”.</w:t>
      </w:r>
      <w:r w:rsidRPr="004737C5">
        <w:rPr>
          <w:rStyle w:val="FootnoteReference"/>
          <w:rFonts w:cstheme="minorHAnsi"/>
        </w:rPr>
        <w:footnoteReference w:id="348"/>
      </w:r>
      <w:r w:rsidRPr="004737C5">
        <w:rPr>
          <w:rFonts w:cstheme="minorHAnsi"/>
        </w:rPr>
        <w:t xml:space="preserve"> </w:t>
      </w:r>
    </w:p>
    <w:p w14:paraId="70FA35A0" w14:textId="77777777" w:rsidR="00BE71E3" w:rsidRPr="004737C5" w:rsidRDefault="00B02777" w:rsidP="00E8784A">
      <w:pPr>
        <w:pStyle w:val="Heading2"/>
        <w:spacing w:after="160"/>
        <w:rPr>
          <w:rFonts w:cstheme="minorHAnsi"/>
          <w:color w:val="auto"/>
          <w:sz w:val="24"/>
          <w:szCs w:val="24"/>
        </w:rPr>
      </w:pPr>
      <w:bookmarkStart w:id="409" w:name="_Toc454293910"/>
      <w:bookmarkStart w:id="410" w:name="_Toc489950348"/>
      <w:bookmarkStart w:id="411" w:name="_Toc492650135"/>
      <w:r w:rsidRPr="004737C5">
        <w:rPr>
          <w:rFonts w:cstheme="minorHAnsi"/>
          <w:color w:val="auto"/>
          <w:sz w:val="24"/>
          <w:szCs w:val="24"/>
        </w:rPr>
        <w:t>I.</w:t>
      </w:r>
      <w:r w:rsidR="00BE71E3" w:rsidRPr="004737C5">
        <w:rPr>
          <w:rFonts w:cstheme="minorHAnsi"/>
          <w:color w:val="auto"/>
          <w:sz w:val="24"/>
          <w:szCs w:val="24"/>
        </w:rPr>
        <w:t xml:space="preserve"> Introducing competition in utility services</w:t>
      </w:r>
      <w:bookmarkEnd w:id="409"/>
      <w:bookmarkEnd w:id="410"/>
      <w:bookmarkEnd w:id="411"/>
      <w:r w:rsidR="00BE71E3" w:rsidRPr="004737C5">
        <w:rPr>
          <w:rFonts w:cstheme="minorHAnsi"/>
          <w:color w:val="auto"/>
          <w:sz w:val="24"/>
          <w:szCs w:val="24"/>
        </w:rPr>
        <w:t xml:space="preserve"> </w:t>
      </w:r>
    </w:p>
    <w:p w14:paraId="49E83B8D" w14:textId="77777777" w:rsidR="00BE71E3" w:rsidRPr="004737C5" w:rsidRDefault="00BE71E3" w:rsidP="006D3BE8">
      <w:pPr>
        <w:rPr>
          <w:rFonts w:cstheme="minorHAnsi"/>
        </w:rPr>
      </w:pPr>
      <w:r w:rsidRPr="004737C5">
        <w:rPr>
          <w:rFonts w:cstheme="minorHAnsi"/>
        </w:rPr>
        <w:t>The policy innovations that have been adopted in recent years, for example</w:t>
      </w:r>
      <w:r w:rsidR="00B02777" w:rsidRPr="004737C5">
        <w:rPr>
          <w:rFonts w:cstheme="minorHAnsi"/>
        </w:rPr>
        <w:t>,</w:t>
      </w:r>
      <w:r w:rsidRPr="004737C5">
        <w:rPr>
          <w:rFonts w:cstheme="minorHAnsi"/>
        </w:rPr>
        <w:t xml:space="preserve"> competing networks, common carriage and retail competition plus new ownership models (the separation of assets from operations, separation of supply and distribution t</w:t>
      </w:r>
      <w:r w:rsidR="00B02777" w:rsidRPr="004737C5">
        <w:rPr>
          <w:rFonts w:cstheme="minorHAnsi"/>
        </w:rPr>
        <w:t>o be managed by different firms</w:t>
      </w:r>
      <w:r w:rsidRPr="004737C5">
        <w:rPr>
          <w:rFonts w:cstheme="minorHAnsi"/>
        </w:rPr>
        <w:t xml:space="preserve">) have been put forward as </w:t>
      </w:r>
      <w:r w:rsidR="00B02777" w:rsidRPr="004737C5">
        <w:rPr>
          <w:rFonts w:cstheme="minorHAnsi"/>
        </w:rPr>
        <w:t>a</w:t>
      </w:r>
      <w:r w:rsidRPr="004737C5">
        <w:rPr>
          <w:rFonts w:cstheme="minorHAnsi"/>
        </w:rPr>
        <w:t xml:space="preserve"> means of bringin</w:t>
      </w:r>
      <w:r w:rsidR="00B02777" w:rsidRPr="004737C5">
        <w:rPr>
          <w:rFonts w:cstheme="minorHAnsi"/>
        </w:rPr>
        <w:t xml:space="preserve">g market efficiency to publicly </w:t>
      </w:r>
      <w:r w:rsidRPr="004737C5">
        <w:rPr>
          <w:rFonts w:cstheme="minorHAnsi"/>
        </w:rPr>
        <w:t>owned assets. It has been questioned how successful the introduction of competition has been in the utilities sector, partly because of the emphasis on price at the expense of coverage and partly because when offered retail choice, so many consumers make the wrong choice and end up with higher bills</w:t>
      </w:r>
      <w:r w:rsidR="00B02777" w:rsidRPr="004737C5">
        <w:rPr>
          <w:rFonts w:cstheme="minorHAnsi"/>
        </w:rPr>
        <w:t xml:space="preserve"> than if they had not switched.</w:t>
      </w:r>
      <w:r w:rsidRPr="004737C5">
        <w:rPr>
          <w:rStyle w:val="FootnoteReference"/>
          <w:rFonts w:cstheme="minorHAnsi"/>
        </w:rPr>
        <w:footnoteReference w:id="349"/>
      </w:r>
    </w:p>
    <w:p w14:paraId="6D4176F2" w14:textId="6AF3F225" w:rsidR="00BE71E3" w:rsidRPr="004737C5" w:rsidRDefault="00BE71E3" w:rsidP="006D3BE8">
      <w:pPr>
        <w:rPr>
          <w:rFonts w:cstheme="minorHAnsi"/>
        </w:rPr>
      </w:pPr>
      <w:r w:rsidRPr="004737C5">
        <w:rPr>
          <w:rFonts w:cstheme="minorHAnsi"/>
        </w:rPr>
        <w:lastRenderedPageBreak/>
        <w:t>The clear exception to these doubts is telecom</w:t>
      </w:r>
      <w:r w:rsidR="00B02777" w:rsidRPr="004737C5">
        <w:rPr>
          <w:rFonts w:cstheme="minorHAnsi"/>
        </w:rPr>
        <w:t>munication</w:t>
      </w:r>
      <w:r w:rsidRPr="004737C5">
        <w:rPr>
          <w:rFonts w:cstheme="minorHAnsi"/>
        </w:rPr>
        <w:t>s</w:t>
      </w:r>
      <w:r w:rsidR="00B02777" w:rsidRPr="004737C5">
        <w:rPr>
          <w:rFonts w:cstheme="minorHAnsi"/>
        </w:rPr>
        <w:t>,</w:t>
      </w:r>
      <w:r w:rsidRPr="004737C5">
        <w:rPr>
          <w:rFonts w:cstheme="minorHAnsi"/>
        </w:rPr>
        <w:t xml:space="preserve"> where the astonishing development of mobile telephony under a more liberalized regime than the old fixed line networks has been an extraordinary success, and has spun off, particularly in East Africa</w:t>
      </w:r>
      <w:r w:rsidR="00B02777" w:rsidRPr="004737C5">
        <w:rPr>
          <w:rFonts w:cstheme="minorHAnsi"/>
        </w:rPr>
        <w:t>,</w:t>
      </w:r>
      <w:r w:rsidRPr="004737C5">
        <w:rPr>
          <w:rFonts w:cstheme="minorHAnsi"/>
        </w:rPr>
        <w:t xml:space="preserve"> into further successes such as the development of mobile banking and other financial services. This is largely, perhaps almost entirely</w:t>
      </w:r>
      <w:r w:rsidR="00B02777" w:rsidRPr="004737C5">
        <w:rPr>
          <w:rFonts w:cstheme="minorHAnsi"/>
        </w:rPr>
        <w:t>,</w:t>
      </w:r>
      <w:r w:rsidRPr="004737C5">
        <w:rPr>
          <w:rFonts w:cstheme="minorHAnsi"/>
        </w:rPr>
        <w:t xml:space="preserve"> due to technological development which has reduced the need for large upfront investment and low entry costs both for service prov</w:t>
      </w:r>
      <w:r w:rsidR="00B02777" w:rsidRPr="004737C5">
        <w:rPr>
          <w:rFonts w:cstheme="minorHAnsi"/>
        </w:rPr>
        <w:t>iders and for consumers too. It i</w:t>
      </w:r>
      <w:r w:rsidRPr="004737C5">
        <w:rPr>
          <w:rFonts w:cstheme="minorHAnsi"/>
        </w:rPr>
        <w:t>s worth bearing in mind that the vast majority of African mobil</w:t>
      </w:r>
      <w:r w:rsidR="00E8784A" w:rsidRPr="004737C5">
        <w:rPr>
          <w:rFonts w:cstheme="minorHAnsi"/>
        </w:rPr>
        <w:t>e phones have been based on pre</w:t>
      </w:r>
      <w:r w:rsidRPr="004737C5">
        <w:rPr>
          <w:rFonts w:cstheme="minorHAnsi"/>
        </w:rPr>
        <w:t>payment of SIM cards which has greatly red</w:t>
      </w:r>
      <w:r w:rsidR="00B02777" w:rsidRPr="004737C5">
        <w:rPr>
          <w:rFonts w:cstheme="minorHAnsi"/>
        </w:rPr>
        <w:t>uced the commercial risk for</w:t>
      </w:r>
      <w:r w:rsidRPr="004737C5">
        <w:rPr>
          <w:rFonts w:cstheme="minorHAnsi"/>
        </w:rPr>
        <w:t xml:space="preserve"> providers.</w:t>
      </w:r>
      <w:r w:rsidRPr="004737C5">
        <w:rPr>
          <w:rStyle w:val="FootnoteReference"/>
          <w:rFonts w:cstheme="minorHAnsi"/>
        </w:rPr>
        <w:footnoteReference w:id="350"/>
      </w:r>
      <w:r w:rsidRPr="004737C5">
        <w:rPr>
          <w:rFonts w:cstheme="minorHAnsi"/>
        </w:rPr>
        <w:t xml:space="preserve"> In other words, the telecommunications sector has become less and less of a natural monopoly. There are</w:t>
      </w:r>
      <w:r w:rsidR="00B02777" w:rsidRPr="004737C5">
        <w:rPr>
          <w:rFonts w:cstheme="minorHAnsi"/>
        </w:rPr>
        <w:t>,</w:t>
      </w:r>
      <w:r w:rsidRPr="004737C5">
        <w:rPr>
          <w:rFonts w:cstheme="minorHAnsi"/>
        </w:rPr>
        <w:t xml:space="preserve"> however, risks that new monopolies may emerge where there are tie-ins of financial services and telecommunications within the same holding companies</w:t>
      </w:r>
      <w:r w:rsidR="00B02777" w:rsidRPr="004737C5">
        <w:rPr>
          <w:rFonts w:cstheme="minorHAnsi"/>
        </w:rPr>
        <w:t>.</w:t>
      </w:r>
      <w:r w:rsidRPr="004737C5">
        <w:rPr>
          <w:rFonts w:cstheme="minorHAnsi"/>
        </w:rPr>
        <w:t xml:space="preserve"> </w:t>
      </w:r>
      <w:r w:rsidR="00B02777" w:rsidRPr="004737C5">
        <w:rPr>
          <w:rFonts w:cstheme="minorHAnsi"/>
        </w:rPr>
        <w:t>T</w:t>
      </w:r>
      <w:r w:rsidRPr="004737C5">
        <w:rPr>
          <w:rFonts w:cstheme="minorHAnsi"/>
        </w:rPr>
        <w:t>his is now raising concerns in Kenya and even in Somalia where remittances are a major source of income operating through telephone transmission. These issues will require attention in the coming years and competition principles will need to be brought to bear.</w:t>
      </w:r>
    </w:p>
    <w:p w14:paraId="037D233F" w14:textId="77777777" w:rsidR="00BE71E3" w:rsidRPr="004737C5" w:rsidRDefault="00BE71E3" w:rsidP="00A23FED">
      <w:pPr>
        <w:pStyle w:val="Heading3"/>
        <w:spacing w:after="160" w:line="240" w:lineRule="auto"/>
        <w:rPr>
          <w:rFonts w:cstheme="minorHAnsi"/>
          <w:color w:val="auto"/>
        </w:rPr>
      </w:pPr>
      <w:bookmarkStart w:id="412" w:name="_Toc454293911"/>
      <w:bookmarkStart w:id="413" w:name="_Toc489950349"/>
      <w:bookmarkStart w:id="414" w:name="_Toc492650136"/>
      <w:r w:rsidRPr="004737C5">
        <w:rPr>
          <w:rFonts w:cstheme="minorHAnsi"/>
          <w:color w:val="auto"/>
        </w:rPr>
        <w:t>1</w:t>
      </w:r>
      <w:r w:rsidR="00B02777" w:rsidRPr="004737C5">
        <w:rPr>
          <w:rFonts w:cstheme="minorHAnsi"/>
          <w:color w:val="auto"/>
        </w:rPr>
        <w:t>.</w:t>
      </w:r>
      <w:r w:rsidRPr="004737C5">
        <w:rPr>
          <w:rFonts w:cstheme="minorHAnsi"/>
          <w:color w:val="auto"/>
        </w:rPr>
        <w:t xml:space="preserve"> Retail competition</w:t>
      </w:r>
      <w:bookmarkEnd w:id="412"/>
      <w:bookmarkEnd w:id="413"/>
      <w:bookmarkEnd w:id="414"/>
    </w:p>
    <w:p w14:paraId="72BDC8C7" w14:textId="5A153B6D" w:rsidR="00BE71E3" w:rsidRPr="004737C5" w:rsidRDefault="00BE71E3" w:rsidP="006D3BE8">
      <w:pPr>
        <w:rPr>
          <w:rFonts w:cstheme="minorHAnsi"/>
        </w:rPr>
      </w:pPr>
      <w:r w:rsidRPr="004737C5">
        <w:rPr>
          <w:rFonts w:cstheme="minorHAnsi"/>
        </w:rPr>
        <w:t xml:space="preserve">Retail choice is a recent policy which emanated from </w:t>
      </w:r>
      <w:r w:rsidR="00A23FED" w:rsidRPr="004737C5">
        <w:rPr>
          <w:rFonts w:cstheme="minorHAnsi"/>
        </w:rPr>
        <w:t xml:space="preserve">the </w:t>
      </w:r>
      <w:r w:rsidRPr="004737C5">
        <w:rPr>
          <w:rFonts w:cstheme="minorHAnsi"/>
        </w:rPr>
        <w:t xml:space="preserve">United Kingdom </w:t>
      </w:r>
      <w:r w:rsidR="00B02777" w:rsidRPr="004737C5">
        <w:rPr>
          <w:rFonts w:cstheme="minorHAnsi"/>
        </w:rPr>
        <w:t xml:space="preserve">of Great Britain and Northern Ireland </w:t>
      </w:r>
      <w:r w:rsidRPr="004737C5">
        <w:rPr>
          <w:rFonts w:cstheme="minorHAnsi"/>
        </w:rPr>
        <w:t>at the end of the last century and has been adopted b</w:t>
      </w:r>
      <w:r w:rsidR="00A23FED" w:rsidRPr="004737C5">
        <w:rPr>
          <w:rFonts w:cstheme="minorHAnsi"/>
        </w:rPr>
        <w:t>y the European Union through</w:t>
      </w:r>
      <w:r w:rsidRPr="004737C5">
        <w:rPr>
          <w:rFonts w:cstheme="minorHAnsi"/>
        </w:rPr>
        <w:t xml:space="preserve"> energy directives. So far</w:t>
      </w:r>
      <w:r w:rsidR="00B02777" w:rsidRPr="004737C5">
        <w:rPr>
          <w:rFonts w:cstheme="minorHAnsi"/>
        </w:rPr>
        <w:t>,</w:t>
      </w:r>
      <w:r w:rsidRPr="004737C5">
        <w:rPr>
          <w:rFonts w:cstheme="minorHAnsi"/>
        </w:rPr>
        <w:t xml:space="preserve"> most consumers have chosen to stay with regulated prices where these have been on offer, notably in France. The European Commission st</w:t>
      </w:r>
      <w:r w:rsidR="00B02777" w:rsidRPr="004737C5">
        <w:rPr>
          <w:rFonts w:cstheme="minorHAnsi"/>
        </w:rPr>
        <w:t>aff paper of 2011 reports that</w:t>
      </w:r>
      <w:r w:rsidRPr="004737C5">
        <w:rPr>
          <w:rFonts w:cstheme="minorHAnsi"/>
          <w:lang w:eastAsia="en-GB"/>
        </w:rPr>
        <w:t xml:space="preserve"> “the switching rate is generally low especially at household level</w:t>
      </w:r>
      <w:r w:rsidRPr="004737C5">
        <w:rPr>
          <w:rFonts w:cstheme="minorHAnsi"/>
          <w:sz w:val="16"/>
          <w:szCs w:val="16"/>
          <w:lang w:eastAsia="en-GB"/>
        </w:rPr>
        <w:t xml:space="preserve"> </w:t>
      </w:r>
      <w:r w:rsidRPr="004737C5">
        <w:rPr>
          <w:rFonts w:cstheme="minorHAnsi"/>
          <w:lang w:eastAsia="en-GB"/>
        </w:rPr>
        <w:t>with very few exceptions. This can be ascribed to the fact that the prices offered by different suppliers are not sufficiently attractive in economic</w:t>
      </w:r>
      <w:r w:rsidR="00B02777" w:rsidRPr="004737C5">
        <w:rPr>
          <w:rFonts w:cstheme="minorHAnsi"/>
          <w:lang w:eastAsia="en-GB"/>
        </w:rPr>
        <w:t xml:space="preserve"> terms to justify the consumers’</w:t>
      </w:r>
      <w:r w:rsidRPr="004737C5">
        <w:rPr>
          <w:rFonts w:cstheme="minorHAnsi"/>
          <w:lang w:eastAsia="en-GB"/>
        </w:rPr>
        <w:t xml:space="preserve"> effort to move to a new supplier</w:t>
      </w:r>
      <w:r w:rsidR="00B02777" w:rsidRPr="004737C5">
        <w:rPr>
          <w:rFonts w:cstheme="minorHAnsi"/>
          <w:lang w:eastAsia="en-GB"/>
        </w:rPr>
        <w:t xml:space="preserve"> </w:t>
      </w:r>
      <w:r w:rsidRPr="004737C5">
        <w:rPr>
          <w:rFonts w:cstheme="minorHAnsi"/>
          <w:lang w:eastAsia="en-GB"/>
        </w:rPr>
        <w:t>…</w:t>
      </w:r>
      <w:r w:rsidR="00B02777" w:rsidRPr="004737C5">
        <w:rPr>
          <w:rFonts w:cstheme="minorHAnsi"/>
          <w:lang w:eastAsia="en-GB"/>
        </w:rPr>
        <w:t xml:space="preserve"> </w:t>
      </w:r>
      <w:r w:rsidRPr="004737C5">
        <w:rPr>
          <w:rFonts w:cstheme="minorHAnsi"/>
          <w:lang w:eastAsia="en-GB"/>
        </w:rPr>
        <w:t xml:space="preserve">This analysis is also confirmed by the fact that the switching rates based on volume are higher than the ones calculated by meter points therefore indicating that at higher levels of consumption the convenience to switch to a new </w:t>
      </w:r>
      <w:r w:rsidR="00B02777" w:rsidRPr="004737C5">
        <w:rPr>
          <w:rFonts w:cstheme="minorHAnsi"/>
          <w:lang w:eastAsia="en-GB"/>
        </w:rPr>
        <w:t>supplier is a bigger stimulus”.</w:t>
      </w:r>
      <w:r w:rsidRPr="004737C5">
        <w:rPr>
          <w:rStyle w:val="FootnoteReference"/>
          <w:rFonts w:cstheme="minorHAnsi"/>
          <w:lang w:eastAsia="en-GB"/>
        </w:rPr>
        <w:footnoteReference w:id="351"/>
      </w:r>
      <w:r w:rsidRPr="004737C5">
        <w:rPr>
          <w:rFonts w:cstheme="minorHAnsi"/>
        </w:rPr>
        <w:t xml:space="preserve"> </w:t>
      </w:r>
      <w:r w:rsidRPr="004737C5">
        <w:rPr>
          <w:rFonts w:cstheme="minorHAnsi"/>
          <w:lang w:eastAsia="en-GB"/>
        </w:rPr>
        <w:t>In other words, the main beneficiaries of con</w:t>
      </w:r>
      <w:r w:rsidR="00A23FED" w:rsidRPr="004737C5">
        <w:rPr>
          <w:rFonts w:cstheme="minorHAnsi"/>
          <w:lang w:eastAsia="en-GB"/>
        </w:rPr>
        <w:t xml:space="preserve">sumer choice are likely to be </w:t>
      </w:r>
      <w:r w:rsidRPr="004737C5">
        <w:rPr>
          <w:rFonts w:cstheme="minorHAnsi"/>
          <w:lang w:eastAsia="en-GB"/>
        </w:rPr>
        <w:t>large industrial or commercial consumers.</w:t>
      </w:r>
      <w:r w:rsidRPr="004737C5">
        <w:rPr>
          <w:rStyle w:val="FootnoteReference"/>
          <w:rFonts w:cstheme="minorHAnsi"/>
          <w:lang w:eastAsia="en-GB"/>
        </w:rPr>
        <w:footnoteReference w:id="352"/>
      </w:r>
      <w:r w:rsidRPr="004737C5">
        <w:rPr>
          <w:rFonts w:cstheme="minorHAnsi"/>
          <w:lang w:eastAsia="en-GB"/>
        </w:rPr>
        <w:t xml:space="preserve"> </w:t>
      </w:r>
      <w:r w:rsidRPr="004737C5">
        <w:rPr>
          <w:rFonts w:cstheme="minorHAnsi"/>
        </w:rPr>
        <w:t>Furthermore, the cost of setting up switching operations is very high. In 1990</w:t>
      </w:r>
      <w:r w:rsidR="00B02777" w:rsidRPr="004737C5">
        <w:rPr>
          <w:rFonts w:cstheme="minorHAnsi"/>
        </w:rPr>
        <w:t>,</w:t>
      </w:r>
      <w:r w:rsidRPr="004737C5">
        <w:rPr>
          <w:rFonts w:cstheme="minorHAnsi"/>
        </w:rPr>
        <w:t xml:space="preserve"> before retail competition for small customers was allowed in the United Kingdom</w:t>
      </w:r>
      <w:r w:rsidR="00A23FED" w:rsidRPr="004737C5">
        <w:rPr>
          <w:rFonts w:cstheme="minorHAnsi"/>
        </w:rPr>
        <w:t xml:space="preserve"> of Great Britain and Northern Ireland</w:t>
      </w:r>
      <w:r w:rsidRPr="004737C5">
        <w:rPr>
          <w:rFonts w:cstheme="minorHAnsi"/>
        </w:rPr>
        <w:t>, only 5</w:t>
      </w:r>
      <w:r w:rsidR="00B02777" w:rsidRPr="004737C5">
        <w:rPr>
          <w:rFonts w:cstheme="minorHAnsi"/>
        </w:rPr>
        <w:t xml:space="preserve"> percent</w:t>
      </w:r>
      <w:r w:rsidRPr="004737C5">
        <w:rPr>
          <w:rFonts w:cstheme="minorHAnsi"/>
        </w:rPr>
        <w:t xml:space="preserve"> of domestic consumers</w:t>
      </w:r>
      <w:r w:rsidR="00B02777" w:rsidRPr="004737C5">
        <w:rPr>
          <w:rFonts w:cstheme="minorHAnsi"/>
        </w:rPr>
        <w:t>’</w:t>
      </w:r>
      <w:r w:rsidRPr="004737C5">
        <w:rPr>
          <w:rFonts w:cstheme="minorHAnsi"/>
        </w:rPr>
        <w:t xml:space="preserve"> bills went to meet supply costs</w:t>
      </w:r>
      <w:r w:rsidR="00B02777" w:rsidRPr="004737C5">
        <w:rPr>
          <w:rFonts w:cstheme="minorHAnsi"/>
        </w:rPr>
        <w:t xml:space="preserve"> such as billing and meter-reading. By mid</w:t>
      </w:r>
      <w:r w:rsidRPr="004737C5">
        <w:rPr>
          <w:rFonts w:cstheme="minorHAnsi"/>
        </w:rPr>
        <w:t>way through the last decade the level was 30</w:t>
      </w:r>
      <w:r w:rsidR="00B02777" w:rsidRPr="004737C5">
        <w:rPr>
          <w:rFonts w:cstheme="minorHAnsi"/>
        </w:rPr>
        <w:t xml:space="preserve"> percent</w:t>
      </w:r>
      <w:r w:rsidRPr="004737C5">
        <w:rPr>
          <w:rFonts w:cstheme="minorHAnsi"/>
        </w:rPr>
        <w:t>.</w:t>
      </w:r>
      <w:r w:rsidRPr="004737C5">
        <w:rPr>
          <w:rStyle w:val="FootnoteReference"/>
          <w:rFonts w:cstheme="minorHAnsi"/>
        </w:rPr>
        <w:footnoteReference w:id="353"/>
      </w:r>
      <w:r w:rsidRPr="004737C5">
        <w:rPr>
          <w:rFonts w:cstheme="minorHAnsi"/>
        </w:rPr>
        <w:t xml:space="preserve"> Effectively, those who stay with their existing suppliers are cross-subsidizing those who switch and gain. </w:t>
      </w:r>
    </w:p>
    <w:p w14:paraId="75CC7087" w14:textId="1314EA9E" w:rsidR="00BE71E3" w:rsidRPr="004737C5" w:rsidRDefault="00BE71E3" w:rsidP="006D3BE8">
      <w:pPr>
        <w:rPr>
          <w:rFonts w:cstheme="minorHAnsi"/>
        </w:rPr>
      </w:pPr>
      <w:r w:rsidRPr="004737C5">
        <w:rPr>
          <w:rFonts w:cstheme="minorHAnsi"/>
        </w:rPr>
        <w:t xml:space="preserve">Retail competition has sparked interest in a new role for consumer associations, as collective purchasers in energy auctions. Recent examples are the Spanish </w:t>
      </w:r>
      <w:r w:rsidRPr="004737C5">
        <w:rPr>
          <w:rFonts w:cstheme="minorHAnsi"/>
          <w:iCs/>
        </w:rPr>
        <w:t>Organización de Consumidores y Usuarios</w:t>
      </w:r>
      <w:r w:rsidRPr="004737C5">
        <w:rPr>
          <w:rFonts w:cstheme="minorHAnsi"/>
        </w:rPr>
        <w:t xml:space="preserve"> and the French </w:t>
      </w:r>
      <w:r w:rsidRPr="004737C5">
        <w:rPr>
          <w:rFonts w:cstheme="minorHAnsi"/>
          <w:iCs/>
        </w:rPr>
        <w:t>Union fédérale des consommateurs</w:t>
      </w:r>
      <w:r w:rsidRPr="004737C5">
        <w:rPr>
          <w:rFonts w:cstheme="minorHAnsi"/>
        </w:rPr>
        <w:t>. The associations register interested consumers and then negotiate collectively on their behalf</w:t>
      </w:r>
      <w:r w:rsidR="003F56CC" w:rsidRPr="004737C5">
        <w:rPr>
          <w:rFonts w:cstheme="minorHAnsi"/>
        </w:rPr>
        <w:t>,</w:t>
      </w:r>
      <w:r w:rsidRPr="004737C5">
        <w:rPr>
          <w:rFonts w:cstheme="minorHAnsi"/>
        </w:rPr>
        <w:t xml:space="preserve"> obtaining lower ta</w:t>
      </w:r>
      <w:r w:rsidR="00A23FED" w:rsidRPr="004737C5">
        <w:rPr>
          <w:rFonts w:cstheme="minorHAnsi"/>
        </w:rPr>
        <w:t>riffs and better conditions than</w:t>
      </w:r>
      <w:r w:rsidRPr="004737C5">
        <w:rPr>
          <w:rFonts w:cstheme="minorHAnsi"/>
        </w:rPr>
        <w:t xml:space="preserve"> would be available to isolated consumers. The number of final contracts is smaller than the registers of interest (about half in the case of France</w:t>
      </w:r>
      <w:r w:rsidR="003F56CC" w:rsidRPr="004737C5">
        <w:rPr>
          <w:rFonts w:cstheme="minorHAnsi"/>
        </w:rPr>
        <w:t>;</w:t>
      </w:r>
      <w:r w:rsidRPr="004737C5">
        <w:rPr>
          <w:rFonts w:cstheme="minorHAnsi"/>
        </w:rPr>
        <w:t xml:space="preserve"> significantly less </w:t>
      </w:r>
      <w:r w:rsidR="003F56CC" w:rsidRPr="004737C5">
        <w:rPr>
          <w:rFonts w:cstheme="minorHAnsi"/>
        </w:rPr>
        <w:t>than that in Spain</w:t>
      </w:r>
      <w:r w:rsidRPr="004737C5">
        <w:rPr>
          <w:rFonts w:cstheme="minorHAnsi"/>
        </w:rPr>
        <w:t>)</w:t>
      </w:r>
      <w:r w:rsidR="003F56CC" w:rsidRPr="004737C5">
        <w:rPr>
          <w:rFonts w:cstheme="minorHAnsi"/>
        </w:rPr>
        <w:t>,</w:t>
      </w:r>
      <w:r w:rsidRPr="004737C5">
        <w:rPr>
          <w:rFonts w:cstheme="minorHAnsi"/>
        </w:rPr>
        <w:t xml:space="preserve"> but the savings for those who enter into contracts can be significant: </w:t>
      </w:r>
      <w:r w:rsidR="00A23FED" w:rsidRPr="004737C5">
        <w:rPr>
          <w:rFonts w:cstheme="minorHAnsi"/>
        </w:rPr>
        <w:t>€</w:t>
      </w:r>
      <w:r w:rsidRPr="004737C5">
        <w:rPr>
          <w:rFonts w:cstheme="minorHAnsi"/>
        </w:rPr>
        <w:t xml:space="preserve">196 per annum in the first round of auctions in France in 2013. Such collective activities can work well for members, but can they benefit non-members too? The associations argue that the pressure they bring to bear puts downward pressure on companies so all consumers can gain. However, given that retail competition seems to </w:t>
      </w:r>
      <w:r w:rsidR="003F56CC" w:rsidRPr="004737C5">
        <w:rPr>
          <w:rFonts w:cstheme="minorHAnsi"/>
        </w:rPr>
        <w:t>bring</w:t>
      </w:r>
      <w:r w:rsidRPr="004737C5">
        <w:rPr>
          <w:rFonts w:cstheme="minorHAnsi"/>
        </w:rPr>
        <w:t xml:space="preserve"> with it considerable (though largely hidden) administrative costs, the overall gains for all consumers are </w:t>
      </w:r>
      <w:r w:rsidR="003F56CC" w:rsidRPr="004737C5">
        <w:rPr>
          <w:rFonts w:cstheme="minorHAnsi"/>
        </w:rPr>
        <w:t>still</w:t>
      </w:r>
      <w:r w:rsidRPr="004737C5">
        <w:rPr>
          <w:rFonts w:cstheme="minorHAnsi"/>
        </w:rPr>
        <w:t xml:space="preserve"> uncertain. </w:t>
      </w:r>
    </w:p>
    <w:p w14:paraId="3F05DD29" w14:textId="77777777" w:rsidR="00BE71E3" w:rsidRPr="004737C5" w:rsidRDefault="00BE71E3" w:rsidP="00A23FED">
      <w:pPr>
        <w:pStyle w:val="Heading3"/>
        <w:spacing w:after="160" w:line="240" w:lineRule="auto"/>
        <w:rPr>
          <w:rFonts w:cstheme="minorHAnsi"/>
          <w:color w:val="auto"/>
        </w:rPr>
      </w:pPr>
      <w:bookmarkStart w:id="415" w:name="_Toc454293912"/>
      <w:bookmarkStart w:id="416" w:name="_Toc489950350"/>
      <w:bookmarkStart w:id="417" w:name="_Toc492650137"/>
      <w:r w:rsidRPr="004737C5">
        <w:rPr>
          <w:rFonts w:cstheme="minorHAnsi"/>
          <w:color w:val="auto"/>
        </w:rPr>
        <w:lastRenderedPageBreak/>
        <w:t>2</w:t>
      </w:r>
      <w:r w:rsidR="003F56CC" w:rsidRPr="004737C5">
        <w:rPr>
          <w:rFonts w:cstheme="minorHAnsi"/>
          <w:color w:val="auto"/>
        </w:rPr>
        <w:t>.</w:t>
      </w:r>
      <w:r w:rsidRPr="004737C5">
        <w:rPr>
          <w:rFonts w:cstheme="minorHAnsi"/>
          <w:color w:val="auto"/>
        </w:rPr>
        <w:t xml:space="preserve"> Exclusivity</w:t>
      </w:r>
      <w:bookmarkEnd w:id="415"/>
      <w:bookmarkEnd w:id="416"/>
      <w:bookmarkEnd w:id="417"/>
    </w:p>
    <w:p w14:paraId="5F0239F2" w14:textId="2AB5919F" w:rsidR="00BE71E3" w:rsidRPr="004737C5" w:rsidRDefault="00BE71E3" w:rsidP="006D3BE8">
      <w:pPr>
        <w:rPr>
          <w:rFonts w:cstheme="minorHAnsi"/>
        </w:rPr>
      </w:pPr>
      <w:r w:rsidRPr="004737C5">
        <w:rPr>
          <w:rFonts w:cstheme="minorHAnsi"/>
        </w:rPr>
        <w:t>The failures of competition policy as applied to utilities do not necessarily mean that the solution is to maintain exclusivity. A dramatic case from the slums of Dar es Salaam in Tanzania</w:t>
      </w:r>
      <w:r w:rsidRPr="004737C5">
        <w:rPr>
          <w:rStyle w:val="FootnoteReference"/>
          <w:rFonts w:cstheme="minorHAnsi"/>
        </w:rPr>
        <w:footnoteReference w:id="354"/>
      </w:r>
      <w:r w:rsidRPr="004737C5">
        <w:rPr>
          <w:rFonts w:cstheme="minorHAnsi"/>
        </w:rPr>
        <w:t xml:space="preserve"> shows that opening markets and accepting a plurality of service providers (including informal ones) is crucial for the wellbeing of consumers. Indeed, imposing exclusivity could have the perverse effect of reducing standards. The service in question in this case was latrine and cesspit emptying, where the city had a monopoly. As the service was unable to keep up with demand, riche</w:t>
      </w:r>
      <w:r w:rsidR="003F56CC" w:rsidRPr="004737C5">
        <w:rPr>
          <w:rFonts w:cstheme="minorHAnsi"/>
        </w:rPr>
        <w:t>r clients operated a system of “express”</w:t>
      </w:r>
      <w:r w:rsidRPr="004737C5">
        <w:rPr>
          <w:rFonts w:cstheme="minorHAnsi"/>
        </w:rPr>
        <w:t xml:space="preserve"> payments for the pits to be emptied with vacuum equipment while the poor would employ i</w:t>
      </w:r>
      <w:r w:rsidR="003F56CC" w:rsidRPr="004737C5">
        <w:rPr>
          <w:rFonts w:cstheme="minorHAnsi"/>
        </w:rPr>
        <w:t>nformal “frogmen”</w:t>
      </w:r>
      <w:r w:rsidRPr="004737C5">
        <w:rPr>
          <w:rFonts w:cstheme="minorHAnsi"/>
        </w:rPr>
        <w:t xml:space="preserve"> to empty the pits manually and they would then dump the ordure illegally, which led to protests from those nearby. At times the frogmen were attacked, and their already unpleasant and dangerous work often had to be done under cover of darkness. One of the authors studying this case, Mukame Kariuki, advocated that municipalities should relinquish their monopolies thus legalizing alternative provision through a legal framework, such as incorporating community-based organizations. In due course, her advice was partly followed (licensing, access to depots) and the situation improved to the extent that charges fell and the numbers served increase</w:t>
      </w:r>
      <w:r w:rsidR="003F56CC" w:rsidRPr="004737C5">
        <w:rPr>
          <w:rFonts w:cstheme="minorHAnsi"/>
        </w:rPr>
        <w:t>d</w:t>
      </w:r>
      <w:r w:rsidRPr="004737C5">
        <w:rPr>
          <w:rFonts w:cstheme="minorHAnsi"/>
        </w:rPr>
        <w:t xml:space="preserve">. Reliance on a legal monopoly had in this case proved to be counter-productive and forced competent independent providers out of business. </w:t>
      </w:r>
    </w:p>
    <w:p w14:paraId="7375E0C3" w14:textId="77777777" w:rsidR="00BE71E3" w:rsidRPr="004737C5" w:rsidRDefault="003F56CC" w:rsidP="00A23FED">
      <w:pPr>
        <w:pStyle w:val="Heading2"/>
        <w:spacing w:after="160"/>
        <w:rPr>
          <w:rFonts w:cstheme="minorHAnsi"/>
          <w:color w:val="auto"/>
          <w:sz w:val="24"/>
          <w:szCs w:val="24"/>
        </w:rPr>
      </w:pPr>
      <w:bookmarkStart w:id="418" w:name="_Toc454293913"/>
      <w:bookmarkStart w:id="419" w:name="_Toc489950351"/>
      <w:bookmarkStart w:id="420" w:name="_Toc492650138"/>
      <w:r w:rsidRPr="004737C5">
        <w:rPr>
          <w:rFonts w:cstheme="minorHAnsi"/>
          <w:color w:val="auto"/>
          <w:sz w:val="24"/>
          <w:szCs w:val="24"/>
        </w:rPr>
        <w:t>J.</w:t>
      </w:r>
      <w:r w:rsidR="00BE71E3" w:rsidRPr="004737C5">
        <w:rPr>
          <w:rFonts w:cstheme="minorHAnsi"/>
          <w:color w:val="auto"/>
          <w:sz w:val="24"/>
          <w:szCs w:val="24"/>
        </w:rPr>
        <w:t xml:space="preserve"> Conclusion</w:t>
      </w:r>
      <w:bookmarkEnd w:id="418"/>
      <w:bookmarkEnd w:id="419"/>
      <w:bookmarkEnd w:id="420"/>
    </w:p>
    <w:p w14:paraId="0C3C8F9B" w14:textId="77777777" w:rsidR="00BE71E3" w:rsidRPr="004737C5" w:rsidRDefault="00BE71E3" w:rsidP="006D3BE8">
      <w:pPr>
        <w:rPr>
          <w:rFonts w:cstheme="minorHAnsi"/>
        </w:rPr>
      </w:pPr>
      <w:r w:rsidRPr="004737C5">
        <w:rPr>
          <w:rFonts w:cstheme="minorHAnsi"/>
        </w:rPr>
        <w:t>Open markets for utilities are becoming more common in both developing and developed countries. As telephones have gone mobile and onsite energy production proliferates through decentralized power production, the relationship between supplier and consumer fundamentally changes. Where consumer choice has become feasible, as in the telecom</w:t>
      </w:r>
      <w:r w:rsidR="003F56CC" w:rsidRPr="004737C5">
        <w:rPr>
          <w:rFonts w:cstheme="minorHAnsi"/>
        </w:rPr>
        <w:t>munication</w:t>
      </w:r>
      <w:r w:rsidRPr="004737C5">
        <w:rPr>
          <w:rFonts w:cstheme="minorHAnsi"/>
        </w:rPr>
        <w:t xml:space="preserve">s sector, consumer protection policy shifts from utility regulation towards trading standards and competition policy. This is still largely unknown in water and sanitation, while energy is starting to occupy an intermediate position as technology enables it to decentralize. The utility models are becoming ever more variable both between and within sectors. </w:t>
      </w:r>
    </w:p>
    <w:p w14:paraId="0A5DDD0B" w14:textId="77777777" w:rsidR="00BE71E3" w:rsidRPr="004737C5" w:rsidRDefault="00BE71E3" w:rsidP="006D3BE8">
      <w:pPr>
        <w:jc w:val="left"/>
        <w:rPr>
          <w:rFonts w:eastAsia="Times New Roman" w:cstheme="minorHAnsi"/>
        </w:rPr>
      </w:pPr>
      <w:r w:rsidRPr="004737C5">
        <w:rPr>
          <w:rFonts w:cstheme="minorHAnsi"/>
        </w:rPr>
        <w:br w:type="page"/>
      </w:r>
    </w:p>
    <w:p w14:paraId="4DF59728" w14:textId="77777777" w:rsidR="00BE71E3" w:rsidRPr="004737C5" w:rsidRDefault="003F56CC" w:rsidP="003F56CC">
      <w:pPr>
        <w:rPr>
          <w:b/>
          <w:sz w:val="28"/>
          <w:szCs w:val="28"/>
        </w:rPr>
      </w:pPr>
      <w:bookmarkStart w:id="421" w:name="_Toc454293914"/>
      <w:bookmarkStart w:id="422" w:name="_Toc489950352"/>
      <w:bookmarkStart w:id="423" w:name="_Toc492650139"/>
      <w:bookmarkStart w:id="424" w:name="_Toc183930691"/>
      <w:r w:rsidRPr="004737C5">
        <w:rPr>
          <w:b/>
          <w:sz w:val="28"/>
          <w:szCs w:val="28"/>
        </w:rPr>
        <w:lastRenderedPageBreak/>
        <w:t>XVI. Food for a</w:t>
      </w:r>
      <w:r w:rsidR="00BE71E3" w:rsidRPr="004737C5">
        <w:rPr>
          <w:b/>
          <w:sz w:val="28"/>
          <w:szCs w:val="28"/>
        </w:rPr>
        <w:t>ll</w:t>
      </w:r>
      <w:bookmarkEnd w:id="421"/>
      <w:bookmarkEnd w:id="422"/>
      <w:bookmarkEnd w:id="423"/>
      <w:bookmarkEnd w:id="424"/>
    </w:p>
    <w:p w14:paraId="61B4C128" w14:textId="77777777" w:rsidR="00BE71E3" w:rsidRPr="004737C5" w:rsidRDefault="003F56CC" w:rsidP="00857811">
      <w:pPr>
        <w:pStyle w:val="Heading2"/>
        <w:spacing w:before="0" w:after="160"/>
        <w:rPr>
          <w:rFonts w:cstheme="minorHAnsi"/>
          <w:color w:val="auto"/>
          <w:sz w:val="24"/>
          <w:szCs w:val="24"/>
        </w:rPr>
      </w:pPr>
      <w:bookmarkStart w:id="425" w:name="_Toc183930692"/>
      <w:bookmarkStart w:id="426" w:name="_Toc454293915"/>
      <w:bookmarkStart w:id="427" w:name="_Toc489950353"/>
      <w:bookmarkStart w:id="428" w:name="_Toc492650140"/>
      <w:r w:rsidRPr="004737C5">
        <w:rPr>
          <w:rFonts w:cstheme="minorHAnsi"/>
          <w:color w:val="auto"/>
          <w:sz w:val="24"/>
          <w:szCs w:val="24"/>
        </w:rPr>
        <w:t>A.</w:t>
      </w:r>
      <w:r w:rsidR="00BE71E3" w:rsidRPr="004737C5">
        <w:rPr>
          <w:rFonts w:cstheme="minorHAnsi"/>
          <w:color w:val="auto"/>
          <w:sz w:val="24"/>
          <w:szCs w:val="24"/>
        </w:rPr>
        <w:t xml:space="preserve"> The right to food</w:t>
      </w:r>
      <w:bookmarkEnd w:id="425"/>
      <w:bookmarkEnd w:id="426"/>
      <w:bookmarkEnd w:id="427"/>
      <w:bookmarkEnd w:id="428"/>
      <w:r w:rsidR="00BE71E3" w:rsidRPr="004737C5">
        <w:rPr>
          <w:rFonts w:cstheme="minorHAnsi"/>
          <w:color w:val="auto"/>
          <w:sz w:val="24"/>
          <w:szCs w:val="24"/>
        </w:rPr>
        <w:t xml:space="preserve"> </w:t>
      </w:r>
    </w:p>
    <w:p w14:paraId="6E62FD63" w14:textId="16DD535B" w:rsidR="00BE71E3" w:rsidRPr="004737C5" w:rsidRDefault="00BE71E3" w:rsidP="006D3BE8">
      <w:pPr>
        <w:rPr>
          <w:rFonts w:cstheme="minorHAnsi"/>
          <w:b/>
        </w:rPr>
      </w:pPr>
      <w:r w:rsidRPr="004737C5">
        <w:rPr>
          <w:rFonts w:cstheme="minorHAnsi"/>
        </w:rPr>
        <w:t>The right to food is recognized in in</w:t>
      </w:r>
      <w:r w:rsidR="003F56CC" w:rsidRPr="004737C5">
        <w:rPr>
          <w:rFonts w:cstheme="minorHAnsi"/>
        </w:rPr>
        <w:t>ternational law, in particular a</w:t>
      </w:r>
      <w:r w:rsidRPr="004737C5">
        <w:rPr>
          <w:rFonts w:cstheme="minorHAnsi"/>
        </w:rPr>
        <w:t>rticle 11 of the 1966 International Covenant on Economi</w:t>
      </w:r>
      <w:r w:rsidR="003A25E1" w:rsidRPr="004737C5">
        <w:rPr>
          <w:rFonts w:cstheme="minorHAnsi"/>
        </w:rPr>
        <w:t>c, Social and Cultural Rights</w:t>
      </w:r>
      <w:r w:rsidRPr="004737C5">
        <w:rPr>
          <w:rFonts w:cstheme="minorHAnsi"/>
        </w:rPr>
        <w:t>.</w:t>
      </w:r>
      <w:r w:rsidRPr="004737C5">
        <w:rPr>
          <w:rStyle w:val="FootnoteReference"/>
          <w:rFonts w:cstheme="minorHAnsi"/>
        </w:rPr>
        <w:footnoteReference w:id="355"/>
      </w:r>
      <w:r w:rsidRPr="004737C5">
        <w:rPr>
          <w:rFonts w:cstheme="minorHAnsi"/>
        </w:rPr>
        <w:t xml:space="preserve"> In 1999, the United Nations Committee on Economic, Social an</w:t>
      </w:r>
      <w:r w:rsidR="003A25E1" w:rsidRPr="004737C5">
        <w:rPr>
          <w:rFonts w:cstheme="minorHAnsi"/>
        </w:rPr>
        <w:t>d Cultural Rights elaborated the right to food</w:t>
      </w:r>
      <w:r w:rsidR="003F56CC" w:rsidRPr="004737C5">
        <w:rPr>
          <w:rFonts w:cstheme="minorHAnsi"/>
        </w:rPr>
        <w:t xml:space="preserve"> as “</w:t>
      </w:r>
      <w:r w:rsidRPr="004737C5">
        <w:rPr>
          <w:rFonts w:cstheme="minorHAnsi"/>
        </w:rPr>
        <w:t>physical and economic access at all times to adequate food</w:t>
      </w:r>
      <w:r w:rsidR="003F56CC" w:rsidRPr="004737C5">
        <w:rPr>
          <w:rFonts w:cstheme="minorHAnsi"/>
        </w:rPr>
        <w:t>, or means for its procurement”, going on to define as “core content” of the right the “</w:t>
      </w:r>
      <w:r w:rsidRPr="004737C5">
        <w:rPr>
          <w:rFonts w:cstheme="minorHAnsi"/>
        </w:rPr>
        <w:t>availability of food in a quantity and quality sufficient to satisfy the needs of individuals, free from adverse substances and ac</w:t>
      </w:r>
      <w:r w:rsidR="003F56CC" w:rsidRPr="004737C5">
        <w:rPr>
          <w:rFonts w:cstheme="minorHAnsi"/>
        </w:rPr>
        <w:t>ceptable within a given culture”.</w:t>
      </w:r>
      <w:r w:rsidRPr="004737C5">
        <w:rPr>
          <w:rStyle w:val="FootnoteReference"/>
          <w:rFonts w:cstheme="minorHAnsi"/>
        </w:rPr>
        <w:footnoteReference w:id="356"/>
      </w:r>
      <w:r w:rsidR="003F56CC" w:rsidRPr="004737C5">
        <w:rPr>
          <w:rFonts w:cstheme="minorHAnsi"/>
        </w:rPr>
        <w:t xml:space="preserve"> </w:t>
      </w:r>
      <w:r w:rsidRPr="004737C5">
        <w:rPr>
          <w:rFonts w:cstheme="minorHAnsi"/>
        </w:rPr>
        <w:t>As a human right, access to food constitutes a</w:t>
      </w:r>
      <w:r w:rsidR="003F56CC" w:rsidRPr="004737C5">
        <w:rPr>
          <w:rFonts w:cstheme="minorHAnsi"/>
        </w:rPr>
        <w:t>n individual claim against the s</w:t>
      </w:r>
      <w:r w:rsidRPr="004737C5">
        <w:rPr>
          <w:rFonts w:cstheme="minorHAnsi"/>
        </w:rPr>
        <w:t>tate, and generates individual entitlemen</w:t>
      </w:r>
      <w:r w:rsidR="003F56CC" w:rsidRPr="004737C5">
        <w:rPr>
          <w:rFonts w:cstheme="minorHAnsi"/>
        </w:rPr>
        <w:t>ts and related s</w:t>
      </w:r>
      <w:r w:rsidRPr="004737C5">
        <w:rPr>
          <w:rFonts w:cstheme="minorHAnsi"/>
        </w:rPr>
        <w:t xml:space="preserve">tate obligations that eventually may be enforceable in the courts. </w:t>
      </w:r>
    </w:p>
    <w:p w14:paraId="669FA158" w14:textId="77777777" w:rsidR="00BE71E3" w:rsidRPr="004737C5" w:rsidRDefault="003F56CC" w:rsidP="003A25E1">
      <w:pPr>
        <w:pStyle w:val="Heading2"/>
        <w:spacing w:after="160"/>
        <w:rPr>
          <w:rFonts w:cstheme="minorHAnsi"/>
          <w:color w:val="auto"/>
          <w:sz w:val="24"/>
          <w:szCs w:val="24"/>
        </w:rPr>
      </w:pPr>
      <w:bookmarkStart w:id="429" w:name="_Toc454293916"/>
      <w:bookmarkStart w:id="430" w:name="_Toc489950354"/>
      <w:bookmarkStart w:id="431" w:name="_Toc492650141"/>
      <w:r w:rsidRPr="004737C5">
        <w:rPr>
          <w:rFonts w:cstheme="minorHAnsi"/>
          <w:color w:val="auto"/>
          <w:sz w:val="24"/>
          <w:szCs w:val="24"/>
        </w:rPr>
        <w:t>B.</w:t>
      </w:r>
      <w:r w:rsidR="00BE71E3" w:rsidRPr="004737C5">
        <w:rPr>
          <w:rFonts w:cstheme="minorHAnsi"/>
          <w:color w:val="auto"/>
          <w:sz w:val="24"/>
          <w:szCs w:val="24"/>
        </w:rPr>
        <w:t xml:space="preserve"> Food in the United Nations Guidelines for Consumer Protection</w:t>
      </w:r>
      <w:bookmarkEnd w:id="429"/>
      <w:bookmarkEnd w:id="430"/>
      <w:bookmarkEnd w:id="431"/>
    </w:p>
    <w:p w14:paraId="14FD99D8" w14:textId="3A074CEA" w:rsidR="00BE71E3" w:rsidRPr="004737C5" w:rsidRDefault="003A25E1" w:rsidP="006D3BE8">
      <w:pPr>
        <w:rPr>
          <w:rFonts w:cstheme="minorHAnsi"/>
        </w:rPr>
      </w:pPr>
      <w:r w:rsidRPr="004737C5">
        <w:rPr>
          <w:rFonts w:cstheme="minorHAnsi"/>
        </w:rPr>
        <w:t>The</w:t>
      </w:r>
      <w:r w:rsidR="00BE71E3" w:rsidRPr="004737C5">
        <w:rPr>
          <w:rFonts w:cstheme="minorHAnsi"/>
        </w:rPr>
        <w:t xml:space="preserve"> most conspicuous presenc</w:t>
      </w:r>
      <w:r w:rsidR="00291489" w:rsidRPr="004737C5">
        <w:rPr>
          <w:rFonts w:cstheme="minorHAnsi"/>
        </w:rPr>
        <w:t xml:space="preserve">e </w:t>
      </w:r>
      <w:r w:rsidRPr="004737C5">
        <w:rPr>
          <w:rFonts w:cstheme="minorHAnsi"/>
        </w:rPr>
        <w:t xml:space="preserve">of food </w:t>
      </w:r>
      <w:r w:rsidR="00291489" w:rsidRPr="004737C5">
        <w:rPr>
          <w:rFonts w:cstheme="minorHAnsi"/>
        </w:rPr>
        <w:t>in the UNGCP is in s</w:t>
      </w:r>
      <w:r w:rsidR="003F56CC" w:rsidRPr="004737C5">
        <w:rPr>
          <w:rFonts w:cstheme="minorHAnsi"/>
        </w:rPr>
        <w:t>ection V.</w:t>
      </w:r>
      <w:r w:rsidR="00BE71E3" w:rsidRPr="004737C5">
        <w:rPr>
          <w:rFonts w:cstheme="minorHAnsi"/>
        </w:rPr>
        <w:t xml:space="preserve">K </w:t>
      </w:r>
      <w:r w:rsidR="003F56CC" w:rsidRPr="004737C5">
        <w:rPr>
          <w:rFonts w:cstheme="minorHAnsi"/>
        </w:rPr>
        <w:t>on “</w:t>
      </w:r>
      <w:r w:rsidR="00291489" w:rsidRPr="004737C5">
        <w:rPr>
          <w:rFonts w:cstheme="minorHAnsi"/>
        </w:rPr>
        <w:t>m</w:t>
      </w:r>
      <w:r w:rsidR="00BE71E3" w:rsidRPr="004737C5">
        <w:rPr>
          <w:rFonts w:cstheme="minorHAnsi"/>
        </w:rPr>
        <w:t>eas</w:t>
      </w:r>
      <w:r w:rsidR="003F56CC" w:rsidRPr="004737C5">
        <w:rPr>
          <w:rFonts w:cstheme="minorHAnsi"/>
        </w:rPr>
        <w:t>ures relating to specific areas”, where it is listed in g</w:t>
      </w:r>
      <w:r w:rsidR="00BE71E3" w:rsidRPr="004737C5">
        <w:rPr>
          <w:rFonts w:cstheme="minorHAnsi"/>
        </w:rPr>
        <w:t>uideline 69 as requiring governmental priority and, al</w:t>
      </w:r>
      <w:r w:rsidR="003F56CC" w:rsidRPr="004737C5">
        <w:rPr>
          <w:rFonts w:cstheme="minorHAnsi"/>
        </w:rPr>
        <w:t>ong with other products, needing</w:t>
      </w:r>
      <w:r w:rsidR="00BE71E3" w:rsidRPr="004737C5">
        <w:rPr>
          <w:rFonts w:cstheme="minorHAnsi"/>
        </w:rPr>
        <w:t xml:space="preserve"> quality control, adequate and secure distribution facilities, standardized international labelling and information, education and research programmes. Guideline 70 pointedly calls for Memb</w:t>
      </w:r>
      <w:r w:rsidR="003F56CC" w:rsidRPr="004737C5">
        <w:rPr>
          <w:rFonts w:cstheme="minorHAnsi"/>
        </w:rPr>
        <w:t>er States to take into account “</w:t>
      </w:r>
      <w:r w:rsidR="00BE71E3" w:rsidRPr="004737C5">
        <w:rPr>
          <w:rFonts w:cstheme="minorHAnsi"/>
        </w:rPr>
        <w:t xml:space="preserve">the need of </w:t>
      </w:r>
      <w:r w:rsidR="003F56CC" w:rsidRPr="004737C5">
        <w:rPr>
          <w:rFonts w:cstheme="minorHAnsi"/>
        </w:rPr>
        <w:t>all consumers for food security”</w:t>
      </w:r>
      <w:r w:rsidRPr="004737C5">
        <w:rPr>
          <w:rFonts w:cstheme="minorHAnsi"/>
        </w:rPr>
        <w:t>,</w:t>
      </w:r>
      <w:r w:rsidR="00BE71E3" w:rsidRPr="004737C5">
        <w:rPr>
          <w:rFonts w:cstheme="minorHAnsi"/>
        </w:rPr>
        <w:t xml:space="preserve"> but the detail concentrates mainly on standards as issued by the Food and Agriculture Organization (FAO), the World Health Organization (WHO)</w:t>
      </w:r>
      <w:r w:rsidR="003F56CC" w:rsidRPr="004737C5">
        <w:rPr>
          <w:rFonts w:cstheme="minorHAnsi"/>
        </w:rPr>
        <w:t>,</w:t>
      </w:r>
      <w:r w:rsidR="00BE71E3" w:rsidRPr="004737C5">
        <w:rPr>
          <w:rFonts w:cstheme="minorHAnsi"/>
        </w:rPr>
        <w:t xml:space="preserve"> the international food standards body </w:t>
      </w:r>
      <w:r w:rsidR="00BE71E3" w:rsidRPr="004737C5">
        <w:rPr>
          <w:rFonts w:cstheme="minorHAnsi"/>
          <w:i/>
          <w:iCs/>
        </w:rPr>
        <w:t>Codex Alimentarius</w:t>
      </w:r>
      <w:r w:rsidR="003F56CC" w:rsidRPr="004737C5">
        <w:rPr>
          <w:rFonts w:cstheme="minorHAnsi"/>
        </w:rPr>
        <w:t xml:space="preserve"> “</w:t>
      </w:r>
      <w:r w:rsidR="00BE71E3" w:rsidRPr="004737C5">
        <w:rPr>
          <w:rFonts w:cstheme="minorHAnsi"/>
        </w:rPr>
        <w:t>or in their absence, other generally accepted international food standards</w:t>
      </w:r>
      <w:r w:rsidR="003F56CC" w:rsidRPr="004737C5">
        <w:rPr>
          <w:rFonts w:cstheme="minorHAnsi"/>
        </w:rPr>
        <w:t>”. Guideline 5a establishes a new “legitimate need”: “</w:t>
      </w:r>
      <w:r w:rsidR="00BE71E3" w:rsidRPr="004737C5">
        <w:rPr>
          <w:rFonts w:cstheme="minorHAnsi"/>
        </w:rPr>
        <w:t>access by consumers to essential goods and services</w:t>
      </w:r>
      <w:r w:rsidR="003F56CC" w:rsidRPr="004737C5">
        <w:rPr>
          <w:rFonts w:cstheme="minorHAnsi"/>
        </w:rPr>
        <w:t>”,</w:t>
      </w:r>
      <w:r w:rsidR="00BE71E3" w:rsidRPr="004737C5">
        <w:rPr>
          <w:rFonts w:cstheme="minorHAnsi"/>
        </w:rPr>
        <w:t xml:space="preserve"> which</w:t>
      </w:r>
      <w:r w:rsidR="003F56CC" w:rsidRPr="004737C5">
        <w:rPr>
          <w:rFonts w:cstheme="minorHAnsi"/>
        </w:rPr>
        <w:t xml:space="preserve"> should be read to include food, immediately followed in 5b by “</w:t>
      </w:r>
      <w:r w:rsidR="00BE71E3" w:rsidRPr="004737C5">
        <w:rPr>
          <w:rFonts w:cstheme="minorHAnsi"/>
        </w:rPr>
        <w:t>the protection of vulnerable and disadvantaged consumers</w:t>
      </w:r>
      <w:r w:rsidR="003F56CC" w:rsidRPr="004737C5">
        <w:rPr>
          <w:rFonts w:cstheme="minorHAnsi"/>
        </w:rPr>
        <w:t>”.</w:t>
      </w:r>
      <w:r w:rsidR="00BE71E3" w:rsidRPr="004737C5">
        <w:rPr>
          <w:rFonts w:cstheme="minorHAnsi"/>
        </w:rPr>
        <w:t xml:space="preserve"> Ot</w:t>
      </w:r>
      <w:r w:rsidR="003F56CC" w:rsidRPr="004737C5">
        <w:rPr>
          <w:rFonts w:cstheme="minorHAnsi"/>
        </w:rPr>
        <w:t>her references to food include guideline 21, “adulteration of foods”,</w:t>
      </w:r>
      <w:r w:rsidR="00BE71E3" w:rsidRPr="004737C5">
        <w:rPr>
          <w:rFonts w:cstheme="minorHAnsi"/>
        </w:rPr>
        <w:t xml:space="preserve"> as a practic</w:t>
      </w:r>
      <w:r w:rsidRPr="004737C5">
        <w:rPr>
          <w:rFonts w:cstheme="minorHAnsi"/>
        </w:rPr>
        <w:t xml:space="preserve">e to be prevented and monitored, and again </w:t>
      </w:r>
      <w:r w:rsidR="003F56CC" w:rsidRPr="004737C5">
        <w:rPr>
          <w:rFonts w:cstheme="minorHAnsi"/>
        </w:rPr>
        <w:t>in guideline 44a</w:t>
      </w:r>
      <w:r w:rsidRPr="004737C5">
        <w:rPr>
          <w:rFonts w:cstheme="minorHAnsi"/>
        </w:rPr>
        <w:t>,</w:t>
      </w:r>
      <w:r w:rsidR="00BE71E3" w:rsidRPr="004737C5">
        <w:rPr>
          <w:rFonts w:cstheme="minorHAnsi"/>
        </w:rPr>
        <w:t xml:space="preserve"> as an element of consumer education alongside nutrition and food-borne diseases. </w:t>
      </w:r>
    </w:p>
    <w:p w14:paraId="6003A405" w14:textId="77777777" w:rsidR="00BE71E3" w:rsidRPr="004737C5" w:rsidRDefault="003F56CC" w:rsidP="003A25E1">
      <w:pPr>
        <w:pStyle w:val="Heading2"/>
        <w:spacing w:after="160"/>
        <w:rPr>
          <w:rFonts w:cstheme="minorHAnsi"/>
          <w:color w:val="auto"/>
          <w:sz w:val="24"/>
          <w:szCs w:val="24"/>
        </w:rPr>
      </w:pPr>
      <w:bookmarkStart w:id="432" w:name="_Toc183930693"/>
      <w:bookmarkStart w:id="433" w:name="_Toc454293917"/>
      <w:bookmarkStart w:id="434" w:name="_Toc489950355"/>
      <w:bookmarkStart w:id="435" w:name="_Toc492650142"/>
      <w:r w:rsidRPr="004737C5">
        <w:rPr>
          <w:rFonts w:cstheme="minorHAnsi"/>
          <w:color w:val="auto"/>
          <w:sz w:val="24"/>
          <w:szCs w:val="24"/>
        </w:rPr>
        <w:t>C.</w:t>
      </w:r>
      <w:r w:rsidR="00BE71E3" w:rsidRPr="004737C5">
        <w:rPr>
          <w:rFonts w:cstheme="minorHAnsi"/>
          <w:color w:val="auto"/>
          <w:sz w:val="24"/>
          <w:szCs w:val="24"/>
        </w:rPr>
        <w:t xml:space="preserve"> Malnutrition and food security</w:t>
      </w:r>
      <w:bookmarkEnd w:id="432"/>
      <w:bookmarkEnd w:id="433"/>
      <w:bookmarkEnd w:id="434"/>
      <w:bookmarkEnd w:id="435"/>
    </w:p>
    <w:p w14:paraId="06B848A2" w14:textId="77777777" w:rsidR="00BE71E3" w:rsidRPr="004737C5" w:rsidRDefault="00BE71E3" w:rsidP="006D3BE8">
      <w:pPr>
        <w:rPr>
          <w:rFonts w:cstheme="minorHAnsi"/>
        </w:rPr>
      </w:pPr>
      <w:r w:rsidRPr="004737C5">
        <w:rPr>
          <w:rFonts w:cstheme="minorHAnsi"/>
        </w:rPr>
        <w:t xml:space="preserve">FAO defines food security as food that is safe, nutritious and culturally acceptable and is available, accessible and affordable to all people. </w:t>
      </w:r>
    </w:p>
    <w:p w14:paraId="66C72925" w14:textId="77777777" w:rsidR="00BE71E3" w:rsidRPr="004737C5" w:rsidRDefault="00BE71E3" w:rsidP="003A25E1">
      <w:pPr>
        <w:pStyle w:val="Heading3"/>
        <w:spacing w:after="160" w:line="240" w:lineRule="auto"/>
        <w:rPr>
          <w:rFonts w:cstheme="minorHAnsi"/>
          <w:color w:val="auto"/>
        </w:rPr>
      </w:pPr>
      <w:bookmarkStart w:id="436" w:name="_Toc454293918"/>
      <w:bookmarkStart w:id="437" w:name="_Toc489950356"/>
      <w:bookmarkStart w:id="438" w:name="_Toc492650143"/>
      <w:r w:rsidRPr="004737C5">
        <w:rPr>
          <w:rFonts w:cstheme="minorHAnsi"/>
          <w:color w:val="auto"/>
        </w:rPr>
        <w:t>1</w:t>
      </w:r>
      <w:r w:rsidR="003F56CC" w:rsidRPr="004737C5">
        <w:rPr>
          <w:rFonts w:cstheme="minorHAnsi"/>
          <w:color w:val="auto"/>
        </w:rPr>
        <w:t>.</w:t>
      </w:r>
      <w:r w:rsidRPr="004737C5">
        <w:rPr>
          <w:rFonts w:cstheme="minorHAnsi"/>
          <w:color w:val="auto"/>
        </w:rPr>
        <w:t xml:space="preserve"> Hunger facts</w:t>
      </w:r>
      <w:bookmarkEnd w:id="436"/>
      <w:bookmarkEnd w:id="437"/>
      <w:bookmarkEnd w:id="438"/>
    </w:p>
    <w:p w14:paraId="0182566C" w14:textId="77777777" w:rsidR="00BE71E3" w:rsidRPr="004737C5" w:rsidRDefault="00BE71E3" w:rsidP="006D3BE8">
      <w:pPr>
        <w:rPr>
          <w:rFonts w:cstheme="minorHAnsi"/>
          <w:snapToGrid w:val="0"/>
        </w:rPr>
      </w:pPr>
      <w:r w:rsidRPr="004737C5">
        <w:rPr>
          <w:rFonts w:cstheme="minorHAnsi"/>
          <w:snapToGrid w:val="0"/>
        </w:rPr>
        <w:t>According to the 2015 MDG report:</w:t>
      </w:r>
      <w:r w:rsidRPr="004737C5">
        <w:rPr>
          <w:rStyle w:val="FootnoteReference"/>
          <w:rFonts w:cstheme="minorHAnsi"/>
          <w:bCs/>
          <w:snapToGrid w:val="0"/>
        </w:rPr>
        <w:footnoteReference w:id="357"/>
      </w:r>
    </w:p>
    <w:p w14:paraId="003A28E2" w14:textId="65BD77E4" w:rsidR="00BE71E3" w:rsidRPr="004737C5" w:rsidRDefault="00BE71E3" w:rsidP="002473E9">
      <w:pPr>
        <w:pStyle w:val="ListParagraph"/>
        <w:numPr>
          <w:ilvl w:val="0"/>
          <w:numId w:val="77"/>
        </w:numPr>
        <w:ind w:left="709" w:hanging="425"/>
        <w:rPr>
          <w:rFonts w:cstheme="minorHAnsi"/>
        </w:rPr>
      </w:pPr>
      <w:r w:rsidRPr="004737C5">
        <w:rPr>
          <w:rFonts w:cstheme="minorHAnsi"/>
        </w:rPr>
        <w:t>In 2015, an estimated 825 million people still live</w:t>
      </w:r>
      <w:r w:rsidR="003A25E1" w:rsidRPr="004737C5">
        <w:rPr>
          <w:rFonts w:cstheme="minorHAnsi"/>
        </w:rPr>
        <w:t>d</w:t>
      </w:r>
      <w:r w:rsidRPr="004737C5">
        <w:rPr>
          <w:rFonts w:cstheme="minorHAnsi"/>
        </w:rPr>
        <w:t xml:space="preserve"> in extreme poverty and 800 m</w:t>
      </w:r>
      <w:r w:rsidR="003F56CC" w:rsidRPr="004737C5">
        <w:rPr>
          <w:rFonts w:cstheme="minorHAnsi"/>
        </w:rPr>
        <w:t>illion still suffer</w:t>
      </w:r>
      <w:r w:rsidR="003A25E1" w:rsidRPr="004737C5">
        <w:rPr>
          <w:rFonts w:cstheme="minorHAnsi"/>
        </w:rPr>
        <w:t>ed</w:t>
      </w:r>
      <w:r w:rsidR="003F56CC" w:rsidRPr="004737C5">
        <w:rPr>
          <w:rFonts w:cstheme="minorHAnsi"/>
        </w:rPr>
        <w:t xml:space="preserve"> from hunger</w:t>
      </w:r>
    </w:p>
    <w:p w14:paraId="523F09B1" w14:textId="4C7167D4" w:rsidR="00BE71E3" w:rsidRPr="004737C5" w:rsidRDefault="00BE71E3" w:rsidP="002473E9">
      <w:pPr>
        <w:pStyle w:val="ListParagraph"/>
        <w:numPr>
          <w:ilvl w:val="0"/>
          <w:numId w:val="77"/>
        </w:numPr>
        <w:ind w:left="709" w:hanging="425"/>
        <w:rPr>
          <w:rFonts w:cstheme="minorHAnsi"/>
        </w:rPr>
      </w:pPr>
      <w:r w:rsidRPr="004737C5">
        <w:rPr>
          <w:rFonts w:cstheme="minorHAnsi"/>
        </w:rPr>
        <w:t>Over 160 mill</w:t>
      </w:r>
      <w:r w:rsidR="003A25E1" w:rsidRPr="004737C5">
        <w:rPr>
          <w:rFonts w:cstheme="minorHAnsi"/>
        </w:rPr>
        <w:t>ion children under 5 years of age had</w:t>
      </w:r>
      <w:r w:rsidRPr="004737C5">
        <w:rPr>
          <w:rFonts w:cstheme="minorHAnsi"/>
        </w:rPr>
        <w:t xml:space="preserve"> inadequate height for their a</w:t>
      </w:r>
      <w:r w:rsidR="003F56CC" w:rsidRPr="004737C5">
        <w:rPr>
          <w:rFonts w:cstheme="minorHAnsi"/>
        </w:rPr>
        <w:t>ge due to insufficient food</w:t>
      </w:r>
    </w:p>
    <w:p w14:paraId="5763BB5A" w14:textId="77777777" w:rsidR="00BE71E3" w:rsidRPr="004737C5" w:rsidRDefault="00BE71E3" w:rsidP="002473E9">
      <w:pPr>
        <w:pStyle w:val="ListParagraph"/>
        <w:numPr>
          <w:ilvl w:val="0"/>
          <w:numId w:val="77"/>
        </w:numPr>
        <w:ind w:left="709" w:hanging="425"/>
        <w:rPr>
          <w:rFonts w:cstheme="minorHAnsi"/>
        </w:rPr>
      </w:pPr>
      <w:r w:rsidRPr="004737C5">
        <w:rPr>
          <w:rFonts w:cstheme="minorHAnsi"/>
        </w:rPr>
        <w:t>One in seven ch</w:t>
      </w:r>
      <w:r w:rsidR="003F56CC" w:rsidRPr="004737C5">
        <w:rPr>
          <w:rFonts w:cstheme="minorHAnsi"/>
        </w:rPr>
        <w:t>ildren worldwide is underweight</w:t>
      </w:r>
      <w:r w:rsidRPr="004737C5">
        <w:rPr>
          <w:rFonts w:cstheme="minorHAnsi"/>
        </w:rPr>
        <w:t xml:space="preserve"> </w:t>
      </w:r>
      <w:r w:rsidR="003F56CC" w:rsidRPr="004737C5">
        <w:rPr>
          <w:rFonts w:cstheme="minorHAnsi"/>
        </w:rPr>
        <w:t>(down from one in four in 1990)</w:t>
      </w:r>
    </w:p>
    <w:p w14:paraId="28175D4A" w14:textId="77777777" w:rsidR="00BE71E3" w:rsidRPr="004737C5" w:rsidRDefault="00BE71E3" w:rsidP="006D3BE8">
      <w:pPr>
        <w:rPr>
          <w:rFonts w:cstheme="minorHAnsi"/>
        </w:rPr>
      </w:pPr>
      <w:r w:rsidRPr="004737C5">
        <w:rPr>
          <w:rFonts w:cstheme="minorHAnsi"/>
        </w:rPr>
        <w:t>This means that nearly one in nine individuals do not have enough to eat. The vast majority of them (780 million people) live in developing regions. Startling though this might be, trends indicate a drop of almost half in the proportion of undernourished people in th</w:t>
      </w:r>
      <w:r w:rsidR="003F56CC" w:rsidRPr="004737C5">
        <w:rPr>
          <w:rFonts w:cstheme="minorHAnsi"/>
        </w:rPr>
        <w:t>e developing regions, from 23.3 percent in 1990–1992 to 12.9 percent</w:t>
      </w:r>
      <w:r w:rsidRPr="004737C5">
        <w:rPr>
          <w:rFonts w:cstheme="minorHAnsi"/>
        </w:rPr>
        <w:t xml:space="preserve"> in 2014–2016, which is very close to the MDG hunger target.</w:t>
      </w:r>
    </w:p>
    <w:p w14:paraId="2362A172" w14:textId="77777777" w:rsidR="00BE71E3" w:rsidRPr="004737C5" w:rsidRDefault="00BE71E3" w:rsidP="006D3BE8">
      <w:pPr>
        <w:rPr>
          <w:rFonts w:cstheme="minorHAnsi"/>
        </w:rPr>
      </w:pPr>
      <w:r w:rsidRPr="004737C5">
        <w:rPr>
          <w:rFonts w:cstheme="minorHAnsi"/>
        </w:rPr>
        <w:lastRenderedPageBreak/>
        <w:t>China alone accounts for almost two thirds of the total reduction in the number of undernourished people in developing regions since 1990. Northern Africa is close to eradicating severe food insecurity. In contrast, the pace of reduction in the Caribbe</w:t>
      </w:r>
      <w:r w:rsidR="003F56CC" w:rsidRPr="004737C5">
        <w:rPr>
          <w:rFonts w:cstheme="minorHAnsi"/>
        </w:rPr>
        <w:t>an, Oceania, Southern Asia and S</w:t>
      </w:r>
      <w:r w:rsidRPr="004737C5">
        <w:rPr>
          <w:rFonts w:cstheme="minorHAnsi"/>
        </w:rPr>
        <w:t>ub-Saharan Africa has been too slow to achieve the target. Southern Asia faces the greatest numerical hunger burden, with about 281 million undernourished people</w:t>
      </w:r>
      <w:r w:rsidR="003F56CC" w:rsidRPr="004737C5">
        <w:rPr>
          <w:rFonts w:cstheme="minorHAnsi"/>
        </w:rPr>
        <w:t>.</w:t>
      </w:r>
    </w:p>
    <w:p w14:paraId="19D869C8" w14:textId="77777777" w:rsidR="00BE71E3" w:rsidRPr="004737C5" w:rsidRDefault="00BE71E3" w:rsidP="006D3BE8">
      <w:pPr>
        <w:rPr>
          <w:rFonts w:cstheme="minorHAnsi"/>
        </w:rPr>
      </w:pPr>
      <w:r w:rsidRPr="004737C5">
        <w:rPr>
          <w:rFonts w:cstheme="minorHAnsi"/>
        </w:rPr>
        <w:t>In Western Asia, a starkly different pattern emerges. Despite a relatively low number of undernourished people and fast progress in reducing food insecurity in several countries, projections indicate that the prevalence of u</w:t>
      </w:r>
      <w:r w:rsidR="003F56CC" w:rsidRPr="004737C5">
        <w:rPr>
          <w:rFonts w:cstheme="minorHAnsi"/>
        </w:rPr>
        <w:t>ndernourishment will rise by 32 percent</w:t>
      </w:r>
      <w:r w:rsidRPr="004737C5">
        <w:rPr>
          <w:rFonts w:cstheme="minorHAnsi"/>
        </w:rPr>
        <w:t xml:space="preserve"> between 1990–1992 and 2014–2016 due to war, civil unrest and a rapidly growing number of refugees.</w:t>
      </w:r>
    </w:p>
    <w:p w14:paraId="1E5EEF8E" w14:textId="77777777" w:rsidR="00BE71E3" w:rsidRPr="004737C5" w:rsidRDefault="00BE71E3" w:rsidP="003A25E1">
      <w:pPr>
        <w:pStyle w:val="Heading3"/>
        <w:spacing w:after="160" w:line="240" w:lineRule="auto"/>
        <w:rPr>
          <w:rFonts w:cstheme="minorHAnsi"/>
          <w:snapToGrid w:val="0"/>
          <w:color w:val="auto"/>
        </w:rPr>
      </w:pPr>
      <w:bookmarkStart w:id="439" w:name="_Toc454293919"/>
      <w:bookmarkStart w:id="440" w:name="_Toc489950357"/>
      <w:bookmarkStart w:id="441" w:name="_Toc492650144"/>
      <w:r w:rsidRPr="004737C5">
        <w:rPr>
          <w:rFonts w:cstheme="minorHAnsi"/>
          <w:snapToGrid w:val="0"/>
          <w:color w:val="auto"/>
        </w:rPr>
        <w:t>2</w:t>
      </w:r>
      <w:r w:rsidR="003F56CC" w:rsidRPr="004737C5">
        <w:rPr>
          <w:rFonts w:cstheme="minorHAnsi"/>
          <w:snapToGrid w:val="0"/>
          <w:color w:val="auto"/>
        </w:rPr>
        <w:t>.</w:t>
      </w:r>
      <w:r w:rsidRPr="004737C5">
        <w:rPr>
          <w:rFonts w:cstheme="minorHAnsi"/>
          <w:snapToGrid w:val="0"/>
          <w:color w:val="auto"/>
        </w:rPr>
        <w:t xml:space="preserve"> Obesity as malnutrition</w:t>
      </w:r>
      <w:bookmarkEnd w:id="439"/>
      <w:bookmarkEnd w:id="440"/>
      <w:bookmarkEnd w:id="441"/>
    </w:p>
    <w:p w14:paraId="3B18E285" w14:textId="69462E98" w:rsidR="00BE71E3" w:rsidRPr="004737C5" w:rsidRDefault="00BE71E3" w:rsidP="006D3BE8">
      <w:pPr>
        <w:rPr>
          <w:rFonts w:cstheme="minorHAnsi"/>
          <w:snapToGrid w:val="0"/>
        </w:rPr>
      </w:pPr>
      <w:r w:rsidRPr="004737C5">
        <w:rPr>
          <w:rFonts w:cstheme="minorHAnsi"/>
          <w:snapToGrid w:val="0"/>
        </w:rPr>
        <w:t>A generation ago it would have seemed incongruous to follow the previous section with a discussion on obesity. But obesity has come to be seen as a form of malnutrition and is not confined to the most dev</w:t>
      </w:r>
      <w:r w:rsidR="003A25E1" w:rsidRPr="004737C5">
        <w:rPr>
          <w:rFonts w:cstheme="minorHAnsi"/>
          <w:snapToGrid w:val="0"/>
        </w:rPr>
        <w:t>eloped countries. High-</w:t>
      </w:r>
      <w:r w:rsidR="003F56CC" w:rsidRPr="004737C5">
        <w:rPr>
          <w:rFonts w:cstheme="minorHAnsi"/>
          <w:snapToGrid w:val="0"/>
        </w:rPr>
        <w:t>profile g</w:t>
      </w:r>
      <w:r w:rsidRPr="004737C5">
        <w:rPr>
          <w:rFonts w:cstheme="minorHAnsi"/>
          <w:snapToGrid w:val="0"/>
        </w:rPr>
        <w:t>overnment actions to apply sugar taxes in Mexico in particular,</w:t>
      </w:r>
      <w:r w:rsidRPr="004737C5">
        <w:rPr>
          <w:rStyle w:val="FootnoteReference"/>
          <w:rFonts w:cstheme="minorHAnsi"/>
          <w:snapToGrid w:val="0"/>
        </w:rPr>
        <w:footnoteReference w:id="358"/>
      </w:r>
      <w:r w:rsidRPr="004737C5">
        <w:rPr>
          <w:rFonts w:cstheme="minorHAnsi"/>
          <w:snapToGrid w:val="0"/>
        </w:rPr>
        <w:t xml:space="preserve"> and the announcement by the Government </w:t>
      </w:r>
      <w:r w:rsidR="003F56CC" w:rsidRPr="004737C5">
        <w:rPr>
          <w:rFonts w:cstheme="minorHAnsi"/>
          <w:snapToGrid w:val="0"/>
        </w:rPr>
        <w:t xml:space="preserve">of the United Kingdom of Great Britain and Northern Ireland </w:t>
      </w:r>
      <w:r w:rsidRPr="004737C5">
        <w:rPr>
          <w:rFonts w:cstheme="minorHAnsi"/>
          <w:snapToGrid w:val="0"/>
        </w:rPr>
        <w:t xml:space="preserve">in their </w:t>
      </w:r>
      <w:r w:rsidR="003F56CC" w:rsidRPr="004737C5">
        <w:rPr>
          <w:rFonts w:cstheme="minorHAnsi"/>
          <w:snapToGrid w:val="0"/>
        </w:rPr>
        <w:t>future budget statement in 2016</w:t>
      </w:r>
      <w:r w:rsidRPr="004737C5">
        <w:rPr>
          <w:rFonts w:cstheme="minorHAnsi"/>
          <w:snapToGrid w:val="0"/>
        </w:rPr>
        <w:t xml:space="preserve"> of a similar</w:t>
      </w:r>
      <w:r w:rsidR="003F56CC" w:rsidRPr="004737C5">
        <w:rPr>
          <w:rFonts w:cstheme="minorHAnsi"/>
          <w:snapToGrid w:val="0"/>
        </w:rPr>
        <w:t xml:space="preserve"> proposed</w:t>
      </w:r>
      <w:r w:rsidRPr="004737C5">
        <w:rPr>
          <w:rFonts w:cstheme="minorHAnsi"/>
          <w:snapToGrid w:val="0"/>
        </w:rPr>
        <w:t xml:space="preserve"> tax, have brought the issue into sharp relief. According to OECD health fac</w:t>
      </w:r>
      <w:r w:rsidR="00DA2E73" w:rsidRPr="004737C5">
        <w:rPr>
          <w:rFonts w:cstheme="minorHAnsi"/>
          <w:snapToGrid w:val="0"/>
        </w:rPr>
        <w:t>ts, in 2012 the most obese over</w:t>
      </w:r>
      <w:r w:rsidR="003A25E1" w:rsidRPr="004737C5">
        <w:rPr>
          <w:rFonts w:cstheme="minorHAnsi"/>
          <w:snapToGrid w:val="0"/>
        </w:rPr>
        <w:t xml:space="preserve"> </w:t>
      </w:r>
      <w:r w:rsidRPr="004737C5">
        <w:rPr>
          <w:rFonts w:cstheme="minorHAnsi"/>
          <w:snapToGrid w:val="0"/>
        </w:rPr>
        <w:t>15 population in the OECD is Mexico, one of its less d</w:t>
      </w:r>
      <w:r w:rsidR="00DA2E73" w:rsidRPr="004737C5">
        <w:rPr>
          <w:rFonts w:cstheme="minorHAnsi"/>
          <w:snapToGrid w:val="0"/>
        </w:rPr>
        <w:t>eveloped members, where over 70 percent</w:t>
      </w:r>
      <w:r w:rsidRPr="004737C5">
        <w:rPr>
          <w:rFonts w:cstheme="minorHAnsi"/>
          <w:snapToGrid w:val="0"/>
        </w:rPr>
        <w:t xml:space="preserve"> of over 15s are overweight or obese.</w:t>
      </w:r>
      <w:r w:rsidRPr="004737C5">
        <w:rPr>
          <w:rStyle w:val="FootnoteReference"/>
          <w:rFonts w:cstheme="minorHAnsi"/>
          <w:snapToGrid w:val="0"/>
        </w:rPr>
        <w:footnoteReference w:id="359"/>
      </w:r>
      <w:r w:rsidRPr="004737C5">
        <w:rPr>
          <w:rFonts w:cstheme="minorHAnsi"/>
          <w:snapToGrid w:val="0"/>
        </w:rPr>
        <w:t xml:space="preserve"> The Mexican level is just above the United States</w:t>
      </w:r>
      <w:r w:rsidR="00DA2E73" w:rsidRPr="004737C5">
        <w:rPr>
          <w:rFonts w:cstheme="minorHAnsi"/>
          <w:snapToGrid w:val="0"/>
        </w:rPr>
        <w:t xml:space="preserve"> of America, but neighbouring Canada is 50 percent</w:t>
      </w:r>
      <w:r w:rsidRPr="004737C5">
        <w:rPr>
          <w:rFonts w:cstheme="minorHAnsi"/>
          <w:snapToGrid w:val="0"/>
        </w:rPr>
        <w:t xml:space="preserve">. </w:t>
      </w:r>
    </w:p>
    <w:p w14:paraId="44B6CA2E" w14:textId="7BDC44B7" w:rsidR="00BE71E3" w:rsidRPr="004737C5" w:rsidRDefault="00BE71E3" w:rsidP="006D3BE8">
      <w:pPr>
        <w:rPr>
          <w:rFonts w:cstheme="minorHAnsi"/>
          <w:snapToGrid w:val="0"/>
        </w:rPr>
      </w:pPr>
      <w:r w:rsidRPr="004737C5">
        <w:rPr>
          <w:rFonts w:cstheme="minorHAnsi"/>
          <w:snapToGrid w:val="0"/>
        </w:rPr>
        <w:t>Worldwide, obesity ha</w:t>
      </w:r>
      <w:r w:rsidR="00DA2E73" w:rsidRPr="004737C5">
        <w:rPr>
          <w:rFonts w:cstheme="minorHAnsi"/>
          <w:snapToGrid w:val="0"/>
        </w:rPr>
        <w:t>s nearly doubled since 1980. 44 percent of diabetes, 23 percent</w:t>
      </w:r>
      <w:r w:rsidRPr="004737C5">
        <w:rPr>
          <w:rFonts w:cstheme="minorHAnsi"/>
          <w:snapToGrid w:val="0"/>
        </w:rPr>
        <w:t xml:space="preserve"> of ischa</w:t>
      </w:r>
      <w:r w:rsidR="00DA2E73" w:rsidRPr="004737C5">
        <w:rPr>
          <w:rFonts w:cstheme="minorHAnsi"/>
          <w:snapToGrid w:val="0"/>
        </w:rPr>
        <w:t>emic heart disease and up to 41 percent</w:t>
      </w:r>
      <w:r w:rsidRPr="004737C5">
        <w:rPr>
          <w:rFonts w:cstheme="minorHAnsi"/>
          <w:snapToGrid w:val="0"/>
        </w:rPr>
        <w:t xml:space="preserve"> of certain cancers are attributable to overweight and obesity.</w:t>
      </w:r>
      <w:r w:rsidRPr="004737C5">
        <w:rPr>
          <w:rStyle w:val="FootnoteReference"/>
          <w:rFonts w:cstheme="minorHAnsi"/>
          <w:snapToGrid w:val="0"/>
        </w:rPr>
        <w:footnoteReference w:id="360"/>
      </w:r>
      <w:r w:rsidRPr="004737C5">
        <w:rPr>
          <w:rFonts w:cstheme="minorHAnsi"/>
          <w:snapToGrid w:val="0"/>
        </w:rPr>
        <w:t xml:space="preserve"> There are about 42 million children under 5 </w:t>
      </w:r>
      <w:r w:rsidR="003A25E1" w:rsidRPr="004737C5">
        <w:rPr>
          <w:rFonts w:cstheme="minorHAnsi"/>
          <w:snapToGrid w:val="0"/>
        </w:rPr>
        <w:t xml:space="preserve">years of age </w:t>
      </w:r>
      <w:r w:rsidRPr="004737C5">
        <w:rPr>
          <w:rFonts w:cstheme="minorHAnsi"/>
          <w:snapToGrid w:val="0"/>
        </w:rPr>
        <w:t xml:space="preserve">who are overweight or obese, of whom 35 million are in developing countries. The WHO has issued recommendations on </w:t>
      </w:r>
      <w:r w:rsidR="003A25E1" w:rsidRPr="004737C5">
        <w:rPr>
          <w:rFonts w:cstheme="minorHAnsi"/>
          <w:snapToGrid w:val="0"/>
        </w:rPr>
        <w:t xml:space="preserve">the </w:t>
      </w:r>
      <w:r w:rsidRPr="004737C5">
        <w:rPr>
          <w:rFonts w:cstheme="minorHAnsi"/>
          <w:snapToGrid w:val="0"/>
        </w:rPr>
        <w:t>marketing of food and beverages to children, including self-regulatory measures which are not enforceable in judicial or regulatory terms.</w:t>
      </w:r>
      <w:r w:rsidRPr="004737C5">
        <w:rPr>
          <w:rStyle w:val="FootnoteReference"/>
          <w:rFonts w:cstheme="minorHAnsi"/>
          <w:snapToGrid w:val="0"/>
        </w:rPr>
        <w:footnoteReference w:id="361"/>
      </w:r>
      <w:r w:rsidR="00DA2E73" w:rsidRPr="004737C5">
        <w:rPr>
          <w:rFonts w:cstheme="minorHAnsi"/>
          <w:snapToGrid w:val="0"/>
        </w:rPr>
        <w:t xml:space="preserve"> In 2014, c</w:t>
      </w:r>
      <w:r w:rsidRPr="004737C5">
        <w:rPr>
          <w:rFonts w:cstheme="minorHAnsi"/>
          <w:snapToGrid w:val="0"/>
        </w:rPr>
        <w:t>onsumer organizations and</w:t>
      </w:r>
      <w:r w:rsidR="00DA2E73" w:rsidRPr="004737C5">
        <w:rPr>
          <w:rFonts w:cstheme="minorHAnsi"/>
          <w:snapToGrid w:val="0"/>
        </w:rPr>
        <w:t xml:space="preserve"> campaigners developed a draft c</w:t>
      </w:r>
      <w:r w:rsidRPr="004737C5">
        <w:rPr>
          <w:rFonts w:cstheme="minorHAnsi"/>
          <w:snapToGrid w:val="0"/>
        </w:rPr>
        <w:t>onvention explicitly modelled on the WHO Framework Convention on Tobacco Control, pointing out that unhealthy diets now rank above tobacco as the world’s leading drivers of preventable non-communicable diseases (NCDs).</w:t>
      </w:r>
      <w:r w:rsidRPr="004737C5">
        <w:rPr>
          <w:rStyle w:val="FootnoteReference"/>
          <w:rFonts w:cstheme="minorHAnsi"/>
          <w:snapToGrid w:val="0"/>
        </w:rPr>
        <w:footnoteReference w:id="362"/>
      </w:r>
      <w:r w:rsidRPr="004737C5">
        <w:rPr>
          <w:rFonts w:cstheme="minorHAnsi"/>
          <w:snapToGrid w:val="0"/>
        </w:rPr>
        <w:t xml:space="preserve"> The measures put forward are wide</w:t>
      </w:r>
      <w:r w:rsidR="00DA2E73" w:rsidRPr="004737C5">
        <w:rPr>
          <w:rFonts w:cstheme="minorHAnsi"/>
          <w:snapToGrid w:val="0"/>
        </w:rPr>
        <w:t>-</w:t>
      </w:r>
      <w:r w:rsidRPr="004737C5">
        <w:rPr>
          <w:rFonts w:cstheme="minorHAnsi"/>
          <w:snapToGrid w:val="0"/>
        </w:rPr>
        <w:t xml:space="preserve">ranging, including education, information, advertising controls, nutritional standards in public institutions such as schools, and other economic measures including taxes and subsidies. </w:t>
      </w:r>
      <w:r w:rsidRPr="004737C5">
        <w:rPr>
          <w:rFonts w:cstheme="minorHAnsi"/>
        </w:rPr>
        <w:t>In the meantime, the advertising spend for food and b</w:t>
      </w:r>
      <w:r w:rsidR="00D21110" w:rsidRPr="004737C5">
        <w:rPr>
          <w:rFonts w:cstheme="minorHAnsi"/>
        </w:rPr>
        <w:t>everages in just one country ca</w:t>
      </w:r>
      <w:r w:rsidRPr="004737C5">
        <w:rPr>
          <w:rFonts w:cstheme="minorHAnsi"/>
        </w:rPr>
        <w:t xml:space="preserve">me to </w:t>
      </w:r>
      <w:r w:rsidR="00DA2E73" w:rsidRPr="004737C5">
        <w:rPr>
          <w:rFonts w:cstheme="minorHAnsi"/>
        </w:rPr>
        <w:t>US</w:t>
      </w:r>
      <w:r w:rsidRPr="004737C5">
        <w:rPr>
          <w:rFonts w:cstheme="minorHAnsi"/>
        </w:rPr>
        <w:t>$136.53 million i</w:t>
      </w:r>
      <w:r w:rsidR="00DA2E73" w:rsidRPr="004737C5">
        <w:rPr>
          <w:rFonts w:cstheme="minorHAnsi"/>
        </w:rPr>
        <w:t>n 2013, equivalent to around 40 percent</w:t>
      </w:r>
      <w:r w:rsidRPr="004737C5">
        <w:rPr>
          <w:rFonts w:cstheme="minorHAnsi"/>
        </w:rPr>
        <w:t xml:space="preserve"> of</w:t>
      </w:r>
      <w:r w:rsidR="00DA2E73" w:rsidRPr="004737C5">
        <w:rPr>
          <w:rFonts w:cstheme="minorHAnsi"/>
        </w:rPr>
        <w:t xml:space="preserve"> the entire World Health Organiz</w:t>
      </w:r>
      <w:r w:rsidRPr="004737C5">
        <w:rPr>
          <w:rFonts w:cstheme="minorHAnsi"/>
        </w:rPr>
        <w:t>ation’s non-communicable diseas</w:t>
      </w:r>
      <w:r w:rsidR="00DA2E73" w:rsidRPr="004737C5">
        <w:rPr>
          <w:rFonts w:cstheme="minorHAnsi"/>
        </w:rPr>
        <w:t>es programme budget for 2016‒17</w:t>
      </w:r>
      <w:r w:rsidRPr="004737C5">
        <w:rPr>
          <w:rFonts w:cstheme="minorHAnsi"/>
        </w:rPr>
        <w:t xml:space="preserve"> (</w:t>
      </w:r>
      <w:r w:rsidR="00DA2E73" w:rsidRPr="004737C5">
        <w:rPr>
          <w:rFonts w:cstheme="minorHAnsi"/>
        </w:rPr>
        <w:t>US</w:t>
      </w:r>
      <w:r w:rsidRPr="004737C5">
        <w:rPr>
          <w:rFonts w:cstheme="minorHAnsi"/>
        </w:rPr>
        <w:t>$340</w:t>
      </w:r>
      <w:r w:rsidR="00DA2E73" w:rsidRPr="004737C5">
        <w:rPr>
          <w:rFonts w:cstheme="minorHAnsi"/>
        </w:rPr>
        <w:t xml:space="preserve"> </w:t>
      </w:r>
      <w:r w:rsidRPr="004737C5">
        <w:rPr>
          <w:rFonts w:cstheme="minorHAnsi"/>
        </w:rPr>
        <w:t>million).</w:t>
      </w:r>
      <w:r w:rsidRPr="004737C5">
        <w:rPr>
          <w:rStyle w:val="FootnoteReference"/>
          <w:rFonts w:cstheme="minorHAnsi"/>
        </w:rPr>
        <w:footnoteReference w:id="363"/>
      </w:r>
    </w:p>
    <w:p w14:paraId="33771397" w14:textId="77777777" w:rsidR="00BE71E3" w:rsidRPr="004737C5" w:rsidRDefault="00BE71E3" w:rsidP="006D3BE8">
      <w:pPr>
        <w:rPr>
          <w:rFonts w:cstheme="minorHAnsi"/>
          <w:b/>
          <w:snapToGrid w:val="0"/>
          <w:color w:val="FF0000"/>
        </w:rPr>
      </w:pPr>
      <w:r w:rsidRPr="004737C5">
        <w:rPr>
          <w:rFonts w:cstheme="minorHAnsi"/>
          <w:snapToGrid w:val="0"/>
        </w:rPr>
        <w:t>Although convention status is stronger than recommendat</w:t>
      </w:r>
      <w:r w:rsidR="00DA2E73" w:rsidRPr="004737C5">
        <w:rPr>
          <w:rFonts w:cstheme="minorHAnsi"/>
          <w:snapToGrid w:val="0"/>
        </w:rPr>
        <w:t>ions, the wording of the draft c</w:t>
      </w:r>
      <w:r w:rsidRPr="004737C5">
        <w:rPr>
          <w:rFonts w:cstheme="minorHAnsi"/>
          <w:snapToGrid w:val="0"/>
        </w:rPr>
        <w:t xml:space="preserve">onvention suggests, rather than requires, measures such as taxation. The Mexican tax is a case study </w:t>
      </w:r>
      <w:r w:rsidR="00DA2E73" w:rsidRPr="004737C5">
        <w:rPr>
          <w:rFonts w:cstheme="minorHAnsi"/>
          <w:snapToGrid w:val="0"/>
        </w:rPr>
        <w:t>of</w:t>
      </w:r>
      <w:r w:rsidRPr="004737C5">
        <w:rPr>
          <w:rFonts w:cstheme="minorHAnsi"/>
          <w:snapToGrid w:val="0"/>
        </w:rPr>
        <w:t xml:space="preserve"> lobbying by civil society, using carefully marshalled evidence, resulting in an excise tax which will </w:t>
      </w:r>
      <w:r w:rsidRPr="004737C5">
        <w:rPr>
          <w:rFonts w:cstheme="minorHAnsi"/>
          <w:snapToGrid w:val="0"/>
        </w:rPr>
        <w:lastRenderedPageBreak/>
        <w:t>raise the price of SSBs (sugar s</w:t>
      </w:r>
      <w:r w:rsidR="00DA2E73" w:rsidRPr="004737C5">
        <w:rPr>
          <w:rFonts w:cstheme="minorHAnsi"/>
          <w:snapToGrid w:val="0"/>
        </w:rPr>
        <w:t>weetened beverages) by about 10 percent</w:t>
      </w:r>
      <w:r w:rsidRPr="004737C5">
        <w:rPr>
          <w:rFonts w:cstheme="minorHAnsi"/>
          <w:snapToGrid w:val="0"/>
        </w:rPr>
        <w:t>.</w:t>
      </w:r>
      <w:r w:rsidRPr="004737C5">
        <w:rPr>
          <w:rStyle w:val="FootnoteReference"/>
          <w:rFonts w:cstheme="minorHAnsi"/>
          <w:snapToGrid w:val="0"/>
        </w:rPr>
        <w:footnoteReference w:id="364"/>
      </w:r>
      <w:r w:rsidRPr="004737C5">
        <w:rPr>
          <w:rFonts w:cstheme="minorHAnsi"/>
          <w:snapToGrid w:val="0"/>
        </w:rPr>
        <w:t xml:space="preserve"> The trajectory of the debate around obesity is now one that clearly extends beyond the more developed countries. </w:t>
      </w:r>
    </w:p>
    <w:p w14:paraId="7A374944" w14:textId="77777777" w:rsidR="00BE71E3" w:rsidRPr="004737C5" w:rsidRDefault="00BE71E3" w:rsidP="00793DDB">
      <w:pPr>
        <w:pStyle w:val="Heading3"/>
        <w:spacing w:after="160" w:line="240" w:lineRule="auto"/>
        <w:rPr>
          <w:rFonts w:cstheme="minorHAnsi"/>
          <w:color w:val="auto"/>
        </w:rPr>
      </w:pPr>
      <w:bookmarkStart w:id="442" w:name="_Toc454293920"/>
      <w:bookmarkStart w:id="443" w:name="_Toc489950358"/>
      <w:bookmarkStart w:id="444" w:name="_Toc492650145"/>
      <w:r w:rsidRPr="004737C5">
        <w:rPr>
          <w:rFonts w:cstheme="minorHAnsi"/>
          <w:color w:val="auto"/>
        </w:rPr>
        <w:t>3</w:t>
      </w:r>
      <w:r w:rsidR="00DA2E73" w:rsidRPr="004737C5">
        <w:rPr>
          <w:rFonts w:cstheme="minorHAnsi"/>
          <w:color w:val="auto"/>
        </w:rPr>
        <w:t>. Realiz</w:t>
      </w:r>
      <w:r w:rsidRPr="004737C5">
        <w:rPr>
          <w:rFonts w:cstheme="minorHAnsi"/>
          <w:color w:val="auto"/>
        </w:rPr>
        <w:t>ing food security</w:t>
      </w:r>
      <w:bookmarkEnd w:id="442"/>
      <w:bookmarkEnd w:id="443"/>
      <w:bookmarkEnd w:id="444"/>
      <w:r w:rsidRPr="004737C5">
        <w:rPr>
          <w:rFonts w:cstheme="minorHAnsi"/>
          <w:color w:val="auto"/>
        </w:rPr>
        <w:t xml:space="preserve"> </w:t>
      </w:r>
    </w:p>
    <w:p w14:paraId="3602A57F" w14:textId="77777777" w:rsidR="00BE71E3" w:rsidRPr="004737C5" w:rsidRDefault="00BE71E3" w:rsidP="006D3BE8">
      <w:pPr>
        <w:rPr>
          <w:rFonts w:cstheme="minorHAnsi"/>
        </w:rPr>
      </w:pPr>
      <w:r w:rsidRPr="004737C5">
        <w:rPr>
          <w:rFonts w:cstheme="minorHAnsi"/>
        </w:rPr>
        <w:t>Food security is often associated with food self-sufficiency and the need to produce more food. However in reality it has much stronger links with issues of poverty, employment and income generation. Consumers facing food insecurity are not confined to those who have deficient diets at a given point in time. They include those whose access to</w:t>
      </w:r>
      <w:r w:rsidR="00DA2E73" w:rsidRPr="004737C5">
        <w:rPr>
          <w:rFonts w:cstheme="minorHAnsi"/>
        </w:rPr>
        <w:t xml:space="preserve"> food is insecure or vulnerable and</w:t>
      </w:r>
      <w:r w:rsidRPr="004737C5">
        <w:rPr>
          <w:rFonts w:cstheme="minorHAnsi"/>
        </w:rPr>
        <w:t xml:space="preserve"> those who are</w:t>
      </w:r>
      <w:r w:rsidR="00DA2E73" w:rsidRPr="004737C5">
        <w:rPr>
          <w:rFonts w:cstheme="minorHAnsi"/>
        </w:rPr>
        <w:t xml:space="preserve"> in danger of inadequate diets.</w:t>
      </w:r>
    </w:p>
    <w:p w14:paraId="1E93D347" w14:textId="306E3F2F" w:rsidR="00BE71E3" w:rsidRPr="004737C5" w:rsidRDefault="00BE71E3" w:rsidP="006D3BE8">
      <w:pPr>
        <w:rPr>
          <w:rFonts w:cstheme="minorHAnsi"/>
          <w:snapToGrid w:val="0"/>
        </w:rPr>
      </w:pPr>
      <w:r w:rsidRPr="004737C5">
        <w:rPr>
          <w:rFonts w:cstheme="minorHAnsi"/>
          <w:snapToGrid w:val="0"/>
        </w:rPr>
        <w:t xml:space="preserve">Heavy reliance on food imports renders a country vulnerable to price and supply fluctuations, </w:t>
      </w:r>
      <w:r w:rsidR="00DA2E73" w:rsidRPr="004737C5">
        <w:rPr>
          <w:rFonts w:cstheme="minorHAnsi"/>
          <w:snapToGrid w:val="0"/>
        </w:rPr>
        <w:t>political upheavals</w:t>
      </w:r>
      <w:r w:rsidRPr="004737C5">
        <w:rPr>
          <w:rFonts w:cstheme="minorHAnsi"/>
          <w:snapToGrid w:val="0"/>
        </w:rPr>
        <w:t xml:space="preserve"> and economic and financial manipulation by powerful interests. With the diminution of import restrictions and lower tariffs, many imported and highly subsidized food crops are cheaper compared to locally grown varieties. Such an influx of cheaper imports may increase consumer choice, but may also undermine the livelihood of local producers who will not be in a position to compete. The issue of export subsidies by rich countries, overwhelmingly the United States</w:t>
      </w:r>
      <w:r w:rsidR="00DA2E73" w:rsidRPr="004737C5">
        <w:rPr>
          <w:rFonts w:cstheme="minorHAnsi"/>
          <w:snapToGrid w:val="0"/>
        </w:rPr>
        <w:t xml:space="preserve"> of America</w:t>
      </w:r>
      <w:r w:rsidRPr="004737C5">
        <w:rPr>
          <w:rFonts w:cstheme="minorHAnsi"/>
          <w:snapToGrid w:val="0"/>
        </w:rPr>
        <w:t xml:space="preserve"> and </w:t>
      </w:r>
      <w:r w:rsidR="00793DDB" w:rsidRPr="004737C5">
        <w:rPr>
          <w:rFonts w:cstheme="minorHAnsi"/>
          <w:snapToGrid w:val="0"/>
        </w:rPr>
        <w:t xml:space="preserve">countries of the </w:t>
      </w:r>
      <w:r w:rsidRPr="004737C5">
        <w:rPr>
          <w:rFonts w:cstheme="minorHAnsi"/>
          <w:snapToGrid w:val="0"/>
        </w:rPr>
        <w:t xml:space="preserve">European Union, has been a sticking point in trade negotiations which, among other issues, stalled the WTO Doha Round negotiations. Export subsidies are often set in function of the gap between internal prices in the exporting countries and global prices so that when global prices are low the developed country exports remain competitive because of the subsidy. In November 2015, an agreement was reached in the WTO to phase out export subsidies with immediate effect. </w:t>
      </w:r>
    </w:p>
    <w:p w14:paraId="281D11FA" w14:textId="77777777" w:rsidR="00BE71E3" w:rsidRPr="004737C5" w:rsidRDefault="00DA2E73" w:rsidP="00793DDB">
      <w:pPr>
        <w:pStyle w:val="Heading2"/>
        <w:spacing w:after="160"/>
        <w:rPr>
          <w:rFonts w:cstheme="minorHAnsi"/>
          <w:color w:val="auto"/>
          <w:sz w:val="24"/>
          <w:szCs w:val="24"/>
        </w:rPr>
      </w:pPr>
      <w:bookmarkStart w:id="445" w:name="_Toc183930694"/>
      <w:bookmarkStart w:id="446" w:name="_Toc454293921"/>
      <w:bookmarkStart w:id="447" w:name="_Toc489950359"/>
      <w:bookmarkStart w:id="448" w:name="_Toc492650146"/>
      <w:r w:rsidRPr="004737C5">
        <w:rPr>
          <w:rFonts w:cstheme="minorHAnsi"/>
          <w:color w:val="auto"/>
          <w:sz w:val="24"/>
          <w:szCs w:val="24"/>
        </w:rPr>
        <w:t>D.</w:t>
      </w:r>
      <w:r w:rsidR="00BE71E3" w:rsidRPr="004737C5">
        <w:rPr>
          <w:rFonts w:cstheme="minorHAnsi"/>
          <w:color w:val="auto"/>
          <w:sz w:val="24"/>
          <w:szCs w:val="24"/>
        </w:rPr>
        <w:t xml:space="preserve"> Consumer concerns </w:t>
      </w:r>
      <w:r w:rsidRPr="004737C5">
        <w:rPr>
          <w:rFonts w:cstheme="minorHAnsi"/>
          <w:color w:val="auto"/>
          <w:sz w:val="24"/>
          <w:szCs w:val="24"/>
        </w:rPr>
        <w:t>about</w:t>
      </w:r>
      <w:r w:rsidR="00BE71E3" w:rsidRPr="004737C5">
        <w:rPr>
          <w:rFonts w:cstheme="minorHAnsi"/>
          <w:color w:val="auto"/>
          <w:sz w:val="24"/>
          <w:szCs w:val="24"/>
        </w:rPr>
        <w:t xml:space="preserve"> food safety</w:t>
      </w:r>
      <w:bookmarkEnd w:id="445"/>
      <w:bookmarkEnd w:id="446"/>
      <w:bookmarkEnd w:id="447"/>
      <w:bookmarkEnd w:id="448"/>
    </w:p>
    <w:p w14:paraId="7E476CB9" w14:textId="77777777" w:rsidR="00BE71E3" w:rsidRPr="004737C5" w:rsidRDefault="00BE71E3" w:rsidP="006D3BE8">
      <w:pPr>
        <w:rPr>
          <w:rFonts w:cstheme="minorHAnsi"/>
        </w:rPr>
      </w:pPr>
      <w:r w:rsidRPr="004737C5">
        <w:rPr>
          <w:rFonts w:cstheme="minorHAnsi"/>
        </w:rPr>
        <w:t>Food safety is a critical public health issue and consumers must be protected against foods and food production processes that are hazardous to health or life. The growing movement of people, live animals and food products across national boundaries, as well as t</w:t>
      </w:r>
      <w:r w:rsidR="00756572" w:rsidRPr="004737C5">
        <w:rPr>
          <w:rFonts w:cstheme="minorHAnsi"/>
        </w:rPr>
        <w:t>he rapid pace of urbaniz</w:t>
      </w:r>
      <w:r w:rsidRPr="004737C5">
        <w:rPr>
          <w:rFonts w:cstheme="minorHAnsi"/>
        </w:rPr>
        <w:t xml:space="preserve">ation in developing countries, changes in food handling, dietary change and the emergence of new pathogens contribute to food safety risks. The relative importance of these risks varies according to climate, food practices, level of income and social infrastructure. Many of the risks are greater in developing countries where poor sanitation and unsafe water and associated food contamination are major causes of diarrhoeal diseases contributing to approximately 1.7 million child deaths annually. Diarrhoea is the second cause of death among children under </w:t>
      </w:r>
      <w:r w:rsidR="00756572" w:rsidRPr="004737C5">
        <w:rPr>
          <w:rFonts w:cstheme="minorHAnsi"/>
        </w:rPr>
        <w:t>5</w:t>
      </w:r>
      <w:r w:rsidRPr="004737C5">
        <w:rPr>
          <w:rFonts w:cstheme="minorHAnsi"/>
        </w:rPr>
        <w:t>.</w:t>
      </w:r>
      <w:r w:rsidRPr="004737C5">
        <w:rPr>
          <w:rStyle w:val="FootnoteReference"/>
          <w:rFonts w:cstheme="minorHAnsi"/>
        </w:rPr>
        <w:footnoteReference w:id="365"/>
      </w:r>
    </w:p>
    <w:p w14:paraId="1522EB4C" w14:textId="77777777" w:rsidR="00BE71E3" w:rsidRPr="004737C5" w:rsidRDefault="00BE71E3" w:rsidP="006D3BE8">
      <w:pPr>
        <w:rPr>
          <w:rFonts w:cstheme="minorHAnsi"/>
        </w:rPr>
      </w:pPr>
      <w:r w:rsidRPr="004737C5">
        <w:rPr>
          <w:rFonts w:cstheme="minorHAnsi"/>
        </w:rPr>
        <w:t xml:space="preserve">Food safety risks related to modern agricultural methods are also on the increase. Pesticides pose health risks through direct contact in farming communities from exposure through farm work and spray drifts and through toxic residues in food and drinking water. Hormones, veterinary drugs and antibiotics are used in animals to treat illnesses or promote growth but can leave residues in foods which end up in consumers’ diets. Unhygienic practices in food production, processing, transport and storage can also result in contaminated foods. </w:t>
      </w:r>
    </w:p>
    <w:p w14:paraId="77A98046" w14:textId="77777777" w:rsidR="00BE71E3" w:rsidRPr="004737C5" w:rsidRDefault="00BE71E3" w:rsidP="006D3BE8">
      <w:pPr>
        <w:rPr>
          <w:rFonts w:cstheme="minorHAnsi"/>
        </w:rPr>
      </w:pPr>
      <w:r w:rsidRPr="004737C5">
        <w:rPr>
          <w:rFonts w:cstheme="minorHAnsi"/>
        </w:rPr>
        <w:t>Two important safety issues affecting food systems are:</w:t>
      </w:r>
    </w:p>
    <w:p w14:paraId="3CAAEA14" w14:textId="77777777" w:rsidR="00BE71E3" w:rsidRPr="004737C5" w:rsidRDefault="00BE71E3" w:rsidP="002473E9">
      <w:pPr>
        <w:pStyle w:val="ListParagraph"/>
        <w:numPr>
          <w:ilvl w:val="0"/>
          <w:numId w:val="78"/>
        </w:numPr>
        <w:ind w:left="709" w:hanging="425"/>
        <w:rPr>
          <w:rFonts w:cstheme="minorHAnsi"/>
        </w:rPr>
      </w:pPr>
      <w:r w:rsidRPr="004737C5">
        <w:rPr>
          <w:rFonts w:cstheme="minorHAnsi"/>
        </w:rPr>
        <w:t>Microbiological hazards and foodborne diseases have been reported in many countries over the past f</w:t>
      </w:r>
      <w:r w:rsidR="00756572" w:rsidRPr="004737C5">
        <w:rPr>
          <w:rFonts w:cstheme="minorHAnsi"/>
        </w:rPr>
        <w:t>ew decades as a result of micro</w:t>
      </w:r>
      <w:r w:rsidRPr="004737C5">
        <w:rPr>
          <w:rFonts w:cstheme="minorHAnsi"/>
        </w:rPr>
        <w:t xml:space="preserve">organisms transmitted mainly by food, such as </w:t>
      </w:r>
      <w:r w:rsidR="00756572" w:rsidRPr="004737C5">
        <w:rPr>
          <w:rFonts w:cstheme="minorHAnsi"/>
        </w:rPr>
        <w:t>salmonella and campylobacter.</w:t>
      </w:r>
    </w:p>
    <w:p w14:paraId="03E2C36E" w14:textId="77777777" w:rsidR="00BE71E3" w:rsidRPr="004737C5" w:rsidRDefault="00BE71E3" w:rsidP="002473E9">
      <w:pPr>
        <w:pStyle w:val="ListParagraph"/>
        <w:numPr>
          <w:ilvl w:val="0"/>
          <w:numId w:val="78"/>
        </w:numPr>
        <w:ind w:left="709" w:hanging="425"/>
        <w:rPr>
          <w:rFonts w:cstheme="minorHAnsi"/>
        </w:rPr>
      </w:pPr>
      <w:r w:rsidRPr="004737C5">
        <w:rPr>
          <w:rFonts w:cstheme="minorHAnsi"/>
        </w:rPr>
        <w:t xml:space="preserve">Chemical hazards remain a potential source of food-borne illness. Chemical contaminants in food include natural toxins, such as mycotoxins and marine toxins, environmental </w:t>
      </w:r>
      <w:r w:rsidRPr="004737C5">
        <w:rPr>
          <w:rFonts w:cstheme="minorHAnsi"/>
        </w:rPr>
        <w:lastRenderedPageBreak/>
        <w:t xml:space="preserve">contaminants, such as mercury and lead, and naturally occurring substances in plants. Food additives, micronutrients, pesticides and veterinary drugs are deliberately used in the food chain; however, assurance must first be obtained that all such uses are safe. </w:t>
      </w:r>
    </w:p>
    <w:p w14:paraId="2D701559" w14:textId="77777777" w:rsidR="00BE71E3" w:rsidRPr="004737C5" w:rsidRDefault="00BE71E3" w:rsidP="006D3BE8">
      <w:pPr>
        <w:rPr>
          <w:rFonts w:cstheme="minorHAnsi"/>
        </w:rPr>
      </w:pPr>
      <w:r w:rsidRPr="004737C5">
        <w:rPr>
          <w:rFonts w:cstheme="minorHAnsi"/>
        </w:rPr>
        <w:t>Building capacity in food safety is essential in most countries, especially in developing ones. Both positive and negative experiences from countries with well-developed food safety systems should be used as a means to</w:t>
      </w:r>
      <w:r w:rsidR="00756572" w:rsidRPr="004737C5">
        <w:rPr>
          <w:rFonts w:cstheme="minorHAnsi"/>
        </w:rPr>
        <w:t xml:space="preserve"> improve systems globally. Food</w:t>
      </w:r>
      <w:r w:rsidRPr="004737C5">
        <w:rPr>
          <w:rFonts w:cstheme="minorHAnsi"/>
        </w:rPr>
        <w:t xml:space="preserve">borne disease has a significant impact not only on health but also on development. </w:t>
      </w:r>
    </w:p>
    <w:p w14:paraId="3FEFCEA0" w14:textId="77777777" w:rsidR="00BE71E3" w:rsidRPr="004737C5" w:rsidRDefault="00756572" w:rsidP="00793DDB">
      <w:pPr>
        <w:pStyle w:val="Heading2"/>
        <w:spacing w:after="160"/>
        <w:rPr>
          <w:rFonts w:cstheme="minorHAnsi"/>
          <w:color w:val="auto"/>
          <w:sz w:val="24"/>
          <w:szCs w:val="24"/>
        </w:rPr>
      </w:pPr>
      <w:bookmarkStart w:id="449" w:name="_Toc454293922"/>
      <w:bookmarkStart w:id="450" w:name="_Toc489950360"/>
      <w:bookmarkStart w:id="451" w:name="_Toc492650147"/>
      <w:r w:rsidRPr="004737C5">
        <w:rPr>
          <w:rFonts w:cstheme="minorHAnsi"/>
          <w:color w:val="auto"/>
          <w:sz w:val="24"/>
          <w:szCs w:val="24"/>
        </w:rPr>
        <w:t>E.</w:t>
      </w:r>
      <w:r w:rsidR="00BE71E3" w:rsidRPr="004737C5">
        <w:rPr>
          <w:rFonts w:cstheme="minorHAnsi"/>
          <w:color w:val="auto"/>
          <w:sz w:val="24"/>
          <w:szCs w:val="24"/>
        </w:rPr>
        <w:t xml:space="preserve"> Food standards mechanisms</w:t>
      </w:r>
      <w:bookmarkEnd w:id="449"/>
      <w:bookmarkEnd w:id="450"/>
      <w:bookmarkEnd w:id="451"/>
    </w:p>
    <w:p w14:paraId="6DD69B0D" w14:textId="19351E03" w:rsidR="00BE71E3" w:rsidRPr="004737C5" w:rsidRDefault="00BE71E3" w:rsidP="006D3BE8">
      <w:pPr>
        <w:rPr>
          <w:rFonts w:cstheme="minorHAnsi"/>
        </w:rPr>
      </w:pPr>
      <w:r w:rsidRPr="004737C5">
        <w:rPr>
          <w:rFonts w:cstheme="minorHAnsi"/>
        </w:rPr>
        <w:t xml:space="preserve">The </w:t>
      </w:r>
      <w:r w:rsidRPr="004737C5">
        <w:rPr>
          <w:rFonts w:cstheme="minorHAnsi"/>
          <w:i/>
          <w:iCs/>
        </w:rPr>
        <w:t>Codex Alimentarius</w:t>
      </w:r>
      <w:r w:rsidRPr="004737C5">
        <w:rPr>
          <w:rFonts w:cstheme="minorHAnsi"/>
        </w:rPr>
        <w:t xml:space="preserve"> was established by FAO and WHO in 1962 in order to harmonize food standards between countries. Its purpose is to protect the health of consumers (through ensuring the provision of sound, wholesome food) and ensure fair practices in the food trade. Codex’s membership includes the great majority of countries</w:t>
      </w:r>
      <w:r w:rsidR="00793DDB" w:rsidRPr="004737C5">
        <w:rPr>
          <w:rFonts w:cstheme="minorHAnsi"/>
        </w:rPr>
        <w:t>,</w:t>
      </w:r>
      <w:r w:rsidRPr="004737C5">
        <w:rPr>
          <w:rFonts w:cstheme="minorHAnsi"/>
        </w:rPr>
        <w:t xml:space="preserve"> accounting for 98</w:t>
      </w:r>
      <w:r w:rsidR="00756572" w:rsidRPr="004737C5">
        <w:rPr>
          <w:rFonts w:cstheme="minorHAnsi"/>
        </w:rPr>
        <w:t xml:space="preserve"> percent </w:t>
      </w:r>
      <w:r w:rsidRPr="004737C5">
        <w:rPr>
          <w:rFonts w:cstheme="minorHAnsi"/>
        </w:rPr>
        <w:t>of the world</w:t>
      </w:r>
      <w:r w:rsidR="00756572" w:rsidRPr="004737C5">
        <w:rPr>
          <w:rFonts w:cstheme="minorHAnsi"/>
        </w:rPr>
        <w:t>’s</w:t>
      </w:r>
      <w:r w:rsidRPr="004737C5">
        <w:rPr>
          <w:rFonts w:cstheme="minorHAnsi"/>
        </w:rPr>
        <w:t xml:space="preserve"> population. There are </w:t>
      </w:r>
      <w:r w:rsidR="00756572" w:rsidRPr="004737C5">
        <w:rPr>
          <w:rFonts w:cstheme="minorHAnsi"/>
        </w:rPr>
        <w:t>committees within Codex</w:t>
      </w:r>
      <w:r w:rsidRPr="004737C5">
        <w:rPr>
          <w:rFonts w:cstheme="minorHAnsi"/>
        </w:rPr>
        <w:t xml:space="preserve"> on</w:t>
      </w:r>
      <w:r w:rsidR="00756572" w:rsidRPr="004737C5">
        <w:rPr>
          <w:rFonts w:cstheme="minorHAnsi"/>
        </w:rPr>
        <w:t>:</w:t>
      </w:r>
      <w:r w:rsidRPr="004737C5">
        <w:rPr>
          <w:rFonts w:cstheme="minorHAnsi"/>
        </w:rPr>
        <w:t xml:space="preserve"> meat and poultry hygiene; food additives and contaminants; pesticide residues; residues of veterinary drugs in foods; food hygiene; </w:t>
      </w:r>
      <w:r w:rsidR="00756572" w:rsidRPr="004737C5">
        <w:rPr>
          <w:rFonts w:cstheme="minorHAnsi"/>
        </w:rPr>
        <w:t>animal feeding; biotechnology</w:t>
      </w:r>
      <w:r w:rsidRPr="004737C5">
        <w:rPr>
          <w:rFonts w:cstheme="minorHAnsi"/>
        </w:rPr>
        <w:t xml:space="preserve"> and on general principles. </w:t>
      </w:r>
    </w:p>
    <w:p w14:paraId="5D073423" w14:textId="6FEBA34E" w:rsidR="00BE71E3" w:rsidRPr="004737C5" w:rsidRDefault="00BE71E3" w:rsidP="006D3BE8">
      <w:pPr>
        <w:rPr>
          <w:rFonts w:cstheme="minorHAnsi"/>
        </w:rPr>
      </w:pPr>
      <w:r w:rsidRPr="004737C5">
        <w:rPr>
          <w:rFonts w:cstheme="minorHAnsi"/>
          <w:color w:val="000000"/>
        </w:rPr>
        <w:t xml:space="preserve">The status of the Sanitary and Phytosanitary (SPS) Agreement was reinforced by the WTO treaty in 1995, having previously been a code. One of the key debates around SPS and trade measures to protect food safety has been </w:t>
      </w:r>
      <w:r w:rsidR="00756572" w:rsidRPr="004737C5">
        <w:rPr>
          <w:rFonts w:cstheme="minorHAnsi"/>
        </w:rPr>
        <w:t>the “</w:t>
      </w:r>
      <w:r w:rsidRPr="004737C5">
        <w:rPr>
          <w:rFonts w:cstheme="minorHAnsi"/>
        </w:rPr>
        <w:t>precautionary principle</w:t>
      </w:r>
      <w:r w:rsidR="00756572" w:rsidRPr="004737C5">
        <w:rPr>
          <w:rFonts w:cstheme="minorHAnsi"/>
        </w:rPr>
        <w:t>”, also known as the “</w:t>
      </w:r>
      <w:r w:rsidRPr="004737C5">
        <w:rPr>
          <w:rFonts w:cstheme="minorHAnsi"/>
        </w:rPr>
        <w:t>precautionary approach</w:t>
      </w:r>
      <w:r w:rsidR="00756572" w:rsidRPr="004737C5">
        <w:rPr>
          <w:rFonts w:cstheme="minorHAnsi"/>
        </w:rPr>
        <w:t>”.</w:t>
      </w:r>
      <w:r w:rsidR="00756572" w:rsidRPr="004737C5">
        <w:rPr>
          <w:rFonts w:cstheme="minorHAnsi"/>
          <w:color w:val="000000"/>
        </w:rPr>
        <w:t xml:space="preserve"> It is recognized in a</w:t>
      </w:r>
      <w:r w:rsidRPr="004737C5">
        <w:rPr>
          <w:rFonts w:cstheme="minorHAnsi"/>
          <w:color w:val="000000"/>
        </w:rPr>
        <w:t xml:space="preserve">rticle 5.7 that the state of scientific knowledge may be insufficient to make a definitive judgment </w:t>
      </w:r>
      <w:r w:rsidR="00793DDB" w:rsidRPr="004737C5">
        <w:rPr>
          <w:rFonts w:cstheme="minorHAnsi"/>
          <w:color w:val="000000"/>
        </w:rPr>
        <w:t xml:space="preserve">on </w:t>
      </w:r>
      <w:r w:rsidRPr="004737C5">
        <w:rPr>
          <w:rFonts w:cstheme="minorHAnsi"/>
          <w:color w:val="000000"/>
        </w:rPr>
        <w:t xml:space="preserve">whether or not to block a product, but that a precautionary approach can be taken in the meantime. The article reads: </w:t>
      </w:r>
      <w:r w:rsidR="00756572" w:rsidRPr="004737C5">
        <w:rPr>
          <w:rFonts w:cstheme="minorHAnsi"/>
        </w:rPr>
        <w:t>“</w:t>
      </w:r>
      <w:r w:rsidRPr="004737C5">
        <w:rPr>
          <w:rFonts w:cstheme="minorHAnsi"/>
        </w:rPr>
        <w:t>in cases where relevant scientific evidence is insufficient, a Member may provisionally adopt sanitary or phytosanitary measures on the basis of available pertinent information but shall seek to obtain the additional information necessary for a more objective assessment of risk and review the sanitary or phytosanitary measure accordingly</w:t>
      </w:r>
      <w:r w:rsidR="00756572" w:rsidRPr="004737C5">
        <w:rPr>
          <w:rFonts w:cstheme="minorHAnsi"/>
        </w:rPr>
        <w:t>”.</w:t>
      </w:r>
      <w:r w:rsidRPr="004737C5">
        <w:rPr>
          <w:rFonts w:cstheme="minorHAnsi"/>
        </w:rPr>
        <w:t xml:space="preserve"> The wording indicates that the precautionary approach should be for a finite period and that efforts have to be made for the risk level to be clarified. </w:t>
      </w:r>
    </w:p>
    <w:p w14:paraId="78680AA3" w14:textId="77777777" w:rsidR="00BE71E3" w:rsidRPr="004737C5" w:rsidRDefault="00756572" w:rsidP="00793DDB">
      <w:pPr>
        <w:pStyle w:val="Heading2"/>
        <w:spacing w:after="160"/>
        <w:rPr>
          <w:rFonts w:cstheme="minorHAnsi"/>
          <w:color w:val="auto"/>
          <w:sz w:val="24"/>
          <w:szCs w:val="24"/>
        </w:rPr>
      </w:pPr>
      <w:bookmarkStart w:id="452" w:name="_Toc183930695"/>
      <w:bookmarkStart w:id="453" w:name="_Toc454293923"/>
      <w:bookmarkStart w:id="454" w:name="_Toc489950361"/>
      <w:bookmarkStart w:id="455" w:name="_Toc492650148"/>
      <w:r w:rsidRPr="004737C5">
        <w:rPr>
          <w:rFonts w:cstheme="minorHAnsi"/>
          <w:color w:val="auto"/>
          <w:sz w:val="24"/>
          <w:szCs w:val="24"/>
        </w:rPr>
        <w:t>F.</w:t>
      </w:r>
      <w:r w:rsidR="00BE71E3" w:rsidRPr="004737C5">
        <w:rPr>
          <w:rFonts w:cstheme="minorHAnsi"/>
          <w:color w:val="auto"/>
          <w:sz w:val="24"/>
          <w:szCs w:val="24"/>
        </w:rPr>
        <w:t xml:space="preserve"> Consumer concerns with genetic engineering</w:t>
      </w:r>
      <w:bookmarkEnd w:id="452"/>
      <w:bookmarkEnd w:id="453"/>
      <w:bookmarkEnd w:id="454"/>
      <w:bookmarkEnd w:id="455"/>
      <w:r w:rsidR="00BE71E3" w:rsidRPr="004737C5">
        <w:rPr>
          <w:rFonts w:cstheme="minorHAnsi"/>
          <w:color w:val="auto"/>
          <w:sz w:val="24"/>
          <w:szCs w:val="24"/>
        </w:rPr>
        <w:t xml:space="preserve"> </w:t>
      </w:r>
    </w:p>
    <w:p w14:paraId="4A6D0CF2" w14:textId="77777777" w:rsidR="00BE71E3" w:rsidRPr="004737C5" w:rsidRDefault="00756572" w:rsidP="006D3BE8">
      <w:pPr>
        <w:rPr>
          <w:rFonts w:cstheme="minorHAnsi"/>
          <w:snapToGrid w:val="0"/>
        </w:rPr>
      </w:pPr>
      <w:r w:rsidRPr="004737C5">
        <w:rPr>
          <w:rFonts w:cstheme="minorHAnsi"/>
        </w:rPr>
        <w:t>Genetic e</w:t>
      </w:r>
      <w:r w:rsidR="00BE71E3" w:rsidRPr="004737C5">
        <w:rPr>
          <w:rFonts w:cstheme="minorHAnsi"/>
        </w:rPr>
        <w:t xml:space="preserve">ngineering is a revolutionary technology. </w:t>
      </w:r>
      <w:r w:rsidR="00BE71E3" w:rsidRPr="004737C5">
        <w:rPr>
          <w:rFonts w:cstheme="minorHAnsi"/>
          <w:snapToGrid w:val="0"/>
        </w:rPr>
        <w:t xml:space="preserve">The fundamental difference between conventional breeding and genetic manipulation is that conventional breeding involves transferring genetic material between similar or closely related species whereas with genetic engineering, genetic material is transferred across species barriers (e.g. between various species of viruses, bacteria, plants and animals). </w:t>
      </w:r>
    </w:p>
    <w:p w14:paraId="549671F6" w14:textId="77777777" w:rsidR="00BE71E3" w:rsidRPr="004737C5" w:rsidRDefault="00BE71E3" w:rsidP="006D3BE8">
      <w:pPr>
        <w:rPr>
          <w:rFonts w:cstheme="minorHAnsi"/>
          <w:snapToGrid w:val="0"/>
        </w:rPr>
      </w:pPr>
      <w:r w:rsidRPr="004737C5">
        <w:rPr>
          <w:rFonts w:cstheme="minorHAnsi"/>
          <w:snapToGrid w:val="0"/>
        </w:rPr>
        <w:t xml:space="preserve">Fears have been expressed </w:t>
      </w:r>
      <w:r w:rsidR="00756572" w:rsidRPr="004737C5">
        <w:rPr>
          <w:rFonts w:cstheme="minorHAnsi"/>
          <w:snapToGrid w:val="0"/>
        </w:rPr>
        <w:t>that large-</w:t>
      </w:r>
      <w:r w:rsidRPr="004737C5">
        <w:rPr>
          <w:rFonts w:cstheme="minorHAnsi"/>
          <w:snapToGrid w:val="0"/>
        </w:rPr>
        <w:t>scale monoculture of genetically modified crops may have serious adverse implications on the sustainability of biodiversity, the ecological balance of</w:t>
      </w:r>
      <w:r w:rsidR="00756572" w:rsidRPr="004737C5">
        <w:rPr>
          <w:rFonts w:cstheme="minorHAnsi"/>
          <w:snapToGrid w:val="0"/>
        </w:rPr>
        <w:t xml:space="preserve"> life support systems, wildlife</w:t>
      </w:r>
      <w:r w:rsidRPr="004737C5">
        <w:rPr>
          <w:rFonts w:cstheme="minorHAnsi"/>
          <w:snapToGrid w:val="0"/>
        </w:rPr>
        <w:t xml:space="preserve"> and the environment. Genetically modified foods could exacerbate health problems such as the proliferation of antibiotic resistance from the use of antibiotic-resistant gene markers. Controls have been put in place in many jurisdictions to protect the consumer right to information, including labelling of genetically modified foods and mandatory labelling and segregation by exporting countries of their export products. The multilateral </w:t>
      </w:r>
      <w:r w:rsidRPr="004737C5">
        <w:rPr>
          <w:rFonts w:cstheme="minorHAnsi"/>
        </w:rPr>
        <w:t>Cartagena Protocol on Biosafety</w:t>
      </w:r>
      <w:r w:rsidR="00756572" w:rsidRPr="004737C5">
        <w:rPr>
          <w:rFonts w:cstheme="minorHAnsi"/>
        </w:rPr>
        <w:t xml:space="preserve"> (2000) requires indication of “living modified organisms”</w:t>
      </w:r>
      <w:r w:rsidRPr="004737C5">
        <w:rPr>
          <w:rFonts w:cstheme="minorHAnsi"/>
        </w:rPr>
        <w:t xml:space="preserve"> in the event of cross-border trade with scope for application of precautionary measures. </w:t>
      </w:r>
    </w:p>
    <w:p w14:paraId="2A9EC03D" w14:textId="1E06CEEC" w:rsidR="00BE71E3" w:rsidRPr="004737C5" w:rsidRDefault="00BE71E3" w:rsidP="006D3BE8">
      <w:pPr>
        <w:rPr>
          <w:rFonts w:cstheme="minorHAnsi"/>
          <w:b/>
          <w:color w:val="FF0000"/>
        </w:rPr>
      </w:pPr>
      <w:r w:rsidRPr="004737C5">
        <w:rPr>
          <w:rFonts w:cstheme="minorHAnsi"/>
        </w:rPr>
        <w:t>Jurisdictions that have implemented labelling legislation include Japan, Republic of Korea, Taiwan Province of China, New Zealand, Norway, Switzerland, Israel and the Russian Federation. The list also includes genetically modified crop producing countries such as China, Australia and Brazil. In the European Union, labelling is required and sale is allowed, but the situation regarding production is c</w:t>
      </w:r>
      <w:r w:rsidR="00756572" w:rsidRPr="004737C5">
        <w:rPr>
          <w:rFonts w:cstheme="minorHAnsi"/>
        </w:rPr>
        <w:t>omplicated by national policy such</w:t>
      </w:r>
      <w:r w:rsidRPr="004737C5">
        <w:rPr>
          <w:rFonts w:cstheme="minorHAnsi"/>
        </w:rPr>
        <w:t xml:space="preserve"> that major agricultural producer</w:t>
      </w:r>
      <w:r w:rsidR="00756572" w:rsidRPr="004737C5">
        <w:rPr>
          <w:rFonts w:cstheme="minorHAnsi"/>
        </w:rPr>
        <w:t xml:space="preserve">s as France, Germany, Italy and </w:t>
      </w:r>
      <w:r w:rsidR="00756572" w:rsidRPr="004737C5">
        <w:rPr>
          <w:rFonts w:cstheme="minorHAnsi"/>
        </w:rPr>
        <w:lastRenderedPageBreak/>
        <w:t>Hungary</w:t>
      </w:r>
      <w:r w:rsidRPr="004737C5">
        <w:rPr>
          <w:rFonts w:cstheme="minorHAnsi"/>
        </w:rPr>
        <w:t xml:space="preserve"> ban the cultivation of genetically modified crops, while others allow it, such as Spain and </w:t>
      </w:r>
      <w:r w:rsidR="00793DDB" w:rsidRPr="004737C5">
        <w:rPr>
          <w:rFonts w:cstheme="minorHAnsi"/>
        </w:rPr>
        <w:t>the England</w:t>
      </w:r>
      <w:r w:rsidRPr="004737C5">
        <w:rPr>
          <w:rFonts w:cstheme="minorHAnsi"/>
        </w:rPr>
        <w:t>. Notable absentees from the list of countries with labelling obligations are Argentina, all of North America, much of the Middle East (except S</w:t>
      </w:r>
      <w:r w:rsidR="00756572" w:rsidRPr="004737C5">
        <w:rPr>
          <w:rFonts w:cstheme="minorHAnsi"/>
        </w:rPr>
        <w:t>audi Arabia) and most of Africa</w:t>
      </w:r>
      <w:r w:rsidRPr="004737C5">
        <w:rPr>
          <w:rFonts w:cstheme="minorHAnsi"/>
        </w:rPr>
        <w:t xml:space="preserve"> (not including South Africa).</w:t>
      </w:r>
      <w:r w:rsidRPr="004737C5">
        <w:rPr>
          <w:rStyle w:val="FootnoteReference"/>
          <w:rFonts w:cstheme="minorHAnsi"/>
        </w:rPr>
        <w:footnoteReference w:id="366"/>
      </w:r>
      <w:r w:rsidRPr="004737C5">
        <w:rPr>
          <w:rFonts w:cstheme="minorHAnsi"/>
        </w:rPr>
        <w:t xml:space="preserve"> Some 38 countries are reported as banning cultivation, including major agricultural producers the Russian Federation and Turkey.</w:t>
      </w:r>
      <w:r w:rsidRPr="004737C5">
        <w:rPr>
          <w:rStyle w:val="FootnoteReference"/>
          <w:rFonts w:cstheme="minorHAnsi"/>
        </w:rPr>
        <w:footnoteReference w:id="367"/>
      </w:r>
      <w:r w:rsidRPr="004737C5">
        <w:rPr>
          <w:rFonts w:cstheme="minorHAnsi"/>
        </w:rPr>
        <w:t xml:space="preserve"> In contrast, 28 countries are reported as producing genetically modified crops including major agricultural producers </w:t>
      </w:r>
      <w:r w:rsidR="00793DDB" w:rsidRPr="004737C5">
        <w:rPr>
          <w:rFonts w:cstheme="minorHAnsi"/>
        </w:rPr>
        <w:t xml:space="preserve">such </w:t>
      </w:r>
      <w:r w:rsidRPr="004737C5">
        <w:rPr>
          <w:rFonts w:cstheme="minorHAnsi"/>
        </w:rPr>
        <w:t>as the United States</w:t>
      </w:r>
      <w:r w:rsidR="00756572" w:rsidRPr="004737C5">
        <w:rPr>
          <w:rFonts w:cstheme="minorHAnsi"/>
        </w:rPr>
        <w:t xml:space="preserve"> of America</w:t>
      </w:r>
      <w:r w:rsidRPr="004737C5">
        <w:rPr>
          <w:rFonts w:cstheme="minorHAnsi"/>
        </w:rPr>
        <w:t>, Argentina, Australia and Canada.</w:t>
      </w:r>
      <w:r w:rsidRPr="004737C5">
        <w:rPr>
          <w:rStyle w:val="FootnoteReference"/>
          <w:rFonts w:cstheme="minorHAnsi"/>
        </w:rPr>
        <w:footnoteReference w:id="368"/>
      </w:r>
      <w:r w:rsidRPr="004737C5">
        <w:rPr>
          <w:rFonts w:cstheme="minorHAnsi"/>
        </w:rPr>
        <w:t xml:space="preserve"> These</w:t>
      </w:r>
      <w:r w:rsidR="00756572" w:rsidRPr="004737C5">
        <w:rPr>
          <w:rFonts w:cstheme="minorHAnsi"/>
        </w:rPr>
        <w:t xml:space="preserve"> overlaps of production (or not</w:t>
      </w:r>
      <w:r w:rsidRPr="004737C5">
        <w:rPr>
          <w:rFonts w:cstheme="minorHAnsi"/>
        </w:rPr>
        <w:t>)</w:t>
      </w:r>
      <w:r w:rsidR="00756572" w:rsidRPr="004737C5">
        <w:rPr>
          <w:rFonts w:cstheme="minorHAnsi"/>
        </w:rPr>
        <w:t>, labelling (or not</w:t>
      </w:r>
      <w:r w:rsidRPr="004737C5">
        <w:rPr>
          <w:rFonts w:cstheme="minorHAnsi"/>
        </w:rPr>
        <w:t xml:space="preserve">) and merchandising are extremely complex for consumers to make informed choices in a globalized marketplace. </w:t>
      </w:r>
    </w:p>
    <w:p w14:paraId="27419DC8" w14:textId="77777777" w:rsidR="00BE71E3" w:rsidRPr="004737C5" w:rsidRDefault="00756572" w:rsidP="00793DDB">
      <w:pPr>
        <w:pStyle w:val="Heading2"/>
        <w:spacing w:after="160"/>
        <w:rPr>
          <w:rFonts w:cstheme="minorHAnsi"/>
          <w:color w:val="auto"/>
          <w:sz w:val="24"/>
          <w:szCs w:val="24"/>
        </w:rPr>
      </w:pPr>
      <w:bookmarkStart w:id="456" w:name="_Toc183930696"/>
      <w:bookmarkStart w:id="457" w:name="_Toc454293924"/>
      <w:bookmarkStart w:id="458" w:name="_Toc489950362"/>
      <w:bookmarkStart w:id="459" w:name="_Toc492650149"/>
      <w:r w:rsidRPr="004737C5">
        <w:rPr>
          <w:rFonts w:cstheme="minorHAnsi"/>
          <w:color w:val="auto"/>
          <w:sz w:val="24"/>
          <w:szCs w:val="24"/>
        </w:rPr>
        <w:t>G.</w:t>
      </w:r>
      <w:r w:rsidR="00BE71E3" w:rsidRPr="004737C5">
        <w:rPr>
          <w:rFonts w:cstheme="minorHAnsi"/>
          <w:color w:val="auto"/>
          <w:sz w:val="24"/>
          <w:szCs w:val="24"/>
        </w:rPr>
        <w:t xml:space="preserve"> Food legislation</w:t>
      </w:r>
      <w:bookmarkEnd w:id="456"/>
      <w:bookmarkEnd w:id="457"/>
      <w:bookmarkEnd w:id="458"/>
      <w:bookmarkEnd w:id="459"/>
    </w:p>
    <w:p w14:paraId="1B4ECF49" w14:textId="77777777" w:rsidR="00BE71E3" w:rsidRPr="004737C5" w:rsidRDefault="00BE71E3" w:rsidP="006D3BE8">
      <w:pPr>
        <w:rPr>
          <w:rFonts w:cstheme="minorHAnsi"/>
        </w:rPr>
      </w:pPr>
      <w:r w:rsidRPr="004737C5">
        <w:rPr>
          <w:rFonts w:cstheme="minorHAnsi"/>
        </w:rPr>
        <w:t xml:space="preserve">In order to have a comprehensive, integrated approach, legislation must cover all aspects of the food production chain: primary production, processing, transport, distribution </w:t>
      </w:r>
      <w:r w:rsidR="00756572" w:rsidRPr="004737C5">
        <w:rPr>
          <w:rFonts w:cstheme="minorHAnsi"/>
        </w:rPr>
        <w:t>and</w:t>
      </w:r>
      <w:r w:rsidRPr="004737C5">
        <w:rPr>
          <w:rFonts w:cstheme="minorHAnsi"/>
        </w:rPr>
        <w:t xml:space="preserve"> sale and supply of food and animal feed. At all stages, the legal responsibility for ensuring safety should rest with the operator. Procedures for food safety should include a rapid alert system and identifying measures to be taken in emergencies and for crisis management.</w:t>
      </w:r>
    </w:p>
    <w:p w14:paraId="3972DDE4" w14:textId="77777777" w:rsidR="00BE71E3" w:rsidRPr="004737C5" w:rsidRDefault="00BE71E3" w:rsidP="006D3BE8">
      <w:pPr>
        <w:rPr>
          <w:rFonts w:cstheme="minorHAnsi"/>
        </w:rPr>
      </w:pPr>
      <w:r w:rsidRPr="004737C5">
        <w:rPr>
          <w:rFonts w:cstheme="minorHAnsi"/>
        </w:rPr>
        <w:t>There are several fundamental goals for a regulatory approach that covers the entire food chain. The European Union</w:t>
      </w:r>
      <w:r w:rsidR="00756572" w:rsidRPr="004737C5">
        <w:rPr>
          <w:rFonts w:cstheme="minorHAnsi"/>
        </w:rPr>
        <w:t>,</w:t>
      </w:r>
      <w:r w:rsidRPr="004737C5">
        <w:rPr>
          <w:rFonts w:cstheme="minorHAnsi"/>
        </w:rPr>
        <w:t xml:space="preserve"> for example</w:t>
      </w:r>
      <w:r w:rsidR="00756572" w:rsidRPr="004737C5">
        <w:rPr>
          <w:rFonts w:cstheme="minorHAnsi"/>
        </w:rPr>
        <w:t>,</w:t>
      </w:r>
      <w:r w:rsidRPr="004737C5">
        <w:rPr>
          <w:rFonts w:cstheme="minorHAnsi"/>
        </w:rPr>
        <w:t xml:space="preserve"> identifies the following as general objectives of its food law:</w:t>
      </w:r>
    </w:p>
    <w:p w14:paraId="06B73A6A" w14:textId="77777777" w:rsidR="00BE71E3" w:rsidRPr="004737C5" w:rsidRDefault="00BE71E3" w:rsidP="002473E9">
      <w:pPr>
        <w:pStyle w:val="ListParagraph"/>
        <w:numPr>
          <w:ilvl w:val="0"/>
          <w:numId w:val="62"/>
        </w:numPr>
        <w:spacing w:after="0"/>
        <w:ind w:left="709" w:hanging="425"/>
        <w:rPr>
          <w:rFonts w:cstheme="minorHAnsi"/>
        </w:rPr>
      </w:pPr>
      <w:r w:rsidRPr="004737C5">
        <w:rPr>
          <w:rFonts w:cstheme="minorHAnsi"/>
        </w:rPr>
        <w:t>To protect human life and health as wel</w:t>
      </w:r>
      <w:r w:rsidR="00756572" w:rsidRPr="004737C5">
        <w:rPr>
          <w:rFonts w:cstheme="minorHAnsi"/>
        </w:rPr>
        <w:t>l as consumer interests</w:t>
      </w:r>
    </w:p>
    <w:p w14:paraId="3E48AC08" w14:textId="77777777" w:rsidR="00BE71E3" w:rsidRPr="004737C5" w:rsidRDefault="00756572" w:rsidP="002473E9">
      <w:pPr>
        <w:pStyle w:val="ListParagraph"/>
        <w:numPr>
          <w:ilvl w:val="0"/>
          <w:numId w:val="62"/>
        </w:numPr>
        <w:spacing w:after="0"/>
        <w:ind w:left="709" w:hanging="425"/>
        <w:rPr>
          <w:rFonts w:cstheme="minorHAnsi"/>
        </w:rPr>
      </w:pPr>
      <w:r w:rsidRPr="004737C5">
        <w:rPr>
          <w:rFonts w:cstheme="minorHAnsi"/>
        </w:rPr>
        <w:t>To ensure fair trading</w:t>
      </w:r>
    </w:p>
    <w:p w14:paraId="04FC793D" w14:textId="77777777" w:rsidR="00BE71E3" w:rsidRPr="004737C5" w:rsidRDefault="00BE71E3" w:rsidP="002473E9">
      <w:pPr>
        <w:pStyle w:val="ListParagraph"/>
        <w:numPr>
          <w:ilvl w:val="0"/>
          <w:numId w:val="62"/>
        </w:numPr>
        <w:spacing w:after="0"/>
        <w:ind w:left="709" w:hanging="425"/>
        <w:rPr>
          <w:rFonts w:cstheme="minorHAnsi"/>
        </w:rPr>
      </w:pPr>
      <w:r w:rsidRPr="004737C5">
        <w:rPr>
          <w:rFonts w:cstheme="minorHAnsi"/>
        </w:rPr>
        <w:t>To achieve free mo</w:t>
      </w:r>
      <w:r w:rsidR="00756572" w:rsidRPr="004737C5">
        <w:rPr>
          <w:rFonts w:cstheme="minorHAnsi"/>
        </w:rPr>
        <w:t>vement of food in the community</w:t>
      </w:r>
      <w:r w:rsidRPr="004737C5">
        <w:rPr>
          <w:rFonts w:cstheme="minorHAnsi"/>
        </w:rPr>
        <w:t xml:space="preserve"> </w:t>
      </w:r>
    </w:p>
    <w:p w14:paraId="64C3D3D4" w14:textId="77777777" w:rsidR="00BE71E3" w:rsidRPr="004737C5" w:rsidRDefault="00BE71E3" w:rsidP="002473E9">
      <w:pPr>
        <w:pStyle w:val="ListParagraph"/>
        <w:numPr>
          <w:ilvl w:val="0"/>
          <w:numId w:val="62"/>
        </w:numPr>
        <w:ind w:left="709" w:hanging="425"/>
        <w:rPr>
          <w:rFonts w:cstheme="minorHAnsi"/>
        </w:rPr>
      </w:pPr>
      <w:r w:rsidRPr="004737C5">
        <w:rPr>
          <w:rFonts w:cstheme="minorHAnsi"/>
        </w:rPr>
        <w:t>To im</w:t>
      </w:r>
      <w:r w:rsidR="00756572" w:rsidRPr="004737C5">
        <w:rPr>
          <w:rFonts w:cstheme="minorHAnsi"/>
        </w:rPr>
        <w:t>plement international standards</w:t>
      </w:r>
    </w:p>
    <w:p w14:paraId="47A24E79" w14:textId="77777777" w:rsidR="00BE71E3" w:rsidRPr="004737C5" w:rsidRDefault="00BE71E3" w:rsidP="006D3BE8">
      <w:pPr>
        <w:rPr>
          <w:rFonts w:cstheme="minorHAnsi"/>
        </w:rPr>
      </w:pPr>
      <w:r w:rsidRPr="004737C5">
        <w:rPr>
          <w:rFonts w:cstheme="minorHAnsi"/>
        </w:rPr>
        <w:t>Major components of a national food control system necessary for an effective national system can be summarized as:</w:t>
      </w:r>
    </w:p>
    <w:p w14:paraId="38A9455C" w14:textId="3A2E13FD" w:rsidR="00BE71E3" w:rsidRPr="004737C5" w:rsidRDefault="00793DDB" w:rsidP="002473E9">
      <w:pPr>
        <w:pStyle w:val="ListParagraph"/>
        <w:numPr>
          <w:ilvl w:val="0"/>
          <w:numId w:val="63"/>
        </w:numPr>
        <w:spacing w:after="0"/>
        <w:ind w:left="709" w:hanging="425"/>
        <w:rPr>
          <w:rFonts w:cstheme="minorHAnsi"/>
        </w:rPr>
      </w:pPr>
      <w:r w:rsidRPr="004737C5">
        <w:rPr>
          <w:rFonts w:cstheme="minorHAnsi"/>
        </w:rPr>
        <w:t>M</w:t>
      </w:r>
      <w:r w:rsidR="00756572" w:rsidRPr="004737C5">
        <w:rPr>
          <w:rFonts w:cstheme="minorHAnsi"/>
        </w:rPr>
        <w:t>odern food legislation</w:t>
      </w:r>
    </w:p>
    <w:p w14:paraId="50D6A640" w14:textId="2E49A169" w:rsidR="00BE71E3" w:rsidRPr="004737C5" w:rsidRDefault="00793DDB" w:rsidP="002473E9">
      <w:pPr>
        <w:pStyle w:val="ListParagraph"/>
        <w:numPr>
          <w:ilvl w:val="0"/>
          <w:numId w:val="63"/>
        </w:numPr>
        <w:spacing w:after="0"/>
        <w:ind w:left="709" w:hanging="425"/>
        <w:rPr>
          <w:rFonts w:cstheme="minorHAnsi"/>
        </w:rPr>
      </w:pPr>
      <w:r w:rsidRPr="004737C5">
        <w:rPr>
          <w:rFonts w:cstheme="minorHAnsi"/>
        </w:rPr>
        <w:t>A co</w:t>
      </w:r>
      <w:r w:rsidR="00756572" w:rsidRPr="004737C5">
        <w:rPr>
          <w:rFonts w:cstheme="minorHAnsi"/>
        </w:rPr>
        <w:t>ordinated central g</w:t>
      </w:r>
      <w:r w:rsidR="00BE71E3" w:rsidRPr="004737C5">
        <w:rPr>
          <w:rFonts w:cstheme="minorHAnsi"/>
        </w:rPr>
        <w:t>ov</w:t>
      </w:r>
      <w:r w:rsidR="00756572" w:rsidRPr="004737C5">
        <w:rPr>
          <w:rFonts w:cstheme="minorHAnsi"/>
        </w:rPr>
        <w:t>ernment policy towards food law</w:t>
      </w:r>
    </w:p>
    <w:p w14:paraId="55B4B832" w14:textId="77777777" w:rsidR="00BE71E3" w:rsidRPr="004737C5" w:rsidRDefault="00756572" w:rsidP="002473E9">
      <w:pPr>
        <w:pStyle w:val="ListParagraph"/>
        <w:numPr>
          <w:ilvl w:val="0"/>
          <w:numId w:val="63"/>
        </w:numPr>
        <w:spacing w:after="0"/>
        <w:ind w:left="709" w:hanging="425"/>
        <w:rPr>
          <w:rFonts w:cstheme="minorHAnsi"/>
        </w:rPr>
      </w:pPr>
      <w:r w:rsidRPr="004737C5">
        <w:rPr>
          <w:rFonts w:cstheme="minorHAnsi"/>
        </w:rPr>
        <w:t>An effective enforcement system</w:t>
      </w:r>
      <w:r w:rsidR="00BE71E3" w:rsidRPr="004737C5">
        <w:rPr>
          <w:rFonts w:cstheme="minorHAnsi"/>
        </w:rPr>
        <w:t xml:space="preserve"> </w:t>
      </w:r>
    </w:p>
    <w:p w14:paraId="110B32EE" w14:textId="77777777" w:rsidR="00BE71E3" w:rsidRPr="004737C5" w:rsidRDefault="00756572" w:rsidP="002473E9">
      <w:pPr>
        <w:pStyle w:val="ListParagraph"/>
        <w:numPr>
          <w:ilvl w:val="0"/>
          <w:numId w:val="63"/>
        </w:numPr>
        <w:ind w:left="709" w:hanging="425"/>
        <w:rPr>
          <w:rFonts w:cstheme="minorHAnsi"/>
        </w:rPr>
      </w:pPr>
      <w:r w:rsidRPr="004737C5">
        <w:rPr>
          <w:rFonts w:cstheme="minorHAnsi"/>
        </w:rPr>
        <w:t>Adequate supporting bodies</w:t>
      </w:r>
    </w:p>
    <w:p w14:paraId="75AD82FD" w14:textId="77777777" w:rsidR="00BE71E3" w:rsidRPr="004737C5" w:rsidRDefault="00BE71E3" w:rsidP="006D3BE8">
      <w:pPr>
        <w:rPr>
          <w:rFonts w:cstheme="minorHAnsi"/>
        </w:rPr>
      </w:pPr>
      <w:r w:rsidRPr="004737C5">
        <w:rPr>
          <w:rFonts w:cstheme="minorHAnsi"/>
        </w:rPr>
        <w:t xml:space="preserve">Consumer concerns </w:t>
      </w:r>
      <w:r w:rsidR="00756572" w:rsidRPr="004737C5">
        <w:rPr>
          <w:rFonts w:cstheme="minorHAnsi"/>
        </w:rPr>
        <w:t>with processed animal- and plant-</w:t>
      </w:r>
      <w:r w:rsidRPr="004737C5">
        <w:rPr>
          <w:rFonts w:cstheme="minorHAnsi"/>
        </w:rPr>
        <w:t>based food products are as follows:</w:t>
      </w:r>
    </w:p>
    <w:p w14:paraId="1C871C66" w14:textId="77777777" w:rsidR="00BE71E3" w:rsidRPr="004737C5" w:rsidRDefault="00756572" w:rsidP="002473E9">
      <w:pPr>
        <w:pStyle w:val="ListParagraph"/>
        <w:numPr>
          <w:ilvl w:val="0"/>
          <w:numId w:val="64"/>
        </w:numPr>
        <w:spacing w:after="0"/>
        <w:ind w:left="709" w:hanging="425"/>
        <w:rPr>
          <w:rFonts w:cstheme="minorHAnsi"/>
        </w:rPr>
      </w:pPr>
      <w:r w:rsidRPr="004737C5">
        <w:rPr>
          <w:rFonts w:cstheme="minorHAnsi"/>
        </w:rPr>
        <w:t>Safety</w:t>
      </w:r>
    </w:p>
    <w:p w14:paraId="06592B88" w14:textId="77777777" w:rsidR="00BE71E3" w:rsidRPr="004737C5" w:rsidRDefault="00BE71E3" w:rsidP="002473E9">
      <w:pPr>
        <w:pStyle w:val="ListParagraph"/>
        <w:numPr>
          <w:ilvl w:val="0"/>
          <w:numId w:val="64"/>
        </w:numPr>
        <w:spacing w:after="0"/>
        <w:ind w:left="709" w:hanging="425"/>
        <w:rPr>
          <w:rFonts w:cstheme="minorHAnsi"/>
        </w:rPr>
      </w:pPr>
      <w:r w:rsidRPr="004737C5">
        <w:rPr>
          <w:rFonts w:cstheme="minorHAnsi"/>
        </w:rPr>
        <w:t xml:space="preserve">Conditions of </w:t>
      </w:r>
      <w:r w:rsidR="00756572" w:rsidRPr="004737C5">
        <w:rPr>
          <w:rFonts w:cstheme="minorHAnsi"/>
        </w:rPr>
        <w:t>production</w:t>
      </w:r>
    </w:p>
    <w:p w14:paraId="25E7B5E8" w14:textId="77777777" w:rsidR="00BE71E3" w:rsidRPr="004737C5" w:rsidRDefault="00BE71E3" w:rsidP="002473E9">
      <w:pPr>
        <w:pStyle w:val="ListParagraph"/>
        <w:numPr>
          <w:ilvl w:val="0"/>
          <w:numId w:val="64"/>
        </w:numPr>
        <w:spacing w:after="0"/>
        <w:ind w:left="709" w:hanging="425"/>
        <w:rPr>
          <w:rFonts w:cstheme="minorHAnsi"/>
        </w:rPr>
      </w:pPr>
      <w:r w:rsidRPr="004737C5">
        <w:rPr>
          <w:rFonts w:cstheme="minorHAnsi"/>
        </w:rPr>
        <w:t>Infor</w:t>
      </w:r>
      <w:r w:rsidR="00756572" w:rsidRPr="004737C5">
        <w:rPr>
          <w:rFonts w:cstheme="minorHAnsi"/>
        </w:rPr>
        <w:t>mation provided to the consumer</w:t>
      </w:r>
    </w:p>
    <w:p w14:paraId="453A5348" w14:textId="77777777" w:rsidR="00BE71E3" w:rsidRPr="004737C5" w:rsidRDefault="00BE71E3" w:rsidP="002473E9">
      <w:pPr>
        <w:pStyle w:val="ListParagraph"/>
        <w:numPr>
          <w:ilvl w:val="0"/>
          <w:numId w:val="64"/>
        </w:numPr>
        <w:spacing w:after="0"/>
        <w:ind w:left="709" w:hanging="425"/>
        <w:rPr>
          <w:rFonts w:cstheme="minorHAnsi"/>
        </w:rPr>
      </w:pPr>
      <w:r w:rsidRPr="004737C5">
        <w:rPr>
          <w:rFonts w:cstheme="minorHAnsi"/>
        </w:rPr>
        <w:t>Likely immediate or delayed effect on health (i.e. presence of additives, pesticides, anti</w:t>
      </w:r>
      <w:r w:rsidR="00756572" w:rsidRPr="004737C5">
        <w:rPr>
          <w:rFonts w:cstheme="minorHAnsi"/>
        </w:rPr>
        <w:t>biotics, growth hormones etc.)</w:t>
      </w:r>
    </w:p>
    <w:p w14:paraId="6999CE5D" w14:textId="77777777" w:rsidR="00BE71E3" w:rsidRPr="004737C5" w:rsidRDefault="00BE71E3" w:rsidP="002473E9">
      <w:pPr>
        <w:pStyle w:val="ListParagraph"/>
        <w:numPr>
          <w:ilvl w:val="0"/>
          <w:numId w:val="64"/>
        </w:numPr>
        <w:ind w:left="709" w:hanging="425"/>
        <w:rPr>
          <w:rFonts w:cstheme="minorHAnsi"/>
        </w:rPr>
      </w:pPr>
      <w:r w:rsidRPr="004737C5">
        <w:rPr>
          <w:rFonts w:cstheme="minorHAnsi"/>
        </w:rPr>
        <w:t>Particular health sensitivities of a specific category of consumers (e.g. diabetics, heart patient</w:t>
      </w:r>
      <w:r w:rsidR="00756572" w:rsidRPr="004737C5">
        <w:rPr>
          <w:rFonts w:cstheme="minorHAnsi"/>
        </w:rPr>
        <w:t>s, people with allergies, etc.)</w:t>
      </w:r>
    </w:p>
    <w:p w14:paraId="4C8EC47D" w14:textId="77777777" w:rsidR="00BE71E3" w:rsidRPr="004737C5" w:rsidRDefault="00BE71E3" w:rsidP="006D3BE8">
      <w:pPr>
        <w:rPr>
          <w:rFonts w:cstheme="minorHAnsi"/>
        </w:rPr>
      </w:pPr>
      <w:r w:rsidRPr="004737C5">
        <w:rPr>
          <w:rFonts w:cstheme="minorHAnsi"/>
        </w:rPr>
        <w:t>Governments must thus regulate areas of food and feed to ensure the above concerns are addressed.</w:t>
      </w:r>
    </w:p>
    <w:p w14:paraId="1C14CF2C" w14:textId="3CA4FDA1" w:rsidR="00BE71E3" w:rsidRPr="004737C5" w:rsidRDefault="00BE71E3" w:rsidP="006D3BE8">
      <w:pPr>
        <w:rPr>
          <w:rFonts w:cstheme="minorHAnsi"/>
        </w:rPr>
      </w:pPr>
      <w:r w:rsidRPr="004737C5">
        <w:rPr>
          <w:rFonts w:cstheme="minorHAnsi"/>
        </w:rPr>
        <w:lastRenderedPageBreak/>
        <w:t>A vital part of food legislation is the incorporation of labelling practices to inform and educate the con</w:t>
      </w:r>
      <w:r w:rsidR="00756572" w:rsidRPr="004737C5">
        <w:rPr>
          <w:rFonts w:cstheme="minorHAnsi"/>
        </w:rPr>
        <w:t>sumer</w:t>
      </w:r>
      <w:r w:rsidR="00793DDB" w:rsidRPr="004737C5">
        <w:rPr>
          <w:rFonts w:cstheme="minorHAnsi"/>
        </w:rPr>
        <w:t>,</w:t>
      </w:r>
      <w:r w:rsidR="00756572" w:rsidRPr="004737C5">
        <w:rPr>
          <w:rFonts w:cstheme="minorHAnsi"/>
        </w:rPr>
        <w:t xml:space="preserve"> as discussed in chapter X</w:t>
      </w:r>
      <w:r w:rsidRPr="004737C5">
        <w:rPr>
          <w:rFonts w:cstheme="minorHAnsi"/>
        </w:rPr>
        <w:t>. Safety plays a particularly prominent role for consumers with specific requirements as a result of health concerns.</w:t>
      </w:r>
    </w:p>
    <w:p w14:paraId="655C83B4" w14:textId="5157EC24" w:rsidR="00BE71E3" w:rsidRPr="004737C5" w:rsidRDefault="00BE71E3" w:rsidP="006D3BE8">
      <w:pPr>
        <w:rPr>
          <w:rFonts w:cstheme="minorHAnsi"/>
        </w:rPr>
      </w:pPr>
      <w:r w:rsidRPr="004737C5">
        <w:rPr>
          <w:rFonts w:cstheme="minorHAnsi"/>
        </w:rPr>
        <w:t>Gradually, food policy h</w:t>
      </w:r>
      <w:r w:rsidR="00756572" w:rsidRPr="004737C5">
        <w:rPr>
          <w:rFonts w:cstheme="minorHAnsi"/>
        </w:rPr>
        <w:t>as shifted from food safety to “</w:t>
      </w:r>
      <w:r w:rsidRPr="004737C5">
        <w:rPr>
          <w:rFonts w:cstheme="minorHAnsi"/>
        </w:rPr>
        <w:t>diet safety</w:t>
      </w:r>
      <w:r w:rsidR="00756572" w:rsidRPr="004737C5">
        <w:rPr>
          <w:rFonts w:cstheme="minorHAnsi"/>
        </w:rPr>
        <w:t>”,</w:t>
      </w:r>
      <w:r w:rsidRPr="004737C5">
        <w:rPr>
          <w:rFonts w:cstheme="minorHAnsi"/>
        </w:rPr>
        <w:t xml:space="preserve"> particularly as concerns have grown about obesity. Globally, dietary patterns are changing as consumers prepare less food from raw ingredients and buy more processed, pre-packaged food. In the last decade global sales of pre-pack</w:t>
      </w:r>
      <w:r w:rsidR="00756572" w:rsidRPr="004737C5">
        <w:rPr>
          <w:rFonts w:cstheme="minorHAnsi"/>
        </w:rPr>
        <w:t>aged foods have increased by 92 percent, reaching US$</w:t>
      </w:r>
      <w:r w:rsidRPr="004737C5">
        <w:rPr>
          <w:rFonts w:cstheme="minorHAnsi"/>
        </w:rPr>
        <w:t>2.2 trillion in 2012. The increase in the production, pr</w:t>
      </w:r>
      <w:r w:rsidR="00793DDB" w:rsidRPr="004737C5">
        <w:rPr>
          <w:rFonts w:cstheme="minorHAnsi"/>
        </w:rPr>
        <w:t>omotion and consumption of</w:t>
      </w:r>
      <w:r w:rsidRPr="004737C5">
        <w:rPr>
          <w:rFonts w:cstheme="minorHAnsi"/>
        </w:rPr>
        <w:t xml:space="preserve"> proc</w:t>
      </w:r>
      <w:r w:rsidR="00756572" w:rsidRPr="004737C5">
        <w:rPr>
          <w:rFonts w:cstheme="minorHAnsi"/>
        </w:rPr>
        <w:t>essed foods that are unhealthy ‒</w:t>
      </w:r>
      <w:r w:rsidR="00793DDB" w:rsidRPr="004737C5">
        <w:rPr>
          <w:rFonts w:cstheme="minorHAnsi"/>
        </w:rPr>
        <w:t xml:space="preserve"> energy-dense, nutrient-</w:t>
      </w:r>
      <w:r w:rsidRPr="004737C5">
        <w:rPr>
          <w:rFonts w:cstheme="minorHAnsi"/>
        </w:rPr>
        <w:t>poor</w:t>
      </w:r>
      <w:r w:rsidR="00756572" w:rsidRPr="004737C5">
        <w:rPr>
          <w:rFonts w:cstheme="minorHAnsi"/>
        </w:rPr>
        <w:t xml:space="preserve"> and high in fat, salt or sugar ‒</w:t>
      </w:r>
      <w:r w:rsidRPr="004737C5">
        <w:rPr>
          <w:rFonts w:cstheme="minorHAnsi"/>
        </w:rPr>
        <w:t xml:space="preserve"> has become a global driver of unhealthy diets in high</w:t>
      </w:r>
      <w:r w:rsidR="00756572" w:rsidRPr="004737C5">
        <w:rPr>
          <w:rFonts w:cstheme="minorHAnsi"/>
        </w:rPr>
        <w:t>-</w:t>
      </w:r>
      <w:r w:rsidRPr="004737C5">
        <w:rPr>
          <w:rFonts w:cstheme="minorHAnsi"/>
        </w:rPr>
        <w:t>, middle</w:t>
      </w:r>
      <w:r w:rsidR="00756572" w:rsidRPr="004737C5">
        <w:rPr>
          <w:rFonts w:cstheme="minorHAnsi"/>
        </w:rPr>
        <w:t>-</w:t>
      </w:r>
      <w:r w:rsidRPr="004737C5">
        <w:rPr>
          <w:rFonts w:cstheme="minorHAnsi"/>
        </w:rPr>
        <w:t xml:space="preserve"> and low-income countries. For consumers of pre-packaged foods who wish to</w:t>
      </w:r>
      <w:r w:rsidR="00756572" w:rsidRPr="004737C5">
        <w:rPr>
          <w:rFonts w:cstheme="minorHAnsi"/>
        </w:rPr>
        <w:t xml:space="preserve"> make informed dietary choices ‒</w:t>
      </w:r>
      <w:r w:rsidRPr="004737C5">
        <w:rPr>
          <w:rFonts w:cstheme="minorHAnsi"/>
        </w:rPr>
        <w:t xml:space="preserve"> such as identifying which foods are high in fat, salt and sugar, or choosing the healthiest option </w:t>
      </w:r>
      <w:r w:rsidR="00756572" w:rsidRPr="004737C5">
        <w:rPr>
          <w:rFonts w:cstheme="minorHAnsi"/>
        </w:rPr>
        <w:t>from a range of packaged foods ‒</w:t>
      </w:r>
      <w:r w:rsidRPr="004737C5">
        <w:rPr>
          <w:rFonts w:cstheme="minorHAnsi"/>
        </w:rPr>
        <w:t xml:space="preserve"> the nutrition information provided on food packaging is key.</w:t>
      </w:r>
      <w:r w:rsidRPr="004737C5">
        <w:rPr>
          <w:rStyle w:val="FootnoteReference"/>
          <w:rFonts w:cstheme="minorHAnsi"/>
        </w:rPr>
        <w:footnoteReference w:id="369"/>
      </w:r>
    </w:p>
    <w:p w14:paraId="29357D7D" w14:textId="77777777" w:rsidR="00BE71E3" w:rsidRPr="004737C5" w:rsidRDefault="00BE71E3" w:rsidP="006D3BE8">
      <w:pPr>
        <w:rPr>
          <w:rFonts w:cstheme="minorHAnsi"/>
        </w:rPr>
      </w:pPr>
      <w:r w:rsidRPr="004737C5">
        <w:rPr>
          <w:rFonts w:cstheme="minorHAnsi"/>
        </w:rPr>
        <w:t>Food labelling legislation must ensure the following information is available on labels:</w:t>
      </w:r>
    </w:p>
    <w:p w14:paraId="041BE9DF" w14:textId="77777777" w:rsidR="00BE71E3" w:rsidRPr="004737C5" w:rsidRDefault="00756572" w:rsidP="002473E9">
      <w:pPr>
        <w:pStyle w:val="ListParagraph"/>
        <w:numPr>
          <w:ilvl w:val="0"/>
          <w:numId w:val="65"/>
        </w:numPr>
        <w:spacing w:after="0"/>
        <w:ind w:left="709" w:hanging="425"/>
        <w:rPr>
          <w:rFonts w:cstheme="minorHAnsi"/>
        </w:rPr>
      </w:pPr>
      <w:r w:rsidRPr="004737C5">
        <w:rPr>
          <w:rFonts w:cstheme="minorHAnsi"/>
        </w:rPr>
        <w:t>Ingredient list</w:t>
      </w:r>
    </w:p>
    <w:p w14:paraId="3DE7D219" w14:textId="77777777" w:rsidR="00BE71E3" w:rsidRPr="004737C5" w:rsidRDefault="00756572" w:rsidP="002473E9">
      <w:pPr>
        <w:pStyle w:val="ListParagraph"/>
        <w:numPr>
          <w:ilvl w:val="0"/>
          <w:numId w:val="65"/>
        </w:numPr>
        <w:spacing w:after="0"/>
        <w:ind w:left="709" w:hanging="425"/>
        <w:rPr>
          <w:rFonts w:cstheme="minorHAnsi"/>
        </w:rPr>
      </w:pPr>
      <w:r w:rsidRPr="004737C5">
        <w:rPr>
          <w:rFonts w:cstheme="minorHAnsi"/>
        </w:rPr>
        <w:t>Additives</w:t>
      </w:r>
    </w:p>
    <w:p w14:paraId="0173EADE" w14:textId="77777777" w:rsidR="00BE71E3" w:rsidRPr="004737C5" w:rsidRDefault="00756572" w:rsidP="002473E9">
      <w:pPr>
        <w:pStyle w:val="ListParagraph"/>
        <w:numPr>
          <w:ilvl w:val="0"/>
          <w:numId w:val="65"/>
        </w:numPr>
        <w:spacing w:after="0"/>
        <w:ind w:left="709" w:hanging="425"/>
        <w:rPr>
          <w:rFonts w:cstheme="minorHAnsi"/>
        </w:rPr>
      </w:pPr>
      <w:r w:rsidRPr="004737C5">
        <w:rPr>
          <w:rFonts w:cstheme="minorHAnsi"/>
        </w:rPr>
        <w:t>Genetic modification</w:t>
      </w:r>
    </w:p>
    <w:p w14:paraId="5705FBB2" w14:textId="77777777" w:rsidR="00BE71E3" w:rsidRPr="004737C5" w:rsidRDefault="00BE71E3" w:rsidP="002473E9">
      <w:pPr>
        <w:pStyle w:val="ListParagraph"/>
        <w:numPr>
          <w:ilvl w:val="0"/>
          <w:numId w:val="65"/>
        </w:numPr>
        <w:spacing w:after="0"/>
        <w:ind w:left="709" w:hanging="425"/>
        <w:rPr>
          <w:rFonts w:cstheme="minorHAnsi"/>
        </w:rPr>
      </w:pPr>
      <w:r w:rsidRPr="004737C5">
        <w:rPr>
          <w:rFonts w:cstheme="minorHAnsi"/>
        </w:rPr>
        <w:t>Minimum dur</w:t>
      </w:r>
      <w:r w:rsidR="00756572" w:rsidRPr="004737C5">
        <w:rPr>
          <w:rFonts w:cstheme="minorHAnsi"/>
        </w:rPr>
        <w:t>ability indication/expiry date</w:t>
      </w:r>
    </w:p>
    <w:p w14:paraId="1B95CC96" w14:textId="77777777" w:rsidR="00BE71E3" w:rsidRPr="004737C5" w:rsidRDefault="00756572" w:rsidP="002473E9">
      <w:pPr>
        <w:pStyle w:val="ListParagraph"/>
        <w:numPr>
          <w:ilvl w:val="0"/>
          <w:numId w:val="65"/>
        </w:numPr>
        <w:spacing w:after="0"/>
        <w:ind w:left="709" w:hanging="425"/>
        <w:rPr>
          <w:rFonts w:cstheme="minorHAnsi"/>
        </w:rPr>
      </w:pPr>
      <w:r w:rsidRPr="004737C5">
        <w:rPr>
          <w:rFonts w:cstheme="minorHAnsi"/>
        </w:rPr>
        <w:t>Net content</w:t>
      </w:r>
    </w:p>
    <w:p w14:paraId="5CD64B2A" w14:textId="77777777" w:rsidR="00BE71E3" w:rsidRPr="004737C5" w:rsidRDefault="00BE71E3" w:rsidP="002473E9">
      <w:pPr>
        <w:pStyle w:val="ListParagraph"/>
        <w:numPr>
          <w:ilvl w:val="0"/>
          <w:numId w:val="65"/>
        </w:numPr>
        <w:spacing w:after="0"/>
        <w:ind w:left="709" w:hanging="425"/>
        <w:rPr>
          <w:rFonts w:cstheme="minorHAnsi"/>
        </w:rPr>
      </w:pPr>
      <w:r w:rsidRPr="004737C5">
        <w:rPr>
          <w:rFonts w:cstheme="minorHAnsi"/>
        </w:rPr>
        <w:t>Information of country of origin, manufac</w:t>
      </w:r>
      <w:r w:rsidR="00756572" w:rsidRPr="004737C5">
        <w:rPr>
          <w:rFonts w:cstheme="minorHAnsi"/>
        </w:rPr>
        <w:t>turers, packers and sole agent</w:t>
      </w:r>
    </w:p>
    <w:p w14:paraId="240E7EB3" w14:textId="77777777" w:rsidR="00BE71E3" w:rsidRPr="004737C5" w:rsidRDefault="00BE71E3" w:rsidP="002473E9">
      <w:pPr>
        <w:pStyle w:val="ListParagraph"/>
        <w:numPr>
          <w:ilvl w:val="0"/>
          <w:numId w:val="65"/>
        </w:numPr>
        <w:spacing w:after="0"/>
        <w:ind w:left="709" w:hanging="425"/>
        <w:rPr>
          <w:rFonts w:cstheme="minorHAnsi"/>
        </w:rPr>
      </w:pPr>
      <w:r w:rsidRPr="004737C5">
        <w:rPr>
          <w:rFonts w:cstheme="minorHAnsi"/>
        </w:rPr>
        <w:t>Nutrition labelling</w:t>
      </w:r>
    </w:p>
    <w:p w14:paraId="5B1F56D8" w14:textId="77777777" w:rsidR="00BE71E3" w:rsidRPr="004737C5" w:rsidRDefault="00756572" w:rsidP="00CE2781">
      <w:pPr>
        <w:pStyle w:val="Heading2"/>
        <w:spacing w:after="160"/>
        <w:rPr>
          <w:rFonts w:cstheme="minorHAnsi"/>
          <w:color w:val="auto"/>
          <w:sz w:val="24"/>
          <w:szCs w:val="24"/>
        </w:rPr>
      </w:pPr>
      <w:bookmarkStart w:id="460" w:name="_Toc454293925"/>
      <w:bookmarkStart w:id="461" w:name="_Toc489950363"/>
      <w:bookmarkStart w:id="462" w:name="_Toc492650150"/>
      <w:r w:rsidRPr="004737C5">
        <w:rPr>
          <w:rFonts w:cstheme="minorHAnsi"/>
          <w:color w:val="auto"/>
          <w:sz w:val="24"/>
          <w:szCs w:val="24"/>
        </w:rPr>
        <w:t>H.</w:t>
      </w:r>
      <w:r w:rsidR="00BE71E3" w:rsidRPr="004737C5">
        <w:rPr>
          <w:rFonts w:cstheme="minorHAnsi"/>
          <w:color w:val="auto"/>
          <w:sz w:val="24"/>
          <w:szCs w:val="24"/>
        </w:rPr>
        <w:t xml:space="preserve"> Conclusion</w:t>
      </w:r>
      <w:bookmarkEnd w:id="460"/>
      <w:bookmarkEnd w:id="461"/>
      <w:bookmarkEnd w:id="462"/>
    </w:p>
    <w:p w14:paraId="5C5370B0" w14:textId="3426312D" w:rsidR="00BE71E3" w:rsidRPr="004737C5" w:rsidRDefault="00BE71E3" w:rsidP="006D3BE8">
      <w:pPr>
        <w:rPr>
          <w:rFonts w:cstheme="minorHAnsi"/>
        </w:rPr>
      </w:pPr>
      <w:r w:rsidRPr="004737C5">
        <w:rPr>
          <w:rFonts w:cstheme="minorHAnsi"/>
        </w:rPr>
        <w:t xml:space="preserve">Millions of people still go short of food or live at the risk of disruption to food supplies. Progress is being made towards removing the trade distortions which </w:t>
      </w:r>
      <w:r w:rsidR="00CE2781" w:rsidRPr="004737C5">
        <w:rPr>
          <w:rFonts w:cstheme="minorHAnsi"/>
        </w:rPr>
        <w:t xml:space="preserve">have </w:t>
      </w:r>
      <w:r w:rsidRPr="004737C5">
        <w:rPr>
          <w:rFonts w:cstheme="minorHAnsi"/>
        </w:rPr>
        <w:t>contributed to such insecurity, but there are other larger problems such as cli</w:t>
      </w:r>
      <w:r w:rsidR="003006E0" w:rsidRPr="004737C5">
        <w:rPr>
          <w:rFonts w:cstheme="minorHAnsi"/>
        </w:rPr>
        <w:t xml:space="preserve">mate change which mean that </w:t>
      </w:r>
      <w:r w:rsidRPr="004737C5">
        <w:rPr>
          <w:rFonts w:cstheme="minorHAnsi"/>
        </w:rPr>
        <w:t xml:space="preserve">risks are always present. The debate around malnutrition has widened to include obesity, which is not restricted to the richest countries and this in turn means that the focus has shifted from safety of products to the balance of diets, a much more subtle concept which has led to issues around food marketing. </w:t>
      </w:r>
    </w:p>
    <w:p w14:paraId="0816F013" w14:textId="4C152831" w:rsidR="00BE71E3" w:rsidRPr="004737C5" w:rsidRDefault="00BE71E3" w:rsidP="006D3BE8">
      <w:pPr>
        <w:rPr>
          <w:rFonts w:cstheme="minorHAnsi"/>
        </w:rPr>
      </w:pPr>
      <w:r w:rsidRPr="004737C5">
        <w:rPr>
          <w:rFonts w:cstheme="minorHAnsi"/>
        </w:rPr>
        <w:t xml:space="preserve">Despite the growing complexity around the provision of food to consumers, effort should not be distracted away from ensuring that individual products are safe. Ultimately, the control of food systems in each country is dependent on </w:t>
      </w:r>
      <w:r w:rsidR="003006E0" w:rsidRPr="004737C5">
        <w:rPr>
          <w:rFonts w:cstheme="minorHAnsi"/>
        </w:rPr>
        <w:t>its</w:t>
      </w:r>
      <w:r w:rsidRPr="004737C5">
        <w:rPr>
          <w:rFonts w:cstheme="minorHAnsi"/>
        </w:rPr>
        <w:t xml:space="preserve"> national food policy and legislation. Although steps have been taken </w:t>
      </w:r>
      <w:r w:rsidR="00CE2781" w:rsidRPr="004737C5">
        <w:rPr>
          <w:rFonts w:cstheme="minorHAnsi"/>
        </w:rPr>
        <w:t xml:space="preserve">at the international level </w:t>
      </w:r>
      <w:r w:rsidRPr="004737C5">
        <w:rPr>
          <w:rFonts w:cstheme="minorHAnsi"/>
        </w:rPr>
        <w:t xml:space="preserve">to introduce standards through the </w:t>
      </w:r>
      <w:r w:rsidRPr="004737C5">
        <w:rPr>
          <w:rFonts w:cstheme="minorHAnsi"/>
          <w:i/>
          <w:iCs/>
        </w:rPr>
        <w:t>Codex Alimentarius</w:t>
      </w:r>
      <w:r w:rsidRPr="004737C5">
        <w:rPr>
          <w:rFonts w:cstheme="minorHAnsi"/>
        </w:rPr>
        <w:t xml:space="preserve"> Commission, the implementation and level of control differs widely within and between countries.</w:t>
      </w:r>
    </w:p>
    <w:p w14:paraId="7304BE19" w14:textId="77777777" w:rsidR="00BE71E3" w:rsidRPr="004737C5" w:rsidRDefault="00BE71E3" w:rsidP="006D3BE8">
      <w:pPr>
        <w:rPr>
          <w:rFonts w:cstheme="minorHAnsi"/>
        </w:rPr>
      </w:pPr>
      <w:r w:rsidRPr="004737C5">
        <w:rPr>
          <w:rFonts w:cstheme="minorHAnsi"/>
        </w:rPr>
        <w:t>In summary, to protect consumers against food insecurity and against unsafe foods that threaten life or health, there is a need to:</w:t>
      </w:r>
    </w:p>
    <w:p w14:paraId="17FDC3F0"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t>Assure access to clean and potab</w:t>
      </w:r>
      <w:r w:rsidR="003006E0" w:rsidRPr="004737C5">
        <w:rPr>
          <w:rFonts w:cstheme="minorHAnsi"/>
        </w:rPr>
        <w:t>le water and sanitation for all</w:t>
      </w:r>
    </w:p>
    <w:p w14:paraId="7D529597"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t>Ensure access to food supplies through maintenance of supply</w:t>
      </w:r>
      <w:r w:rsidR="003006E0" w:rsidRPr="004737C5">
        <w:rPr>
          <w:rFonts w:cstheme="minorHAnsi"/>
        </w:rPr>
        <w:t xml:space="preserve"> stocks in case of emergencies</w:t>
      </w:r>
    </w:p>
    <w:p w14:paraId="6441C607"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t>Apply the recent agreements o</w:t>
      </w:r>
      <w:r w:rsidR="003006E0" w:rsidRPr="004737C5">
        <w:rPr>
          <w:rFonts w:cstheme="minorHAnsi"/>
        </w:rPr>
        <w:t>n agricultural export subsidies</w:t>
      </w:r>
    </w:p>
    <w:p w14:paraId="4A56E444"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lastRenderedPageBreak/>
        <w:t>Develop controls over marketing of</w:t>
      </w:r>
      <w:r w:rsidR="003006E0" w:rsidRPr="004737C5">
        <w:rPr>
          <w:rFonts w:cstheme="minorHAnsi"/>
        </w:rPr>
        <w:t xml:space="preserve"> food, particularly to children</w:t>
      </w:r>
    </w:p>
    <w:p w14:paraId="027FE9DC"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t xml:space="preserve">Develop policies to deter consumption of </w:t>
      </w:r>
      <w:r w:rsidR="003006E0" w:rsidRPr="004737C5">
        <w:rPr>
          <w:rFonts w:cstheme="minorHAnsi"/>
        </w:rPr>
        <w:t>excessively sweetened beverages</w:t>
      </w:r>
    </w:p>
    <w:p w14:paraId="003B58A5"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t>Support the development of national food control systems which are in line with international norms, both in the interests of local consumers and to facilitate participatio</w:t>
      </w:r>
      <w:r w:rsidR="003006E0" w:rsidRPr="004737C5">
        <w:rPr>
          <w:rFonts w:cstheme="minorHAnsi"/>
        </w:rPr>
        <w:t>n in international food markets</w:t>
      </w:r>
    </w:p>
    <w:p w14:paraId="7FC45C80"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t>Ensure transparency, openness and participation of stakeholders in the risk analysis process to ensure an effective precaut</w:t>
      </w:r>
      <w:r w:rsidR="003006E0" w:rsidRPr="004737C5">
        <w:rPr>
          <w:rFonts w:cstheme="minorHAnsi"/>
        </w:rPr>
        <w:t>ionary approach can be followed</w:t>
      </w:r>
    </w:p>
    <w:p w14:paraId="2B1D91EF"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color w:val="000000"/>
        </w:rPr>
        <w:t>Encourage and enable consumer participation in setting national an</w:t>
      </w:r>
      <w:r w:rsidR="003006E0" w:rsidRPr="004737C5">
        <w:rPr>
          <w:rFonts w:cstheme="minorHAnsi"/>
          <w:color w:val="000000"/>
        </w:rPr>
        <w:t>d international food standards</w:t>
      </w:r>
    </w:p>
    <w:p w14:paraId="287435A6"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rPr>
        <w:t xml:space="preserve">Set up national </w:t>
      </w:r>
      <w:r w:rsidRPr="004737C5">
        <w:rPr>
          <w:rFonts w:cstheme="minorHAnsi"/>
          <w:i/>
          <w:iCs/>
        </w:rPr>
        <w:t>Codex Alimentarius</w:t>
      </w:r>
      <w:r w:rsidRPr="004737C5">
        <w:rPr>
          <w:rFonts w:cstheme="minorHAnsi"/>
        </w:rPr>
        <w:t xml:space="preserve"> committees and hold public meetings in which all interested parties, including consumers, can feed into national positions on issues pen</w:t>
      </w:r>
      <w:r w:rsidR="003006E0" w:rsidRPr="004737C5">
        <w:rPr>
          <w:rFonts w:cstheme="minorHAnsi"/>
        </w:rPr>
        <w:t>ding before Codex bodies</w:t>
      </w:r>
      <w:r w:rsidRPr="004737C5">
        <w:rPr>
          <w:rFonts w:cstheme="minorHAnsi"/>
        </w:rPr>
        <w:t xml:space="preserve"> </w:t>
      </w:r>
    </w:p>
    <w:p w14:paraId="0D3AE126" w14:textId="77777777" w:rsidR="00BE71E3" w:rsidRPr="004737C5" w:rsidRDefault="00BE71E3" w:rsidP="002473E9">
      <w:pPr>
        <w:pStyle w:val="ListParagraph"/>
        <w:numPr>
          <w:ilvl w:val="0"/>
          <w:numId w:val="79"/>
        </w:numPr>
        <w:ind w:left="709" w:hanging="425"/>
        <w:rPr>
          <w:rFonts w:cstheme="minorHAnsi"/>
        </w:rPr>
      </w:pPr>
      <w:r w:rsidRPr="004737C5">
        <w:rPr>
          <w:rFonts w:cstheme="minorHAnsi"/>
          <w:color w:val="000000"/>
        </w:rPr>
        <w:t>Ensure that food is safe and presented and labelled in way</w:t>
      </w:r>
      <w:r w:rsidR="003006E0" w:rsidRPr="004737C5">
        <w:rPr>
          <w:rFonts w:cstheme="minorHAnsi"/>
          <w:color w:val="000000"/>
        </w:rPr>
        <w:t>s that do not deceive consumers</w:t>
      </w:r>
    </w:p>
    <w:p w14:paraId="26DC18FE" w14:textId="58F3CA1F" w:rsidR="00BE71E3" w:rsidRPr="004737C5" w:rsidRDefault="00BE71E3" w:rsidP="002473E9">
      <w:pPr>
        <w:pStyle w:val="ListParagraph"/>
        <w:numPr>
          <w:ilvl w:val="0"/>
          <w:numId w:val="79"/>
        </w:numPr>
        <w:ind w:left="709" w:hanging="425"/>
        <w:rPr>
          <w:rFonts w:cstheme="minorHAnsi"/>
        </w:rPr>
      </w:pPr>
      <w:r w:rsidRPr="004737C5">
        <w:rPr>
          <w:rFonts w:cstheme="minorHAnsi"/>
        </w:rPr>
        <w:t xml:space="preserve">Ensure that any food health claims </w:t>
      </w:r>
      <w:r w:rsidR="00CE2781" w:rsidRPr="004737C5">
        <w:rPr>
          <w:rFonts w:cstheme="minorHAnsi"/>
        </w:rPr>
        <w:t xml:space="preserve">are </w:t>
      </w:r>
      <w:r w:rsidRPr="004737C5">
        <w:rPr>
          <w:rFonts w:cstheme="minorHAnsi"/>
        </w:rPr>
        <w:t>clearly defined, easily under</w:t>
      </w:r>
      <w:r w:rsidR="003006E0" w:rsidRPr="004737C5">
        <w:rPr>
          <w:rFonts w:cstheme="minorHAnsi"/>
        </w:rPr>
        <w:t>stood, truthful and verifiable</w:t>
      </w:r>
    </w:p>
    <w:p w14:paraId="64B785DD" w14:textId="4D56528C" w:rsidR="00BE71E3" w:rsidRPr="004737C5" w:rsidRDefault="00BE71E3" w:rsidP="00CE2781">
      <w:pPr>
        <w:pStyle w:val="ListParagraph"/>
        <w:numPr>
          <w:ilvl w:val="0"/>
          <w:numId w:val="79"/>
        </w:numPr>
        <w:ind w:left="709" w:hanging="425"/>
        <w:rPr>
          <w:rFonts w:cstheme="minorHAnsi"/>
        </w:rPr>
      </w:pPr>
      <w:r w:rsidRPr="004737C5">
        <w:rPr>
          <w:rFonts w:cstheme="minorHAnsi"/>
        </w:rPr>
        <w:t>Ensure that measures taken to c</w:t>
      </w:r>
      <w:r w:rsidR="003006E0" w:rsidRPr="004737C5">
        <w:rPr>
          <w:rFonts w:cstheme="minorHAnsi"/>
        </w:rPr>
        <w:t>ombat food</w:t>
      </w:r>
      <w:r w:rsidRPr="004737C5">
        <w:rPr>
          <w:rFonts w:cstheme="minorHAnsi"/>
        </w:rPr>
        <w:t xml:space="preserve">borne disease </w:t>
      </w:r>
      <w:r w:rsidR="00CE2781" w:rsidRPr="004737C5">
        <w:rPr>
          <w:rFonts w:cstheme="minorHAnsi"/>
        </w:rPr>
        <w:t>are</w:t>
      </w:r>
      <w:r w:rsidRPr="004737C5">
        <w:rPr>
          <w:rFonts w:cstheme="minorHAnsi"/>
        </w:rPr>
        <w:t xml:space="preserve"> effective, safe, cost-effective, environmentally sustain</w:t>
      </w:r>
      <w:r w:rsidR="003006E0" w:rsidRPr="004737C5">
        <w:rPr>
          <w:rFonts w:cstheme="minorHAnsi"/>
        </w:rPr>
        <w:t>able and acceptable to the consumer</w:t>
      </w:r>
      <w:r w:rsidRPr="004737C5">
        <w:rPr>
          <w:rFonts w:cstheme="minorHAnsi"/>
        </w:rPr>
        <w:t xml:space="preserve"> </w:t>
      </w:r>
    </w:p>
    <w:p w14:paraId="6F9754F6" w14:textId="77777777" w:rsidR="00E8216F" w:rsidRPr="004737C5" w:rsidRDefault="00E8216F" w:rsidP="006D3BE8">
      <w:pPr>
        <w:rPr>
          <w:rFonts w:cstheme="minorHAnsi"/>
        </w:rPr>
      </w:pPr>
      <w:bookmarkStart w:id="463" w:name="_GoBack"/>
      <w:bookmarkEnd w:id="463"/>
    </w:p>
    <w:sectPr w:rsidR="00E8216F" w:rsidRPr="004737C5" w:rsidSect="005B4E96">
      <w:footerReference w:type="default" r:id="rId19"/>
      <w:pgSz w:w="11907" w:h="16840" w:code="9"/>
      <w:pgMar w:top="1440" w:right="1440" w:bottom="1440" w:left="1440"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D223" w14:textId="77777777" w:rsidR="00D82918" w:rsidRDefault="00D82918" w:rsidP="00B61FBE">
      <w:pPr>
        <w:spacing w:after="0"/>
      </w:pPr>
      <w:r>
        <w:separator/>
      </w:r>
    </w:p>
  </w:endnote>
  <w:endnote w:type="continuationSeparator" w:id="0">
    <w:p w14:paraId="7CB12558" w14:textId="77777777" w:rsidR="00D82918" w:rsidRDefault="00D82918" w:rsidP="00B61FBE">
      <w:pPr>
        <w:spacing w:after="0"/>
      </w:pPr>
      <w:r>
        <w:continuationSeparator/>
      </w:r>
    </w:p>
  </w:endnote>
  <w:endnote w:type="continuationNotice" w:id="1">
    <w:p w14:paraId="2049304E" w14:textId="77777777" w:rsidR="00D82918" w:rsidRDefault="00D829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TimesNewRoman,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21225"/>
      <w:docPartObj>
        <w:docPartGallery w:val="Page Numbers (Bottom of Page)"/>
        <w:docPartUnique/>
      </w:docPartObj>
    </w:sdtPr>
    <w:sdtEndPr>
      <w:rPr>
        <w:rFonts w:asciiTheme="minorHAnsi" w:hAnsiTheme="minorHAnsi" w:cstheme="minorHAnsi"/>
        <w:noProof/>
      </w:rPr>
    </w:sdtEndPr>
    <w:sdtContent>
      <w:p w14:paraId="29E1152F" w14:textId="174138DB" w:rsidR="00D82918" w:rsidRPr="003C1381" w:rsidRDefault="00D82918" w:rsidP="003C1381">
        <w:pPr>
          <w:pStyle w:val="Footer"/>
          <w:jc w:val="center"/>
          <w:rPr>
            <w:rFonts w:asciiTheme="minorHAnsi" w:hAnsiTheme="minorHAnsi" w:cstheme="minorHAnsi"/>
          </w:rPr>
        </w:pPr>
        <w:r w:rsidRPr="003C1381">
          <w:rPr>
            <w:rFonts w:asciiTheme="minorHAnsi" w:hAnsiTheme="minorHAnsi" w:cstheme="minorHAnsi"/>
          </w:rPr>
          <w:fldChar w:fldCharType="begin"/>
        </w:r>
        <w:r w:rsidRPr="003C1381">
          <w:rPr>
            <w:rFonts w:asciiTheme="minorHAnsi" w:hAnsiTheme="minorHAnsi" w:cstheme="minorHAnsi"/>
          </w:rPr>
          <w:instrText xml:space="preserve"> PAGE   \* MERGEFORMAT </w:instrText>
        </w:r>
        <w:r w:rsidRPr="003C1381">
          <w:rPr>
            <w:rFonts w:asciiTheme="minorHAnsi" w:hAnsiTheme="minorHAnsi" w:cstheme="minorHAnsi"/>
          </w:rPr>
          <w:fldChar w:fldCharType="separate"/>
        </w:r>
        <w:r w:rsidR="00FB5819">
          <w:rPr>
            <w:rFonts w:asciiTheme="minorHAnsi" w:hAnsiTheme="minorHAnsi" w:cstheme="minorHAnsi"/>
            <w:noProof/>
          </w:rPr>
          <w:t>x</w:t>
        </w:r>
        <w:r w:rsidRPr="003C1381">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156945"/>
      <w:docPartObj>
        <w:docPartGallery w:val="Page Numbers (Bottom of Page)"/>
        <w:docPartUnique/>
      </w:docPartObj>
    </w:sdtPr>
    <w:sdtEndPr>
      <w:rPr>
        <w:rFonts w:asciiTheme="minorHAnsi" w:hAnsiTheme="minorHAnsi"/>
        <w:noProof/>
        <w:szCs w:val="22"/>
      </w:rPr>
    </w:sdtEndPr>
    <w:sdtContent>
      <w:p w14:paraId="4225974A" w14:textId="52171D5E" w:rsidR="00D82918" w:rsidRPr="00854A65" w:rsidRDefault="00D82918" w:rsidP="00A93308">
        <w:pPr>
          <w:pStyle w:val="Footer"/>
          <w:jc w:val="center"/>
          <w:rPr>
            <w:rFonts w:asciiTheme="minorHAnsi" w:hAnsiTheme="minorHAnsi"/>
            <w:sz w:val="20"/>
          </w:rPr>
        </w:pPr>
        <w:r w:rsidRPr="00A93308">
          <w:rPr>
            <w:rFonts w:asciiTheme="minorHAnsi" w:hAnsiTheme="minorHAnsi"/>
            <w:szCs w:val="22"/>
          </w:rPr>
          <w:fldChar w:fldCharType="begin"/>
        </w:r>
        <w:r w:rsidRPr="00A93308">
          <w:rPr>
            <w:rFonts w:asciiTheme="minorHAnsi" w:hAnsiTheme="minorHAnsi"/>
            <w:szCs w:val="22"/>
          </w:rPr>
          <w:instrText xml:space="preserve"> PAGE   \* MERGEFORMAT </w:instrText>
        </w:r>
        <w:r w:rsidRPr="00A93308">
          <w:rPr>
            <w:rFonts w:asciiTheme="minorHAnsi" w:hAnsiTheme="minorHAnsi"/>
            <w:szCs w:val="22"/>
          </w:rPr>
          <w:fldChar w:fldCharType="separate"/>
        </w:r>
        <w:r w:rsidR="00FB5819" w:rsidRPr="00FB5819">
          <w:rPr>
            <w:rFonts w:asciiTheme="minorHAnsi" w:hAnsiTheme="minorHAnsi"/>
            <w:noProof/>
            <w:sz w:val="20"/>
          </w:rPr>
          <w:t>38</w:t>
        </w:r>
        <w:r w:rsidRPr="00A93308">
          <w:rPr>
            <w:rFonts w:asciiTheme="minorHAnsi" w:hAnsiTheme="minorHAnsi"/>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90169"/>
      <w:docPartObj>
        <w:docPartGallery w:val="Page Numbers (Bottom of Page)"/>
        <w:docPartUnique/>
      </w:docPartObj>
    </w:sdtPr>
    <w:sdtEndPr>
      <w:rPr>
        <w:noProof/>
        <w:sz w:val="20"/>
      </w:rPr>
    </w:sdtEndPr>
    <w:sdtContent>
      <w:p w14:paraId="5AB57BA7" w14:textId="1654AB3A" w:rsidR="00D82918" w:rsidRDefault="00D82918" w:rsidP="001721F9">
        <w:pPr>
          <w:pStyle w:val="Footer"/>
          <w:jc w:val="center"/>
        </w:pPr>
        <w:r w:rsidRPr="005B4E96">
          <w:rPr>
            <w:rFonts w:asciiTheme="minorHAnsi" w:hAnsiTheme="minorHAnsi" w:cstheme="minorHAnsi"/>
            <w:sz w:val="20"/>
          </w:rPr>
          <w:fldChar w:fldCharType="begin"/>
        </w:r>
        <w:r w:rsidRPr="005B4E96">
          <w:rPr>
            <w:rFonts w:asciiTheme="minorHAnsi" w:hAnsiTheme="minorHAnsi" w:cstheme="minorHAnsi"/>
            <w:sz w:val="20"/>
          </w:rPr>
          <w:instrText xml:space="preserve"> PAGE   \* MERGEFORMAT </w:instrText>
        </w:r>
        <w:r w:rsidRPr="005B4E96">
          <w:rPr>
            <w:rFonts w:asciiTheme="minorHAnsi" w:hAnsiTheme="minorHAnsi" w:cstheme="minorHAnsi"/>
            <w:sz w:val="20"/>
          </w:rPr>
          <w:fldChar w:fldCharType="separate"/>
        </w:r>
        <w:r w:rsidR="00FB5819">
          <w:rPr>
            <w:rFonts w:asciiTheme="minorHAnsi" w:hAnsiTheme="minorHAnsi" w:cstheme="minorHAnsi"/>
            <w:noProof/>
            <w:sz w:val="20"/>
          </w:rPr>
          <w:t>170</w:t>
        </w:r>
        <w:r w:rsidRPr="005B4E96">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C783" w14:textId="77777777" w:rsidR="00D82918" w:rsidRDefault="00D82918" w:rsidP="00B61FBE">
      <w:pPr>
        <w:spacing w:after="0"/>
      </w:pPr>
      <w:r>
        <w:separator/>
      </w:r>
    </w:p>
  </w:footnote>
  <w:footnote w:type="continuationSeparator" w:id="0">
    <w:p w14:paraId="2354A891" w14:textId="77777777" w:rsidR="00D82918" w:rsidRDefault="00D82918" w:rsidP="00B61FBE">
      <w:pPr>
        <w:spacing w:after="0"/>
      </w:pPr>
      <w:r>
        <w:continuationSeparator/>
      </w:r>
    </w:p>
  </w:footnote>
  <w:footnote w:type="continuationNotice" w:id="1">
    <w:p w14:paraId="2B8D63A1" w14:textId="77777777" w:rsidR="00D82918" w:rsidRDefault="00D82918">
      <w:pPr>
        <w:spacing w:after="0"/>
      </w:pPr>
    </w:p>
  </w:footnote>
  <w:footnote w:id="2">
    <w:p w14:paraId="7F279A78" w14:textId="77777777" w:rsidR="00D82918" w:rsidRPr="00854A65" w:rsidRDefault="00D82918" w:rsidP="007007BF">
      <w:pPr>
        <w:pStyle w:val="FootnoteText"/>
        <w:jc w:val="left"/>
      </w:pPr>
      <w:r w:rsidRPr="00854A65">
        <w:rPr>
          <w:rStyle w:val="FootnoteReference"/>
        </w:rPr>
        <w:footnoteRef/>
      </w:r>
      <w:r w:rsidRPr="00854A65">
        <w:t xml:space="preserve"> President Kennedy, </w:t>
      </w:r>
      <w:r w:rsidRPr="00F9116A">
        <w:t>op. cit.</w:t>
      </w:r>
      <w:r>
        <w:rPr>
          <w:i/>
        </w:rPr>
        <w:t xml:space="preserve">, </w:t>
      </w:r>
      <w:r>
        <w:t>available at</w:t>
      </w:r>
      <w:r w:rsidRPr="00854A65">
        <w:rPr>
          <w:i/>
        </w:rPr>
        <w:t xml:space="preserve"> </w:t>
      </w:r>
      <w:r w:rsidRPr="00854A65">
        <w:t xml:space="preserve">http:// </w:t>
      </w:r>
      <w:hyperlink r:id="rId1" w:history="1">
        <w:r w:rsidRPr="00854A65">
          <w:rPr>
            <w:rStyle w:val="Hyperlink"/>
          </w:rPr>
          <w:t>www.presidency.ucsb.e-du/ws/index.php?pid=9108</w:t>
        </w:r>
      </w:hyperlink>
      <w:r w:rsidRPr="00854A65">
        <w:t>.</w:t>
      </w:r>
    </w:p>
  </w:footnote>
  <w:footnote w:id="3">
    <w:p w14:paraId="2D5DEABA" w14:textId="77777777" w:rsidR="00D82918" w:rsidRPr="00854A65" w:rsidRDefault="00D82918">
      <w:pPr>
        <w:pStyle w:val="FootnoteText"/>
      </w:pPr>
      <w:r w:rsidRPr="00854A65">
        <w:rPr>
          <w:rStyle w:val="FootnoteReference"/>
        </w:rPr>
        <w:footnoteRef/>
      </w:r>
      <w:r w:rsidRPr="00854A65">
        <w:t xml:space="preserve"> President Kennedy, </w:t>
      </w:r>
      <w:r w:rsidRPr="00F9116A">
        <w:t>op. cit.,</w:t>
      </w:r>
      <w:r>
        <w:rPr>
          <w:i/>
        </w:rPr>
        <w:t xml:space="preserve"> </w:t>
      </w:r>
      <w:r>
        <w:t>available at</w:t>
      </w:r>
      <w:r w:rsidRPr="00854A65">
        <w:rPr>
          <w:i/>
        </w:rPr>
        <w:t xml:space="preserve"> </w:t>
      </w:r>
      <w:r w:rsidRPr="00854A65">
        <w:t xml:space="preserve">http:// </w:t>
      </w:r>
      <w:hyperlink r:id="rId2" w:history="1">
        <w:r w:rsidRPr="00854A65">
          <w:rPr>
            <w:rStyle w:val="Hyperlink"/>
          </w:rPr>
          <w:t>www.presidency.ucsb.e-du/ws/index.php?pid=9108</w:t>
        </w:r>
      </w:hyperlink>
      <w:r w:rsidRPr="00854A65">
        <w:t>.</w:t>
      </w:r>
    </w:p>
  </w:footnote>
  <w:footnote w:id="4">
    <w:p w14:paraId="0702A23D" w14:textId="77777777" w:rsidR="00D82918" w:rsidRPr="00854A65" w:rsidRDefault="00D82918">
      <w:pPr>
        <w:pStyle w:val="FootnoteText"/>
      </w:pPr>
      <w:r w:rsidRPr="00854A65">
        <w:rPr>
          <w:rStyle w:val="FootnoteReference"/>
        </w:rPr>
        <w:footnoteRef/>
      </w:r>
      <w:r w:rsidRPr="00854A65">
        <w:t xml:space="preserve"> President Kennedy, </w:t>
      </w:r>
      <w:r w:rsidRPr="00F9116A">
        <w:t>op. cit.</w:t>
      </w:r>
      <w:r>
        <w:t>, available at</w:t>
      </w:r>
      <w:r w:rsidRPr="00854A65">
        <w:rPr>
          <w:i/>
        </w:rPr>
        <w:t xml:space="preserve"> </w:t>
      </w:r>
      <w:r w:rsidRPr="00854A65">
        <w:t xml:space="preserve">http:// </w:t>
      </w:r>
      <w:hyperlink r:id="rId3" w:history="1">
        <w:r w:rsidRPr="00854A65">
          <w:rPr>
            <w:rStyle w:val="Hyperlink"/>
          </w:rPr>
          <w:t>www.presidency.ucsb.e-du/ws/index.php?pid=9108</w:t>
        </w:r>
      </w:hyperlink>
      <w:r w:rsidRPr="00854A65">
        <w:t>.</w:t>
      </w:r>
    </w:p>
  </w:footnote>
  <w:footnote w:id="5">
    <w:p w14:paraId="0B16A846" w14:textId="684791BC" w:rsidR="00D82918" w:rsidRPr="00854A65" w:rsidRDefault="00D82918">
      <w:pPr>
        <w:pStyle w:val="FootnoteText"/>
      </w:pPr>
      <w:r w:rsidRPr="00854A65">
        <w:rPr>
          <w:rStyle w:val="FootnoteReference"/>
        </w:rPr>
        <w:footnoteRef/>
      </w:r>
      <w:r w:rsidRPr="00854A65">
        <w:t xml:space="preserve"> J Kitching</w:t>
      </w:r>
      <w:r>
        <w:t xml:space="preserve"> et al</w:t>
      </w:r>
      <w:r w:rsidRPr="00854A65">
        <w:t xml:space="preserve">, </w:t>
      </w:r>
      <w:r>
        <w:t xml:space="preserve">2015, </w:t>
      </w:r>
      <w:r w:rsidRPr="00F9116A">
        <w:t>Burden or benefit? Regulation as a dynamic influence on small business performance</w:t>
      </w:r>
      <w:r>
        <w:t>,</w:t>
      </w:r>
      <w:r w:rsidRPr="00F9116A">
        <w:rPr>
          <w:i/>
        </w:rPr>
        <w:t xml:space="preserve"> International Small Business Journal</w:t>
      </w:r>
      <w:r w:rsidRPr="00854A65">
        <w:t>, 33</w:t>
      </w:r>
      <w:r>
        <w:t>(</w:t>
      </w:r>
      <w:r w:rsidRPr="00F9116A">
        <w:t>2)</w:t>
      </w:r>
      <w:r>
        <w:t>:130</w:t>
      </w:r>
      <w:r w:rsidRPr="00F9116A">
        <w:t>–147</w:t>
      </w:r>
      <w:r w:rsidRPr="00854A65">
        <w:t xml:space="preserve">. </w:t>
      </w:r>
    </w:p>
  </w:footnote>
  <w:footnote w:id="6">
    <w:p w14:paraId="7F423C0D" w14:textId="77777777" w:rsidR="00D82918" w:rsidRPr="00854A65" w:rsidRDefault="00D82918" w:rsidP="00843222">
      <w:pPr>
        <w:pStyle w:val="FootnoteText"/>
      </w:pPr>
      <w:r w:rsidRPr="00854A65">
        <w:rPr>
          <w:rStyle w:val="FootnoteReference"/>
        </w:rPr>
        <w:footnoteRef/>
      </w:r>
      <w:r>
        <w:t xml:space="preserve"> Recognized by g</w:t>
      </w:r>
      <w:r w:rsidRPr="00854A65">
        <w:t xml:space="preserve">uideline 1 of the </w:t>
      </w:r>
      <w:r w:rsidRPr="00854A65">
        <w:rPr>
          <w:i/>
        </w:rPr>
        <w:t>United Nations Guidelines for Consumer Protection,</w:t>
      </w:r>
      <w:r w:rsidRPr="00854A65">
        <w:t xml:space="preserve"> 2015.</w:t>
      </w:r>
    </w:p>
  </w:footnote>
  <w:footnote w:id="7">
    <w:p w14:paraId="2B06A886" w14:textId="77777777" w:rsidR="00D82918" w:rsidRPr="00854A65" w:rsidRDefault="00D82918" w:rsidP="00843222">
      <w:pPr>
        <w:pStyle w:val="FootnoteText"/>
      </w:pPr>
      <w:r w:rsidRPr="00854A65">
        <w:rPr>
          <w:rStyle w:val="FootnoteReference"/>
        </w:rPr>
        <w:footnoteRef/>
      </w:r>
      <w:r w:rsidRPr="00854A65">
        <w:t xml:space="preserve"> UNCTAD, 2008</w:t>
      </w:r>
      <w:r>
        <w:t xml:space="preserve">, </w:t>
      </w:r>
      <w:r>
        <w:rPr>
          <w:i/>
        </w:rPr>
        <w:t>Consumer Policy Manual</w:t>
      </w:r>
      <w:r w:rsidRPr="00854A65">
        <w:t>.</w:t>
      </w:r>
    </w:p>
  </w:footnote>
  <w:footnote w:id="8">
    <w:p w14:paraId="397BE270" w14:textId="77777777" w:rsidR="00D82918" w:rsidRDefault="00D82918" w:rsidP="00843222">
      <w:pPr>
        <w:pStyle w:val="FootnoteText"/>
      </w:pPr>
      <w:r w:rsidRPr="00854A65">
        <w:rPr>
          <w:rStyle w:val="FootnoteReference"/>
        </w:rPr>
        <w:footnoteRef/>
      </w:r>
      <w:r>
        <w:t xml:space="preserve"> Executive Office of the P</w:t>
      </w:r>
      <w:r w:rsidRPr="00854A65">
        <w:t xml:space="preserve">resident, Report to the President: </w:t>
      </w:r>
      <w:r w:rsidRPr="00895257">
        <w:t>Big data and privacy, a technological perspective</w:t>
      </w:r>
      <w:r>
        <w:t>,</w:t>
      </w:r>
      <w:r w:rsidRPr="00854A65">
        <w:t xml:space="preserve"> President’s Council of Adv</w:t>
      </w:r>
      <w:r>
        <w:t>isors on Science and Technology, available at</w:t>
      </w:r>
    </w:p>
    <w:p w14:paraId="60AAC0A5" w14:textId="77777777" w:rsidR="00D82918" w:rsidRPr="00854A65" w:rsidRDefault="00FB5819" w:rsidP="00843222">
      <w:pPr>
        <w:pStyle w:val="FootnoteText"/>
      </w:pPr>
      <w:hyperlink r:id="rId4" w:history="1">
        <w:r w:rsidR="00D82918" w:rsidRPr="00F3283D">
          <w:rPr>
            <w:rStyle w:val="Hyperlink"/>
          </w:rPr>
          <w:t>https://www.whitehouse.gov/sites/default/files/microsites/ostp/PCAST/pcast_big_data_and_privacy_may_2014.pdf</w:t>
        </w:r>
      </w:hyperlink>
      <w:r w:rsidR="00D82918" w:rsidRPr="00854A65">
        <w:t>.</w:t>
      </w:r>
      <w:r w:rsidR="00D82918">
        <w:t xml:space="preserve"> </w:t>
      </w:r>
    </w:p>
  </w:footnote>
  <w:footnote w:id="9">
    <w:p w14:paraId="11AD719B" w14:textId="77777777" w:rsidR="00D82918" w:rsidRPr="00854A65" w:rsidRDefault="00D82918" w:rsidP="00843222">
      <w:pPr>
        <w:pStyle w:val="FootnoteText"/>
      </w:pPr>
      <w:r w:rsidRPr="00854A65">
        <w:rPr>
          <w:rStyle w:val="FootnoteReference"/>
        </w:rPr>
        <w:footnoteRef/>
      </w:r>
      <w:r w:rsidRPr="00854A65">
        <w:t xml:space="preserve"> Consumers International, </w:t>
      </w:r>
      <w:r>
        <w:t xml:space="preserve">2016, </w:t>
      </w:r>
      <w:r w:rsidRPr="00854A65">
        <w:rPr>
          <w:i/>
        </w:rPr>
        <w:t>Connection and Protection in the Digital Age</w:t>
      </w:r>
      <w:r w:rsidRPr="00854A65">
        <w:t>.</w:t>
      </w:r>
    </w:p>
  </w:footnote>
  <w:footnote w:id="10">
    <w:p w14:paraId="45EBFDDB" w14:textId="77777777" w:rsidR="00D82918" w:rsidRPr="00854A65" w:rsidRDefault="00D82918" w:rsidP="00DE2552">
      <w:pPr>
        <w:pStyle w:val="FootnoteText"/>
      </w:pPr>
      <w:r w:rsidRPr="00854A65">
        <w:rPr>
          <w:rStyle w:val="FootnoteReference"/>
        </w:rPr>
        <w:footnoteRef/>
      </w:r>
      <w:r w:rsidRPr="00854A65">
        <w:t xml:space="preserve"> </w:t>
      </w:r>
      <w:r w:rsidRPr="00854A65">
        <w:rPr>
          <w:i/>
        </w:rPr>
        <w:t>United Nations Guidelines for Consumer Protection</w:t>
      </w:r>
      <w:r w:rsidRPr="00895257">
        <w:t>;</w:t>
      </w:r>
      <w:r w:rsidRPr="00854A65">
        <w:rPr>
          <w:i/>
        </w:rPr>
        <w:t xml:space="preserve"> </w:t>
      </w:r>
      <w:r w:rsidRPr="00854A65">
        <w:t>General Assembly resolution II A/70/470/Add.1, distributed</w:t>
      </w:r>
      <w:r>
        <w:t xml:space="preserve"> 15 December</w:t>
      </w:r>
      <w:r w:rsidRPr="00854A65">
        <w:t xml:space="preserve"> 2015, adopted 22 December 20</w:t>
      </w:r>
      <w:r>
        <w:t>15, reissued as: A/RES/70/186. On the SDGs, see</w:t>
      </w:r>
      <w:r w:rsidRPr="00854A65">
        <w:t xml:space="preserve"> United Nations, </w:t>
      </w:r>
      <w:r w:rsidRPr="00854A65">
        <w:rPr>
          <w:i/>
        </w:rPr>
        <w:t>Transforming our</w:t>
      </w:r>
      <w:r>
        <w:rPr>
          <w:i/>
        </w:rPr>
        <w:t xml:space="preserve"> World: The 2030 Agenda for Sustainable D</w:t>
      </w:r>
      <w:r w:rsidRPr="00854A65">
        <w:rPr>
          <w:i/>
        </w:rPr>
        <w:t>evelopment</w:t>
      </w:r>
      <w:r>
        <w:t>,</w:t>
      </w:r>
      <w:r w:rsidRPr="00854A65">
        <w:t xml:space="preserve"> A/RES/70/1.2015.</w:t>
      </w:r>
    </w:p>
  </w:footnote>
  <w:footnote w:id="11">
    <w:p w14:paraId="09769D65" w14:textId="77777777" w:rsidR="00D82918" w:rsidRPr="00854A65" w:rsidRDefault="00D82918" w:rsidP="00DE2552">
      <w:pPr>
        <w:pStyle w:val="FootnoteText"/>
      </w:pPr>
      <w:r w:rsidRPr="00854A65">
        <w:rPr>
          <w:rStyle w:val="FootnoteReference"/>
        </w:rPr>
        <w:footnoteRef/>
      </w:r>
      <w:r>
        <w:t xml:space="preserve"> </w:t>
      </w:r>
      <w:hyperlink r:id="rId5" w:history="1">
        <w:r w:rsidRPr="007A792C">
          <w:rPr>
            <w:rStyle w:val="Hyperlink"/>
            <w:color w:val="auto"/>
            <w:u w:val="none"/>
          </w:rPr>
          <w:t>President</w:t>
        </w:r>
      </w:hyperlink>
      <w:r w:rsidRPr="007A792C">
        <w:t xml:space="preserve"> </w:t>
      </w:r>
      <w:r w:rsidRPr="00854A65">
        <w:t>Kennedy</w:t>
      </w:r>
      <w:r>
        <w:t>,</w:t>
      </w:r>
      <w:r w:rsidRPr="00854A65">
        <w:t xml:space="preserve"> </w:t>
      </w:r>
      <w:r w:rsidRPr="00895257">
        <w:t>op. cit.</w:t>
      </w:r>
    </w:p>
  </w:footnote>
  <w:footnote w:id="12">
    <w:p w14:paraId="2680CF36" w14:textId="77777777" w:rsidR="00D82918" w:rsidRPr="00854A65" w:rsidRDefault="00D82918" w:rsidP="00DE2552">
      <w:pPr>
        <w:pStyle w:val="FootnoteText"/>
      </w:pPr>
      <w:r w:rsidRPr="00854A65">
        <w:rPr>
          <w:rStyle w:val="FootnoteReference"/>
        </w:rPr>
        <w:footnoteRef/>
      </w:r>
      <w:r>
        <w:t xml:space="preserve"> AR</w:t>
      </w:r>
      <w:r w:rsidRPr="00854A65">
        <w:t xml:space="preserve"> Adreasen, </w:t>
      </w:r>
      <w:r>
        <w:t xml:space="preserve">1975, </w:t>
      </w:r>
      <w:r>
        <w:rPr>
          <w:i/>
        </w:rPr>
        <w:t>The Disadvantaged Consumer</w:t>
      </w:r>
      <w:r w:rsidRPr="00854A65">
        <w:rPr>
          <w:i/>
        </w:rPr>
        <w:t xml:space="preserve"> </w:t>
      </w:r>
      <w:r>
        <w:t>(</w:t>
      </w:r>
      <w:r w:rsidRPr="00854A65">
        <w:t>The Free Press</w:t>
      </w:r>
      <w:r>
        <w:t>);</w:t>
      </w:r>
      <w:r w:rsidRPr="00854A65">
        <w:t xml:space="preserve"> </w:t>
      </w:r>
      <w:r>
        <w:t>D</w:t>
      </w:r>
      <w:r w:rsidRPr="00854A65">
        <w:t xml:space="preserve"> Caplovitz, </w:t>
      </w:r>
      <w:r>
        <w:t xml:space="preserve">1963, </w:t>
      </w:r>
      <w:r>
        <w:rPr>
          <w:i/>
        </w:rPr>
        <w:t>The Poor Pay More</w:t>
      </w:r>
      <w:r w:rsidRPr="00854A65">
        <w:t>.</w:t>
      </w:r>
    </w:p>
  </w:footnote>
  <w:footnote w:id="13">
    <w:p w14:paraId="369A01D7" w14:textId="77777777" w:rsidR="00D82918" w:rsidRPr="00854A65" w:rsidRDefault="00D82918" w:rsidP="00DE2552">
      <w:pPr>
        <w:pStyle w:val="FootnoteText"/>
      </w:pPr>
      <w:r w:rsidRPr="00854A65">
        <w:rPr>
          <w:rStyle w:val="FootnoteReference"/>
        </w:rPr>
        <w:footnoteRef/>
      </w:r>
      <w:r>
        <w:t xml:space="preserve"> </w:t>
      </w:r>
      <w:r w:rsidRPr="00854A65">
        <w:t xml:space="preserve">Energywatch, </w:t>
      </w:r>
      <w:r>
        <w:t xml:space="preserve">2008, </w:t>
      </w:r>
      <w:r w:rsidRPr="00854A65">
        <w:rPr>
          <w:i/>
        </w:rPr>
        <w:t>Poor Choices: The Limits of Competitive Markets in the Provision of Essential S</w:t>
      </w:r>
      <w:r>
        <w:rPr>
          <w:i/>
        </w:rPr>
        <w:t>ervices to Low Income Consumers</w:t>
      </w:r>
      <w:r w:rsidRPr="00854A65">
        <w:t>.</w:t>
      </w:r>
    </w:p>
  </w:footnote>
  <w:footnote w:id="14">
    <w:p w14:paraId="4D4569EC" w14:textId="1BC1AA43" w:rsidR="00D82918" w:rsidRPr="00854A65" w:rsidRDefault="00D82918" w:rsidP="00DE2552">
      <w:pPr>
        <w:pStyle w:val="FootnoteText"/>
      </w:pPr>
      <w:r w:rsidRPr="00854A65">
        <w:rPr>
          <w:rStyle w:val="FootnoteReference"/>
        </w:rPr>
        <w:footnoteRef/>
      </w:r>
      <w:r>
        <w:t xml:space="preserve"> JL</w:t>
      </w:r>
      <w:r w:rsidRPr="00854A65">
        <w:t xml:space="preserve"> Baker,</w:t>
      </w:r>
      <w:r>
        <w:t xml:space="preserve"> 2009,</w:t>
      </w:r>
      <w:r w:rsidRPr="00854A65">
        <w:t xml:space="preserve"> </w:t>
      </w:r>
      <w:r w:rsidRPr="00854A65">
        <w:rPr>
          <w:i/>
        </w:rPr>
        <w:t>Opportunities and Challenges for Small Scale Private Service Providers in Electricity and Wat</w:t>
      </w:r>
      <w:r>
        <w:rPr>
          <w:i/>
        </w:rPr>
        <w:t>er Supply</w:t>
      </w:r>
      <w:r w:rsidRPr="00854A65">
        <w:rPr>
          <w:i/>
        </w:rPr>
        <w:t xml:space="preserve"> </w:t>
      </w:r>
      <w:r>
        <w:t>(</w:t>
      </w:r>
      <w:r w:rsidRPr="00854A65">
        <w:t>World Bank/</w:t>
      </w:r>
      <w:r w:rsidRPr="0065326A">
        <w:t>P</w:t>
      </w:r>
      <w:r>
        <w:t>PIAF);</w:t>
      </w:r>
      <w:r w:rsidRPr="00854A65">
        <w:t xml:space="preserve"> </w:t>
      </w:r>
      <w:r w:rsidRPr="00FE2E9D">
        <w:t>P</w:t>
      </w:r>
      <w:r>
        <w:t>PIAF</w:t>
      </w:r>
      <w:r w:rsidRPr="00854A65">
        <w:t xml:space="preserve">, </w:t>
      </w:r>
      <w:r>
        <w:t>2012, The most expensive service is that which does not e</w:t>
      </w:r>
      <w:r w:rsidRPr="0065326A">
        <w:t>xist</w:t>
      </w:r>
      <w:r>
        <w:t>, in</w:t>
      </w:r>
      <w:r w:rsidRPr="00854A65">
        <w:t xml:space="preserve"> </w:t>
      </w:r>
      <w:r w:rsidRPr="00854A65">
        <w:rPr>
          <w:i/>
        </w:rPr>
        <w:t>Lessons Learned; Pricing and Affordability in Essential Services</w:t>
      </w:r>
      <w:r w:rsidRPr="00854A65">
        <w:t xml:space="preserve">. </w:t>
      </w:r>
    </w:p>
  </w:footnote>
  <w:footnote w:id="15">
    <w:p w14:paraId="7AFD743F" w14:textId="77777777" w:rsidR="00D82918" w:rsidRPr="00854A65" w:rsidRDefault="00D82918" w:rsidP="007A792C">
      <w:pPr>
        <w:pStyle w:val="FootnoteText"/>
        <w:jc w:val="left"/>
      </w:pPr>
      <w:r w:rsidRPr="00854A65">
        <w:rPr>
          <w:rStyle w:val="FootnoteReference"/>
        </w:rPr>
        <w:footnoteRef/>
      </w:r>
      <w:r>
        <w:t xml:space="preserve"> </w:t>
      </w:r>
      <w:r w:rsidRPr="00854A65">
        <w:t>United Nations General Assembly,</w:t>
      </w:r>
      <w:r>
        <w:t xml:space="preserve"> 2015, op. cit., A/RES/70/186</w:t>
      </w:r>
      <w:r w:rsidRPr="00854A65">
        <w:t>.</w:t>
      </w:r>
    </w:p>
  </w:footnote>
  <w:footnote w:id="16">
    <w:p w14:paraId="68619C35" w14:textId="77777777" w:rsidR="00D82918" w:rsidRPr="00854A65" w:rsidRDefault="00D82918" w:rsidP="00DE2552">
      <w:pPr>
        <w:pStyle w:val="FootnoteText"/>
      </w:pPr>
      <w:r w:rsidRPr="00854A65">
        <w:rPr>
          <w:rStyle w:val="FootnoteReference"/>
        </w:rPr>
        <w:footnoteRef/>
      </w:r>
      <w:r>
        <w:t xml:space="preserve"> </w:t>
      </w:r>
      <w:r w:rsidRPr="00854A65">
        <w:t xml:space="preserve">Consumer Council of Fiji Act, 1976; </w:t>
      </w:r>
      <w:r>
        <w:t>Consumers’ Protection Act, 1995</w:t>
      </w:r>
      <w:r w:rsidRPr="00854A65">
        <w:t xml:space="preserve"> </w:t>
      </w:r>
      <w:r>
        <w:t>(</w:t>
      </w:r>
      <w:r w:rsidRPr="00854A65">
        <w:t>Pakistan</w:t>
      </w:r>
      <w:r>
        <w:t>)</w:t>
      </w:r>
      <w:r w:rsidRPr="00854A65">
        <w:t>.</w:t>
      </w:r>
    </w:p>
  </w:footnote>
  <w:footnote w:id="17">
    <w:p w14:paraId="03B278E5" w14:textId="77777777" w:rsidR="00D82918" w:rsidRPr="00854A65" w:rsidRDefault="00D82918" w:rsidP="00DE2552">
      <w:pPr>
        <w:pStyle w:val="FootnoteText"/>
      </w:pPr>
      <w:r w:rsidRPr="00854A65">
        <w:rPr>
          <w:rStyle w:val="FootnoteReference"/>
        </w:rPr>
        <w:footnoteRef/>
      </w:r>
      <w:r>
        <w:t xml:space="preserve"> Consumer Protection Act, 1986</w:t>
      </w:r>
      <w:r w:rsidRPr="00854A65">
        <w:t xml:space="preserve"> </w:t>
      </w:r>
      <w:r>
        <w:t>(</w:t>
      </w:r>
      <w:r w:rsidRPr="00854A65">
        <w:t>India</w:t>
      </w:r>
      <w:r>
        <w:t>); Consumer Protection Act, 1998</w:t>
      </w:r>
      <w:r w:rsidRPr="00854A65">
        <w:t xml:space="preserve"> </w:t>
      </w:r>
      <w:r>
        <w:t>(</w:t>
      </w:r>
      <w:r w:rsidRPr="00854A65">
        <w:t>Nepal</w:t>
      </w:r>
      <w:r>
        <w:t>)</w:t>
      </w:r>
      <w:r w:rsidRPr="00854A65">
        <w:t xml:space="preserve">; Consumer Act of the Philippines, Republic Act 7394, 1990; Consumer Protection Act, </w:t>
      </w:r>
      <w:r>
        <w:t>1986 (</w:t>
      </w:r>
      <w:r w:rsidRPr="00854A65">
        <w:t>Republic of Korea</w:t>
      </w:r>
      <w:r>
        <w:t>); Viet Nam Ordinance on the Protection of Consumer</w:t>
      </w:r>
      <w:r w:rsidRPr="00854A65">
        <w:t>s</w:t>
      </w:r>
      <w:r>
        <w:t>’</w:t>
      </w:r>
      <w:r w:rsidRPr="00854A65">
        <w:t xml:space="preserve"> Interest, 1999. </w:t>
      </w:r>
    </w:p>
  </w:footnote>
  <w:footnote w:id="18">
    <w:p w14:paraId="70D4A249" w14:textId="77777777" w:rsidR="00D82918" w:rsidRPr="00854A65" w:rsidRDefault="00D82918" w:rsidP="00843222">
      <w:pPr>
        <w:pStyle w:val="FootnoteText"/>
      </w:pPr>
      <w:r w:rsidRPr="00854A65">
        <w:rPr>
          <w:rStyle w:val="FootnoteReference"/>
        </w:rPr>
        <w:footnoteRef/>
      </w:r>
      <w:r>
        <w:t xml:space="preserve"> </w:t>
      </w:r>
      <w:r w:rsidRPr="00854A65">
        <w:t xml:space="preserve">Consumers International, </w:t>
      </w:r>
      <w:r>
        <w:t xml:space="preserve">2013, </w:t>
      </w:r>
      <w:r w:rsidRPr="00854A65">
        <w:rPr>
          <w:i/>
        </w:rPr>
        <w:t>The State of Consum</w:t>
      </w:r>
      <w:r>
        <w:rPr>
          <w:i/>
        </w:rPr>
        <w:t>er Protection Around the World</w:t>
      </w:r>
      <w:r w:rsidRPr="00854A65">
        <w:t>.</w:t>
      </w:r>
    </w:p>
  </w:footnote>
  <w:footnote w:id="19">
    <w:p w14:paraId="2862B418" w14:textId="77777777" w:rsidR="00D82918" w:rsidRPr="00854A65" w:rsidRDefault="00D82918" w:rsidP="00DE2552">
      <w:pPr>
        <w:pStyle w:val="FootnoteText"/>
      </w:pPr>
      <w:r w:rsidRPr="00854A65">
        <w:rPr>
          <w:rStyle w:val="FootnoteReference"/>
        </w:rPr>
        <w:footnoteRef/>
      </w:r>
      <w:r>
        <w:t xml:space="preserve"> Belgium, A</w:t>
      </w:r>
      <w:r w:rsidRPr="00854A65">
        <w:t>rticle 2 of Law of</w:t>
      </w:r>
      <w:r>
        <w:t xml:space="preserve"> 6 April 2010 on M</w:t>
      </w:r>
      <w:r w:rsidRPr="00854A65">
        <w:t>arket Protection and Consumer Protection; Quebec, 1978, modified 2010</w:t>
      </w:r>
      <w:r>
        <w:t xml:space="preserve">, </w:t>
      </w:r>
      <w:r w:rsidRPr="00854A65">
        <w:t>Loi su</w:t>
      </w:r>
      <w:r>
        <w:t>r la protection du consommateur</w:t>
      </w:r>
      <w:r w:rsidRPr="00854A65">
        <w:t>; Uruguay, 2000</w:t>
      </w:r>
      <w:r>
        <w:t xml:space="preserve">, </w:t>
      </w:r>
      <w:r w:rsidRPr="00854A65">
        <w:t>Ley 17.</w:t>
      </w:r>
      <w:r>
        <w:t>250 de relaciones de consumidor</w:t>
      </w:r>
      <w:r w:rsidRPr="00854A65">
        <w:t>.</w:t>
      </w:r>
    </w:p>
  </w:footnote>
  <w:footnote w:id="20">
    <w:p w14:paraId="6DA3D402" w14:textId="77777777" w:rsidR="00D82918" w:rsidRPr="00854A65" w:rsidRDefault="00D82918" w:rsidP="00DE2552">
      <w:pPr>
        <w:pStyle w:val="FootnoteText"/>
        <w:rPr>
          <w:lang w:val="es-ES"/>
        </w:rPr>
      </w:pPr>
      <w:r w:rsidRPr="00854A65">
        <w:rPr>
          <w:rStyle w:val="FootnoteReference"/>
        </w:rPr>
        <w:footnoteRef/>
      </w:r>
      <w:r>
        <w:rPr>
          <w:lang w:val="es-ES"/>
        </w:rPr>
        <w:t xml:space="preserve"> </w:t>
      </w:r>
      <w:r w:rsidRPr="00854A65">
        <w:rPr>
          <w:lang w:val="es-ES"/>
        </w:rPr>
        <w:t xml:space="preserve">Chile, </w:t>
      </w:r>
      <w:r>
        <w:rPr>
          <w:lang w:val="es-ES"/>
        </w:rPr>
        <w:t>2004 (r</w:t>
      </w:r>
      <w:r w:rsidRPr="00854A65">
        <w:rPr>
          <w:lang w:val="es-ES"/>
        </w:rPr>
        <w:t>evised 2012</w:t>
      </w:r>
      <w:r>
        <w:rPr>
          <w:lang w:val="es-ES"/>
        </w:rPr>
        <w:t>), Ley 19.496</w:t>
      </w:r>
      <w:r w:rsidRPr="00854A65">
        <w:rPr>
          <w:lang w:val="es-ES"/>
        </w:rPr>
        <w:t>; Panama, Ley 45.2007; Peru,</w:t>
      </w:r>
      <w:r>
        <w:rPr>
          <w:lang w:val="es-ES"/>
        </w:rPr>
        <w:t xml:space="preserve"> 2010,</w:t>
      </w:r>
      <w:r w:rsidRPr="00854A65">
        <w:rPr>
          <w:lang w:val="es-ES"/>
        </w:rPr>
        <w:t xml:space="preserve"> Ley 29571; Guatemala, Ley de protección al consumidor y usuario, decreto 006-2003.  </w:t>
      </w:r>
    </w:p>
  </w:footnote>
  <w:footnote w:id="21">
    <w:p w14:paraId="41094205" w14:textId="77777777" w:rsidR="00D82918" w:rsidRPr="00854A65" w:rsidRDefault="00D82918" w:rsidP="00DE2552">
      <w:pPr>
        <w:pStyle w:val="FootnoteText"/>
        <w:rPr>
          <w:lang w:val="es-ES"/>
        </w:rPr>
      </w:pPr>
      <w:r w:rsidRPr="00854A65">
        <w:rPr>
          <w:rStyle w:val="FootnoteReference"/>
        </w:rPr>
        <w:footnoteRef/>
      </w:r>
      <w:r>
        <w:rPr>
          <w:lang w:val="es-ES"/>
        </w:rPr>
        <w:t xml:space="preserve"> </w:t>
      </w:r>
      <w:r w:rsidRPr="00854A65">
        <w:rPr>
          <w:lang w:val="es-ES"/>
        </w:rPr>
        <w:t xml:space="preserve">Costa Rica, Ley de promoción de la competencia y defesa efectiva del consumidor; Mexico, </w:t>
      </w:r>
      <w:r>
        <w:rPr>
          <w:lang w:val="es-ES"/>
        </w:rPr>
        <w:t>1992</w:t>
      </w:r>
      <w:r w:rsidRPr="00854A65">
        <w:rPr>
          <w:lang w:val="es-ES"/>
        </w:rPr>
        <w:t xml:space="preserve"> </w:t>
      </w:r>
      <w:r>
        <w:rPr>
          <w:lang w:val="es-ES"/>
        </w:rPr>
        <w:t>(</w:t>
      </w:r>
      <w:r w:rsidRPr="00854A65">
        <w:rPr>
          <w:lang w:val="es-ES"/>
        </w:rPr>
        <w:t>latest revision 2012</w:t>
      </w:r>
      <w:r>
        <w:rPr>
          <w:lang w:val="es-ES"/>
        </w:rPr>
        <w:t xml:space="preserve">), </w:t>
      </w:r>
      <w:r w:rsidRPr="00854A65">
        <w:rPr>
          <w:lang w:val="es-ES"/>
        </w:rPr>
        <w:t xml:space="preserve">Ley federal de protección al consumidor. </w:t>
      </w:r>
    </w:p>
  </w:footnote>
  <w:footnote w:id="22">
    <w:p w14:paraId="1B3685DF" w14:textId="77777777" w:rsidR="00D82918" w:rsidRPr="000D0E2E" w:rsidRDefault="00D82918" w:rsidP="000D0E2E">
      <w:pPr>
        <w:spacing w:after="0"/>
        <w:rPr>
          <w:sz w:val="20"/>
          <w:szCs w:val="20"/>
        </w:rPr>
      </w:pPr>
      <w:r w:rsidRPr="00854A65">
        <w:rPr>
          <w:rStyle w:val="FootnoteReference"/>
          <w:sz w:val="20"/>
          <w:szCs w:val="20"/>
        </w:rPr>
        <w:footnoteRef/>
      </w:r>
      <w:r>
        <w:rPr>
          <w:sz w:val="20"/>
          <w:szCs w:val="20"/>
        </w:rPr>
        <w:t xml:space="preserve"> </w:t>
      </w:r>
      <w:r w:rsidRPr="00854A65">
        <w:rPr>
          <w:sz w:val="20"/>
          <w:szCs w:val="20"/>
        </w:rPr>
        <w:t>Resolution II A/RES/70/186</w:t>
      </w:r>
      <w:r>
        <w:rPr>
          <w:sz w:val="20"/>
          <w:szCs w:val="20"/>
        </w:rPr>
        <w:t xml:space="preserve"> </w:t>
      </w:r>
      <w:r w:rsidRPr="00854A65">
        <w:rPr>
          <w:sz w:val="20"/>
          <w:szCs w:val="20"/>
        </w:rPr>
        <w:t>adopted by</w:t>
      </w:r>
      <w:r>
        <w:rPr>
          <w:sz w:val="20"/>
          <w:szCs w:val="20"/>
        </w:rPr>
        <w:t xml:space="preserve"> the United Nations General Assembly on 22 </w:t>
      </w:r>
      <w:r w:rsidRPr="00854A65">
        <w:rPr>
          <w:sz w:val="20"/>
          <w:szCs w:val="20"/>
        </w:rPr>
        <w:t>December</w:t>
      </w:r>
      <w:r>
        <w:rPr>
          <w:sz w:val="20"/>
          <w:szCs w:val="20"/>
        </w:rPr>
        <w:t xml:space="preserve"> 2015. The term “UNGCP”</w:t>
      </w:r>
      <w:r w:rsidRPr="00854A65">
        <w:rPr>
          <w:sz w:val="20"/>
          <w:szCs w:val="20"/>
        </w:rPr>
        <w:t xml:space="preserve"> is us</w:t>
      </w:r>
      <w:r>
        <w:rPr>
          <w:sz w:val="20"/>
          <w:szCs w:val="20"/>
        </w:rPr>
        <w:t xml:space="preserve">ed to apply to the full set of guidelines in this manual. </w:t>
      </w:r>
      <w:r w:rsidRPr="00854A65">
        <w:rPr>
          <w:sz w:val="20"/>
          <w:szCs w:val="20"/>
        </w:rPr>
        <w:t xml:space="preserve">Sections of the UNGCP </w:t>
      </w:r>
      <w:r>
        <w:rPr>
          <w:sz w:val="20"/>
          <w:szCs w:val="20"/>
        </w:rPr>
        <w:t>are referred to as appropriate.</w:t>
      </w:r>
    </w:p>
  </w:footnote>
  <w:footnote w:id="23">
    <w:p w14:paraId="15BA7D81" w14:textId="77777777" w:rsidR="00D82918" w:rsidRPr="00854A65" w:rsidRDefault="00D82918" w:rsidP="00843222">
      <w:pPr>
        <w:pStyle w:val="FootnoteText"/>
      </w:pPr>
      <w:r w:rsidRPr="00854A65">
        <w:rPr>
          <w:rStyle w:val="FootnoteReference"/>
        </w:rPr>
        <w:footnoteRef/>
      </w:r>
      <w:r>
        <w:t xml:space="preserve"> On 15 March</w:t>
      </w:r>
      <w:r w:rsidRPr="00854A65">
        <w:t xml:space="preserve"> 1962, President </w:t>
      </w:r>
      <w:hyperlink r:id="rId6" w:tooltip="John F. Kennedy" w:history="1">
        <w:r w:rsidRPr="00854A65">
          <w:rPr>
            <w:rStyle w:val="Hyperlink"/>
            <w:color w:val="auto"/>
            <w:u w:val="none"/>
          </w:rPr>
          <w:t>Kennedy</w:t>
        </w:r>
      </w:hyperlink>
      <w:r w:rsidRPr="00854A65">
        <w:t xml:space="preserve"> presented a speech to the United States Congress in which he set</w:t>
      </w:r>
      <w:r>
        <w:t xml:space="preserve"> out four basic consumer rights:</w:t>
      </w:r>
      <w:r w:rsidRPr="00854A65">
        <w:t xml:space="preserve"> safety, information, choice and the right to be heard, later referred to as the </w:t>
      </w:r>
      <w:r>
        <w:t>“</w:t>
      </w:r>
      <w:r w:rsidRPr="00854A65">
        <w:t>Consumer Bill of Rights</w:t>
      </w:r>
      <w:r>
        <w:t>”</w:t>
      </w:r>
      <w:r w:rsidRPr="00854A65">
        <w:t xml:space="preserve">. </w:t>
      </w:r>
    </w:p>
  </w:footnote>
  <w:footnote w:id="24">
    <w:p w14:paraId="2E6D67E6" w14:textId="77777777" w:rsidR="00D82918" w:rsidRPr="00854A65" w:rsidRDefault="00D82918" w:rsidP="00DE2552">
      <w:pPr>
        <w:pStyle w:val="FootnoteText"/>
      </w:pPr>
      <w:r w:rsidRPr="00854A65">
        <w:rPr>
          <w:rStyle w:val="FootnoteReference"/>
        </w:rPr>
        <w:footnoteRef/>
      </w:r>
      <w:r>
        <w:t xml:space="preserve"> </w:t>
      </w:r>
      <w:r w:rsidRPr="00854A65">
        <w:t>Represented by DGCCRF, the French Directorate General for Competition Policy, Consumer Affairs and Fraud Control.</w:t>
      </w:r>
    </w:p>
  </w:footnote>
  <w:footnote w:id="25">
    <w:p w14:paraId="3637B893" w14:textId="77777777" w:rsidR="00D82918" w:rsidRPr="00854A65" w:rsidRDefault="00D82918" w:rsidP="00843222">
      <w:pPr>
        <w:pStyle w:val="FootnoteText"/>
      </w:pPr>
      <w:r w:rsidRPr="00854A65">
        <w:rPr>
          <w:rStyle w:val="FootnoteReference"/>
        </w:rPr>
        <w:footnoteRef/>
      </w:r>
      <w:r>
        <w:t xml:space="preserve"> </w:t>
      </w:r>
      <w:r w:rsidRPr="00854A65">
        <w:t xml:space="preserve">ISO 26000, </w:t>
      </w:r>
      <w:r>
        <w:t xml:space="preserve">2010, </w:t>
      </w:r>
      <w:r w:rsidRPr="00854A65">
        <w:rPr>
          <w:i/>
        </w:rPr>
        <w:t>Guidance on Social Responsibility</w:t>
      </w:r>
      <w:r w:rsidRPr="00854A65">
        <w:t>.</w:t>
      </w:r>
    </w:p>
  </w:footnote>
  <w:footnote w:id="26">
    <w:p w14:paraId="12B0A6F6" w14:textId="77777777" w:rsidR="00D82918" w:rsidRPr="00854A65" w:rsidRDefault="00D82918" w:rsidP="00843222">
      <w:pPr>
        <w:pStyle w:val="FootnoteText"/>
      </w:pPr>
      <w:r w:rsidRPr="00854A65">
        <w:rPr>
          <w:rStyle w:val="FootnoteReference"/>
        </w:rPr>
        <w:footnoteRef/>
      </w:r>
      <w:r>
        <w:t xml:space="preserve"> </w:t>
      </w:r>
      <w:r w:rsidRPr="00854A65">
        <w:t xml:space="preserve">OECD, </w:t>
      </w:r>
      <w:r>
        <w:t xml:space="preserve">2011, </w:t>
      </w:r>
      <w:r w:rsidRPr="00854A65">
        <w:t>G</w:t>
      </w:r>
      <w:r w:rsidRPr="00854A65">
        <w:rPr>
          <w:i/>
        </w:rPr>
        <w:t>uidelines</w:t>
      </w:r>
      <w:r>
        <w:rPr>
          <w:i/>
        </w:rPr>
        <w:t xml:space="preserve"> for Multinational Enterprises:</w:t>
      </w:r>
      <w:r w:rsidRPr="00854A65">
        <w:rPr>
          <w:i/>
        </w:rPr>
        <w:t xml:space="preserve"> Recommendations for Responsible Busin</w:t>
      </w:r>
      <w:r>
        <w:rPr>
          <w:i/>
        </w:rPr>
        <w:t>ess Conduct in a Global Context</w:t>
      </w:r>
      <w:r w:rsidRPr="00854A65">
        <w:t xml:space="preserve">. </w:t>
      </w:r>
    </w:p>
  </w:footnote>
  <w:footnote w:id="27">
    <w:p w14:paraId="1E01F0C1" w14:textId="77777777" w:rsidR="00D82918" w:rsidRPr="00854A65" w:rsidRDefault="00D82918">
      <w:pPr>
        <w:pStyle w:val="FootnoteText"/>
        <w:rPr>
          <w:rFonts w:ascii="Calibri" w:hAnsi="Calibri" w:cs="Calibri"/>
        </w:rPr>
      </w:pPr>
      <w:r w:rsidRPr="00854A65">
        <w:rPr>
          <w:rStyle w:val="FootnoteReference"/>
        </w:rPr>
        <w:footnoteRef/>
      </w:r>
      <w:r>
        <w:rPr>
          <w:rFonts w:ascii="Calibri" w:hAnsi="Calibri" w:cs="Calibri"/>
        </w:rPr>
        <w:t xml:space="preserve"> </w:t>
      </w:r>
      <w:r w:rsidRPr="00854A65">
        <w:rPr>
          <w:rFonts w:ascii="Calibri" w:hAnsi="Calibri" w:cs="Calibri"/>
        </w:rPr>
        <w:t>OECD</w:t>
      </w:r>
      <w:r>
        <w:rPr>
          <w:rFonts w:ascii="Calibri" w:hAnsi="Calibri" w:cs="Calibri"/>
        </w:rPr>
        <w:t>, 2016,</w:t>
      </w:r>
      <w:r w:rsidRPr="00854A65">
        <w:rPr>
          <w:rFonts w:ascii="Calibri" w:hAnsi="Calibri" w:cs="Calibri"/>
        </w:rPr>
        <w:t xml:space="preserve"> </w:t>
      </w:r>
      <w:r>
        <w:rPr>
          <w:rFonts w:ascii="Calibri" w:hAnsi="Calibri" w:cs="Calibri"/>
          <w:i/>
        </w:rPr>
        <w:t>Consumer P</w:t>
      </w:r>
      <w:r w:rsidRPr="00854A65">
        <w:rPr>
          <w:rFonts w:ascii="Calibri" w:hAnsi="Calibri" w:cs="Calibri"/>
          <w:i/>
        </w:rPr>
        <w:t xml:space="preserve">rotection </w:t>
      </w:r>
      <w:r>
        <w:rPr>
          <w:rFonts w:ascii="Calibri" w:hAnsi="Calibri" w:cs="Calibri"/>
          <w:i/>
        </w:rPr>
        <w:t>in E-commerce: OECD R</w:t>
      </w:r>
      <w:r w:rsidRPr="00854A65">
        <w:rPr>
          <w:rFonts w:ascii="Calibri" w:hAnsi="Calibri" w:cs="Calibri"/>
          <w:i/>
        </w:rPr>
        <w:t>ecommendation.</w:t>
      </w:r>
      <w:r w:rsidRPr="00854A65">
        <w:rPr>
          <w:rFonts w:ascii="Calibri" w:hAnsi="Calibri" w:cs="Calibri"/>
        </w:rPr>
        <w:t xml:space="preserve"> </w:t>
      </w:r>
    </w:p>
  </w:footnote>
  <w:footnote w:id="28">
    <w:p w14:paraId="4B7DD73B" w14:textId="77777777" w:rsidR="00D82918" w:rsidRPr="00854A65" w:rsidRDefault="00D82918" w:rsidP="00843222">
      <w:pPr>
        <w:pStyle w:val="FootnoteText"/>
      </w:pPr>
      <w:r w:rsidRPr="00854A65">
        <w:rPr>
          <w:rStyle w:val="FootnoteReference"/>
        </w:rPr>
        <w:footnoteRef/>
      </w:r>
      <w:r>
        <w:t xml:space="preserve"> </w:t>
      </w:r>
      <w:r w:rsidRPr="00854A65">
        <w:t xml:space="preserve">OECD, </w:t>
      </w:r>
      <w:r>
        <w:t xml:space="preserve">2011, </w:t>
      </w:r>
      <w:r w:rsidRPr="00854A65">
        <w:rPr>
          <w:i/>
        </w:rPr>
        <w:t>G20</w:t>
      </w:r>
      <w:r w:rsidRPr="00854A65">
        <w:t xml:space="preserve"> </w:t>
      </w:r>
      <w:r w:rsidRPr="00854A65">
        <w:rPr>
          <w:i/>
          <w:iCs/>
        </w:rPr>
        <w:t>H</w:t>
      </w:r>
      <w:r w:rsidRPr="00854A65">
        <w:rPr>
          <w:rFonts w:ascii="Calibri" w:hAnsi="Calibri" w:cs="Calibri"/>
          <w:i/>
        </w:rPr>
        <w:t>igh-level Principles on Financial Consumer Protection</w:t>
      </w:r>
      <w:r w:rsidRPr="00854A65">
        <w:rPr>
          <w:rFonts w:ascii="Calibri" w:hAnsi="Calibri" w:cs="Calibri"/>
        </w:rPr>
        <w:t xml:space="preserve">. </w:t>
      </w:r>
      <w:r w:rsidRPr="00854A65">
        <w:t xml:space="preserve"> </w:t>
      </w:r>
    </w:p>
  </w:footnote>
  <w:footnote w:id="29">
    <w:p w14:paraId="35B6D856" w14:textId="0ED73E47" w:rsidR="00D82918" w:rsidRPr="00854A65" w:rsidRDefault="00D82918" w:rsidP="00843222">
      <w:pPr>
        <w:pStyle w:val="FootnoteText"/>
        <w:rPr>
          <w:rFonts w:cstheme="minorHAnsi"/>
        </w:rPr>
      </w:pPr>
      <w:r w:rsidRPr="00854A65">
        <w:rPr>
          <w:rStyle w:val="FootnoteReference"/>
        </w:rPr>
        <w:footnoteRef/>
      </w:r>
      <w:r>
        <w:t xml:space="preserve"> </w:t>
      </w:r>
      <w:r w:rsidRPr="00854A65">
        <w:t xml:space="preserve">OECD, </w:t>
      </w:r>
      <w:r>
        <w:t xml:space="preserve">2003, </w:t>
      </w:r>
      <w:r w:rsidRPr="00854A65">
        <w:rPr>
          <w:rFonts w:cstheme="minorHAnsi"/>
          <w:i/>
        </w:rPr>
        <w:t>Guidelines for Protecting Consumers from Fraudulent and Deceptive Comm</w:t>
      </w:r>
      <w:r>
        <w:rPr>
          <w:rFonts w:cstheme="minorHAnsi"/>
          <w:i/>
        </w:rPr>
        <w:t>ercial Practices Across Borders</w:t>
      </w:r>
      <w:r w:rsidRPr="00854A65">
        <w:rPr>
          <w:rFonts w:cstheme="minorHAnsi"/>
        </w:rPr>
        <w:t>.</w:t>
      </w:r>
    </w:p>
  </w:footnote>
  <w:footnote w:id="30">
    <w:p w14:paraId="42963648" w14:textId="77777777" w:rsidR="00D82918" w:rsidRPr="00854A65" w:rsidRDefault="00D82918">
      <w:pPr>
        <w:pStyle w:val="FootnoteText"/>
      </w:pPr>
      <w:r w:rsidRPr="00854A65">
        <w:rPr>
          <w:rStyle w:val="FootnoteReference"/>
        </w:rPr>
        <w:footnoteRef/>
      </w:r>
      <w:r w:rsidRPr="00854A65">
        <w:t xml:space="preserve"> </w:t>
      </w:r>
      <w:r>
        <w:t xml:space="preserve">The </w:t>
      </w:r>
      <w:r w:rsidRPr="00854A65">
        <w:t>inaugural meeting</w:t>
      </w:r>
      <w:r>
        <w:t xml:space="preserve"> of IGE</w:t>
      </w:r>
      <w:r w:rsidRPr="00854A65">
        <w:t xml:space="preserve"> took place in Geneva in October 2016. </w:t>
      </w:r>
    </w:p>
  </w:footnote>
  <w:footnote w:id="31">
    <w:p w14:paraId="17AD363C" w14:textId="3697173D" w:rsidR="00D82918" w:rsidRPr="00854A65" w:rsidRDefault="00D82918">
      <w:pPr>
        <w:pStyle w:val="FootnoteText"/>
      </w:pPr>
      <w:r w:rsidRPr="00854A65">
        <w:rPr>
          <w:rStyle w:val="FootnoteReference"/>
        </w:rPr>
        <w:footnoteRef/>
      </w:r>
      <w:r w:rsidRPr="00854A65">
        <w:t xml:space="preserve"> </w:t>
      </w:r>
      <w:r>
        <w:rPr>
          <w:rFonts w:cstheme="minorHAnsi"/>
        </w:rPr>
        <w:t>UNCTAD, 2013,</w:t>
      </w:r>
      <w:r w:rsidRPr="00854A65">
        <w:rPr>
          <w:rFonts w:cstheme="minorHAnsi"/>
        </w:rPr>
        <w:t xml:space="preserve"> </w:t>
      </w:r>
      <w:r>
        <w:rPr>
          <w:rFonts w:cstheme="minorHAnsi"/>
          <w:bCs/>
          <w:i/>
        </w:rPr>
        <w:t>Implementation R</w:t>
      </w:r>
      <w:r w:rsidRPr="00854A65">
        <w:rPr>
          <w:rFonts w:cstheme="minorHAnsi"/>
          <w:bCs/>
          <w:i/>
        </w:rPr>
        <w:t>eport on the United Nations Guidelines on C</w:t>
      </w:r>
      <w:r>
        <w:rPr>
          <w:rFonts w:cstheme="minorHAnsi"/>
          <w:bCs/>
          <w:i/>
        </w:rPr>
        <w:t>onsumer Protection 1985–2013</w:t>
      </w:r>
      <w:r>
        <w:rPr>
          <w:rFonts w:cstheme="minorHAnsi"/>
          <w:bCs/>
        </w:rPr>
        <w:t>,</w:t>
      </w:r>
      <w:r>
        <w:rPr>
          <w:rFonts w:cstheme="minorHAnsi"/>
          <w:bCs/>
          <w:i/>
        </w:rPr>
        <w:t xml:space="preserve"> </w:t>
      </w:r>
      <w:r>
        <w:rPr>
          <w:rFonts w:cstheme="minorHAnsi"/>
          <w:bCs/>
        </w:rPr>
        <w:t>n</w:t>
      </w:r>
      <w:r w:rsidRPr="00854A65">
        <w:rPr>
          <w:rFonts w:cstheme="minorHAnsi"/>
          <w:bCs/>
        </w:rPr>
        <w:t>ote by UNCTAD secretariat.</w:t>
      </w:r>
    </w:p>
  </w:footnote>
  <w:footnote w:id="32">
    <w:p w14:paraId="6B06599C" w14:textId="77777777" w:rsidR="00D82918" w:rsidRPr="00854A65" w:rsidRDefault="00D82918" w:rsidP="003E47E8">
      <w:pPr>
        <w:pStyle w:val="FootnoteText"/>
      </w:pPr>
      <w:r w:rsidRPr="00854A65">
        <w:rPr>
          <w:rStyle w:val="FootnoteReference"/>
        </w:rPr>
        <w:footnoteRef/>
      </w:r>
      <w:r w:rsidRPr="00854A65">
        <w:t xml:space="preserve"> </w:t>
      </w:r>
      <w:r w:rsidRPr="00854A65">
        <w:rPr>
          <w:rFonts w:cstheme="minorHAnsi"/>
        </w:rPr>
        <w:t>Consumers Interna</w:t>
      </w:r>
      <w:r>
        <w:rPr>
          <w:rFonts w:cstheme="minorHAnsi"/>
        </w:rPr>
        <w:t>tional, 2013,</w:t>
      </w:r>
      <w:r w:rsidRPr="00854A65">
        <w:rPr>
          <w:rFonts w:cstheme="minorHAnsi"/>
        </w:rPr>
        <w:t xml:space="preserve"> </w:t>
      </w:r>
      <w:r>
        <w:rPr>
          <w:rFonts w:cstheme="minorHAnsi"/>
          <w:i/>
        </w:rPr>
        <w:t>The State of Consumer Protection around the W</w:t>
      </w:r>
      <w:r w:rsidRPr="00854A65">
        <w:rPr>
          <w:rFonts w:cstheme="minorHAnsi"/>
          <w:i/>
        </w:rPr>
        <w:t>orld</w:t>
      </w:r>
      <w:r w:rsidRPr="00854A65">
        <w:rPr>
          <w:rFonts w:cstheme="minorHAnsi"/>
        </w:rPr>
        <w:t>.</w:t>
      </w:r>
    </w:p>
  </w:footnote>
  <w:footnote w:id="33">
    <w:p w14:paraId="6DA8B041" w14:textId="77777777" w:rsidR="00D82918" w:rsidRPr="00854A65" w:rsidRDefault="00D82918" w:rsidP="00843222">
      <w:pPr>
        <w:pStyle w:val="FootnoteText"/>
      </w:pPr>
      <w:r w:rsidRPr="00854A65">
        <w:rPr>
          <w:rStyle w:val="FootnoteReference"/>
        </w:rPr>
        <w:footnoteRef/>
      </w:r>
      <w:r>
        <w:t xml:space="preserve"> </w:t>
      </w:r>
      <w:r w:rsidRPr="00854A65">
        <w:t>Article 28 applies consumer protection through its anti-monopoly measu</w:t>
      </w:r>
      <w:r>
        <w:t>res. With exceptions (such as s</w:t>
      </w:r>
      <w:r w:rsidRPr="00854A65">
        <w:t>tate-provided services) monopolies are forbidden.</w:t>
      </w:r>
    </w:p>
  </w:footnote>
  <w:footnote w:id="34">
    <w:p w14:paraId="7B7E8DBE" w14:textId="1EBCDB67" w:rsidR="00D82918" w:rsidRPr="00854A65" w:rsidRDefault="00D82918" w:rsidP="003E07CE">
      <w:pPr>
        <w:pStyle w:val="Default"/>
        <w:rPr>
          <w:rFonts w:asciiTheme="minorHAnsi" w:hAnsiTheme="minorHAnsi"/>
          <w:color w:val="auto"/>
          <w:sz w:val="20"/>
          <w:szCs w:val="20"/>
        </w:rPr>
      </w:pPr>
      <w:r w:rsidRPr="00854A65">
        <w:rPr>
          <w:rStyle w:val="FootnoteReference"/>
          <w:rFonts w:ascii="Calibri" w:hAnsi="Calibri"/>
          <w:color w:val="auto"/>
          <w:sz w:val="20"/>
          <w:szCs w:val="20"/>
        </w:rPr>
        <w:footnoteRef/>
      </w:r>
      <w:r>
        <w:rPr>
          <w:rFonts w:asciiTheme="minorHAnsi" w:hAnsiTheme="minorHAnsi"/>
          <w:i/>
          <w:color w:val="auto"/>
          <w:sz w:val="20"/>
          <w:szCs w:val="20"/>
        </w:rPr>
        <w:t xml:space="preserve"> </w:t>
      </w:r>
      <w:r>
        <w:rPr>
          <w:rFonts w:asciiTheme="minorHAnsi" w:hAnsiTheme="minorHAnsi"/>
          <w:color w:val="auto"/>
          <w:sz w:val="20"/>
          <w:szCs w:val="20"/>
        </w:rPr>
        <w:t xml:space="preserve">UNCTAD, 2013, </w:t>
      </w:r>
      <w:r w:rsidRPr="00854A65">
        <w:rPr>
          <w:rFonts w:asciiTheme="minorHAnsi" w:hAnsiTheme="minorHAnsi"/>
          <w:i/>
          <w:color w:val="auto"/>
          <w:sz w:val="20"/>
          <w:szCs w:val="20"/>
        </w:rPr>
        <w:t>Implementation Report on the United Nations Guidelines on</w:t>
      </w:r>
      <w:r>
        <w:rPr>
          <w:rFonts w:asciiTheme="minorHAnsi" w:hAnsiTheme="minorHAnsi"/>
          <w:i/>
          <w:color w:val="auto"/>
          <w:sz w:val="20"/>
          <w:szCs w:val="20"/>
        </w:rPr>
        <w:t xml:space="preserve"> Consumer Protection, 1985–2013</w:t>
      </w:r>
      <w:r>
        <w:rPr>
          <w:rFonts w:asciiTheme="minorHAnsi" w:hAnsiTheme="minorHAnsi"/>
          <w:color w:val="auto"/>
          <w:sz w:val="20"/>
          <w:szCs w:val="20"/>
        </w:rPr>
        <w:t>, note by</w:t>
      </w:r>
      <w:r w:rsidRPr="00854A65">
        <w:rPr>
          <w:rFonts w:asciiTheme="minorHAnsi" w:hAnsiTheme="minorHAnsi"/>
          <w:color w:val="auto"/>
          <w:sz w:val="20"/>
          <w:szCs w:val="20"/>
        </w:rPr>
        <w:t xml:space="preserve"> UNCTAD secretariat</w:t>
      </w:r>
      <w:r>
        <w:rPr>
          <w:rFonts w:asciiTheme="minorHAnsi" w:hAnsiTheme="minorHAnsi"/>
          <w:color w:val="auto"/>
          <w:sz w:val="20"/>
          <w:szCs w:val="20"/>
        </w:rPr>
        <w:t>.</w:t>
      </w:r>
      <w:r w:rsidRPr="00854A65">
        <w:rPr>
          <w:rFonts w:asciiTheme="minorHAnsi" w:hAnsiTheme="minorHAnsi"/>
          <w:color w:val="auto"/>
          <w:sz w:val="20"/>
          <w:szCs w:val="20"/>
        </w:rPr>
        <w:t xml:space="preserve"> </w:t>
      </w:r>
      <w:r>
        <w:rPr>
          <w:rFonts w:asciiTheme="minorHAnsi" w:hAnsiTheme="minorHAnsi" w:cs="Calibri"/>
          <w:bCs/>
          <w:color w:val="auto"/>
          <w:sz w:val="20"/>
          <w:szCs w:val="20"/>
        </w:rPr>
        <w:t>I</w:t>
      </w:r>
      <w:r>
        <w:rPr>
          <w:rFonts w:asciiTheme="minorHAnsi" w:hAnsiTheme="minorHAnsi"/>
          <w:color w:val="auto"/>
          <w:sz w:val="20"/>
          <w:szCs w:val="20"/>
        </w:rPr>
        <w:t>n the case of the supreme court of Mexico s</w:t>
      </w:r>
      <w:r w:rsidRPr="00854A65">
        <w:rPr>
          <w:rFonts w:asciiTheme="minorHAnsi" w:hAnsiTheme="minorHAnsi"/>
          <w:color w:val="auto"/>
          <w:sz w:val="20"/>
          <w:szCs w:val="20"/>
        </w:rPr>
        <w:t>ee</w:t>
      </w:r>
      <w:r>
        <w:rPr>
          <w:rFonts w:asciiTheme="minorHAnsi" w:hAnsiTheme="minorHAnsi"/>
          <w:color w:val="auto"/>
          <w:sz w:val="20"/>
          <w:szCs w:val="20"/>
        </w:rPr>
        <w:t xml:space="preserve"> </w:t>
      </w:r>
      <w:hyperlink r:id="rId7" w:history="1">
        <w:r w:rsidRPr="00F3283D">
          <w:rPr>
            <w:rStyle w:val="Hyperlink"/>
            <w:rFonts w:asciiTheme="minorHAnsi" w:hAnsiTheme="minorHAnsi"/>
            <w:sz w:val="20"/>
            <w:szCs w:val="20"/>
          </w:rPr>
          <w:t>http://www.consumidor.gob.mx/wordpress/wp-content/uploads/2012/04/SENTENCIA_AMPARO_MEXICANA.pdf</w:t>
        </w:r>
      </w:hyperlink>
      <w:r w:rsidRPr="00854A65">
        <w:rPr>
          <w:rFonts w:asciiTheme="minorHAnsi" w:hAnsiTheme="minorHAnsi"/>
          <w:color w:val="auto"/>
          <w:sz w:val="20"/>
          <w:szCs w:val="20"/>
        </w:rPr>
        <w:t>.</w:t>
      </w:r>
      <w:r>
        <w:rPr>
          <w:rFonts w:asciiTheme="minorHAnsi" w:hAnsiTheme="minorHAnsi"/>
          <w:color w:val="auto"/>
          <w:sz w:val="20"/>
          <w:szCs w:val="20"/>
        </w:rPr>
        <w:t xml:space="preserve"> </w:t>
      </w:r>
      <w:r w:rsidRPr="00854A65">
        <w:rPr>
          <w:rFonts w:asciiTheme="minorHAnsi" w:hAnsiTheme="minorHAnsi"/>
          <w:color w:val="auto"/>
          <w:sz w:val="20"/>
          <w:szCs w:val="20"/>
        </w:rPr>
        <w:t xml:space="preserve">  </w:t>
      </w:r>
    </w:p>
  </w:footnote>
  <w:footnote w:id="35">
    <w:p w14:paraId="4110B406" w14:textId="77777777" w:rsidR="00D82918" w:rsidRPr="00854A65" w:rsidRDefault="00D82918" w:rsidP="00843222">
      <w:pPr>
        <w:pStyle w:val="FootnoteText"/>
      </w:pPr>
      <w:r w:rsidRPr="00854A65">
        <w:rPr>
          <w:rStyle w:val="FootnoteReference"/>
        </w:rPr>
        <w:footnoteRef/>
      </w:r>
      <w:r>
        <w:t xml:space="preserve"> </w:t>
      </w:r>
      <w:r w:rsidRPr="00854A65">
        <w:t>Treaty of Chaguaramas, 2001, Article 169.</w:t>
      </w:r>
    </w:p>
  </w:footnote>
  <w:footnote w:id="36">
    <w:p w14:paraId="38D729B7" w14:textId="13C97C0D" w:rsidR="00D82918" w:rsidRPr="00854A65" w:rsidRDefault="00D82918" w:rsidP="00DE2552">
      <w:pPr>
        <w:pStyle w:val="FootnoteText"/>
      </w:pPr>
      <w:r w:rsidRPr="00854A65">
        <w:rPr>
          <w:rStyle w:val="FootnoteReference"/>
        </w:rPr>
        <w:footnoteRef/>
      </w:r>
      <w:r>
        <w:t xml:space="preserve"> </w:t>
      </w:r>
      <w:r w:rsidRPr="00854A65">
        <w:t>Article 169.1</w:t>
      </w:r>
      <w:r>
        <w:t xml:space="preserve"> </w:t>
      </w:r>
      <w:r w:rsidRPr="00854A65">
        <w:t>of the Consolidated version of the Treaty on the Fu</w:t>
      </w:r>
      <w:r>
        <w:t>nctioning of the European Union,</w:t>
      </w:r>
      <w:r w:rsidRPr="00854A65">
        <w:t xml:space="preserve"> 26.10.2012 C 326/47.</w:t>
      </w:r>
    </w:p>
  </w:footnote>
  <w:footnote w:id="37">
    <w:p w14:paraId="31681BA9" w14:textId="77777777" w:rsidR="00D82918" w:rsidRPr="00854A65" w:rsidRDefault="00D82918" w:rsidP="00DE2552">
      <w:pPr>
        <w:pStyle w:val="Default"/>
        <w:spacing w:line="240" w:lineRule="auto"/>
        <w:jc w:val="both"/>
        <w:rPr>
          <w:rFonts w:asciiTheme="minorHAnsi" w:hAnsiTheme="minorHAnsi"/>
          <w:color w:val="auto"/>
          <w:sz w:val="20"/>
          <w:szCs w:val="20"/>
        </w:rPr>
      </w:pPr>
      <w:r w:rsidRPr="00854A65">
        <w:rPr>
          <w:rStyle w:val="FootnoteReference"/>
          <w:rFonts w:asciiTheme="minorHAnsi" w:hAnsiTheme="minorHAnsi"/>
          <w:color w:val="auto"/>
          <w:sz w:val="20"/>
          <w:szCs w:val="20"/>
        </w:rPr>
        <w:footnoteRef/>
      </w:r>
      <w:r>
        <w:rPr>
          <w:rFonts w:asciiTheme="minorHAnsi" w:hAnsiTheme="minorHAnsi"/>
          <w:color w:val="auto"/>
          <w:sz w:val="20"/>
          <w:szCs w:val="20"/>
        </w:rPr>
        <w:t xml:space="preserve"> For discussion, see R</w:t>
      </w:r>
      <w:r w:rsidRPr="00854A65">
        <w:rPr>
          <w:rFonts w:asciiTheme="minorHAnsi" w:hAnsiTheme="minorHAnsi"/>
          <w:color w:val="auto"/>
          <w:sz w:val="20"/>
          <w:szCs w:val="20"/>
        </w:rPr>
        <w:t xml:space="preserve"> Greenstein, </w:t>
      </w:r>
      <w:r>
        <w:rPr>
          <w:rFonts w:asciiTheme="minorHAnsi" w:hAnsiTheme="minorHAnsi"/>
          <w:color w:val="auto"/>
          <w:sz w:val="20"/>
          <w:szCs w:val="20"/>
        </w:rPr>
        <w:t xml:space="preserve">2005, </w:t>
      </w:r>
      <w:r w:rsidRPr="00854A65">
        <w:rPr>
          <w:rFonts w:asciiTheme="minorHAnsi" w:hAnsiTheme="minorHAnsi"/>
          <w:i/>
          <w:color w:val="auto"/>
          <w:sz w:val="20"/>
          <w:szCs w:val="20"/>
        </w:rPr>
        <w:t>Social Rights, Essential Services and Political Mobilization</w:t>
      </w:r>
      <w:r>
        <w:rPr>
          <w:rFonts w:asciiTheme="minorHAnsi" w:hAnsiTheme="minorHAnsi"/>
          <w:i/>
          <w:color w:val="auto"/>
          <w:sz w:val="20"/>
          <w:szCs w:val="20"/>
        </w:rPr>
        <w:t xml:space="preserve"> in Post-Apartheid South Africa</w:t>
      </w:r>
      <w:r w:rsidRPr="00854A65">
        <w:rPr>
          <w:rFonts w:asciiTheme="minorHAnsi" w:hAnsiTheme="minorHAnsi"/>
          <w:i/>
          <w:color w:val="auto"/>
          <w:sz w:val="20"/>
          <w:szCs w:val="20"/>
        </w:rPr>
        <w:t xml:space="preserve"> </w:t>
      </w:r>
      <w:r>
        <w:rPr>
          <w:rFonts w:asciiTheme="minorHAnsi" w:hAnsiTheme="minorHAnsi"/>
          <w:color w:val="auto"/>
          <w:sz w:val="20"/>
          <w:szCs w:val="20"/>
        </w:rPr>
        <w:t>(</w:t>
      </w:r>
      <w:r w:rsidRPr="00854A65">
        <w:rPr>
          <w:rFonts w:asciiTheme="minorHAnsi" w:hAnsiTheme="minorHAnsi"/>
          <w:color w:val="auto"/>
          <w:sz w:val="20"/>
          <w:szCs w:val="20"/>
        </w:rPr>
        <w:t>Johannesburg, University of the Witwatersrand</w:t>
      </w:r>
      <w:r>
        <w:rPr>
          <w:rFonts w:asciiTheme="minorHAnsi" w:hAnsiTheme="minorHAnsi"/>
          <w:color w:val="auto"/>
          <w:sz w:val="20"/>
          <w:szCs w:val="20"/>
        </w:rPr>
        <w:t>)</w:t>
      </w:r>
      <w:r w:rsidRPr="00854A65">
        <w:rPr>
          <w:rFonts w:asciiTheme="minorHAnsi" w:hAnsiTheme="minorHAnsi"/>
          <w:color w:val="auto"/>
          <w:sz w:val="20"/>
          <w:szCs w:val="20"/>
        </w:rPr>
        <w:t>.</w:t>
      </w:r>
    </w:p>
  </w:footnote>
  <w:footnote w:id="38">
    <w:p w14:paraId="01F9F57E" w14:textId="77777777" w:rsidR="00D82918" w:rsidRPr="00E85A44" w:rsidRDefault="00D82918" w:rsidP="00E85A44">
      <w:pPr>
        <w:pStyle w:val="Default"/>
        <w:spacing w:line="240" w:lineRule="auto"/>
        <w:jc w:val="both"/>
        <w:rPr>
          <w:rFonts w:asciiTheme="minorHAnsi" w:hAnsiTheme="minorHAnsi"/>
          <w:i/>
          <w:color w:val="auto"/>
          <w:sz w:val="20"/>
          <w:szCs w:val="20"/>
        </w:rPr>
      </w:pPr>
      <w:r w:rsidRPr="00854A65">
        <w:rPr>
          <w:rStyle w:val="FootnoteReference"/>
          <w:rFonts w:asciiTheme="minorHAnsi" w:hAnsiTheme="minorHAnsi"/>
          <w:color w:val="auto"/>
          <w:sz w:val="20"/>
          <w:szCs w:val="20"/>
        </w:rPr>
        <w:footnoteRef/>
      </w:r>
      <w:r>
        <w:rPr>
          <w:rFonts w:asciiTheme="minorHAnsi" w:hAnsiTheme="minorHAnsi"/>
          <w:color w:val="auto"/>
          <w:sz w:val="20"/>
          <w:szCs w:val="20"/>
        </w:rPr>
        <w:t xml:space="preserve"> </w:t>
      </w:r>
      <w:r w:rsidRPr="00854A65">
        <w:rPr>
          <w:rFonts w:asciiTheme="minorHAnsi" w:hAnsiTheme="minorHAnsi"/>
          <w:color w:val="auto"/>
          <w:sz w:val="20"/>
          <w:szCs w:val="20"/>
        </w:rPr>
        <w:t xml:space="preserve">Greenstein, </w:t>
      </w:r>
      <w:r w:rsidRPr="00E85A44">
        <w:rPr>
          <w:rFonts w:asciiTheme="minorHAnsi" w:hAnsiTheme="minorHAnsi"/>
          <w:color w:val="auto"/>
          <w:sz w:val="20"/>
          <w:szCs w:val="20"/>
        </w:rPr>
        <w:t>op. cit.</w:t>
      </w:r>
    </w:p>
  </w:footnote>
  <w:footnote w:id="39">
    <w:p w14:paraId="6D4BA71B" w14:textId="77777777" w:rsidR="00D82918" w:rsidRPr="00854A65" w:rsidRDefault="00D82918" w:rsidP="00843222">
      <w:pPr>
        <w:pStyle w:val="FootnoteText"/>
      </w:pPr>
      <w:r w:rsidRPr="00854A65">
        <w:rPr>
          <w:rStyle w:val="FootnoteReference"/>
        </w:rPr>
        <w:footnoteRef/>
      </w:r>
      <w:r>
        <w:t xml:space="preserve"> Consumers International, 1996,</w:t>
      </w:r>
      <w:r w:rsidRPr="00854A65">
        <w:t xml:space="preserve"> </w:t>
      </w:r>
      <w:r w:rsidRPr="00854A65">
        <w:rPr>
          <w:i/>
        </w:rPr>
        <w:t>Model Law for Consumer Protection in Africa</w:t>
      </w:r>
      <w:r>
        <w:t xml:space="preserve"> and 2011,</w:t>
      </w:r>
      <w:r w:rsidRPr="00854A65">
        <w:t xml:space="preserve"> </w:t>
      </w:r>
      <w:r w:rsidRPr="00854A65">
        <w:rPr>
          <w:i/>
        </w:rPr>
        <w:t>A Guide to Developing Consumer Protection Law</w:t>
      </w:r>
      <w:r w:rsidRPr="00854A65">
        <w:t xml:space="preserve">. </w:t>
      </w:r>
      <w:r w:rsidRPr="00854A65">
        <w:rPr>
          <w:rStyle w:val="FootnoteReference"/>
        </w:rPr>
        <w:tab/>
      </w:r>
      <w:r w:rsidRPr="00854A65">
        <w:t xml:space="preserve"> </w:t>
      </w:r>
    </w:p>
  </w:footnote>
  <w:footnote w:id="40">
    <w:p w14:paraId="0A56A9D4" w14:textId="77777777" w:rsidR="00D82918" w:rsidRDefault="00D82918" w:rsidP="00E85A44">
      <w:pPr>
        <w:pStyle w:val="FootnoteText"/>
      </w:pPr>
      <w:r>
        <w:rPr>
          <w:rStyle w:val="FootnoteReference"/>
        </w:rPr>
        <w:footnoteRef/>
      </w:r>
      <w:r>
        <w:t xml:space="preserve"> </w:t>
      </w:r>
      <w:r>
        <w:rPr>
          <w:rFonts w:cstheme="minorHAnsi"/>
          <w:spacing w:val="-6"/>
        </w:rPr>
        <w:t>T</w:t>
      </w:r>
      <w:r w:rsidRPr="0003380A">
        <w:rPr>
          <w:rFonts w:cstheme="minorHAnsi"/>
          <w:spacing w:val="-6"/>
        </w:rPr>
        <w:t>hese issues are discu</w:t>
      </w:r>
      <w:r>
        <w:rPr>
          <w:rFonts w:cstheme="minorHAnsi"/>
          <w:spacing w:val="-6"/>
        </w:rPr>
        <w:t>ssed in chapter XV.</w:t>
      </w:r>
    </w:p>
  </w:footnote>
  <w:footnote w:id="41">
    <w:p w14:paraId="39BDED87" w14:textId="77777777" w:rsidR="00D82918" w:rsidRPr="00854A65" w:rsidRDefault="00D82918" w:rsidP="00843222">
      <w:pPr>
        <w:pStyle w:val="FootnoteText"/>
        <w:rPr>
          <w:rStyle w:val="FootnoteReference"/>
        </w:rPr>
      </w:pPr>
      <w:r w:rsidRPr="00854A65">
        <w:rPr>
          <w:rStyle w:val="FootnoteReference"/>
        </w:rPr>
        <w:footnoteRef/>
      </w:r>
      <w:r>
        <w:rPr>
          <w:iCs/>
        </w:rPr>
        <w:t xml:space="preserve"> </w:t>
      </w:r>
      <w:r w:rsidRPr="00854A65">
        <w:rPr>
          <w:iCs/>
        </w:rPr>
        <w:t>H</w:t>
      </w:r>
      <w:r>
        <w:rPr>
          <w:iCs/>
        </w:rPr>
        <w:t>G Ruse-</w:t>
      </w:r>
      <w:r w:rsidRPr="00854A65">
        <w:rPr>
          <w:iCs/>
        </w:rPr>
        <w:t>Khan</w:t>
      </w:r>
      <w:r>
        <w:rPr>
          <w:iCs/>
        </w:rPr>
        <w:t>,</w:t>
      </w:r>
      <w:r w:rsidRPr="00854A65">
        <w:t xml:space="preserve"> </w:t>
      </w:r>
      <w:r>
        <w:t>2009, Fair u</w:t>
      </w:r>
      <w:r w:rsidRPr="00854A65">
        <w:t xml:space="preserve">se, </w:t>
      </w:r>
      <w:r w:rsidRPr="00E85A44">
        <w:t>fair dealing and other open-ended exceptions:</w:t>
      </w:r>
      <w:r w:rsidRPr="00E85A44">
        <w:rPr>
          <w:b/>
          <w:bCs/>
        </w:rPr>
        <w:t xml:space="preserve"> </w:t>
      </w:r>
      <w:r w:rsidRPr="00E85A44">
        <w:rPr>
          <w:bCs/>
        </w:rPr>
        <w:t>The application of the three-step test</w:t>
      </w:r>
      <w:r w:rsidRPr="00854A65">
        <w:rPr>
          <w:bCs/>
          <w:i/>
        </w:rPr>
        <w:t xml:space="preserve">, </w:t>
      </w:r>
      <w:r w:rsidRPr="00854A65">
        <w:rPr>
          <w:bCs/>
        </w:rPr>
        <w:t>WIPO African-Arab Seminar on Copyright Limitations and Exceptions</w:t>
      </w:r>
      <w:r>
        <w:rPr>
          <w:bCs/>
        </w:rPr>
        <w:t>,</w:t>
      </w:r>
      <w:r w:rsidRPr="00854A65">
        <w:rPr>
          <w:bCs/>
        </w:rPr>
        <w:t xml:space="preserve"> </w:t>
      </w:r>
      <w:r>
        <w:rPr>
          <w:bCs/>
          <w:iCs/>
        </w:rPr>
        <w:t>Cairo</w:t>
      </w:r>
      <w:r w:rsidRPr="00854A65">
        <w:rPr>
          <w:bCs/>
          <w:iCs/>
        </w:rPr>
        <w:t xml:space="preserve">. </w:t>
      </w:r>
      <w:r w:rsidRPr="00854A65">
        <w:t xml:space="preserve"> </w:t>
      </w:r>
      <w:r w:rsidRPr="00854A65">
        <w:rPr>
          <w:rStyle w:val="FootnoteReference"/>
        </w:rPr>
        <w:t xml:space="preserve"> </w:t>
      </w:r>
    </w:p>
  </w:footnote>
  <w:footnote w:id="42">
    <w:p w14:paraId="464E20C5" w14:textId="77777777" w:rsidR="00D82918" w:rsidRDefault="00D82918" w:rsidP="00E85A44">
      <w:pPr>
        <w:pStyle w:val="FootnoteText"/>
      </w:pPr>
      <w:r w:rsidRPr="00854A65">
        <w:rPr>
          <w:rStyle w:val="FootnoteReference"/>
        </w:rPr>
        <w:footnoteRef/>
      </w:r>
      <w:r w:rsidRPr="00854A65">
        <w:t xml:space="preserve"> </w:t>
      </w:r>
      <w:r>
        <w:t>Executive Office of the P</w:t>
      </w:r>
      <w:r w:rsidRPr="00854A65">
        <w:t xml:space="preserve">resident, Report to the President: </w:t>
      </w:r>
      <w:r w:rsidRPr="00895257">
        <w:t>Big data and privacy, a technological perspective</w:t>
      </w:r>
      <w:r>
        <w:t>,</w:t>
      </w:r>
      <w:r w:rsidRPr="00854A65">
        <w:t xml:space="preserve"> President’s Council of Adv</w:t>
      </w:r>
      <w:r>
        <w:t>isors on Science and Technology, available at</w:t>
      </w:r>
    </w:p>
    <w:p w14:paraId="3E4BFF68" w14:textId="77777777" w:rsidR="00D82918" w:rsidRPr="00854A65" w:rsidRDefault="00FB5819" w:rsidP="00E85A44">
      <w:pPr>
        <w:pStyle w:val="FootnoteText"/>
        <w:jc w:val="left"/>
      </w:pPr>
      <w:hyperlink r:id="rId8" w:history="1">
        <w:r w:rsidR="00D82918" w:rsidRPr="00F3283D">
          <w:rPr>
            <w:rStyle w:val="Hyperlink"/>
          </w:rPr>
          <w:t>https://www.whitehouse.gov/sites/default/files/microsites/ostp/PCAST/pcast_big_data_and_privacy_may_2014.pdf</w:t>
        </w:r>
      </w:hyperlink>
      <w:r w:rsidR="00D82918" w:rsidRPr="00854A65">
        <w:t>.</w:t>
      </w:r>
    </w:p>
  </w:footnote>
  <w:footnote w:id="43">
    <w:p w14:paraId="04920A75" w14:textId="77777777" w:rsidR="00D82918" w:rsidRPr="00854A65" w:rsidRDefault="00D82918" w:rsidP="00843222">
      <w:pPr>
        <w:pStyle w:val="FootnoteText"/>
      </w:pPr>
      <w:r w:rsidRPr="00854A65">
        <w:rPr>
          <w:rStyle w:val="FootnoteReference"/>
        </w:rPr>
        <w:footnoteRef/>
      </w:r>
      <w:r>
        <w:t xml:space="preserve"> See </w:t>
      </w:r>
      <w:hyperlink r:id="rId9" w:tgtFrame="_blank" w:history="1">
        <w:r w:rsidRPr="00854A65">
          <w:rPr>
            <w:rStyle w:val="Hyperlink"/>
            <w:color w:val="auto"/>
            <w:u w:val="none"/>
          </w:rPr>
          <w:t>www.alrc.gov.au/sites/default/files/subs/745._org_choice_submission.docx</w:t>
        </w:r>
      </w:hyperlink>
      <w:r w:rsidRPr="00854A65">
        <w:rPr>
          <w:rStyle w:val="Hyperlink"/>
          <w:color w:val="auto"/>
          <w:u w:val="none"/>
        </w:rPr>
        <w:t>.</w:t>
      </w:r>
      <w:r>
        <w:rPr>
          <w:rStyle w:val="Hyperlink"/>
          <w:color w:val="auto"/>
          <w:u w:val="none"/>
        </w:rPr>
        <w:t xml:space="preserve"> </w:t>
      </w:r>
    </w:p>
  </w:footnote>
  <w:footnote w:id="44">
    <w:p w14:paraId="71A7DD87" w14:textId="77777777" w:rsidR="00D82918" w:rsidRPr="00854A65" w:rsidRDefault="00D82918">
      <w:pPr>
        <w:pStyle w:val="FootnoteText"/>
      </w:pPr>
      <w:r w:rsidRPr="00854A65">
        <w:rPr>
          <w:rStyle w:val="FootnoteReference"/>
        </w:rPr>
        <w:footnoteRef/>
      </w:r>
      <w:r>
        <w:t xml:space="preserve"> WTO,</w:t>
      </w:r>
      <w:r w:rsidRPr="00854A65">
        <w:t xml:space="preserve"> </w:t>
      </w:r>
      <w:r w:rsidRPr="00E85A44">
        <w:t>Understanding the WTO</w:t>
      </w:r>
      <w:r>
        <w:rPr>
          <w:i/>
        </w:rPr>
        <w:t xml:space="preserve">, </w:t>
      </w:r>
      <w:r w:rsidRPr="00E85A44">
        <w:t xml:space="preserve">see </w:t>
      </w:r>
      <w:hyperlink r:id="rId10" w:history="1">
        <w:r w:rsidRPr="00F3283D">
          <w:rPr>
            <w:rStyle w:val="Hyperlink"/>
          </w:rPr>
          <w:t>www.wto.org</w:t>
        </w:r>
      </w:hyperlink>
      <w:r>
        <w:t xml:space="preserve">. </w:t>
      </w:r>
    </w:p>
  </w:footnote>
  <w:footnote w:id="45">
    <w:p w14:paraId="4FEA78A1" w14:textId="2D79CB80" w:rsidR="00D82918" w:rsidRPr="00854A65" w:rsidRDefault="00D82918">
      <w:pPr>
        <w:pStyle w:val="FootnoteText"/>
        <w:rPr>
          <w:i/>
        </w:rPr>
      </w:pPr>
      <w:r w:rsidRPr="00854A65">
        <w:rPr>
          <w:rStyle w:val="FootnoteReference"/>
        </w:rPr>
        <w:footnoteRef/>
      </w:r>
      <w:r>
        <w:t xml:space="preserve"> WTO,</w:t>
      </w:r>
      <w:r w:rsidRPr="00854A65">
        <w:t xml:space="preserve"> </w:t>
      </w:r>
      <w:r w:rsidRPr="00E85A44">
        <w:t>The GATT years: from Havana to Marrakech</w:t>
      </w:r>
      <w:r>
        <w:rPr>
          <w:i/>
        </w:rPr>
        <w:t>,</w:t>
      </w:r>
      <w:r w:rsidRPr="00E85A44">
        <w:t xml:space="preserve"> see </w:t>
      </w:r>
      <w:hyperlink r:id="rId11" w:history="1">
        <w:r w:rsidRPr="00F3283D">
          <w:rPr>
            <w:rStyle w:val="Hyperlink"/>
          </w:rPr>
          <w:t>www.wto.org</w:t>
        </w:r>
      </w:hyperlink>
      <w:r w:rsidRPr="00854A65">
        <w:rPr>
          <w:i/>
        </w:rPr>
        <w:t>.</w:t>
      </w:r>
    </w:p>
  </w:footnote>
  <w:footnote w:id="46">
    <w:p w14:paraId="7122AA9A" w14:textId="6D36724B" w:rsidR="00D82918" w:rsidRPr="00854A65" w:rsidRDefault="00D82918" w:rsidP="00843222">
      <w:pPr>
        <w:pStyle w:val="FootnoteText"/>
      </w:pPr>
      <w:r w:rsidRPr="00854A65">
        <w:rPr>
          <w:rStyle w:val="FootnoteReference"/>
        </w:rPr>
        <w:footnoteRef/>
      </w:r>
      <w:r>
        <w:t xml:space="preserve"> </w:t>
      </w:r>
      <w:r w:rsidRPr="00854A65">
        <w:t>BEUC (The European Consumer Organization)</w:t>
      </w:r>
      <w:r>
        <w:t>, 2016,</w:t>
      </w:r>
      <w:r w:rsidRPr="00854A65">
        <w:t xml:space="preserve"> </w:t>
      </w:r>
      <w:r w:rsidRPr="00854A65">
        <w:rPr>
          <w:i/>
        </w:rPr>
        <w:t>Transatlantic Trade Deal and Consumers</w:t>
      </w:r>
      <w:r>
        <w:t>; BEUC,</w:t>
      </w:r>
      <w:r>
        <w:rPr>
          <w:i/>
        </w:rPr>
        <w:t xml:space="preserve"> </w:t>
      </w:r>
      <w:r>
        <w:t>2016,</w:t>
      </w:r>
      <w:r w:rsidRPr="00854A65">
        <w:t xml:space="preserve"> Factsheet: </w:t>
      </w:r>
      <w:r w:rsidRPr="00E85A44">
        <w:t>Trade in Services Agreement</w:t>
      </w:r>
      <w:r w:rsidRPr="00854A65">
        <w:t xml:space="preserve">. </w:t>
      </w:r>
    </w:p>
  </w:footnote>
  <w:footnote w:id="47">
    <w:p w14:paraId="59F7C849" w14:textId="77777777" w:rsidR="00D82918" w:rsidRPr="00854A65" w:rsidRDefault="00D82918" w:rsidP="00324D22">
      <w:pPr>
        <w:pStyle w:val="FootnoteText"/>
      </w:pPr>
      <w:r w:rsidRPr="00854A65">
        <w:rPr>
          <w:rStyle w:val="FootnoteReference"/>
        </w:rPr>
        <w:footnoteRef/>
      </w:r>
      <w:r>
        <w:t xml:space="preserve"> M</w:t>
      </w:r>
      <w:r w:rsidRPr="00854A65">
        <w:t xml:space="preserve"> Roy</w:t>
      </w:r>
      <w:r>
        <w:t xml:space="preserve"> et al</w:t>
      </w:r>
      <w:r w:rsidRPr="00854A65">
        <w:t xml:space="preserve">, </w:t>
      </w:r>
      <w:r>
        <w:t xml:space="preserve">2006, </w:t>
      </w:r>
      <w:r w:rsidRPr="00854A65">
        <w:rPr>
          <w:i/>
          <w:iCs/>
        </w:rPr>
        <w:t>Service Liberalization in the New Generation of Preferential Trade Agreements. How Much Further Than GATS?</w:t>
      </w:r>
      <w:r w:rsidRPr="00854A65">
        <w:t xml:space="preserve"> </w:t>
      </w:r>
      <w:r>
        <w:t>(</w:t>
      </w:r>
      <w:r w:rsidRPr="00854A65">
        <w:t>WTO Economic Research and Statistics Division</w:t>
      </w:r>
      <w:r>
        <w:t>)</w:t>
      </w:r>
      <w:r w:rsidRPr="00854A65">
        <w:t xml:space="preserve">. </w:t>
      </w:r>
    </w:p>
  </w:footnote>
  <w:footnote w:id="48">
    <w:p w14:paraId="11CB798E" w14:textId="77777777" w:rsidR="00D82918" w:rsidRPr="00854A65" w:rsidRDefault="00D82918" w:rsidP="00843222">
      <w:pPr>
        <w:pStyle w:val="FootnoteText"/>
      </w:pPr>
      <w:r w:rsidRPr="00854A65">
        <w:rPr>
          <w:rStyle w:val="FootnoteReference"/>
        </w:rPr>
        <w:footnoteRef/>
      </w:r>
      <w:r>
        <w:t xml:space="preserve"> </w:t>
      </w:r>
      <w:r w:rsidRPr="00854A65">
        <w:t>Consumers International,</w:t>
      </w:r>
      <w:r>
        <w:t xml:space="preserve"> 2000,</w:t>
      </w:r>
      <w:r w:rsidRPr="00854A65">
        <w:t xml:space="preserve"> </w:t>
      </w:r>
      <w:r w:rsidRPr="00854A65">
        <w:rPr>
          <w:i/>
        </w:rPr>
        <w:t>Guidelines for Consumer Polic</w:t>
      </w:r>
      <w:r>
        <w:rPr>
          <w:i/>
        </w:rPr>
        <w:t>y in Central and Eastern Europe</w:t>
      </w:r>
      <w:r w:rsidRPr="00854A65">
        <w:t>.</w:t>
      </w:r>
    </w:p>
  </w:footnote>
  <w:footnote w:id="49">
    <w:p w14:paraId="4602F8AE" w14:textId="71B101F7" w:rsidR="00D82918" w:rsidRPr="00D82918" w:rsidRDefault="00D82918" w:rsidP="00843222">
      <w:pPr>
        <w:pStyle w:val="FootnoteText"/>
        <w:rPr>
          <w:lang w:val="es-ES"/>
        </w:rPr>
      </w:pPr>
      <w:r w:rsidRPr="00854A65">
        <w:rPr>
          <w:rStyle w:val="FootnoteReference"/>
        </w:rPr>
        <w:footnoteRef/>
      </w:r>
      <w:r>
        <w:rPr>
          <w:lang w:val="es-ES"/>
        </w:rPr>
        <w:t xml:space="preserve"> </w:t>
      </w:r>
      <w:r w:rsidRPr="00854A65">
        <w:rPr>
          <w:lang w:val="es-ES"/>
        </w:rPr>
        <w:t>Secretaria Nacional do consumidor (SENACON)</w:t>
      </w:r>
      <w:r>
        <w:rPr>
          <w:lang w:val="es-ES"/>
        </w:rPr>
        <w:t>, 2015,</w:t>
      </w:r>
      <w:r w:rsidRPr="00854A65">
        <w:rPr>
          <w:lang w:val="es-ES"/>
        </w:rPr>
        <w:t xml:space="preserve"> </w:t>
      </w:r>
      <w:r w:rsidRPr="00854A65">
        <w:rPr>
          <w:i/>
          <w:lang w:val="es-ES"/>
        </w:rPr>
        <w:t>Codigo de Protecao e Defesa</w:t>
      </w:r>
      <w:r w:rsidRPr="00854A65">
        <w:rPr>
          <w:lang w:val="es-ES"/>
        </w:rPr>
        <w:t xml:space="preserve"> </w:t>
      </w:r>
      <w:r>
        <w:rPr>
          <w:i/>
          <w:lang w:val="es-ES"/>
        </w:rPr>
        <w:t>do C</w:t>
      </w:r>
      <w:r w:rsidRPr="00854A65">
        <w:rPr>
          <w:i/>
          <w:lang w:val="es-ES"/>
        </w:rPr>
        <w:t>onsumidor</w:t>
      </w:r>
      <w:r w:rsidRPr="00854A65">
        <w:rPr>
          <w:lang w:val="es-ES"/>
        </w:rPr>
        <w:t xml:space="preserve"> </w:t>
      </w:r>
      <w:r>
        <w:rPr>
          <w:lang w:val="es-ES"/>
        </w:rPr>
        <w:t>(</w:t>
      </w:r>
      <w:r w:rsidRPr="00854A65">
        <w:rPr>
          <w:lang w:val="es-ES"/>
        </w:rPr>
        <w:t>Ministerio de Justica</w:t>
      </w:r>
      <w:r>
        <w:rPr>
          <w:lang w:val="es-ES"/>
        </w:rPr>
        <w:t xml:space="preserve">); </w:t>
      </w:r>
      <w:r w:rsidRPr="00D82918">
        <w:rPr>
          <w:lang w:val="es-ES"/>
        </w:rPr>
        <w:t xml:space="preserve">L Rodrigues Maia Pinto, 2002, </w:t>
      </w:r>
      <w:r w:rsidRPr="00D82918">
        <w:rPr>
          <w:i/>
          <w:lang w:val="es-ES"/>
        </w:rPr>
        <w:t>Consumer Protection in Brazil: A General View</w:t>
      </w:r>
      <w:r w:rsidRPr="00D82918">
        <w:rPr>
          <w:lang w:val="es-ES"/>
        </w:rPr>
        <w:t xml:space="preserve"> (George Washington University).   </w:t>
      </w:r>
    </w:p>
  </w:footnote>
  <w:footnote w:id="50">
    <w:p w14:paraId="7B0AF89C" w14:textId="77777777" w:rsidR="00D82918" w:rsidRPr="00854A65" w:rsidRDefault="00D82918" w:rsidP="00843222">
      <w:pPr>
        <w:pStyle w:val="FootnoteText"/>
      </w:pPr>
      <w:r w:rsidRPr="00854A65">
        <w:rPr>
          <w:rStyle w:val="FootnoteReference"/>
        </w:rPr>
        <w:footnoteRef/>
      </w:r>
      <w:r>
        <w:t xml:space="preserve"> </w:t>
      </w:r>
      <w:r w:rsidRPr="00854A65">
        <w:t>EC/SOFRECO</w:t>
      </w:r>
      <w:r>
        <w:t>, 2007,</w:t>
      </w:r>
      <w:r>
        <w:rPr>
          <w:i/>
        </w:rPr>
        <w:t xml:space="preserve"> </w:t>
      </w:r>
      <w:r w:rsidRPr="00854A65">
        <w:rPr>
          <w:i/>
        </w:rPr>
        <w:t>Final Report: Support to the Implementation of a Consumer Pro</w:t>
      </w:r>
      <w:r>
        <w:rPr>
          <w:i/>
        </w:rPr>
        <w:t>tection Law and Regime in Egypt</w:t>
      </w:r>
      <w:r w:rsidRPr="00854A65">
        <w:t>.</w:t>
      </w:r>
    </w:p>
  </w:footnote>
  <w:footnote w:id="51">
    <w:p w14:paraId="6EF06ADC" w14:textId="77777777" w:rsidR="00D82918" w:rsidRPr="00854A65" w:rsidRDefault="00D82918" w:rsidP="00B05EFA">
      <w:pPr>
        <w:spacing w:after="0"/>
        <w:jc w:val="left"/>
        <w:rPr>
          <w:sz w:val="20"/>
          <w:szCs w:val="20"/>
        </w:rPr>
      </w:pPr>
      <w:r w:rsidRPr="00854A65">
        <w:rPr>
          <w:rStyle w:val="FootnoteReference"/>
          <w:sz w:val="20"/>
          <w:szCs w:val="20"/>
        </w:rPr>
        <w:footnoteRef/>
      </w:r>
      <w:r>
        <w:rPr>
          <w:sz w:val="20"/>
          <w:szCs w:val="20"/>
        </w:rPr>
        <w:t xml:space="preserve"> EC, 1997, Consolidated version of the t</w:t>
      </w:r>
      <w:r w:rsidRPr="00854A65">
        <w:rPr>
          <w:sz w:val="20"/>
          <w:szCs w:val="20"/>
        </w:rPr>
        <w:t>reaty esta</w:t>
      </w:r>
      <w:r>
        <w:rPr>
          <w:sz w:val="20"/>
          <w:szCs w:val="20"/>
        </w:rPr>
        <w:t>blishing the European Community</w:t>
      </w:r>
      <w:r w:rsidRPr="00854A65">
        <w:rPr>
          <w:sz w:val="20"/>
          <w:szCs w:val="20"/>
        </w:rPr>
        <w:t xml:space="preserve">, Article 153, </w:t>
      </w:r>
      <w:r>
        <w:rPr>
          <w:sz w:val="20"/>
          <w:szCs w:val="20"/>
        </w:rPr>
        <w:t xml:space="preserve">available at </w:t>
      </w:r>
      <w:hyperlink r:id="rId12" w:history="1">
        <w:r w:rsidRPr="00854A65">
          <w:rPr>
            <w:rStyle w:val="Hyperlink"/>
            <w:color w:val="auto"/>
            <w:sz w:val="20"/>
            <w:szCs w:val="20"/>
            <w:u w:val="none"/>
          </w:rPr>
          <w:t>http://www.lexnet.dk/law/download/treaties/Ect-1997.pdf</w:t>
        </w:r>
      </w:hyperlink>
      <w:r w:rsidRPr="00854A65">
        <w:rPr>
          <w:sz w:val="20"/>
          <w:szCs w:val="20"/>
        </w:rPr>
        <w:t>.</w:t>
      </w:r>
      <w:r>
        <w:rPr>
          <w:sz w:val="20"/>
          <w:szCs w:val="20"/>
        </w:rPr>
        <w:t xml:space="preserve"> </w:t>
      </w:r>
    </w:p>
  </w:footnote>
  <w:footnote w:id="52">
    <w:p w14:paraId="1840733C" w14:textId="77777777" w:rsidR="00D82918" w:rsidRPr="00854A65" w:rsidRDefault="00D82918" w:rsidP="00843222">
      <w:pPr>
        <w:pStyle w:val="FootnoteText"/>
      </w:pPr>
      <w:r w:rsidRPr="00854A65">
        <w:rPr>
          <w:rStyle w:val="FootnoteReference"/>
        </w:rPr>
        <w:footnoteRef/>
      </w:r>
      <w:r>
        <w:t xml:space="preserve"> </w:t>
      </w:r>
      <w:r w:rsidRPr="00854A65">
        <w:t xml:space="preserve">SENACON, </w:t>
      </w:r>
      <w:r w:rsidRPr="00E85A44">
        <w:t>op. cit.</w:t>
      </w:r>
    </w:p>
  </w:footnote>
  <w:footnote w:id="53">
    <w:p w14:paraId="7B917B44" w14:textId="2EEFB68D" w:rsidR="00D82918" w:rsidRPr="00854A65" w:rsidRDefault="00D82918" w:rsidP="00843222">
      <w:pPr>
        <w:pStyle w:val="FootnoteText"/>
      </w:pPr>
      <w:r w:rsidRPr="00854A65">
        <w:rPr>
          <w:rStyle w:val="FootnoteReference"/>
        </w:rPr>
        <w:footnoteRef/>
      </w:r>
      <w:r>
        <w:t xml:space="preserve"> </w:t>
      </w:r>
      <w:r w:rsidRPr="00854A65">
        <w:t>For more in-depth d</w:t>
      </w:r>
      <w:r>
        <w:t>iscussion of this period, see T</w:t>
      </w:r>
      <w:r w:rsidRPr="00854A65">
        <w:t xml:space="preserve"> Timberg, </w:t>
      </w:r>
      <w:r>
        <w:t>2002, The role of anti-monopoly committees in the f</w:t>
      </w:r>
      <w:r w:rsidRPr="00E85A44">
        <w:t>ormer Soviet Union</w:t>
      </w:r>
      <w:r>
        <w:rPr>
          <w:i/>
        </w:rPr>
        <w:t>,</w:t>
      </w:r>
      <w:r w:rsidRPr="00854A65">
        <w:t xml:space="preserve"> </w:t>
      </w:r>
      <w:r w:rsidRPr="00854A65">
        <w:rPr>
          <w:i/>
        </w:rPr>
        <w:t>Demokratizatsiya</w:t>
      </w:r>
      <w:r>
        <w:rPr>
          <w:i/>
        </w:rPr>
        <w:t xml:space="preserve">: The Journal of Post-soviet Democratization </w:t>
      </w:r>
      <w:r>
        <w:t>5(2):291</w:t>
      </w:r>
      <w:r>
        <w:rPr>
          <w:rFonts w:cstheme="minorHAnsi"/>
        </w:rPr>
        <w:t>‒</w:t>
      </w:r>
      <w:r>
        <w:t>297</w:t>
      </w:r>
      <w:r w:rsidRPr="00854A65">
        <w:t>.</w:t>
      </w:r>
    </w:p>
  </w:footnote>
  <w:footnote w:id="54">
    <w:p w14:paraId="1732E1EE" w14:textId="77777777" w:rsidR="00D82918" w:rsidRPr="00854A65" w:rsidRDefault="00D82918" w:rsidP="00843222">
      <w:pPr>
        <w:pStyle w:val="FootnoteText"/>
      </w:pPr>
      <w:r w:rsidRPr="00854A65">
        <w:rPr>
          <w:rStyle w:val="FootnoteReference"/>
        </w:rPr>
        <w:footnoteRef/>
      </w:r>
      <w:r>
        <w:t xml:space="preserve"> </w:t>
      </w:r>
      <w:r w:rsidRPr="00854A65">
        <w:t>Although Rozpotrebnazdor has a high public profile at national level, regional offices are (at the time of writing) housed within the agency responsible for food safety and public health.</w:t>
      </w:r>
    </w:p>
  </w:footnote>
  <w:footnote w:id="55">
    <w:p w14:paraId="1612359D" w14:textId="77777777" w:rsidR="00D82918" w:rsidRPr="00854A65" w:rsidRDefault="00D82918" w:rsidP="00843222">
      <w:pPr>
        <w:pStyle w:val="FootnoteText"/>
      </w:pPr>
      <w:r w:rsidRPr="00854A65">
        <w:rPr>
          <w:rStyle w:val="FootnoteReference"/>
        </w:rPr>
        <w:footnoteRef/>
      </w:r>
      <w:r>
        <w:t xml:space="preserve"> See</w:t>
      </w:r>
      <w:r w:rsidRPr="00854A65">
        <w:t xml:space="preserve"> </w:t>
      </w:r>
      <w:hyperlink r:id="rId13" w:history="1">
        <w:r w:rsidRPr="00854A65">
          <w:rPr>
            <w:rStyle w:val="Hyperlink"/>
            <w:color w:val="auto"/>
            <w:u w:val="none"/>
          </w:rPr>
          <w:t>http://www.greatplacetowork.com.pe/storage/documents/suplemento-gptwperu-2014baja.pdf</w:t>
        </w:r>
      </w:hyperlink>
      <w:r w:rsidRPr="00854A65">
        <w:t>.</w:t>
      </w:r>
      <w:r>
        <w:t xml:space="preserve"> </w:t>
      </w:r>
    </w:p>
  </w:footnote>
  <w:footnote w:id="56">
    <w:p w14:paraId="539F8CD2" w14:textId="70F681C7" w:rsidR="00D82918" w:rsidRPr="00854A65" w:rsidRDefault="00D82918" w:rsidP="00843222">
      <w:pPr>
        <w:spacing w:after="0"/>
        <w:rPr>
          <w:sz w:val="20"/>
          <w:szCs w:val="20"/>
        </w:rPr>
      </w:pPr>
      <w:r w:rsidRPr="00854A65">
        <w:rPr>
          <w:rStyle w:val="FootnoteReference"/>
          <w:sz w:val="20"/>
          <w:szCs w:val="20"/>
        </w:rPr>
        <w:footnoteRef/>
      </w:r>
      <w:r>
        <w:rPr>
          <w:sz w:val="20"/>
          <w:szCs w:val="20"/>
        </w:rPr>
        <w:t xml:space="preserve"> P</w:t>
      </w:r>
      <w:r w:rsidRPr="00854A65">
        <w:rPr>
          <w:sz w:val="20"/>
          <w:szCs w:val="20"/>
        </w:rPr>
        <w:t xml:space="preserve"> Kumar, </w:t>
      </w:r>
      <w:r>
        <w:rPr>
          <w:sz w:val="20"/>
          <w:szCs w:val="20"/>
        </w:rPr>
        <w:t>2013, The case of Fiji: Irresponsible lending practices in consumer credit m</w:t>
      </w:r>
      <w:r w:rsidRPr="00E85A44">
        <w:rPr>
          <w:sz w:val="20"/>
          <w:szCs w:val="20"/>
        </w:rPr>
        <w:t>arkets</w:t>
      </w:r>
      <w:r>
        <w:rPr>
          <w:sz w:val="20"/>
          <w:szCs w:val="20"/>
        </w:rPr>
        <w:t>,</w:t>
      </w:r>
      <w:r w:rsidRPr="00854A65">
        <w:rPr>
          <w:i/>
          <w:sz w:val="20"/>
          <w:szCs w:val="20"/>
        </w:rPr>
        <w:t xml:space="preserve"> </w:t>
      </w:r>
      <w:r w:rsidRPr="00854A65">
        <w:rPr>
          <w:sz w:val="20"/>
          <w:szCs w:val="20"/>
        </w:rPr>
        <w:t>in Consumers International</w:t>
      </w:r>
      <w:r>
        <w:rPr>
          <w:sz w:val="20"/>
          <w:szCs w:val="20"/>
        </w:rPr>
        <w:t>,</w:t>
      </w:r>
      <w:r w:rsidRPr="00854A65">
        <w:rPr>
          <w:sz w:val="20"/>
          <w:szCs w:val="20"/>
        </w:rPr>
        <w:t xml:space="preserve"> </w:t>
      </w:r>
      <w:r w:rsidRPr="00854A65">
        <w:rPr>
          <w:i/>
          <w:sz w:val="20"/>
          <w:szCs w:val="20"/>
        </w:rPr>
        <w:t>Responsible Lendi</w:t>
      </w:r>
      <w:r>
        <w:rPr>
          <w:i/>
          <w:sz w:val="20"/>
          <w:szCs w:val="20"/>
        </w:rPr>
        <w:t>ng: An International Landscape</w:t>
      </w:r>
      <w:r w:rsidRPr="00854A65">
        <w:rPr>
          <w:sz w:val="20"/>
          <w:szCs w:val="20"/>
        </w:rPr>
        <w:t>.</w:t>
      </w:r>
    </w:p>
  </w:footnote>
  <w:footnote w:id="57">
    <w:p w14:paraId="2AEA2464" w14:textId="77777777" w:rsidR="00D82918" w:rsidRPr="00854A65" w:rsidRDefault="00D82918" w:rsidP="00843222">
      <w:pPr>
        <w:pStyle w:val="FootnoteText"/>
      </w:pPr>
      <w:r w:rsidRPr="00854A65">
        <w:rPr>
          <w:rStyle w:val="FootnoteReference"/>
        </w:rPr>
        <w:footnoteRef/>
      </w:r>
      <w:r>
        <w:t xml:space="preserve"> </w:t>
      </w:r>
      <w:r w:rsidRPr="00854A65">
        <w:t xml:space="preserve">HKCC, </w:t>
      </w:r>
      <w:r>
        <w:t xml:space="preserve">2014, </w:t>
      </w:r>
      <w:r w:rsidRPr="00854A65">
        <w:rPr>
          <w:i/>
        </w:rPr>
        <w:t>Searching for New Directions; a Study of Hong Kong Electricity Market</w:t>
      </w:r>
      <w:r w:rsidRPr="00854A65">
        <w:t>.</w:t>
      </w:r>
    </w:p>
  </w:footnote>
  <w:footnote w:id="58">
    <w:p w14:paraId="7382CA78" w14:textId="77777777" w:rsidR="00D82918" w:rsidRPr="00854A65" w:rsidRDefault="00D82918" w:rsidP="00843222">
      <w:pPr>
        <w:pStyle w:val="FootnoteText"/>
      </w:pPr>
      <w:r w:rsidRPr="00854A65">
        <w:rPr>
          <w:rStyle w:val="FootnoteReference"/>
        </w:rPr>
        <w:footnoteRef/>
      </w:r>
      <w:r>
        <w:t xml:space="preserve"> </w:t>
      </w:r>
      <w:r w:rsidRPr="00854A65">
        <w:t xml:space="preserve">Connie Lau, </w:t>
      </w:r>
      <w:r>
        <w:t>2013, p</w:t>
      </w:r>
      <w:r w:rsidRPr="00E85A44">
        <w:t>resentation to International Forum on Justice and Consumer Rights</w:t>
      </w:r>
      <w:r>
        <w:t xml:space="preserve"> (</w:t>
      </w:r>
      <w:r w:rsidRPr="00854A65">
        <w:t>Wuhan, China</w:t>
      </w:r>
      <w:r>
        <w:t>)</w:t>
      </w:r>
      <w:r w:rsidRPr="00854A65">
        <w:t xml:space="preserve">. </w:t>
      </w:r>
    </w:p>
  </w:footnote>
  <w:footnote w:id="59">
    <w:p w14:paraId="7B9E5BFF" w14:textId="4D44081A" w:rsidR="00D82918" w:rsidRPr="00854A65" w:rsidRDefault="00D82918" w:rsidP="00843222">
      <w:pPr>
        <w:pStyle w:val="FootnoteText"/>
        <w:rPr>
          <w:rFonts w:cstheme="minorHAnsi"/>
        </w:rPr>
      </w:pPr>
      <w:r w:rsidRPr="00854A65">
        <w:rPr>
          <w:rStyle w:val="FootnoteReference"/>
          <w:rFonts w:cstheme="minorHAnsi"/>
        </w:rPr>
        <w:footnoteRef/>
      </w:r>
      <w:r>
        <w:rPr>
          <w:rFonts w:eastAsia="Calibri" w:cstheme="minorHAnsi"/>
        </w:rPr>
        <w:t xml:space="preserve"> F</w:t>
      </w:r>
      <w:r w:rsidRPr="00854A65">
        <w:rPr>
          <w:rFonts w:eastAsia="Calibri" w:cstheme="minorHAnsi"/>
        </w:rPr>
        <w:t xml:space="preserve"> Trentmann</w:t>
      </w:r>
      <w:r>
        <w:rPr>
          <w:rFonts w:eastAsia="Calibri" w:cstheme="minorHAnsi"/>
        </w:rPr>
        <w:t>, 2016,</w:t>
      </w:r>
      <w:r w:rsidRPr="00854A65">
        <w:rPr>
          <w:rFonts w:eastAsia="Calibri" w:cstheme="minorHAnsi"/>
        </w:rPr>
        <w:t xml:space="preserve"> </w:t>
      </w:r>
      <w:r w:rsidRPr="00854A65">
        <w:rPr>
          <w:rFonts w:eastAsia="Calibri" w:cstheme="minorHAnsi"/>
          <w:i/>
        </w:rPr>
        <w:t xml:space="preserve">Empire of Things: How We Became </w:t>
      </w:r>
      <w:r>
        <w:rPr>
          <w:rFonts w:eastAsia="Calibri" w:cstheme="minorHAnsi"/>
          <w:i/>
        </w:rPr>
        <w:t>a World of Consumers From the Fifteenth</w:t>
      </w:r>
      <w:r w:rsidRPr="00854A65">
        <w:rPr>
          <w:rFonts w:eastAsia="Calibri" w:cstheme="minorHAnsi"/>
          <w:i/>
        </w:rPr>
        <w:t xml:space="preserve"> Century to the </w:t>
      </w:r>
      <w:r>
        <w:rPr>
          <w:rFonts w:eastAsia="Calibri" w:cstheme="minorHAnsi"/>
          <w:i/>
        </w:rPr>
        <w:t>Twenty-First</w:t>
      </w:r>
      <w:r w:rsidRPr="00854A65">
        <w:rPr>
          <w:rFonts w:eastAsia="Calibri" w:cstheme="minorHAnsi"/>
        </w:rPr>
        <w:t xml:space="preserve"> </w:t>
      </w:r>
      <w:r>
        <w:rPr>
          <w:rFonts w:eastAsia="Calibri" w:cstheme="minorHAnsi"/>
        </w:rPr>
        <w:t>(</w:t>
      </w:r>
      <w:r w:rsidRPr="00854A65">
        <w:rPr>
          <w:rFonts w:eastAsia="Calibri" w:cstheme="minorHAnsi"/>
        </w:rPr>
        <w:t>Allen Lane</w:t>
      </w:r>
      <w:r>
        <w:rPr>
          <w:rFonts w:eastAsia="Calibri" w:cstheme="minorHAnsi"/>
        </w:rPr>
        <w:t>)</w:t>
      </w:r>
      <w:r w:rsidRPr="00854A65">
        <w:rPr>
          <w:rFonts w:eastAsia="Calibri" w:cstheme="minorHAnsi"/>
        </w:rPr>
        <w:t>.</w:t>
      </w:r>
    </w:p>
  </w:footnote>
  <w:footnote w:id="60">
    <w:p w14:paraId="053C2FF7" w14:textId="77777777" w:rsidR="00D82918" w:rsidRPr="00854A65" w:rsidRDefault="00D82918" w:rsidP="00843222">
      <w:pPr>
        <w:pStyle w:val="FootnoteText"/>
        <w:rPr>
          <w:rFonts w:cstheme="minorHAnsi"/>
        </w:rPr>
      </w:pPr>
      <w:r w:rsidRPr="00854A65">
        <w:rPr>
          <w:rStyle w:val="FootnoteReference"/>
          <w:rFonts w:cstheme="minorHAnsi"/>
        </w:rPr>
        <w:footnoteRef/>
      </w:r>
      <w:r>
        <w:rPr>
          <w:rFonts w:cstheme="minorHAnsi"/>
        </w:rPr>
        <w:t xml:space="preserve"> S</w:t>
      </w:r>
      <w:r w:rsidRPr="00854A65">
        <w:rPr>
          <w:rFonts w:cstheme="minorHAnsi"/>
        </w:rPr>
        <w:t xml:space="preserve"> Schama,</w:t>
      </w:r>
      <w:r>
        <w:rPr>
          <w:rFonts w:cstheme="minorHAnsi"/>
        </w:rPr>
        <w:t xml:space="preserve"> 1989,</w:t>
      </w:r>
      <w:r w:rsidRPr="00854A65">
        <w:rPr>
          <w:rFonts w:cstheme="minorHAnsi"/>
        </w:rPr>
        <w:t xml:space="preserve"> </w:t>
      </w:r>
      <w:r>
        <w:rPr>
          <w:rFonts w:cstheme="minorHAnsi"/>
          <w:i/>
        </w:rPr>
        <w:t>Citizens</w:t>
      </w:r>
      <w:r w:rsidRPr="00854A65">
        <w:rPr>
          <w:rFonts w:cstheme="minorHAnsi"/>
          <w:i/>
        </w:rPr>
        <w:t xml:space="preserve"> </w:t>
      </w:r>
      <w:r>
        <w:rPr>
          <w:rFonts w:cstheme="minorHAnsi"/>
        </w:rPr>
        <w:t>(</w:t>
      </w:r>
      <w:r w:rsidRPr="00854A65">
        <w:rPr>
          <w:rFonts w:cstheme="minorHAnsi"/>
        </w:rPr>
        <w:t>Penguin</w:t>
      </w:r>
      <w:r>
        <w:rPr>
          <w:rFonts w:cstheme="minorHAnsi"/>
        </w:rPr>
        <w:t>) in P</w:t>
      </w:r>
      <w:r w:rsidRPr="00854A65">
        <w:rPr>
          <w:rFonts w:cstheme="minorHAnsi"/>
        </w:rPr>
        <w:t xml:space="preserve"> Bushkovitch, </w:t>
      </w:r>
      <w:r>
        <w:rPr>
          <w:rFonts w:cstheme="minorHAnsi"/>
        </w:rPr>
        <w:t xml:space="preserve">2012, </w:t>
      </w:r>
      <w:r>
        <w:rPr>
          <w:rFonts w:cstheme="minorHAnsi"/>
          <w:i/>
        </w:rPr>
        <w:t>A Concise History of Russia</w:t>
      </w:r>
      <w:r w:rsidRPr="00854A65">
        <w:rPr>
          <w:rFonts w:cstheme="minorHAnsi"/>
          <w:i/>
        </w:rPr>
        <w:t xml:space="preserve"> </w:t>
      </w:r>
      <w:r>
        <w:rPr>
          <w:rFonts w:cstheme="minorHAnsi"/>
        </w:rPr>
        <w:t>(</w:t>
      </w:r>
      <w:r w:rsidRPr="00854A65">
        <w:rPr>
          <w:rFonts w:cstheme="minorHAnsi"/>
        </w:rPr>
        <w:t>Cambridge</w:t>
      </w:r>
      <w:r>
        <w:rPr>
          <w:rFonts w:cstheme="minorHAnsi"/>
        </w:rPr>
        <w:t>)</w:t>
      </w:r>
      <w:r w:rsidRPr="00854A65">
        <w:rPr>
          <w:rFonts w:cstheme="minorHAnsi"/>
        </w:rPr>
        <w:t>.</w:t>
      </w:r>
    </w:p>
  </w:footnote>
  <w:footnote w:id="61">
    <w:p w14:paraId="7108C09D" w14:textId="77777777" w:rsidR="00D82918" w:rsidRPr="00854A65" w:rsidRDefault="00D82918" w:rsidP="00843222">
      <w:pPr>
        <w:pStyle w:val="FootnoteText"/>
        <w:rPr>
          <w:rFonts w:eastAsia="Calibri" w:cstheme="minorHAnsi"/>
        </w:rPr>
      </w:pPr>
      <w:r w:rsidRPr="00854A65">
        <w:rPr>
          <w:rStyle w:val="FootnoteReference"/>
          <w:rFonts w:cstheme="minorHAnsi"/>
        </w:rPr>
        <w:footnoteRef/>
      </w:r>
      <w:r>
        <w:rPr>
          <w:rFonts w:eastAsia="Calibri" w:cstheme="minorHAnsi"/>
        </w:rPr>
        <w:t xml:space="preserve"> F </w:t>
      </w:r>
      <w:r w:rsidRPr="00854A65">
        <w:rPr>
          <w:rFonts w:eastAsia="Calibri" w:cstheme="minorHAnsi"/>
        </w:rPr>
        <w:t xml:space="preserve">Trentmann, </w:t>
      </w:r>
      <w:r w:rsidRPr="00E85A44">
        <w:rPr>
          <w:rFonts w:eastAsia="Calibri" w:cstheme="minorHAnsi"/>
        </w:rPr>
        <w:t>op. cit.</w:t>
      </w:r>
      <w:r w:rsidRPr="00854A65">
        <w:rPr>
          <w:rFonts w:eastAsia="Calibri" w:cstheme="minorHAnsi"/>
        </w:rPr>
        <w:t xml:space="preserve"> </w:t>
      </w:r>
    </w:p>
  </w:footnote>
  <w:footnote w:id="62">
    <w:p w14:paraId="77D2357A" w14:textId="77777777" w:rsidR="00D82918" w:rsidRPr="00854A65" w:rsidRDefault="00D82918" w:rsidP="00843222">
      <w:pPr>
        <w:spacing w:after="0" w:line="100" w:lineRule="atLeast"/>
        <w:rPr>
          <w:rFonts w:cstheme="minorHAnsi"/>
          <w:sz w:val="20"/>
          <w:szCs w:val="20"/>
        </w:rPr>
      </w:pPr>
      <w:r w:rsidRPr="00854A65">
        <w:rPr>
          <w:rStyle w:val="FootnoteReference"/>
          <w:rFonts w:cstheme="minorHAnsi"/>
          <w:sz w:val="20"/>
          <w:szCs w:val="20"/>
        </w:rPr>
        <w:footnoteRef/>
      </w:r>
      <w:r>
        <w:rPr>
          <w:rFonts w:cstheme="minorHAnsi"/>
          <w:sz w:val="20"/>
          <w:szCs w:val="20"/>
        </w:rPr>
        <w:t xml:space="preserve"> F Ruiz-Mier and M</w:t>
      </w:r>
      <w:r w:rsidRPr="00854A65">
        <w:rPr>
          <w:rFonts w:cstheme="minorHAnsi"/>
          <w:sz w:val="20"/>
          <w:szCs w:val="20"/>
        </w:rPr>
        <w:t xml:space="preserve"> van Ginneken, </w:t>
      </w:r>
      <w:r>
        <w:rPr>
          <w:rFonts w:cstheme="minorHAnsi"/>
          <w:sz w:val="20"/>
          <w:szCs w:val="20"/>
        </w:rPr>
        <w:t xml:space="preserve">2006, </w:t>
      </w:r>
      <w:r w:rsidRPr="00E85A44">
        <w:rPr>
          <w:rFonts w:cstheme="minorHAnsi"/>
          <w:i/>
          <w:iCs/>
          <w:sz w:val="20"/>
          <w:szCs w:val="20"/>
        </w:rPr>
        <w:t>Consumer Cooperatives: An Alternative Institutional Model for Delivery of Urban Water Supply and Sanitation Services?</w:t>
      </w:r>
      <w:r w:rsidRPr="00854A65">
        <w:rPr>
          <w:rFonts w:cstheme="minorHAnsi"/>
          <w:i/>
          <w:iCs/>
          <w:sz w:val="20"/>
          <w:szCs w:val="20"/>
        </w:rPr>
        <w:t xml:space="preserve"> </w:t>
      </w:r>
      <w:r>
        <w:rPr>
          <w:rFonts w:cstheme="minorHAnsi"/>
          <w:sz w:val="20"/>
          <w:szCs w:val="20"/>
        </w:rPr>
        <w:t>Water Supply and Sanitation</w:t>
      </w:r>
      <w:r w:rsidRPr="00854A65">
        <w:rPr>
          <w:rFonts w:cstheme="minorHAnsi"/>
          <w:sz w:val="20"/>
          <w:szCs w:val="20"/>
        </w:rPr>
        <w:t xml:space="preserve"> Working Note No. 5</w:t>
      </w:r>
      <w:r>
        <w:rPr>
          <w:rFonts w:cstheme="minorHAnsi"/>
          <w:sz w:val="20"/>
          <w:szCs w:val="20"/>
        </w:rPr>
        <w:t xml:space="preserve"> (Washington</w:t>
      </w:r>
      <w:r w:rsidRPr="00854A65">
        <w:rPr>
          <w:rFonts w:cstheme="minorHAnsi"/>
          <w:sz w:val="20"/>
          <w:szCs w:val="20"/>
        </w:rPr>
        <w:t xml:space="preserve"> DC, World Bank</w:t>
      </w:r>
      <w:r>
        <w:rPr>
          <w:rFonts w:cstheme="minorHAnsi"/>
          <w:sz w:val="20"/>
          <w:szCs w:val="20"/>
        </w:rPr>
        <w:t>)</w:t>
      </w:r>
      <w:r w:rsidRPr="00854A65">
        <w:rPr>
          <w:rFonts w:cstheme="minorHAnsi"/>
          <w:sz w:val="20"/>
          <w:szCs w:val="20"/>
        </w:rPr>
        <w:t>.</w:t>
      </w:r>
    </w:p>
  </w:footnote>
  <w:footnote w:id="63">
    <w:p w14:paraId="565A7FA2" w14:textId="77777777" w:rsidR="00D82918" w:rsidRPr="00854A65" w:rsidRDefault="00D82918" w:rsidP="00843222">
      <w:pPr>
        <w:pStyle w:val="Heading2"/>
        <w:spacing w:before="0"/>
        <w:rPr>
          <w:rFonts w:cstheme="minorHAnsi"/>
          <w:color w:val="auto"/>
          <w:sz w:val="20"/>
          <w:szCs w:val="20"/>
        </w:rPr>
      </w:pPr>
      <w:r w:rsidRPr="00854A65">
        <w:rPr>
          <w:rStyle w:val="FootnoteReference"/>
          <w:b w:val="0"/>
          <w:color w:val="auto"/>
          <w:sz w:val="20"/>
          <w:szCs w:val="20"/>
        </w:rPr>
        <w:footnoteRef/>
      </w:r>
      <w:r>
        <w:rPr>
          <w:rFonts w:cstheme="minorHAnsi"/>
          <w:b w:val="0"/>
          <w:bCs w:val="0"/>
          <w:color w:val="auto"/>
          <w:sz w:val="20"/>
          <w:szCs w:val="20"/>
        </w:rPr>
        <w:t xml:space="preserve"> </w:t>
      </w:r>
      <w:r w:rsidRPr="00854A65">
        <w:rPr>
          <w:rFonts w:cstheme="minorHAnsi"/>
          <w:b w:val="0"/>
          <w:bCs w:val="0"/>
          <w:color w:val="auto"/>
          <w:sz w:val="20"/>
          <w:szCs w:val="20"/>
        </w:rPr>
        <w:t>S</w:t>
      </w:r>
      <w:r w:rsidRPr="00854A65">
        <w:rPr>
          <w:b w:val="0"/>
          <w:color w:val="auto"/>
          <w:sz w:val="20"/>
          <w:szCs w:val="20"/>
        </w:rPr>
        <w:t xml:space="preserve"> </w:t>
      </w:r>
      <w:r w:rsidRPr="00854A65">
        <w:rPr>
          <w:rFonts w:cstheme="minorHAnsi"/>
          <w:b w:val="0"/>
          <w:color w:val="auto"/>
          <w:sz w:val="20"/>
          <w:szCs w:val="20"/>
        </w:rPr>
        <w:t>Ochieng</w:t>
      </w:r>
      <w:r>
        <w:rPr>
          <w:rFonts w:cstheme="minorHAnsi"/>
          <w:b w:val="0"/>
          <w:color w:val="auto"/>
          <w:sz w:val="20"/>
          <w:szCs w:val="20"/>
        </w:rPr>
        <w:t>, 2008,</w:t>
      </w:r>
      <w:r w:rsidRPr="00854A65">
        <w:rPr>
          <w:rFonts w:cstheme="minorHAnsi"/>
          <w:color w:val="auto"/>
          <w:sz w:val="20"/>
          <w:szCs w:val="20"/>
        </w:rPr>
        <w:t xml:space="preserve"> </w:t>
      </w:r>
      <w:r w:rsidRPr="00854A65">
        <w:rPr>
          <w:rFonts w:cstheme="minorHAnsi"/>
          <w:b w:val="0"/>
          <w:i/>
          <w:color w:val="auto"/>
          <w:sz w:val="20"/>
          <w:szCs w:val="20"/>
        </w:rPr>
        <w:t>Enhancing Access to Sustainable Energy i</w:t>
      </w:r>
      <w:r>
        <w:rPr>
          <w:rFonts w:cstheme="minorHAnsi"/>
          <w:b w:val="0"/>
          <w:i/>
          <w:color w:val="auto"/>
          <w:sz w:val="20"/>
          <w:szCs w:val="20"/>
        </w:rPr>
        <w:t>n Developing Countries</w:t>
      </w:r>
      <w:r w:rsidRPr="00854A65">
        <w:rPr>
          <w:rFonts w:cstheme="minorHAnsi"/>
          <w:color w:val="auto"/>
          <w:sz w:val="20"/>
          <w:szCs w:val="20"/>
        </w:rPr>
        <w:t xml:space="preserve"> </w:t>
      </w:r>
      <w:r w:rsidRPr="00E85A44">
        <w:rPr>
          <w:rFonts w:cstheme="minorHAnsi"/>
          <w:b w:val="0"/>
          <w:color w:val="auto"/>
          <w:sz w:val="20"/>
          <w:szCs w:val="20"/>
        </w:rPr>
        <w:t>(</w:t>
      </w:r>
      <w:r w:rsidRPr="00854A65">
        <w:rPr>
          <w:rFonts w:cstheme="minorHAnsi"/>
          <w:b w:val="0"/>
          <w:color w:val="auto"/>
          <w:sz w:val="20"/>
          <w:szCs w:val="20"/>
        </w:rPr>
        <w:t>Seoul</w:t>
      </w:r>
      <w:r>
        <w:rPr>
          <w:rFonts w:cstheme="minorHAnsi"/>
          <w:b w:val="0"/>
          <w:color w:val="auto"/>
          <w:sz w:val="20"/>
          <w:szCs w:val="20"/>
        </w:rPr>
        <w:t>,</w:t>
      </w:r>
      <w:r w:rsidRPr="00854A65">
        <w:rPr>
          <w:rFonts w:cstheme="minorHAnsi"/>
          <w:b w:val="0"/>
          <w:color w:val="auto"/>
          <w:sz w:val="20"/>
          <w:szCs w:val="20"/>
        </w:rPr>
        <w:t xml:space="preserve"> ISO/COPOLCO</w:t>
      </w:r>
      <w:r>
        <w:rPr>
          <w:rFonts w:cstheme="minorHAnsi"/>
          <w:b w:val="0"/>
          <w:color w:val="auto"/>
          <w:sz w:val="20"/>
          <w:szCs w:val="20"/>
        </w:rPr>
        <w:t>)</w:t>
      </w:r>
      <w:r w:rsidRPr="00854A65">
        <w:rPr>
          <w:rFonts w:cstheme="minorHAnsi"/>
          <w:b w:val="0"/>
          <w:color w:val="auto"/>
          <w:sz w:val="20"/>
          <w:szCs w:val="20"/>
        </w:rPr>
        <w:t>.</w:t>
      </w:r>
    </w:p>
  </w:footnote>
  <w:footnote w:id="64">
    <w:p w14:paraId="68DF3C7F" w14:textId="18D70570" w:rsidR="00D82918" w:rsidRPr="00854A65" w:rsidRDefault="00D82918" w:rsidP="00D83497">
      <w:pPr>
        <w:pStyle w:val="FootnoteText"/>
      </w:pPr>
      <w:r w:rsidRPr="00854A65">
        <w:rPr>
          <w:rStyle w:val="FootnoteReference"/>
        </w:rPr>
        <w:footnoteRef/>
      </w:r>
      <w:r>
        <w:t xml:space="preserve"> </w:t>
      </w:r>
      <w:r w:rsidRPr="00854A65">
        <w:t>For a more detailed history and analysis of the consumer movement in the United States</w:t>
      </w:r>
      <w:r>
        <w:t xml:space="preserve"> of America, see</w:t>
      </w:r>
      <w:r w:rsidRPr="00854A65">
        <w:t xml:space="preserve"> </w:t>
      </w:r>
      <w:r>
        <w:t>R Mayer and R</w:t>
      </w:r>
      <w:r w:rsidRPr="00854A65">
        <w:t xml:space="preserve"> Herrmann, </w:t>
      </w:r>
      <w:r>
        <w:t xml:space="preserve">1997, </w:t>
      </w:r>
      <w:r w:rsidRPr="00854A65">
        <w:rPr>
          <w:i/>
        </w:rPr>
        <w:t>Encyclopaedia of the Consumer Movement</w:t>
      </w:r>
      <w:r>
        <w:rPr>
          <w:i/>
        </w:rPr>
        <w:t xml:space="preserve"> </w:t>
      </w:r>
      <w:r w:rsidRPr="00E85A44">
        <w:t>and</w:t>
      </w:r>
      <w:r>
        <w:rPr>
          <w:i/>
        </w:rPr>
        <w:t xml:space="preserve"> </w:t>
      </w:r>
      <w:r w:rsidRPr="00854A65">
        <w:t>L</w:t>
      </w:r>
      <w:r>
        <w:t xml:space="preserve"> </w:t>
      </w:r>
      <w:r w:rsidRPr="00854A65">
        <w:t>Cohen,</w:t>
      </w:r>
      <w:r>
        <w:t xml:space="preserve"> 2010,</w:t>
      </w:r>
      <w:r w:rsidRPr="00854A65">
        <w:t xml:space="preserve"> </w:t>
      </w:r>
      <w:r>
        <w:t>Colston E. Warne lecture: Is it time for another round of consumer protection? The lessons of twentieth century</w:t>
      </w:r>
      <w:r w:rsidRPr="00854A65">
        <w:t xml:space="preserve">, </w:t>
      </w:r>
      <w:r w:rsidRPr="00E85A44">
        <w:rPr>
          <w:i/>
        </w:rPr>
        <w:t>Journal of Consumer Affairs</w:t>
      </w:r>
      <w:r w:rsidRPr="00854A65">
        <w:t>, 44</w:t>
      </w:r>
      <w:r>
        <w:t>(1):234</w:t>
      </w:r>
      <w:r>
        <w:rPr>
          <w:rFonts w:cstheme="minorHAnsi"/>
        </w:rPr>
        <w:t>‒</w:t>
      </w:r>
      <w:r>
        <w:t>246</w:t>
      </w:r>
      <w:r w:rsidRPr="00854A65">
        <w:t xml:space="preserve">. </w:t>
      </w:r>
    </w:p>
  </w:footnote>
  <w:footnote w:id="65">
    <w:p w14:paraId="5720BB63" w14:textId="77777777" w:rsidR="00D82918" w:rsidRPr="00854A65" w:rsidRDefault="00D82918" w:rsidP="00843222">
      <w:pPr>
        <w:pStyle w:val="FootnoteText"/>
      </w:pPr>
      <w:r w:rsidRPr="00854A65">
        <w:rPr>
          <w:rStyle w:val="FootnoteReference"/>
        </w:rPr>
        <w:footnoteRef/>
      </w:r>
      <w:r>
        <w:t xml:space="preserve"> R</w:t>
      </w:r>
      <w:r w:rsidRPr="00854A65">
        <w:t xml:space="preserve"> Mayer,</w:t>
      </w:r>
      <w:r>
        <w:t xml:space="preserve"> 2012,</w:t>
      </w:r>
      <w:r w:rsidRPr="00854A65">
        <w:t xml:space="preserve"> </w:t>
      </w:r>
      <w:r>
        <w:t>The US consumer movement: A new era amid old c</w:t>
      </w:r>
      <w:r w:rsidRPr="00E85A44">
        <w:t>hallenges</w:t>
      </w:r>
      <w:r>
        <w:rPr>
          <w:i/>
        </w:rPr>
        <w:t xml:space="preserve">, </w:t>
      </w:r>
      <w:r>
        <w:t>Colston Warne l</w:t>
      </w:r>
      <w:r w:rsidRPr="00854A65">
        <w:t xml:space="preserve">ecture. </w:t>
      </w:r>
    </w:p>
  </w:footnote>
  <w:footnote w:id="66">
    <w:p w14:paraId="1DC1AA58" w14:textId="77777777" w:rsidR="00D82918" w:rsidRPr="00854A65" w:rsidRDefault="00D82918" w:rsidP="00843222">
      <w:pPr>
        <w:pStyle w:val="FootnoteText"/>
      </w:pPr>
      <w:r w:rsidRPr="00854A65">
        <w:rPr>
          <w:rStyle w:val="FootnoteReference"/>
        </w:rPr>
        <w:footnoteRef/>
      </w:r>
      <w:r>
        <w:t xml:space="preserve"> </w:t>
      </w:r>
      <w:r w:rsidRPr="00854A65">
        <w:t xml:space="preserve">ICRT, </w:t>
      </w:r>
      <w:r>
        <w:t xml:space="preserve">2016, </w:t>
      </w:r>
      <w:r>
        <w:rPr>
          <w:i/>
        </w:rPr>
        <w:t>International Organizations</w:t>
      </w:r>
      <w:r w:rsidRPr="00854A65">
        <w:t>.</w:t>
      </w:r>
    </w:p>
  </w:footnote>
  <w:footnote w:id="67">
    <w:p w14:paraId="29B0C298" w14:textId="17234AA7" w:rsidR="00D82918" w:rsidRPr="00854A65" w:rsidRDefault="00D82918" w:rsidP="00843222">
      <w:pPr>
        <w:pStyle w:val="FootnoteText"/>
      </w:pPr>
      <w:r w:rsidRPr="00854A65">
        <w:rPr>
          <w:rStyle w:val="FootnoteReference"/>
        </w:rPr>
        <w:footnoteRef/>
      </w:r>
      <w:r>
        <w:t xml:space="preserve"> Y</w:t>
      </w:r>
      <w:r w:rsidRPr="00854A65">
        <w:t xml:space="preserve"> Y</w:t>
      </w:r>
      <w:r>
        <w:t>u and R</w:t>
      </w:r>
      <w:r w:rsidRPr="00854A65">
        <w:t xml:space="preserve"> Simpson, </w:t>
      </w:r>
      <w:r>
        <w:t xml:space="preserve">2013, </w:t>
      </w:r>
      <w:r w:rsidRPr="00E75DCC">
        <w:t>International Forum on Justice and Consumer Rights</w:t>
      </w:r>
      <w:r w:rsidRPr="00854A65">
        <w:t xml:space="preserve"> </w:t>
      </w:r>
      <w:r>
        <w:t>(University of</w:t>
      </w:r>
      <w:r w:rsidRPr="00854A65">
        <w:t xml:space="preserve"> Wuhan, China</w:t>
      </w:r>
      <w:r>
        <w:t>)</w:t>
      </w:r>
      <w:r w:rsidRPr="00854A65">
        <w:t xml:space="preserve">. </w:t>
      </w:r>
    </w:p>
  </w:footnote>
  <w:footnote w:id="68">
    <w:p w14:paraId="7D2605C6" w14:textId="77777777" w:rsidR="00D82918" w:rsidRPr="00854A65" w:rsidRDefault="00D82918" w:rsidP="00C155A5">
      <w:pPr>
        <w:pStyle w:val="FootnoteText"/>
      </w:pPr>
      <w:r w:rsidRPr="00854A65">
        <w:rPr>
          <w:rStyle w:val="FootnoteReference"/>
        </w:rPr>
        <w:footnoteRef/>
      </w:r>
      <w:r>
        <w:t xml:space="preserve"> </w:t>
      </w:r>
      <w:r w:rsidRPr="00854A65">
        <w:t xml:space="preserve">Although care needs to be taken not to dismiss new associations </w:t>
      </w:r>
      <w:r>
        <w:t>embarking on their development. T</w:t>
      </w:r>
      <w:r w:rsidRPr="00854A65">
        <w:t>his issue is discussed below.</w:t>
      </w:r>
    </w:p>
  </w:footnote>
  <w:footnote w:id="69">
    <w:p w14:paraId="36B884DA" w14:textId="694A9F51" w:rsidR="00D82918" w:rsidRPr="00854A65" w:rsidRDefault="00D82918" w:rsidP="00C155A5">
      <w:pPr>
        <w:pStyle w:val="FootnoteText"/>
      </w:pPr>
      <w:r w:rsidRPr="00854A65">
        <w:rPr>
          <w:rStyle w:val="FootnoteReference"/>
        </w:rPr>
        <w:footnoteRef/>
      </w:r>
      <w:r>
        <w:t xml:space="preserve"> Twenty-four </w:t>
      </w:r>
      <w:r w:rsidRPr="00854A65">
        <w:t xml:space="preserve">hour telephone boycotts have been notably successful in gaining attention in locations as varied as Peru, Lebanon and Portugal. </w:t>
      </w:r>
    </w:p>
  </w:footnote>
  <w:footnote w:id="70">
    <w:p w14:paraId="5FCD65DA" w14:textId="77777777" w:rsidR="00D82918" w:rsidRPr="00854A65" w:rsidRDefault="00D82918" w:rsidP="00C155A5">
      <w:pPr>
        <w:pStyle w:val="FootnoteText"/>
      </w:pPr>
      <w:r w:rsidRPr="00854A65">
        <w:rPr>
          <w:rStyle w:val="FootnoteReference"/>
        </w:rPr>
        <w:footnoteRef/>
      </w:r>
      <w:r>
        <w:t xml:space="preserve"> </w:t>
      </w:r>
      <w:r w:rsidRPr="00854A65">
        <w:t xml:space="preserve">Article 12.1 of the </w:t>
      </w:r>
      <w:r w:rsidRPr="00854A65">
        <w:rPr>
          <w:iCs/>
        </w:rPr>
        <w:t>Constitution of Consumers International</w:t>
      </w:r>
      <w:r w:rsidRPr="00854A65">
        <w:t xml:space="preserve"> indicates the independent role expected of consumer associations. </w:t>
      </w:r>
    </w:p>
  </w:footnote>
  <w:footnote w:id="71">
    <w:p w14:paraId="65C9410C" w14:textId="77777777" w:rsidR="00D82918" w:rsidRPr="00854A65" w:rsidRDefault="00D82918" w:rsidP="00C155A5">
      <w:pPr>
        <w:pStyle w:val="FootnoteText"/>
      </w:pPr>
      <w:r w:rsidRPr="00854A65">
        <w:rPr>
          <w:rStyle w:val="FootnoteReference"/>
        </w:rPr>
        <w:footnoteRef/>
      </w:r>
      <w:r>
        <w:t xml:space="preserve"> </w:t>
      </w:r>
      <w:r w:rsidRPr="00854A65">
        <w:t xml:space="preserve">The use of many consumer association services rose during the financial crisis for obvious reasons, but the extent to which this translated into membership has not been systematically researched. </w:t>
      </w:r>
    </w:p>
  </w:footnote>
  <w:footnote w:id="72">
    <w:p w14:paraId="74D155ED" w14:textId="0B72C9CA" w:rsidR="00D82918" w:rsidRPr="00854A65" w:rsidRDefault="00D82918" w:rsidP="00843222">
      <w:pPr>
        <w:pStyle w:val="FootnoteText"/>
      </w:pPr>
      <w:r w:rsidRPr="00854A65">
        <w:rPr>
          <w:rStyle w:val="FootnoteReference"/>
        </w:rPr>
        <w:footnoteRef/>
      </w:r>
      <w:r>
        <w:t xml:space="preserve"> See M Muller, M van Ginneken and R</w:t>
      </w:r>
      <w:r w:rsidRPr="00854A65">
        <w:t xml:space="preserve"> Simpson, </w:t>
      </w:r>
      <w:r>
        <w:t xml:space="preserve">2008, </w:t>
      </w:r>
      <w:r w:rsidRPr="00854A65">
        <w:rPr>
          <w:i/>
          <w:iCs/>
        </w:rPr>
        <w:t xml:space="preserve">Ways to Improve Water Services by Making Utilities </w:t>
      </w:r>
      <w:r>
        <w:rPr>
          <w:i/>
          <w:iCs/>
        </w:rPr>
        <w:t>More Accountable to Their Users</w:t>
      </w:r>
      <w:r w:rsidRPr="00854A65">
        <w:t xml:space="preserve"> </w:t>
      </w:r>
      <w:r>
        <w:t>(</w:t>
      </w:r>
      <w:r w:rsidRPr="00854A65">
        <w:t>World Bank</w:t>
      </w:r>
      <w:r>
        <w:t>)</w:t>
      </w:r>
      <w:r w:rsidRPr="00854A65">
        <w:t>.</w:t>
      </w:r>
    </w:p>
  </w:footnote>
  <w:footnote w:id="73">
    <w:p w14:paraId="1DDA6CDF" w14:textId="77777777" w:rsidR="00D82918" w:rsidRPr="00854A65" w:rsidRDefault="00D82918" w:rsidP="00843222">
      <w:pPr>
        <w:pStyle w:val="FootnoteText"/>
        <w:rPr>
          <w:lang w:val="fr-FR"/>
        </w:rPr>
      </w:pPr>
      <w:r w:rsidRPr="00854A65">
        <w:rPr>
          <w:rStyle w:val="FootnoteReference"/>
        </w:rPr>
        <w:footnoteRef/>
      </w:r>
      <w:r>
        <w:rPr>
          <w:lang w:val="fr-CH"/>
        </w:rPr>
        <w:t xml:space="preserve"> </w:t>
      </w:r>
      <w:r w:rsidRPr="00854A65">
        <w:rPr>
          <w:lang w:val="fr-CH"/>
        </w:rPr>
        <w:t xml:space="preserve">RACE, </w:t>
      </w:r>
      <w:r>
        <w:rPr>
          <w:lang w:val="fr-CH"/>
        </w:rPr>
        <w:t xml:space="preserve">2008, </w:t>
      </w:r>
      <w:r w:rsidRPr="00854A65">
        <w:rPr>
          <w:i/>
          <w:lang w:val="fr-CH"/>
        </w:rPr>
        <w:t>Energie Info, bulletin bimestriel d’information et de liaison des consommateurs de l’energie</w:t>
      </w:r>
      <w:r w:rsidRPr="00854A65">
        <w:rPr>
          <w:lang w:val="fr-FR"/>
        </w:rPr>
        <w:t>.</w:t>
      </w:r>
    </w:p>
  </w:footnote>
  <w:footnote w:id="74">
    <w:p w14:paraId="5F8F5F95" w14:textId="77777777" w:rsidR="00D82918" w:rsidRPr="00854A65" w:rsidRDefault="00D82918" w:rsidP="00843222">
      <w:pPr>
        <w:pStyle w:val="FootnoteText"/>
      </w:pPr>
      <w:r w:rsidRPr="00854A65">
        <w:rPr>
          <w:rStyle w:val="FootnoteReference"/>
        </w:rPr>
        <w:footnoteRef/>
      </w:r>
      <w:r>
        <w:t xml:space="preserve"> M</w:t>
      </w:r>
      <w:r w:rsidRPr="00854A65">
        <w:t xml:space="preserve"> Lazzarini, </w:t>
      </w:r>
      <w:r>
        <w:t>2004, Improving u</w:t>
      </w:r>
      <w:r w:rsidRPr="00E85A44">
        <w:t>tilities</w:t>
      </w:r>
      <w:r w:rsidRPr="00854A65">
        <w:rPr>
          <w:i/>
        </w:rPr>
        <w:t>,</w:t>
      </w:r>
      <w:r>
        <w:t xml:space="preserve"> guest a</w:t>
      </w:r>
      <w:r w:rsidRPr="00854A65">
        <w:t>ddress to the World Bank.</w:t>
      </w:r>
    </w:p>
  </w:footnote>
  <w:footnote w:id="75">
    <w:p w14:paraId="1A52B64A" w14:textId="77777777" w:rsidR="00D82918" w:rsidRPr="00854A65" w:rsidRDefault="00D82918">
      <w:pPr>
        <w:pStyle w:val="FootnoteText"/>
      </w:pPr>
      <w:r w:rsidRPr="00854A65">
        <w:rPr>
          <w:rStyle w:val="FootnoteReference"/>
        </w:rPr>
        <w:footnoteRef/>
      </w:r>
      <w:r w:rsidRPr="00854A65">
        <w:t xml:space="preserve"> </w:t>
      </w:r>
      <w:r>
        <w:t>A</w:t>
      </w:r>
      <w:r w:rsidRPr="00854A65">
        <w:t xml:space="preserve">t the time of writing in Uzbekistan, Moldova and Belarus. </w:t>
      </w:r>
    </w:p>
  </w:footnote>
  <w:footnote w:id="76">
    <w:p w14:paraId="72280295" w14:textId="77777777" w:rsidR="00D82918" w:rsidRPr="00854A65" w:rsidRDefault="00D82918" w:rsidP="00C155A5">
      <w:pPr>
        <w:pStyle w:val="FootnoteText"/>
      </w:pPr>
      <w:r w:rsidRPr="00854A65">
        <w:rPr>
          <w:rStyle w:val="FootnoteReference"/>
        </w:rPr>
        <w:footnoteRef/>
      </w:r>
      <w:r>
        <w:t xml:space="preserve"> Treaty of Chaguaramas, 2001. See also P</w:t>
      </w:r>
      <w:r w:rsidRPr="00854A65">
        <w:t xml:space="preserve"> McClauren,</w:t>
      </w:r>
      <w:r>
        <w:t xml:space="preserve"> 2011,</w:t>
      </w:r>
      <w:r w:rsidRPr="00854A65">
        <w:t xml:space="preserve"> presentation to </w:t>
      </w:r>
      <w:r w:rsidRPr="00E85A44">
        <w:t>Ecole d’été en droit de la consummation</w:t>
      </w:r>
      <w:r w:rsidRPr="00854A65">
        <w:rPr>
          <w:i/>
        </w:rPr>
        <w:t>,</w:t>
      </w:r>
      <w:r w:rsidRPr="00854A65">
        <w:t xml:space="preserve"> Universite du Quebec a Montreal.</w:t>
      </w:r>
    </w:p>
  </w:footnote>
  <w:footnote w:id="77">
    <w:p w14:paraId="03F7F5D5" w14:textId="6745DE7C" w:rsidR="00D82918" w:rsidRPr="00854A65" w:rsidRDefault="00D82918" w:rsidP="006C2701">
      <w:pPr>
        <w:pStyle w:val="FootnoteText"/>
        <w:rPr>
          <w:lang w:val="en-US"/>
        </w:rPr>
      </w:pPr>
      <w:r w:rsidRPr="00854A65">
        <w:rPr>
          <w:rStyle w:val="FootnoteReference"/>
        </w:rPr>
        <w:footnoteRef/>
      </w:r>
      <w:r>
        <w:t xml:space="preserve"> </w:t>
      </w:r>
      <w:r w:rsidRPr="00854A65">
        <w:t>European Union</w:t>
      </w:r>
      <w:r>
        <w:rPr>
          <w:lang w:val="en-US"/>
        </w:rPr>
        <w:t xml:space="preserve"> Directive 98/27, a</w:t>
      </w:r>
      <w:r w:rsidRPr="00854A65">
        <w:rPr>
          <w:lang w:val="en-US"/>
        </w:rPr>
        <w:t>rticles 1-3, for example.</w:t>
      </w:r>
    </w:p>
  </w:footnote>
  <w:footnote w:id="78">
    <w:p w14:paraId="5A9EAED7" w14:textId="1CF7432C" w:rsidR="00D82918" w:rsidRPr="00854A65" w:rsidRDefault="00D82918" w:rsidP="00843222">
      <w:pPr>
        <w:pStyle w:val="FootnoteText"/>
      </w:pPr>
      <w:r w:rsidRPr="00854A65">
        <w:rPr>
          <w:rStyle w:val="FootnoteReference"/>
        </w:rPr>
        <w:footnoteRef/>
      </w:r>
      <w:r>
        <w:t xml:space="preserve"> D</w:t>
      </w:r>
      <w:r w:rsidRPr="00854A65">
        <w:t xml:space="preserve"> Fernandez Arroyo, </w:t>
      </w:r>
      <w:r>
        <w:t>2012, Consumer protection in international private relations: General r</w:t>
      </w:r>
      <w:r w:rsidRPr="00EC6A16">
        <w:t>eport</w:t>
      </w:r>
      <w:r>
        <w:rPr>
          <w:i/>
        </w:rPr>
        <w:t>,</w:t>
      </w:r>
      <w:r>
        <w:t xml:space="preserve"> in</w:t>
      </w:r>
      <w:r w:rsidRPr="00854A65">
        <w:t xml:space="preserve"> </w:t>
      </w:r>
      <w:r>
        <w:t xml:space="preserve">C Lima Marques et al, </w:t>
      </w:r>
      <w:r w:rsidRPr="00854A65">
        <w:rPr>
          <w:i/>
        </w:rPr>
        <w:t>The Global Financial Crisis and the Nee</w:t>
      </w:r>
      <w:r>
        <w:rPr>
          <w:i/>
        </w:rPr>
        <w:t xml:space="preserve">d for Consumer Regulation </w:t>
      </w:r>
      <w:r>
        <w:t>(</w:t>
      </w:r>
      <w:r w:rsidRPr="00854A65">
        <w:t>International Law Association</w:t>
      </w:r>
      <w:r>
        <w:t>)</w:t>
      </w:r>
      <w:r w:rsidRPr="00854A65">
        <w:t xml:space="preserve">. </w:t>
      </w:r>
    </w:p>
  </w:footnote>
  <w:footnote w:id="79">
    <w:p w14:paraId="14A64C5E" w14:textId="7361981A" w:rsidR="00D82918" w:rsidRPr="00854A65" w:rsidRDefault="00D82918" w:rsidP="00843222">
      <w:pPr>
        <w:pStyle w:val="FootnoteText"/>
      </w:pPr>
      <w:r w:rsidRPr="00854A65">
        <w:rPr>
          <w:rStyle w:val="FootnoteReference"/>
        </w:rPr>
        <w:footnoteRef/>
      </w:r>
      <w:r>
        <w:t xml:space="preserve"> </w:t>
      </w:r>
      <w:r w:rsidRPr="00854A65">
        <w:t xml:space="preserve">UNCTAD, </w:t>
      </w:r>
      <w:r>
        <w:t xml:space="preserve">2013, </w:t>
      </w:r>
      <w:r w:rsidRPr="00854A65">
        <w:rPr>
          <w:i/>
        </w:rPr>
        <w:t>Implementation Report on the United Nations Guidelines</w:t>
      </w:r>
      <w:r>
        <w:rPr>
          <w:i/>
        </w:rPr>
        <w:t xml:space="preserve"> on Consumer Protection</w:t>
      </w:r>
      <w:r w:rsidRPr="00854A65">
        <w:t xml:space="preserve"> </w:t>
      </w:r>
      <w:r w:rsidRPr="004218D1">
        <w:rPr>
          <w:i/>
        </w:rPr>
        <w:t>1985–2013</w:t>
      </w:r>
      <w:r w:rsidRPr="00854A65">
        <w:t>,</w:t>
      </w:r>
      <w:r>
        <w:t xml:space="preserve"> note by UNCTAD secretariat</w:t>
      </w:r>
      <w:r w:rsidRPr="00854A65">
        <w:t>.</w:t>
      </w:r>
    </w:p>
  </w:footnote>
  <w:footnote w:id="80">
    <w:p w14:paraId="4ACC78F5" w14:textId="41BF5FFB" w:rsidR="00D82918" w:rsidRPr="00854A65" w:rsidRDefault="00D82918" w:rsidP="00843222">
      <w:pPr>
        <w:pStyle w:val="FootnoteText"/>
      </w:pPr>
      <w:r w:rsidRPr="00854A65">
        <w:rPr>
          <w:rStyle w:val="FootnoteReference"/>
        </w:rPr>
        <w:footnoteRef/>
      </w:r>
      <w:r>
        <w:t xml:space="preserve"> See</w:t>
      </w:r>
      <w:r w:rsidRPr="00854A65">
        <w:t xml:space="preserve"> </w:t>
      </w:r>
      <w:hyperlink r:id="rId14" w:history="1">
        <w:r w:rsidRPr="00F3283D">
          <w:rPr>
            <w:rStyle w:val="Hyperlink"/>
          </w:rPr>
          <w:t>http://www.lauterkeit.chapter/komm1F.htm</w:t>
        </w:r>
      </w:hyperlink>
      <w:r w:rsidRPr="00854A65">
        <w:t>.</w:t>
      </w:r>
      <w:r>
        <w:t xml:space="preserve"> </w:t>
      </w:r>
    </w:p>
  </w:footnote>
  <w:footnote w:id="81">
    <w:p w14:paraId="21491B6F" w14:textId="07EF975A" w:rsidR="00D82918" w:rsidRPr="00854A65" w:rsidRDefault="00D82918" w:rsidP="00843222">
      <w:pPr>
        <w:pStyle w:val="FootnoteText"/>
      </w:pPr>
      <w:r w:rsidRPr="00854A65">
        <w:rPr>
          <w:rStyle w:val="FootnoteReference"/>
        </w:rPr>
        <w:footnoteRef/>
      </w:r>
      <w:r>
        <w:t xml:space="preserve"> </w:t>
      </w:r>
      <w:r w:rsidRPr="00854A65">
        <w:t xml:space="preserve">ISO 26000, </w:t>
      </w:r>
      <w:r>
        <w:t xml:space="preserve">2010, </w:t>
      </w:r>
      <w:r w:rsidRPr="00854A65">
        <w:rPr>
          <w:i/>
        </w:rPr>
        <w:t>Guidance on Social Responsibility</w:t>
      </w:r>
      <w:r>
        <w:t xml:space="preserve"> (r</w:t>
      </w:r>
      <w:r w:rsidRPr="00854A65">
        <w:t>eviewed and confirmed in 2014</w:t>
      </w:r>
      <w:r>
        <w:t>)</w:t>
      </w:r>
      <w:r w:rsidRPr="00854A65">
        <w:t>. ISO 26000 is not limited to corporations but is also aime</w:t>
      </w:r>
      <w:r>
        <w:t>d at “organizations” including g</w:t>
      </w:r>
      <w:r w:rsidRPr="00854A65">
        <w:t>overnment</w:t>
      </w:r>
      <w:r>
        <w:t>s</w:t>
      </w:r>
      <w:r w:rsidRPr="00854A65">
        <w:t>.</w:t>
      </w:r>
    </w:p>
  </w:footnote>
  <w:footnote w:id="82">
    <w:p w14:paraId="0CAE2F4B" w14:textId="5B538A44" w:rsidR="00D82918" w:rsidRPr="00854A65" w:rsidRDefault="00D82918" w:rsidP="00843222">
      <w:pPr>
        <w:pStyle w:val="FootnoteText"/>
      </w:pPr>
      <w:r w:rsidRPr="00854A65">
        <w:rPr>
          <w:rStyle w:val="FootnoteReference"/>
        </w:rPr>
        <w:footnoteRef/>
      </w:r>
      <w:r>
        <w:t xml:space="preserve"> </w:t>
      </w:r>
      <w:r w:rsidRPr="00854A65">
        <w:t>OECD</w:t>
      </w:r>
      <w:r>
        <w:t>, 2011,</w:t>
      </w:r>
      <w:r w:rsidRPr="00854A65">
        <w:t xml:space="preserve"> G</w:t>
      </w:r>
      <w:r w:rsidRPr="00854A65">
        <w:rPr>
          <w:i/>
        </w:rPr>
        <w:t>uidelines for Multinational Enterprises:  Recommendations for Responsible Business Conduct in a Global Context</w:t>
      </w:r>
      <w:r w:rsidRPr="00854A65">
        <w:t>.</w:t>
      </w:r>
    </w:p>
  </w:footnote>
  <w:footnote w:id="83">
    <w:p w14:paraId="11590C0B" w14:textId="07E19798" w:rsidR="00D82918" w:rsidRPr="00854A65" w:rsidRDefault="00D82918" w:rsidP="00843222">
      <w:pPr>
        <w:pStyle w:val="FootnoteText"/>
      </w:pPr>
      <w:r w:rsidRPr="00854A65">
        <w:rPr>
          <w:rStyle w:val="FootnoteReference"/>
        </w:rPr>
        <w:footnoteRef/>
      </w:r>
      <w:r>
        <w:t xml:space="preserve"> F</w:t>
      </w:r>
      <w:r w:rsidRPr="00854A65">
        <w:t xml:space="preserve"> Trentmann, </w:t>
      </w:r>
      <w:r>
        <w:t xml:space="preserve">2016, </w:t>
      </w:r>
      <w:r>
        <w:rPr>
          <w:i/>
        </w:rPr>
        <w:t>Empire of Things</w:t>
      </w:r>
      <w:r w:rsidRPr="00854A65">
        <w:t xml:space="preserve"> </w:t>
      </w:r>
      <w:r>
        <w:t>(</w:t>
      </w:r>
      <w:r w:rsidRPr="00854A65">
        <w:t>Allen Lane</w:t>
      </w:r>
      <w:r>
        <w:t>)</w:t>
      </w:r>
      <w:r w:rsidRPr="00854A65">
        <w:t>.</w:t>
      </w:r>
    </w:p>
  </w:footnote>
  <w:footnote w:id="84">
    <w:p w14:paraId="202FB387" w14:textId="6D327C37" w:rsidR="00D82918" w:rsidRPr="00854A65" w:rsidRDefault="00D82918" w:rsidP="00843222">
      <w:pPr>
        <w:pStyle w:val="FootnoteText"/>
      </w:pPr>
      <w:r w:rsidRPr="00854A65">
        <w:rPr>
          <w:rStyle w:val="FootnoteReference"/>
        </w:rPr>
        <w:footnoteRef/>
      </w:r>
      <w:r>
        <w:t xml:space="preserve"> C</w:t>
      </w:r>
      <w:r w:rsidRPr="00854A65">
        <w:t xml:space="preserve"> Hodges, </w:t>
      </w:r>
      <w:r>
        <w:t xml:space="preserve">2016, </w:t>
      </w:r>
      <w:r w:rsidRPr="00854A65">
        <w:rPr>
          <w:i/>
        </w:rPr>
        <w:t xml:space="preserve">Law </w:t>
      </w:r>
      <w:r w:rsidRPr="00854A65">
        <w:rPr>
          <w:i/>
          <w:iCs/>
        </w:rPr>
        <w:t>and</w:t>
      </w:r>
      <w:r w:rsidRPr="00854A65">
        <w:rPr>
          <w:i/>
        </w:rPr>
        <w:t xml:space="preserve"> Corporate </w:t>
      </w:r>
      <w:r w:rsidRPr="00854A65">
        <w:rPr>
          <w:i/>
          <w:iCs/>
        </w:rPr>
        <w:t>Behaviour</w:t>
      </w:r>
      <w:r w:rsidRPr="00854A65">
        <w:t xml:space="preserve"> </w:t>
      </w:r>
      <w:r>
        <w:t>(</w:t>
      </w:r>
      <w:r w:rsidRPr="00854A65">
        <w:t>Hart</w:t>
      </w:r>
      <w:r>
        <w:t>); J</w:t>
      </w:r>
      <w:r w:rsidRPr="00854A65">
        <w:t xml:space="preserve"> Rawls, </w:t>
      </w:r>
      <w:r>
        <w:t xml:space="preserve">1971, </w:t>
      </w:r>
      <w:r w:rsidRPr="00854A65">
        <w:rPr>
          <w:i/>
        </w:rPr>
        <w:t>A Theory of Justice</w:t>
      </w:r>
      <w:r w:rsidRPr="00854A65">
        <w:t xml:space="preserve"> </w:t>
      </w:r>
      <w:r>
        <w:t>(</w:t>
      </w:r>
      <w:r w:rsidRPr="00854A65">
        <w:t>Harvard</w:t>
      </w:r>
      <w:r>
        <w:t>); A</w:t>
      </w:r>
      <w:r w:rsidRPr="00854A65">
        <w:t xml:space="preserve"> Sen,</w:t>
      </w:r>
      <w:r>
        <w:t xml:space="preserve"> 2009,</w:t>
      </w:r>
      <w:r w:rsidRPr="00854A65">
        <w:t xml:space="preserve"> </w:t>
      </w:r>
      <w:r w:rsidRPr="00854A65">
        <w:rPr>
          <w:i/>
          <w:iCs/>
        </w:rPr>
        <w:t>The Idea of Justice</w:t>
      </w:r>
      <w:r w:rsidRPr="00854A65">
        <w:t xml:space="preserve"> </w:t>
      </w:r>
      <w:r>
        <w:t>(</w:t>
      </w:r>
      <w:r w:rsidRPr="00854A65">
        <w:t>Allen Lane</w:t>
      </w:r>
      <w:r>
        <w:t>)</w:t>
      </w:r>
      <w:r w:rsidRPr="00854A65">
        <w:t>.</w:t>
      </w:r>
    </w:p>
  </w:footnote>
  <w:footnote w:id="85">
    <w:p w14:paraId="6106F7FD" w14:textId="51DA7DCA" w:rsidR="00D82918" w:rsidRPr="00854A65" w:rsidRDefault="00D82918" w:rsidP="00843222">
      <w:pPr>
        <w:pStyle w:val="FootnoteText"/>
      </w:pPr>
      <w:r w:rsidRPr="00854A65">
        <w:rPr>
          <w:rStyle w:val="FootnoteReference"/>
        </w:rPr>
        <w:footnoteRef/>
      </w:r>
      <w:r>
        <w:t xml:space="preserve"> L</w:t>
      </w:r>
      <w:r w:rsidRPr="00854A65">
        <w:t xml:space="preserve"> Sharma, </w:t>
      </w:r>
      <w:r>
        <w:t xml:space="preserve">2015, </w:t>
      </w:r>
      <w:r w:rsidRPr="004218D1">
        <w:t>Relevance of Gandhian Ideology: Philanthropy to CSR</w:t>
      </w:r>
      <w:r>
        <w:t>,</w:t>
      </w:r>
      <w:r w:rsidRPr="00854A65">
        <w:rPr>
          <w:i/>
        </w:rPr>
        <w:t xml:space="preserve"> </w:t>
      </w:r>
      <w:r w:rsidRPr="004218D1">
        <w:rPr>
          <w:i/>
        </w:rPr>
        <w:t>International Research Journal of Humanities, Language and Literature</w:t>
      </w:r>
      <w:r w:rsidRPr="00854A65">
        <w:t xml:space="preserve"> 2(3). </w:t>
      </w:r>
      <w:r>
        <w:t>See also A</w:t>
      </w:r>
      <w:r w:rsidRPr="00854A65">
        <w:t xml:space="preserve">V Joseph, </w:t>
      </w:r>
      <w:r>
        <w:t xml:space="preserve">2009, </w:t>
      </w:r>
      <w:r w:rsidRPr="004218D1">
        <w:t>Successful Examples of CSR</w:t>
      </w:r>
      <w:r>
        <w:rPr>
          <w:i/>
        </w:rPr>
        <w:t>,</w:t>
      </w:r>
      <w:r w:rsidRPr="00854A65">
        <w:t xml:space="preserve"> </w:t>
      </w:r>
      <w:r w:rsidRPr="004218D1">
        <w:rPr>
          <w:i/>
        </w:rPr>
        <w:t>Indian Journal of Industrial Relations</w:t>
      </w:r>
      <w:r w:rsidRPr="00854A65">
        <w:t xml:space="preserve"> 44(3). </w:t>
      </w:r>
    </w:p>
  </w:footnote>
  <w:footnote w:id="86">
    <w:p w14:paraId="63649CB8" w14:textId="63E7A85E" w:rsidR="00D82918" w:rsidRPr="00854A65" w:rsidRDefault="00D82918" w:rsidP="00C155A5">
      <w:pPr>
        <w:pStyle w:val="FootnoteText"/>
        <w:rPr>
          <w:i/>
          <w:iCs/>
        </w:rPr>
      </w:pPr>
      <w:r w:rsidRPr="00854A65">
        <w:rPr>
          <w:rStyle w:val="FootnoteReference"/>
        </w:rPr>
        <w:footnoteRef/>
      </w:r>
      <w:r>
        <w:t xml:space="preserve"> EC</w:t>
      </w:r>
      <w:r w:rsidRPr="00854A65">
        <w:t xml:space="preserve">, </w:t>
      </w:r>
      <w:r>
        <w:t xml:space="preserve">2011, </w:t>
      </w:r>
      <w:r w:rsidRPr="00854A65">
        <w:rPr>
          <w:i/>
        </w:rPr>
        <w:t>A Renewed European Union Strategy 2011-14 for Corporate Social Responsibility</w:t>
      </w:r>
      <w:r>
        <w:t>,</w:t>
      </w:r>
      <w:r w:rsidRPr="00854A65">
        <w:t xml:space="preserve"> </w:t>
      </w:r>
      <w:r w:rsidRPr="004218D1">
        <w:t>communication from the Commission</w:t>
      </w:r>
      <w:r>
        <w:t xml:space="preserve"> (</w:t>
      </w:r>
      <w:r w:rsidRPr="00854A65">
        <w:t>October 25</w:t>
      </w:r>
      <w:r>
        <w:t xml:space="preserve">). </w:t>
      </w:r>
    </w:p>
  </w:footnote>
  <w:footnote w:id="87">
    <w:p w14:paraId="25DD29B2" w14:textId="504A7A78" w:rsidR="00D82918" w:rsidRPr="00854A65" w:rsidRDefault="00D82918" w:rsidP="00C155A5">
      <w:pPr>
        <w:pStyle w:val="FootnoteText"/>
      </w:pPr>
      <w:r w:rsidRPr="00854A65">
        <w:rPr>
          <w:rStyle w:val="FootnoteReference"/>
        </w:rPr>
        <w:footnoteRef/>
      </w:r>
      <w:r>
        <w:t xml:space="preserve"> EC, 2011,</w:t>
      </w:r>
      <w:r w:rsidRPr="00854A65">
        <w:t xml:space="preserve"> </w:t>
      </w:r>
      <w:r w:rsidRPr="00854A65">
        <w:rPr>
          <w:i/>
          <w:iCs/>
        </w:rPr>
        <w:t xml:space="preserve">Corporate Social Responsibility: </w:t>
      </w:r>
      <w:r>
        <w:rPr>
          <w:i/>
          <w:iCs/>
        </w:rPr>
        <w:t>A New Definition, A New Agenda f</w:t>
      </w:r>
      <w:r w:rsidRPr="00854A65">
        <w:rPr>
          <w:i/>
          <w:iCs/>
        </w:rPr>
        <w:t xml:space="preserve">or Action, </w:t>
      </w:r>
      <w:r>
        <w:t>Memo/11/730</w:t>
      </w:r>
      <w:r w:rsidRPr="00854A65">
        <w:t xml:space="preserve"> </w:t>
      </w:r>
      <w:r>
        <w:t>(</w:t>
      </w:r>
      <w:r w:rsidRPr="00854A65">
        <w:t>October 25</w:t>
      </w:r>
      <w:r>
        <w:t>)</w:t>
      </w:r>
      <w:r w:rsidRPr="00854A65">
        <w:t>.</w:t>
      </w:r>
    </w:p>
  </w:footnote>
  <w:footnote w:id="88">
    <w:p w14:paraId="309545E4" w14:textId="12211056" w:rsidR="00D82918" w:rsidRPr="00854A65" w:rsidRDefault="00D82918" w:rsidP="00843222">
      <w:pPr>
        <w:pStyle w:val="FootnoteText"/>
      </w:pPr>
      <w:r w:rsidRPr="00854A65">
        <w:rPr>
          <w:rStyle w:val="FootnoteReference"/>
        </w:rPr>
        <w:footnoteRef/>
      </w:r>
      <w:r>
        <w:t xml:space="preserve"> </w:t>
      </w:r>
      <w:r w:rsidRPr="00854A65">
        <w:t xml:space="preserve">OECD, </w:t>
      </w:r>
      <w:r>
        <w:t xml:space="preserve">2011, </w:t>
      </w:r>
      <w:r w:rsidRPr="00854A65">
        <w:rPr>
          <w:i/>
          <w:iCs/>
        </w:rPr>
        <w:t>Guidelines for Multinational Enterprises</w:t>
      </w:r>
      <w:r w:rsidRPr="00854A65">
        <w:t>.</w:t>
      </w:r>
    </w:p>
  </w:footnote>
  <w:footnote w:id="89">
    <w:p w14:paraId="69A70674" w14:textId="0698CE12" w:rsidR="00D82918" w:rsidRPr="00854A65" w:rsidRDefault="00D82918" w:rsidP="00843222">
      <w:pPr>
        <w:pStyle w:val="FootnoteText"/>
      </w:pPr>
      <w:r w:rsidRPr="00854A65">
        <w:rPr>
          <w:rStyle w:val="FootnoteReference"/>
        </w:rPr>
        <w:footnoteRef/>
      </w:r>
      <w:r>
        <w:t xml:space="preserve"> J </w:t>
      </w:r>
      <w:r w:rsidRPr="00854A65">
        <w:t xml:space="preserve">Knopf </w:t>
      </w:r>
      <w:r w:rsidRPr="004218D1">
        <w:t>et al.</w:t>
      </w:r>
      <w:r w:rsidRPr="00854A65">
        <w:t>,</w:t>
      </w:r>
      <w:r>
        <w:t xml:space="preserve"> 2011,</w:t>
      </w:r>
      <w:r w:rsidRPr="00854A65">
        <w:t xml:space="preserve"> </w:t>
      </w:r>
      <w:r w:rsidRPr="00854A65">
        <w:rPr>
          <w:i/>
          <w:iCs/>
        </w:rPr>
        <w:t xml:space="preserve">CSR Compendium: Public </w:t>
      </w:r>
      <w:r>
        <w:rPr>
          <w:i/>
          <w:iCs/>
        </w:rPr>
        <w:t>Policies in the European Union</w:t>
      </w:r>
      <w:r w:rsidRPr="00854A65">
        <w:t xml:space="preserve"> </w:t>
      </w:r>
      <w:r>
        <w:t>(</w:t>
      </w:r>
      <w:r w:rsidRPr="00854A65">
        <w:t>Adelphi</w:t>
      </w:r>
      <w:r>
        <w:t>)</w:t>
      </w:r>
      <w:r w:rsidRPr="00854A65">
        <w:t>.</w:t>
      </w:r>
    </w:p>
  </w:footnote>
  <w:footnote w:id="90">
    <w:p w14:paraId="47AF8D0C" w14:textId="3A6D2180" w:rsidR="00D82918" w:rsidRPr="00854A65" w:rsidRDefault="00D82918" w:rsidP="00C155A5">
      <w:pPr>
        <w:pStyle w:val="FootnoteText"/>
      </w:pPr>
      <w:r w:rsidRPr="00854A65">
        <w:rPr>
          <w:rStyle w:val="FootnoteReference"/>
        </w:rPr>
        <w:footnoteRef/>
      </w:r>
      <w:r>
        <w:t xml:space="preserve"> J</w:t>
      </w:r>
      <w:r w:rsidRPr="00854A65">
        <w:t xml:space="preserve"> Vitt, </w:t>
      </w:r>
      <w:r>
        <w:t xml:space="preserve">2011, </w:t>
      </w:r>
      <w:r>
        <w:rPr>
          <w:iCs/>
        </w:rPr>
        <w:t>Consumers care: Access to information for more sustainable m</w:t>
      </w:r>
      <w:r w:rsidRPr="003C76E3">
        <w:rPr>
          <w:iCs/>
        </w:rPr>
        <w:t>arkets</w:t>
      </w:r>
      <w:r w:rsidRPr="00854A65">
        <w:t xml:space="preserve">, </w:t>
      </w:r>
      <w:r>
        <w:rPr>
          <w:i/>
          <w:iCs/>
        </w:rPr>
        <w:t xml:space="preserve">ISO Focus </w:t>
      </w:r>
      <w:r>
        <w:rPr>
          <w:iCs/>
        </w:rPr>
        <w:t>(</w:t>
      </w:r>
      <w:r w:rsidRPr="00854A65">
        <w:t>March 3</w:t>
      </w:r>
      <w:r>
        <w:t xml:space="preserve">); S Homer, 2007, </w:t>
      </w:r>
      <w:r>
        <w:rPr>
          <w:iCs/>
        </w:rPr>
        <w:t>ISO WG social r</w:t>
      </w:r>
      <w:r w:rsidRPr="003C76E3">
        <w:rPr>
          <w:iCs/>
        </w:rPr>
        <w:t>esponsibility</w:t>
      </w:r>
      <w:r>
        <w:rPr>
          <w:iCs/>
        </w:rPr>
        <w:t>,</w:t>
      </w:r>
      <w:r>
        <w:t xml:space="preserve"> p</w:t>
      </w:r>
      <w:r w:rsidRPr="00854A65">
        <w:t>resent</w:t>
      </w:r>
      <w:r>
        <w:t>ation to ISO COPOCLCO/DEVCO training w</w:t>
      </w:r>
      <w:r w:rsidRPr="00854A65">
        <w:t>o</w:t>
      </w:r>
      <w:r>
        <w:t>rkshop on social responsibility</w:t>
      </w:r>
      <w:r w:rsidRPr="00854A65">
        <w:t xml:space="preserve"> </w:t>
      </w:r>
      <w:r>
        <w:t>(</w:t>
      </w:r>
      <w:r w:rsidRPr="00854A65">
        <w:t>Vienna</w:t>
      </w:r>
      <w:r>
        <w:t>)</w:t>
      </w:r>
      <w:r w:rsidRPr="00854A65">
        <w:t>.</w:t>
      </w:r>
    </w:p>
  </w:footnote>
  <w:footnote w:id="91">
    <w:p w14:paraId="34C2D755" w14:textId="77777777" w:rsidR="00D82918" w:rsidRPr="00854A65" w:rsidRDefault="00D82918" w:rsidP="00843222">
      <w:pPr>
        <w:pStyle w:val="FootnoteText"/>
      </w:pPr>
      <w:r w:rsidRPr="00854A65">
        <w:rPr>
          <w:rStyle w:val="FootnoteReference"/>
        </w:rPr>
        <w:footnoteRef/>
      </w:r>
      <w:r>
        <w:t xml:space="preserve"> </w:t>
      </w:r>
      <w:r w:rsidRPr="00854A65">
        <w:t>Nevertheless, several national standards bodies have developed certifiable standards for their jurisdictions, for example Denmark and the Netherlands.</w:t>
      </w:r>
    </w:p>
  </w:footnote>
  <w:footnote w:id="92">
    <w:p w14:paraId="31CBA6C8" w14:textId="75A675E7" w:rsidR="00D82918" w:rsidRPr="00854A65" w:rsidRDefault="00D82918" w:rsidP="00C155A5">
      <w:pPr>
        <w:pStyle w:val="FootnoteText"/>
      </w:pPr>
      <w:r w:rsidRPr="00854A65">
        <w:rPr>
          <w:rStyle w:val="FootnoteReference"/>
        </w:rPr>
        <w:footnoteRef/>
      </w:r>
      <w:r>
        <w:t xml:space="preserve"> </w:t>
      </w:r>
      <w:r w:rsidRPr="00854A65">
        <w:t xml:space="preserve">ISO, </w:t>
      </w:r>
      <w:r>
        <w:t xml:space="preserve">2010, </w:t>
      </w:r>
      <w:r w:rsidRPr="00854A65">
        <w:rPr>
          <w:i/>
          <w:iCs/>
        </w:rPr>
        <w:t>Discovering ISO 26000</w:t>
      </w:r>
      <w:r w:rsidRPr="00854A65">
        <w:t>.</w:t>
      </w:r>
    </w:p>
  </w:footnote>
  <w:footnote w:id="93">
    <w:p w14:paraId="6CCA0465" w14:textId="77777777" w:rsidR="00D82918" w:rsidRPr="00854A65" w:rsidRDefault="00D82918" w:rsidP="00C155A5">
      <w:pPr>
        <w:pStyle w:val="FootnoteText"/>
        <w:rPr>
          <w:lang w:val="nl-NL"/>
        </w:rPr>
      </w:pPr>
      <w:r w:rsidRPr="00854A65">
        <w:rPr>
          <w:lang w:val="nl-NL"/>
        </w:rPr>
        <w:t xml:space="preserve"> </w:t>
      </w:r>
      <w:r w:rsidRPr="00854A65">
        <w:rPr>
          <w:rStyle w:val="FootnoteReference"/>
        </w:rPr>
        <w:footnoteRef/>
      </w:r>
      <w:r>
        <w:rPr>
          <w:lang w:val="nl-NL"/>
        </w:rPr>
        <w:t xml:space="preserve"> </w:t>
      </w:r>
      <w:r w:rsidRPr="00854A65">
        <w:rPr>
          <w:lang w:val="nl-NL"/>
        </w:rPr>
        <w:t xml:space="preserve">Knopf </w:t>
      </w:r>
      <w:r w:rsidRPr="003C76E3">
        <w:rPr>
          <w:lang w:val="nl-NL"/>
        </w:rPr>
        <w:t>et al</w:t>
      </w:r>
      <w:r w:rsidRPr="00854A65">
        <w:rPr>
          <w:lang w:val="nl-NL"/>
        </w:rPr>
        <w:t xml:space="preserve">, </w:t>
      </w:r>
      <w:r w:rsidRPr="003C76E3">
        <w:rPr>
          <w:iCs/>
          <w:lang w:val="nl-NL"/>
        </w:rPr>
        <w:t>op. cit</w:t>
      </w:r>
      <w:r w:rsidRPr="003C76E3">
        <w:rPr>
          <w:lang w:val="nl-NL"/>
        </w:rPr>
        <w:t>.</w:t>
      </w:r>
    </w:p>
  </w:footnote>
  <w:footnote w:id="94">
    <w:p w14:paraId="1D178A4F" w14:textId="0841CE29" w:rsidR="00D82918" w:rsidRPr="00854A65" w:rsidRDefault="00D82918" w:rsidP="00843222">
      <w:pPr>
        <w:pStyle w:val="FootnoteText"/>
      </w:pPr>
      <w:r w:rsidRPr="00D82918">
        <w:rPr>
          <w:lang w:val="fr-CH"/>
        </w:rPr>
        <w:t xml:space="preserve"> </w:t>
      </w:r>
      <w:r w:rsidRPr="00854A65">
        <w:rPr>
          <w:rStyle w:val="FootnoteReference"/>
        </w:rPr>
        <w:footnoteRef/>
      </w:r>
      <w:r>
        <w:t xml:space="preserve"> </w:t>
      </w:r>
      <w:r w:rsidRPr="00854A65">
        <w:t xml:space="preserve">EC COM 681 final, </w:t>
      </w:r>
      <w:r w:rsidRPr="003C76E3">
        <w:rPr>
          <w:iCs/>
        </w:rPr>
        <w:t>op. cit.</w:t>
      </w:r>
      <w:r>
        <w:rPr>
          <w:iCs/>
        </w:rPr>
        <w:t>;</w:t>
      </w:r>
      <w:r w:rsidRPr="00854A65">
        <w:rPr>
          <w:i/>
          <w:iCs/>
        </w:rPr>
        <w:t xml:space="preserve"> </w:t>
      </w:r>
      <w:r w:rsidRPr="00854A65">
        <w:t xml:space="preserve">United Nations Global Compact derives from </w:t>
      </w:r>
      <w:r w:rsidRPr="00854A65">
        <w:rPr>
          <w:i/>
        </w:rPr>
        <w:t>Universal Declaration on Human Rights</w:t>
      </w:r>
      <w:r w:rsidRPr="00854A65">
        <w:t xml:space="preserve">; </w:t>
      </w:r>
      <w:r w:rsidRPr="00854A65">
        <w:rPr>
          <w:i/>
        </w:rPr>
        <w:t>ILO Declaration on Fundamental Principles and Rights at Work</w:t>
      </w:r>
      <w:r w:rsidRPr="00854A65">
        <w:t xml:space="preserve">; </w:t>
      </w:r>
      <w:r w:rsidRPr="00854A65">
        <w:rPr>
          <w:i/>
        </w:rPr>
        <w:t>Rio Declaration on Environment and Development</w:t>
      </w:r>
      <w:r>
        <w:t xml:space="preserve"> and</w:t>
      </w:r>
      <w:r w:rsidRPr="00854A65">
        <w:t xml:space="preserve"> </w:t>
      </w:r>
      <w:r w:rsidRPr="00854A65">
        <w:rPr>
          <w:i/>
        </w:rPr>
        <w:t>United Nations Convention</w:t>
      </w:r>
      <w:r w:rsidRPr="00854A65">
        <w:t xml:space="preserve"> </w:t>
      </w:r>
      <w:r w:rsidRPr="00854A65">
        <w:rPr>
          <w:i/>
        </w:rPr>
        <w:t>Against Corruption</w:t>
      </w:r>
      <w:r w:rsidRPr="00854A65">
        <w:t>.</w:t>
      </w:r>
    </w:p>
  </w:footnote>
  <w:footnote w:id="95">
    <w:p w14:paraId="2B21B6AB" w14:textId="77777777" w:rsidR="00D82918" w:rsidRPr="00854A65" w:rsidRDefault="00D82918" w:rsidP="001A0359">
      <w:pPr>
        <w:pStyle w:val="FootnoteText"/>
        <w:rPr>
          <w:lang w:val="nl-NL"/>
        </w:rPr>
      </w:pPr>
      <w:r w:rsidRPr="00854A65">
        <w:rPr>
          <w:rStyle w:val="FootnoteReference"/>
        </w:rPr>
        <w:footnoteRef/>
      </w:r>
      <w:r>
        <w:rPr>
          <w:lang w:val="nl-NL"/>
        </w:rPr>
        <w:t xml:space="preserve"> </w:t>
      </w:r>
      <w:r w:rsidRPr="00854A65">
        <w:rPr>
          <w:lang w:val="nl-NL"/>
        </w:rPr>
        <w:t xml:space="preserve">Knopf </w:t>
      </w:r>
      <w:r w:rsidRPr="003C76E3">
        <w:rPr>
          <w:lang w:val="nl-NL"/>
        </w:rPr>
        <w:t>et al</w:t>
      </w:r>
      <w:r w:rsidRPr="00854A65">
        <w:rPr>
          <w:lang w:val="nl-NL"/>
        </w:rPr>
        <w:t xml:space="preserve">, </w:t>
      </w:r>
      <w:r w:rsidRPr="003C76E3">
        <w:rPr>
          <w:iCs/>
          <w:lang w:val="nl-NL"/>
        </w:rPr>
        <w:t>op. cit.</w:t>
      </w:r>
    </w:p>
  </w:footnote>
  <w:footnote w:id="96">
    <w:p w14:paraId="476979EA" w14:textId="23ADFA6C" w:rsidR="00D82918" w:rsidRPr="00854A65" w:rsidRDefault="00D82918" w:rsidP="001A0359">
      <w:pPr>
        <w:pStyle w:val="FootnoteText"/>
      </w:pPr>
      <w:r w:rsidRPr="00854A65">
        <w:rPr>
          <w:rStyle w:val="FootnoteReference"/>
        </w:rPr>
        <w:footnoteRef/>
      </w:r>
      <w:r>
        <w:rPr>
          <w:lang w:val="nl-NL"/>
        </w:rPr>
        <w:t xml:space="preserve"> J Vitt and U</w:t>
      </w:r>
      <w:r w:rsidRPr="00854A65">
        <w:rPr>
          <w:lang w:val="nl-NL"/>
        </w:rPr>
        <w:t xml:space="preserve"> Pachl, </w:t>
      </w:r>
      <w:r>
        <w:rPr>
          <w:lang w:val="nl-NL"/>
        </w:rPr>
        <w:t xml:space="preserve">2010, </w:t>
      </w:r>
      <w:r>
        <w:rPr>
          <w:iCs/>
        </w:rPr>
        <w:t>Towards a European CSR f</w:t>
      </w:r>
      <w:r w:rsidRPr="003C76E3">
        <w:rPr>
          <w:iCs/>
        </w:rPr>
        <w:t>ramework</w:t>
      </w:r>
      <w:r>
        <w:rPr>
          <w:iCs/>
        </w:rPr>
        <w:t>,</w:t>
      </w:r>
      <w:r w:rsidRPr="00854A65">
        <w:rPr>
          <w:i/>
          <w:iCs/>
        </w:rPr>
        <w:t xml:space="preserve"> </w:t>
      </w:r>
      <w:r>
        <w:t>reflection paper for the multi-stakeholder forum on CSR</w:t>
      </w:r>
      <w:r w:rsidRPr="00854A65">
        <w:t>.</w:t>
      </w:r>
    </w:p>
  </w:footnote>
  <w:footnote w:id="97">
    <w:p w14:paraId="3476DDE6" w14:textId="04E86731" w:rsidR="00D82918" w:rsidRPr="00854A65" w:rsidRDefault="00D82918" w:rsidP="00B3745A">
      <w:pPr>
        <w:pStyle w:val="FootnoteText"/>
      </w:pPr>
      <w:r w:rsidRPr="00854A65">
        <w:rPr>
          <w:rStyle w:val="FootnoteReference"/>
        </w:rPr>
        <w:footnoteRef/>
      </w:r>
      <w:r>
        <w:t xml:space="preserve"> </w:t>
      </w:r>
      <w:r w:rsidRPr="003C76E3">
        <w:rPr>
          <w:i/>
        </w:rPr>
        <w:t>Time</w:t>
      </w:r>
      <w:r>
        <w:t>, 2012,</w:t>
      </w:r>
      <w:r w:rsidRPr="00854A65">
        <w:t xml:space="preserve"> </w:t>
      </w:r>
      <w:r>
        <w:t>Why companies can no l</w:t>
      </w:r>
      <w:r w:rsidRPr="003C76E3">
        <w:t>onger</w:t>
      </w:r>
      <w:r>
        <w:t xml:space="preserve"> afford to ignore their social r</w:t>
      </w:r>
      <w:r w:rsidRPr="003C76E3">
        <w:t>esponsibilities</w:t>
      </w:r>
      <w:r w:rsidRPr="00854A65">
        <w:t xml:space="preserve"> </w:t>
      </w:r>
      <w:r>
        <w:t>(</w:t>
      </w:r>
      <w:r w:rsidRPr="00854A65">
        <w:t>May 28</w:t>
      </w:r>
      <w:r>
        <w:t xml:space="preserve">). </w:t>
      </w:r>
    </w:p>
  </w:footnote>
  <w:footnote w:id="98">
    <w:p w14:paraId="4F2B9CDE" w14:textId="34A797F9" w:rsidR="00D82918" w:rsidRPr="00854A65" w:rsidRDefault="00D82918" w:rsidP="00B3745A">
      <w:pPr>
        <w:pStyle w:val="FootnoteText"/>
      </w:pPr>
      <w:r w:rsidRPr="00854A65">
        <w:rPr>
          <w:rStyle w:val="FootnoteReference"/>
        </w:rPr>
        <w:footnoteRef/>
      </w:r>
      <w:r>
        <w:t xml:space="preserve"> </w:t>
      </w:r>
      <w:r w:rsidRPr="00854A65">
        <w:t xml:space="preserve">Corporate Watch, </w:t>
      </w:r>
      <w:r>
        <w:t xml:space="preserve">2006, </w:t>
      </w:r>
      <w:r w:rsidRPr="00854A65">
        <w:t>W</w:t>
      </w:r>
      <w:r w:rsidRPr="00854A65">
        <w:rPr>
          <w:i/>
          <w:iCs/>
        </w:rPr>
        <w:t xml:space="preserve">hat’s Wrong with CSR? </w:t>
      </w:r>
      <w:r>
        <w:rPr>
          <w:iCs/>
        </w:rPr>
        <w:t>(</w:t>
      </w:r>
      <w:r w:rsidRPr="00854A65">
        <w:t>Oxford</w:t>
      </w:r>
      <w:r>
        <w:t>)</w:t>
      </w:r>
      <w:r w:rsidRPr="00854A65">
        <w:t>.</w:t>
      </w:r>
    </w:p>
  </w:footnote>
  <w:footnote w:id="99">
    <w:p w14:paraId="572DC218" w14:textId="7A26A12B" w:rsidR="00D82918" w:rsidRPr="00854A65" w:rsidRDefault="00D82918" w:rsidP="00B3745A">
      <w:pPr>
        <w:spacing w:after="0"/>
        <w:rPr>
          <w:sz w:val="20"/>
          <w:szCs w:val="20"/>
        </w:rPr>
      </w:pPr>
      <w:r w:rsidRPr="00854A65">
        <w:rPr>
          <w:rStyle w:val="FootnoteReference"/>
          <w:sz w:val="20"/>
          <w:szCs w:val="20"/>
        </w:rPr>
        <w:footnoteRef/>
      </w:r>
      <w:r>
        <w:rPr>
          <w:sz w:val="20"/>
          <w:szCs w:val="20"/>
        </w:rPr>
        <w:t xml:space="preserve"> </w:t>
      </w:r>
      <w:r w:rsidRPr="00854A65">
        <w:rPr>
          <w:sz w:val="20"/>
          <w:szCs w:val="20"/>
        </w:rPr>
        <w:t>United Kingdom</w:t>
      </w:r>
      <w:r>
        <w:rPr>
          <w:sz w:val="20"/>
          <w:szCs w:val="20"/>
        </w:rPr>
        <w:t xml:space="preserve"> of Great Britain and Northern Ireland,</w:t>
      </w:r>
      <w:r w:rsidRPr="00854A65">
        <w:rPr>
          <w:sz w:val="20"/>
          <w:szCs w:val="20"/>
        </w:rPr>
        <w:t xml:space="preserve"> Department for</w:t>
      </w:r>
      <w:r>
        <w:rPr>
          <w:sz w:val="20"/>
          <w:szCs w:val="20"/>
        </w:rPr>
        <w:t xml:space="preserve"> Business Innovation and Skills, 2014,</w:t>
      </w:r>
      <w:r w:rsidRPr="00854A65">
        <w:rPr>
          <w:sz w:val="20"/>
          <w:szCs w:val="20"/>
        </w:rPr>
        <w:t xml:space="preserve"> </w:t>
      </w:r>
      <w:r>
        <w:rPr>
          <w:i/>
          <w:sz w:val="20"/>
          <w:szCs w:val="20"/>
        </w:rPr>
        <w:t>Corporate Responsibility:</w:t>
      </w:r>
      <w:r w:rsidRPr="00854A65">
        <w:rPr>
          <w:i/>
          <w:sz w:val="20"/>
          <w:szCs w:val="20"/>
        </w:rPr>
        <w:t xml:space="preserve"> Good for Business and Society</w:t>
      </w:r>
      <w:r>
        <w:rPr>
          <w:i/>
          <w:sz w:val="20"/>
          <w:szCs w:val="20"/>
        </w:rPr>
        <w:t>;</w:t>
      </w:r>
      <w:r>
        <w:rPr>
          <w:sz w:val="20"/>
          <w:szCs w:val="20"/>
        </w:rPr>
        <w:t xml:space="preserve"> EC</w:t>
      </w:r>
      <w:r w:rsidRPr="00854A65">
        <w:rPr>
          <w:sz w:val="20"/>
          <w:szCs w:val="20"/>
        </w:rPr>
        <w:t>,</w:t>
      </w:r>
      <w:r>
        <w:rPr>
          <w:sz w:val="20"/>
          <w:szCs w:val="20"/>
        </w:rPr>
        <w:t xml:space="preserve"> 2012,</w:t>
      </w:r>
      <w:r w:rsidRPr="00854A65">
        <w:rPr>
          <w:sz w:val="20"/>
          <w:szCs w:val="20"/>
        </w:rPr>
        <w:t xml:space="preserve"> </w:t>
      </w:r>
      <w:r w:rsidRPr="00854A65">
        <w:rPr>
          <w:i/>
          <w:sz w:val="20"/>
          <w:szCs w:val="20"/>
        </w:rPr>
        <w:t>Consultation About A Code For Effective Open Voluntarism</w:t>
      </w:r>
      <w:r w:rsidRPr="00854A65">
        <w:rPr>
          <w:sz w:val="20"/>
          <w:szCs w:val="20"/>
        </w:rPr>
        <w:t xml:space="preserve"> </w:t>
      </w:r>
      <w:r>
        <w:rPr>
          <w:sz w:val="20"/>
          <w:szCs w:val="20"/>
        </w:rPr>
        <w:t>(</w:t>
      </w:r>
      <w:r w:rsidRPr="00854A65">
        <w:rPr>
          <w:sz w:val="20"/>
          <w:szCs w:val="20"/>
        </w:rPr>
        <w:t>EC DG INFSO</w:t>
      </w:r>
      <w:r>
        <w:rPr>
          <w:sz w:val="20"/>
          <w:szCs w:val="20"/>
        </w:rPr>
        <w:t>).</w:t>
      </w:r>
    </w:p>
  </w:footnote>
  <w:footnote w:id="100">
    <w:p w14:paraId="117BFD92" w14:textId="77AA710A" w:rsidR="00D82918" w:rsidRPr="00854A65" w:rsidRDefault="00D82918" w:rsidP="00B3745A">
      <w:pPr>
        <w:pStyle w:val="FootnoteText"/>
      </w:pPr>
      <w:r w:rsidRPr="00854A65">
        <w:rPr>
          <w:rStyle w:val="FootnoteReference"/>
        </w:rPr>
        <w:footnoteRef/>
      </w:r>
      <w:r>
        <w:t xml:space="preserve"> F</w:t>
      </w:r>
      <w:r w:rsidRPr="00854A65">
        <w:t xml:space="preserve"> Whaley, </w:t>
      </w:r>
      <w:r>
        <w:t xml:space="preserve">2013, </w:t>
      </w:r>
      <w:r>
        <w:rPr>
          <w:i/>
        </w:rPr>
        <w:t>Is CSR Profitable f</w:t>
      </w:r>
      <w:r w:rsidRPr="00854A65">
        <w:rPr>
          <w:i/>
        </w:rPr>
        <w:t xml:space="preserve">or Companies? </w:t>
      </w:r>
      <w:r>
        <w:t>(USAID Partnership)</w:t>
      </w:r>
      <w:r w:rsidRPr="00854A65">
        <w:t>.</w:t>
      </w:r>
    </w:p>
  </w:footnote>
  <w:footnote w:id="101">
    <w:p w14:paraId="5CBB7E43" w14:textId="038DA1F9" w:rsidR="00D82918" w:rsidRPr="00854A65" w:rsidRDefault="00D82918" w:rsidP="00B3745A">
      <w:pPr>
        <w:pStyle w:val="FootnoteText"/>
      </w:pPr>
      <w:r w:rsidRPr="00854A65">
        <w:rPr>
          <w:rStyle w:val="FootnoteReference"/>
        </w:rPr>
        <w:footnoteRef/>
      </w:r>
      <w:r>
        <w:t xml:space="preserve"> </w:t>
      </w:r>
      <w:r w:rsidRPr="00854A65">
        <w:t xml:space="preserve">Information </w:t>
      </w:r>
      <w:r>
        <w:t xml:space="preserve">provided </w:t>
      </w:r>
      <w:r w:rsidRPr="00854A65">
        <w:t>to OECD Consumer Policy Committee Working Group on Industry-Led Regulation, 2009.</w:t>
      </w:r>
    </w:p>
  </w:footnote>
  <w:footnote w:id="102">
    <w:p w14:paraId="1FE7C156" w14:textId="59325628" w:rsidR="00D82918" w:rsidRPr="00854A65" w:rsidRDefault="00D82918" w:rsidP="00B3745A">
      <w:pPr>
        <w:pStyle w:val="FootnoteText"/>
      </w:pPr>
      <w:r w:rsidRPr="00854A65">
        <w:rPr>
          <w:rStyle w:val="FootnoteReference"/>
        </w:rPr>
        <w:footnoteRef/>
      </w:r>
      <w:r>
        <w:t xml:space="preserve"> R</w:t>
      </w:r>
      <w:r w:rsidRPr="00854A65">
        <w:t xml:space="preserve"> Simpson, </w:t>
      </w:r>
      <w:r>
        <w:t xml:space="preserve">2008, </w:t>
      </w:r>
      <w:r w:rsidRPr="003C76E3">
        <w:t>Harnessing Business and Consumer Interests; Is Statute the Only Way?</w:t>
      </w:r>
      <w:r>
        <w:t>,</w:t>
      </w:r>
      <w:r w:rsidRPr="00854A65">
        <w:t xml:space="preserve"> Fair</w:t>
      </w:r>
      <w:r>
        <w:t xml:space="preserve"> Trading Commission of Barbados</w:t>
      </w:r>
      <w:r w:rsidRPr="00854A65">
        <w:t xml:space="preserve"> 4</w:t>
      </w:r>
      <w:r w:rsidRPr="00854A65">
        <w:rPr>
          <w:vertAlign w:val="superscript"/>
        </w:rPr>
        <w:t>th</w:t>
      </w:r>
      <w:r>
        <w:t xml:space="preserve"> Annual FTC Lecture</w:t>
      </w:r>
      <w:r w:rsidRPr="00854A65">
        <w:t xml:space="preserve"> </w:t>
      </w:r>
      <w:r>
        <w:t>(</w:t>
      </w:r>
      <w:r w:rsidRPr="00854A65">
        <w:t>Bridgetown</w:t>
      </w:r>
      <w:r>
        <w:t>)</w:t>
      </w:r>
      <w:r w:rsidRPr="00854A65">
        <w:t>.</w:t>
      </w:r>
    </w:p>
  </w:footnote>
  <w:footnote w:id="103">
    <w:p w14:paraId="18F0B06C" w14:textId="6689BEEA" w:rsidR="00D82918" w:rsidRPr="00854A65" w:rsidRDefault="00D82918" w:rsidP="00843222">
      <w:pPr>
        <w:pStyle w:val="FootnoteText"/>
      </w:pPr>
      <w:r w:rsidRPr="00854A65">
        <w:rPr>
          <w:rStyle w:val="FootnoteReference"/>
        </w:rPr>
        <w:footnoteRef/>
      </w:r>
      <w:r>
        <w:t xml:space="preserve"> </w:t>
      </w:r>
      <w:r w:rsidRPr="00854A65">
        <w:t xml:space="preserve">Department of Trade and Industry, </w:t>
      </w:r>
      <w:r>
        <w:t xml:space="preserve">1999, </w:t>
      </w:r>
      <w:r w:rsidRPr="00854A65">
        <w:rPr>
          <w:i/>
          <w:iCs/>
        </w:rPr>
        <w:t>M</w:t>
      </w:r>
      <w:r w:rsidRPr="00854A65">
        <w:rPr>
          <w:i/>
        </w:rPr>
        <w:t>ode</w:t>
      </w:r>
      <w:r>
        <w:rPr>
          <w:i/>
        </w:rPr>
        <w:t>rn Markets, Competent Consumers:</w:t>
      </w:r>
      <w:r w:rsidRPr="00854A65">
        <w:rPr>
          <w:i/>
        </w:rPr>
        <w:t xml:space="preserve"> The Government’s Consumer White Paper</w:t>
      </w:r>
      <w:r w:rsidRPr="00854A65">
        <w:t>.</w:t>
      </w:r>
    </w:p>
  </w:footnote>
  <w:footnote w:id="104">
    <w:p w14:paraId="64ACF134" w14:textId="57603278" w:rsidR="00D82918" w:rsidRPr="00854A65" w:rsidRDefault="00D82918" w:rsidP="00843222">
      <w:pPr>
        <w:pStyle w:val="FootnoteText"/>
      </w:pPr>
      <w:r w:rsidRPr="00854A65">
        <w:rPr>
          <w:rStyle w:val="FootnoteReference"/>
        </w:rPr>
        <w:footnoteRef/>
      </w:r>
      <w:r>
        <w:t xml:space="preserve"> </w:t>
      </w:r>
      <w:r w:rsidRPr="00854A65">
        <w:t xml:space="preserve">OFT, </w:t>
      </w:r>
      <w:r>
        <w:t xml:space="preserve">2004, </w:t>
      </w:r>
      <w:r>
        <w:rPr>
          <w:i/>
        </w:rPr>
        <w:t>Consumer Codes Approval Scheme:</w:t>
      </w:r>
      <w:r w:rsidRPr="00854A65">
        <w:rPr>
          <w:i/>
        </w:rPr>
        <w:t xml:space="preserve"> Core Criteria and Guidance</w:t>
      </w:r>
      <w:r w:rsidRPr="00854A65">
        <w:t>.</w:t>
      </w:r>
    </w:p>
  </w:footnote>
  <w:footnote w:id="105">
    <w:p w14:paraId="59AE4D27" w14:textId="613871BF" w:rsidR="00D82918" w:rsidRPr="00854A65" w:rsidRDefault="00D82918" w:rsidP="00843222">
      <w:pPr>
        <w:pStyle w:val="FootnoteText"/>
        <w:rPr>
          <w:rFonts w:cs="Calibri"/>
        </w:rPr>
      </w:pPr>
      <w:r w:rsidRPr="00854A65">
        <w:rPr>
          <w:rStyle w:val="FootnoteReference"/>
        </w:rPr>
        <w:footnoteRef/>
      </w:r>
      <w:r>
        <w:t xml:space="preserve"> </w:t>
      </w:r>
      <w:r w:rsidRPr="00854A65">
        <w:t xml:space="preserve">World Bank, </w:t>
      </w:r>
      <w:r>
        <w:t xml:space="preserve">2012, </w:t>
      </w:r>
      <w:r w:rsidRPr="00854A65">
        <w:rPr>
          <w:rFonts w:cs="Calibri"/>
          <w:i/>
        </w:rPr>
        <w:t>Good Practices for Financial Consumer Protection</w:t>
      </w:r>
      <w:r w:rsidRPr="00854A65">
        <w:rPr>
          <w:rFonts w:cs="Calibri"/>
        </w:rPr>
        <w:t>.</w:t>
      </w:r>
    </w:p>
  </w:footnote>
  <w:footnote w:id="106">
    <w:p w14:paraId="0ED2B547" w14:textId="1E343948" w:rsidR="00D82918" w:rsidRPr="00854A65" w:rsidRDefault="00D82918" w:rsidP="00C209A6">
      <w:pPr>
        <w:autoSpaceDE w:val="0"/>
        <w:autoSpaceDN w:val="0"/>
        <w:adjustRightInd w:val="0"/>
        <w:spacing w:after="0"/>
        <w:jc w:val="left"/>
        <w:rPr>
          <w:rFonts w:ascii="TimesNewRoman,Italic" w:hAnsi="TimesNewRoman,Italic"/>
          <w:i/>
          <w:sz w:val="20"/>
          <w:szCs w:val="20"/>
        </w:rPr>
      </w:pPr>
      <w:r w:rsidRPr="00854A65">
        <w:rPr>
          <w:rStyle w:val="FootnoteReference"/>
          <w:sz w:val="20"/>
          <w:szCs w:val="20"/>
        </w:rPr>
        <w:footnoteRef/>
      </w:r>
      <w:r>
        <w:rPr>
          <w:rFonts w:cs="TimesNewRoman,Italic"/>
          <w:sz w:val="20"/>
          <w:szCs w:val="20"/>
        </w:rPr>
        <w:t xml:space="preserve"> </w:t>
      </w:r>
      <w:r w:rsidRPr="00854A65">
        <w:rPr>
          <w:rFonts w:cs="TimesNewRoman,Italic"/>
          <w:sz w:val="20"/>
          <w:szCs w:val="20"/>
        </w:rPr>
        <w:t xml:space="preserve">See </w:t>
      </w:r>
      <w:hyperlink r:id="rId15" w:history="1">
        <w:r w:rsidRPr="00F3283D">
          <w:rPr>
            <w:rStyle w:val="Hyperlink"/>
            <w:sz w:val="20"/>
            <w:szCs w:val="20"/>
          </w:rPr>
          <w:t>www.iccwbo.org/Data/Policies/2011/ICC-Consolidated-Code-of-Advertising-and-Marketing-2011-English/</w:t>
        </w:r>
      </w:hyperlink>
      <w:r>
        <w:rPr>
          <w:i/>
          <w:sz w:val="20"/>
          <w:szCs w:val="20"/>
        </w:rPr>
        <w:t xml:space="preserve"> </w:t>
      </w:r>
    </w:p>
  </w:footnote>
  <w:footnote w:id="107">
    <w:p w14:paraId="44810BAE" w14:textId="4C8FE6B0" w:rsidR="00D82918" w:rsidRPr="00854A65" w:rsidRDefault="00D82918" w:rsidP="00843222">
      <w:pPr>
        <w:pStyle w:val="FootnoteText"/>
      </w:pPr>
      <w:r w:rsidRPr="00854A65">
        <w:rPr>
          <w:rStyle w:val="FootnoteReference"/>
        </w:rPr>
        <w:footnoteRef/>
      </w:r>
      <w:r>
        <w:t xml:space="preserve"> </w:t>
      </w:r>
      <w:r w:rsidRPr="00854A65">
        <w:t>OECD,</w:t>
      </w:r>
      <w:r>
        <w:t xml:space="preserve"> 2015,</w:t>
      </w:r>
      <w:r w:rsidRPr="00854A65">
        <w:t xml:space="preserve"> </w:t>
      </w:r>
      <w:r w:rsidRPr="00854A65">
        <w:rPr>
          <w:i/>
        </w:rPr>
        <w:t>Industry Self-Regulation: Role and Use in Supporting Consumer Interests,</w:t>
      </w:r>
      <w:r w:rsidRPr="00854A65">
        <w:t xml:space="preserve"> OECD Digital</w:t>
      </w:r>
      <w:r>
        <w:t xml:space="preserve"> Economy Papers no. 247.</w:t>
      </w:r>
    </w:p>
  </w:footnote>
  <w:footnote w:id="108">
    <w:p w14:paraId="04610E6C" w14:textId="46208F63" w:rsidR="00D82918" w:rsidRPr="00854A65" w:rsidRDefault="00D82918" w:rsidP="007007BF">
      <w:pPr>
        <w:autoSpaceDE w:val="0"/>
        <w:autoSpaceDN w:val="0"/>
        <w:adjustRightInd w:val="0"/>
        <w:spacing w:after="0"/>
        <w:rPr>
          <w:sz w:val="20"/>
          <w:szCs w:val="20"/>
        </w:rPr>
      </w:pPr>
      <w:r w:rsidRPr="00854A65">
        <w:rPr>
          <w:rStyle w:val="FootnoteReference"/>
          <w:sz w:val="20"/>
          <w:szCs w:val="20"/>
        </w:rPr>
        <w:footnoteRef/>
      </w:r>
      <w:r>
        <w:rPr>
          <w:rFonts w:cs="Arial"/>
          <w:sz w:val="20"/>
          <w:szCs w:val="20"/>
        </w:rPr>
        <w:t xml:space="preserve"> O Morawczynski and M</w:t>
      </w:r>
      <w:r w:rsidRPr="00854A65">
        <w:rPr>
          <w:rFonts w:cs="Arial"/>
          <w:sz w:val="20"/>
          <w:szCs w:val="20"/>
        </w:rPr>
        <w:t xml:space="preserve"> Pickens, </w:t>
      </w:r>
      <w:r>
        <w:rPr>
          <w:rFonts w:cs="Arial"/>
          <w:sz w:val="20"/>
          <w:szCs w:val="20"/>
        </w:rPr>
        <w:t xml:space="preserve">2009, </w:t>
      </w:r>
      <w:r w:rsidRPr="00C209A6">
        <w:rPr>
          <w:rFonts w:cs="Arial"/>
          <w:iCs/>
          <w:sz w:val="20"/>
          <w:szCs w:val="20"/>
        </w:rPr>
        <w:t>P</w:t>
      </w:r>
      <w:r>
        <w:rPr>
          <w:rFonts w:cs="Arial"/>
          <w:iCs/>
          <w:sz w:val="20"/>
          <w:szCs w:val="20"/>
        </w:rPr>
        <w:t>oor people using mobile financial services: Observations on customer usage and i</w:t>
      </w:r>
      <w:r w:rsidRPr="00C209A6">
        <w:rPr>
          <w:rFonts w:cs="Arial"/>
          <w:iCs/>
          <w:sz w:val="20"/>
          <w:szCs w:val="20"/>
        </w:rPr>
        <w:t>mpact</w:t>
      </w:r>
      <w:r>
        <w:rPr>
          <w:rFonts w:cs="Arial"/>
          <w:iCs/>
          <w:sz w:val="20"/>
          <w:szCs w:val="20"/>
        </w:rPr>
        <w:t>,</w:t>
      </w:r>
      <w:r w:rsidRPr="00854A65">
        <w:rPr>
          <w:rFonts w:cs="Arial"/>
          <w:i/>
          <w:iCs/>
          <w:sz w:val="20"/>
          <w:szCs w:val="20"/>
        </w:rPr>
        <w:t xml:space="preserve"> </w:t>
      </w:r>
      <w:r>
        <w:rPr>
          <w:rFonts w:cs="Arial"/>
          <w:sz w:val="20"/>
          <w:szCs w:val="20"/>
        </w:rPr>
        <w:t>Focus Note CGAP Brief</w:t>
      </w:r>
      <w:r w:rsidRPr="00854A65">
        <w:rPr>
          <w:rFonts w:cs="Arial"/>
          <w:sz w:val="20"/>
          <w:szCs w:val="20"/>
        </w:rPr>
        <w:t>.</w:t>
      </w:r>
    </w:p>
  </w:footnote>
  <w:footnote w:id="109">
    <w:p w14:paraId="1A72FAE3" w14:textId="6267B9AD" w:rsidR="00D82918" w:rsidRPr="00854A65" w:rsidRDefault="00D82918" w:rsidP="007007BF">
      <w:pPr>
        <w:pStyle w:val="FootnoteText"/>
      </w:pPr>
      <w:r w:rsidRPr="00854A65">
        <w:rPr>
          <w:rStyle w:val="FootnoteReference"/>
        </w:rPr>
        <w:footnoteRef/>
      </w:r>
      <w:r>
        <w:t xml:space="preserve"> </w:t>
      </w:r>
      <w:r w:rsidRPr="00854A65">
        <w:t xml:space="preserve">See </w:t>
      </w:r>
      <w:hyperlink r:id="rId16" w:history="1">
        <w:r w:rsidRPr="00F3283D">
          <w:rPr>
            <w:rStyle w:val="Hyperlink"/>
          </w:rPr>
          <w:t>http://www.smartcampaign.org/about-the-campaign/campaign-sponsors</w:t>
        </w:r>
      </w:hyperlink>
      <w:r w:rsidRPr="00854A65">
        <w:t>.</w:t>
      </w:r>
      <w:r>
        <w:t xml:space="preserve"> </w:t>
      </w:r>
    </w:p>
  </w:footnote>
  <w:footnote w:id="110">
    <w:p w14:paraId="177C309B" w14:textId="45D9DDE9" w:rsidR="00D82918" w:rsidRPr="00854A65" w:rsidRDefault="00D82918" w:rsidP="007007BF">
      <w:pPr>
        <w:autoSpaceDE w:val="0"/>
        <w:autoSpaceDN w:val="0"/>
        <w:adjustRightInd w:val="0"/>
        <w:spacing w:after="0"/>
        <w:rPr>
          <w:rFonts w:ascii="Arial" w:hAnsi="Arial" w:cs="Arial"/>
          <w:sz w:val="20"/>
          <w:szCs w:val="20"/>
        </w:rPr>
      </w:pPr>
      <w:r w:rsidRPr="00854A65">
        <w:rPr>
          <w:rStyle w:val="FootnoteReference"/>
          <w:sz w:val="20"/>
          <w:szCs w:val="20"/>
        </w:rPr>
        <w:footnoteRef/>
      </w:r>
      <w:r>
        <w:rPr>
          <w:rFonts w:cs="Arial"/>
          <w:sz w:val="20"/>
          <w:szCs w:val="20"/>
        </w:rPr>
        <w:t xml:space="preserve"> D</w:t>
      </w:r>
      <w:r w:rsidRPr="00854A65">
        <w:rPr>
          <w:rFonts w:cs="Arial"/>
          <w:sz w:val="20"/>
          <w:szCs w:val="20"/>
        </w:rPr>
        <w:t xml:space="preserve"> Baguma, </w:t>
      </w:r>
      <w:r>
        <w:rPr>
          <w:rFonts w:cs="Arial"/>
          <w:sz w:val="20"/>
          <w:szCs w:val="20"/>
        </w:rPr>
        <w:t xml:space="preserve">2009, </w:t>
      </w:r>
      <w:r w:rsidRPr="00854A65">
        <w:rPr>
          <w:rFonts w:cs="Arial"/>
          <w:i/>
          <w:iCs/>
          <w:sz w:val="20"/>
          <w:szCs w:val="20"/>
        </w:rPr>
        <w:t>Concept Note: Consumer Code of Practice</w:t>
      </w:r>
      <w:r>
        <w:rPr>
          <w:rFonts w:cs="Arial"/>
          <w:i/>
          <w:iCs/>
          <w:sz w:val="20"/>
          <w:szCs w:val="20"/>
        </w:rPr>
        <w:t xml:space="preserve"> for Micro-Finance Institutions</w:t>
      </w:r>
      <w:r w:rsidRPr="00854A65">
        <w:rPr>
          <w:rFonts w:cs="Arial"/>
          <w:i/>
          <w:iCs/>
          <w:sz w:val="20"/>
          <w:szCs w:val="20"/>
        </w:rPr>
        <w:t xml:space="preserve"> </w:t>
      </w:r>
      <w:r>
        <w:rPr>
          <w:rFonts w:cs="Arial"/>
          <w:iCs/>
          <w:sz w:val="20"/>
          <w:szCs w:val="20"/>
        </w:rPr>
        <w:t xml:space="preserve">(Accra, </w:t>
      </w:r>
      <w:r w:rsidRPr="00854A65">
        <w:rPr>
          <w:rFonts w:cs="Arial"/>
          <w:sz w:val="20"/>
          <w:szCs w:val="20"/>
        </w:rPr>
        <w:t>Association of Microfinance</w:t>
      </w:r>
      <w:r>
        <w:rPr>
          <w:rFonts w:cs="Arial"/>
          <w:sz w:val="20"/>
          <w:szCs w:val="20"/>
        </w:rPr>
        <w:t xml:space="preserve"> </w:t>
      </w:r>
      <w:r w:rsidRPr="00854A65">
        <w:rPr>
          <w:rFonts w:cs="Arial"/>
          <w:sz w:val="20"/>
          <w:szCs w:val="20"/>
        </w:rPr>
        <w:t>Institutions in Uganda</w:t>
      </w:r>
      <w:r>
        <w:rPr>
          <w:rFonts w:cs="Arial"/>
          <w:sz w:val="20"/>
          <w:szCs w:val="20"/>
        </w:rPr>
        <w:t>,</w:t>
      </w:r>
      <w:r w:rsidRPr="00854A65">
        <w:rPr>
          <w:rFonts w:cs="Arial"/>
          <w:sz w:val="20"/>
          <w:szCs w:val="20"/>
        </w:rPr>
        <w:t xml:space="preserve"> AMFIU</w:t>
      </w:r>
      <w:r>
        <w:rPr>
          <w:rFonts w:cs="Arial"/>
          <w:sz w:val="20"/>
          <w:szCs w:val="20"/>
        </w:rPr>
        <w:t>)</w:t>
      </w:r>
      <w:r w:rsidRPr="00854A65">
        <w:rPr>
          <w:rFonts w:cs="Arial"/>
          <w:sz w:val="20"/>
          <w:szCs w:val="20"/>
        </w:rPr>
        <w:t>.</w:t>
      </w:r>
      <w:r w:rsidRPr="00854A65">
        <w:rPr>
          <w:rFonts w:ascii="Arial" w:hAnsi="Arial" w:cs="Arial"/>
          <w:sz w:val="20"/>
          <w:szCs w:val="20"/>
        </w:rPr>
        <w:t xml:space="preserve"> </w:t>
      </w:r>
    </w:p>
  </w:footnote>
  <w:footnote w:id="111">
    <w:p w14:paraId="3C3AFAFC" w14:textId="1D082494" w:rsidR="00D82918" w:rsidRPr="00C209A6" w:rsidRDefault="00D82918" w:rsidP="00C209A6">
      <w:pPr>
        <w:spacing w:after="0"/>
        <w:rPr>
          <w:i/>
          <w:sz w:val="20"/>
          <w:szCs w:val="20"/>
        </w:rPr>
      </w:pPr>
      <w:r w:rsidRPr="00854A65">
        <w:rPr>
          <w:rStyle w:val="FootnoteReference"/>
          <w:sz w:val="20"/>
          <w:szCs w:val="20"/>
        </w:rPr>
        <w:footnoteRef/>
      </w:r>
      <w:r>
        <w:rPr>
          <w:sz w:val="20"/>
          <w:szCs w:val="20"/>
        </w:rPr>
        <w:t xml:space="preserve"> C Hodges, 2016,</w:t>
      </w:r>
      <w:r w:rsidRPr="00854A65">
        <w:rPr>
          <w:sz w:val="20"/>
          <w:szCs w:val="20"/>
        </w:rPr>
        <w:t xml:space="preserve"> </w:t>
      </w:r>
      <w:r w:rsidRPr="00854A65">
        <w:rPr>
          <w:i/>
          <w:sz w:val="20"/>
          <w:szCs w:val="20"/>
        </w:rPr>
        <w:t>Regulatory Collaboration: Empirica</w:t>
      </w:r>
      <w:r>
        <w:rPr>
          <w:i/>
          <w:sz w:val="20"/>
          <w:szCs w:val="20"/>
        </w:rPr>
        <w:t>l Evidence on Ethical Behaviour</w:t>
      </w:r>
      <w:r w:rsidRPr="00854A65">
        <w:rPr>
          <w:i/>
          <w:sz w:val="20"/>
          <w:szCs w:val="20"/>
        </w:rPr>
        <w:t xml:space="preserve"> </w:t>
      </w:r>
      <w:r>
        <w:rPr>
          <w:sz w:val="20"/>
          <w:szCs w:val="20"/>
        </w:rPr>
        <w:t>(</w:t>
      </w:r>
      <w:r w:rsidRPr="00854A65">
        <w:rPr>
          <w:iCs/>
          <w:sz w:val="20"/>
          <w:szCs w:val="20"/>
        </w:rPr>
        <w:t>Oxford</w:t>
      </w:r>
      <w:r>
        <w:rPr>
          <w:iCs/>
          <w:sz w:val="20"/>
          <w:szCs w:val="20"/>
        </w:rPr>
        <w:t>)</w:t>
      </w:r>
      <w:r w:rsidRPr="00854A65">
        <w:rPr>
          <w:iCs/>
          <w:sz w:val="20"/>
          <w:szCs w:val="20"/>
        </w:rPr>
        <w:t>.</w:t>
      </w:r>
    </w:p>
  </w:footnote>
  <w:footnote w:id="112">
    <w:p w14:paraId="3DBB71C9" w14:textId="28719F4C" w:rsidR="00D82918" w:rsidRPr="00854A65" w:rsidRDefault="00D82918" w:rsidP="007C7433">
      <w:pPr>
        <w:pStyle w:val="FootnoteText"/>
      </w:pPr>
      <w:r w:rsidRPr="00854A65">
        <w:rPr>
          <w:rStyle w:val="FootnoteReference"/>
        </w:rPr>
        <w:footnoteRef/>
      </w:r>
      <w:r>
        <w:t xml:space="preserve"> </w:t>
      </w:r>
      <w:r w:rsidRPr="00854A65">
        <w:t>Federal Trade Commission</w:t>
      </w:r>
      <w:r>
        <w:t xml:space="preserve"> of the United States of America</w:t>
      </w:r>
      <w:r w:rsidRPr="00854A65">
        <w:t xml:space="preserve">, </w:t>
      </w:r>
      <w:r>
        <w:t>2012, Enforceable codes of conduct: Protecting consumers across b</w:t>
      </w:r>
      <w:r w:rsidRPr="00C209A6">
        <w:t>orders</w:t>
      </w:r>
      <w:r>
        <w:t xml:space="preserve"> seminar</w:t>
      </w:r>
      <w:r w:rsidRPr="00854A65">
        <w:rPr>
          <w:i/>
        </w:rPr>
        <w:t xml:space="preserve"> </w:t>
      </w:r>
      <w:r>
        <w:t>(Washington DC</w:t>
      </w:r>
      <w:r w:rsidRPr="00854A65">
        <w:t>, 29</w:t>
      </w:r>
      <w:r>
        <w:t xml:space="preserve"> </w:t>
      </w:r>
      <w:r w:rsidRPr="00854A65">
        <w:t>November</w:t>
      </w:r>
      <w:r>
        <w:t>).</w:t>
      </w:r>
      <w:r w:rsidRPr="00854A65">
        <w:t xml:space="preserve"> </w:t>
      </w:r>
    </w:p>
  </w:footnote>
  <w:footnote w:id="113">
    <w:p w14:paraId="5B08F67F" w14:textId="581F36B2" w:rsidR="00D82918" w:rsidRPr="00854A65" w:rsidRDefault="00D82918" w:rsidP="00F66385">
      <w:pPr>
        <w:pStyle w:val="FootnoteText"/>
      </w:pPr>
      <w:r w:rsidRPr="00854A65">
        <w:rPr>
          <w:rStyle w:val="FootnoteReference"/>
        </w:rPr>
        <w:footnoteRef/>
      </w:r>
      <w:r>
        <w:t xml:space="preserve"> </w:t>
      </w:r>
      <w:r w:rsidRPr="00854A65">
        <w:t>Executive Order</w:t>
      </w:r>
      <w:r>
        <w:t>, 2016,</w:t>
      </w:r>
      <w:r w:rsidRPr="00854A65">
        <w:t xml:space="preserve"> </w:t>
      </w:r>
      <w:r w:rsidRPr="00C209A6">
        <w:rPr>
          <w:i/>
        </w:rPr>
        <w:t>Steps to Increase Competition and Better Inform Consumers and Workers to Support Continued Growth of the American Economy</w:t>
      </w:r>
      <w:r>
        <w:rPr>
          <w:i/>
        </w:rPr>
        <w:t xml:space="preserve"> </w:t>
      </w:r>
      <w:r>
        <w:t>(15 April).</w:t>
      </w:r>
      <w:r w:rsidRPr="00854A65">
        <w:t xml:space="preserve"> </w:t>
      </w:r>
    </w:p>
  </w:footnote>
  <w:footnote w:id="114">
    <w:p w14:paraId="01E5551C" w14:textId="3A267773" w:rsidR="00D82918" w:rsidRPr="00854A65" w:rsidRDefault="00D82918">
      <w:pPr>
        <w:pStyle w:val="FootnoteText"/>
      </w:pPr>
      <w:r w:rsidRPr="00854A65">
        <w:rPr>
          <w:rStyle w:val="FootnoteReference"/>
        </w:rPr>
        <w:footnoteRef/>
      </w:r>
      <w:r w:rsidRPr="00854A65">
        <w:t xml:space="preserve"> UNCTAD, </w:t>
      </w:r>
      <w:r>
        <w:t xml:space="preserve">2000, </w:t>
      </w:r>
      <w:r w:rsidRPr="00854A65">
        <w:rPr>
          <w:i/>
        </w:rPr>
        <w:t>The UN Set of Prin</w:t>
      </w:r>
      <w:r>
        <w:rPr>
          <w:i/>
        </w:rPr>
        <w:t>ciples and Rules on Competition</w:t>
      </w:r>
      <w:r>
        <w:t>,</w:t>
      </w:r>
      <w:r w:rsidRPr="00854A65">
        <w:t xml:space="preserve"> TD/RBP/CONF/10/Rev.2. </w:t>
      </w:r>
    </w:p>
  </w:footnote>
  <w:footnote w:id="115">
    <w:p w14:paraId="55FEC705" w14:textId="1D0F14E1" w:rsidR="00D82918" w:rsidRPr="00854A65" w:rsidRDefault="00D82918" w:rsidP="00B3745A">
      <w:pPr>
        <w:pStyle w:val="FootnoteText"/>
      </w:pPr>
      <w:r w:rsidRPr="00854A65">
        <w:rPr>
          <w:rStyle w:val="FootnoteReference"/>
        </w:rPr>
        <w:footnoteRef/>
      </w:r>
      <w:r>
        <w:t xml:space="preserve"> </w:t>
      </w:r>
      <w:r w:rsidRPr="00854A65">
        <w:t xml:space="preserve">UNCTAD, </w:t>
      </w:r>
      <w:r>
        <w:t xml:space="preserve">2015, </w:t>
      </w:r>
      <w:r w:rsidRPr="00854A65">
        <w:rPr>
          <w:i/>
        </w:rPr>
        <w:t>Assessment of the Application and Implementation of the Set</w:t>
      </w:r>
      <w:r w:rsidRPr="00C209A6">
        <w:t>,</w:t>
      </w:r>
      <w:r>
        <w:t xml:space="preserve"> </w:t>
      </w:r>
      <w:r w:rsidRPr="00854A65">
        <w:t>TD/RBP/CONF.8/2</w:t>
      </w:r>
      <w:r>
        <w:t>, n</w:t>
      </w:r>
      <w:r w:rsidRPr="00854A65">
        <w:t xml:space="preserve">ote by secretariat. </w:t>
      </w:r>
    </w:p>
  </w:footnote>
  <w:footnote w:id="116">
    <w:p w14:paraId="0EC13BAB" w14:textId="49E12401" w:rsidR="00D82918" w:rsidRPr="00854A65" w:rsidRDefault="00D82918" w:rsidP="00843222">
      <w:pPr>
        <w:pStyle w:val="FootnoteText"/>
      </w:pPr>
      <w:r w:rsidRPr="00854A65">
        <w:rPr>
          <w:rStyle w:val="FootnoteReference"/>
        </w:rPr>
        <w:footnoteRef/>
      </w:r>
      <w:r>
        <w:t xml:space="preserve"> </w:t>
      </w:r>
      <w:r w:rsidRPr="00854A65">
        <w:t xml:space="preserve">UNCTAD, </w:t>
      </w:r>
      <w:r>
        <w:t xml:space="preserve">2000, </w:t>
      </w:r>
      <w:r w:rsidRPr="00854A65">
        <w:rPr>
          <w:i/>
        </w:rPr>
        <w:t>Manual on Formulation and Enforcement of Competition Law and Policy,</w:t>
      </w:r>
      <w:r w:rsidRPr="00854A65">
        <w:t xml:space="preserve"> UNCTAD/DITC/CLP. </w:t>
      </w:r>
    </w:p>
  </w:footnote>
  <w:footnote w:id="117">
    <w:p w14:paraId="261AD628" w14:textId="2FECCC77" w:rsidR="00D82918" w:rsidRPr="00854A65" w:rsidRDefault="00D82918" w:rsidP="00843222">
      <w:pPr>
        <w:pStyle w:val="FootnoteText"/>
      </w:pPr>
      <w:r w:rsidRPr="00854A65">
        <w:rPr>
          <w:rStyle w:val="FootnoteReference"/>
        </w:rPr>
        <w:footnoteRef/>
      </w:r>
      <w:r>
        <w:rPr>
          <w:rFonts w:cstheme="minorHAnsi"/>
        </w:rPr>
        <w:t xml:space="preserve"> Footnote to United Nations S</w:t>
      </w:r>
      <w:r w:rsidRPr="00854A65">
        <w:rPr>
          <w:rFonts w:cstheme="minorHAnsi"/>
        </w:rPr>
        <w:t>et para</w:t>
      </w:r>
      <w:r>
        <w:rPr>
          <w:rFonts w:cstheme="minorHAnsi"/>
        </w:rPr>
        <w:t>graph</w:t>
      </w:r>
      <w:r w:rsidRPr="00854A65">
        <w:rPr>
          <w:rFonts w:cstheme="minorHAnsi"/>
        </w:rPr>
        <w:t xml:space="preserve"> D4.</w:t>
      </w:r>
    </w:p>
  </w:footnote>
  <w:footnote w:id="118">
    <w:p w14:paraId="6E96777F" w14:textId="4924A864" w:rsidR="00D82918" w:rsidRPr="00854A65" w:rsidRDefault="00D82918" w:rsidP="00843222">
      <w:pPr>
        <w:pStyle w:val="FootnoteText"/>
      </w:pPr>
      <w:r w:rsidRPr="00854A65">
        <w:rPr>
          <w:rStyle w:val="FootnoteReference"/>
        </w:rPr>
        <w:footnoteRef/>
      </w:r>
      <w:r>
        <w:t xml:space="preserve"> </w:t>
      </w:r>
      <w:r w:rsidRPr="00854A65">
        <w:t xml:space="preserve">OECD, </w:t>
      </w:r>
      <w:r>
        <w:t xml:space="preserve">2010, </w:t>
      </w:r>
      <w:r w:rsidRPr="00854A65">
        <w:rPr>
          <w:i/>
        </w:rPr>
        <w:t>Consumer Policy Toolkit</w:t>
      </w:r>
      <w:r w:rsidRPr="00854A65">
        <w:t>.</w:t>
      </w:r>
    </w:p>
  </w:footnote>
  <w:footnote w:id="119">
    <w:p w14:paraId="1D734178" w14:textId="71208C50" w:rsidR="00D82918" w:rsidRPr="00854A65" w:rsidRDefault="00D82918" w:rsidP="00A2240B">
      <w:pPr>
        <w:pStyle w:val="FootnoteText"/>
        <w:rPr>
          <w:rFonts w:cstheme="minorHAnsi"/>
        </w:rPr>
      </w:pPr>
      <w:r w:rsidRPr="00854A65">
        <w:rPr>
          <w:rStyle w:val="FootnoteReference"/>
        </w:rPr>
        <w:footnoteRef/>
      </w:r>
      <w:r>
        <w:rPr>
          <w:rFonts w:cstheme="minorHAnsi"/>
        </w:rPr>
        <w:t xml:space="preserve"> A Jones and A</w:t>
      </w:r>
      <w:r w:rsidRPr="00854A65">
        <w:rPr>
          <w:rFonts w:cstheme="minorHAnsi"/>
        </w:rPr>
        <w:t xml:space="preserve"> Albors-Llorens,</w:t>
      </w:r>
      <w:r>
        <w:rPr>
          <w:rFonts w:cstheme="minorHAnsi"/>
        </w:rPr>
        <w:t xml:space="preserve"> 2014,</w:t>
      </w:r>
      <w:r w:rsidRPr="00854A65">
        <w:rPr>
          <w:rFonts w:cstheme="minorHAnsi"/>
        </w:rPr>
        <w:t xml:space="preserve"> </w:t>
      </w:r>
      <w:r>
        <w:rPr>
          <w:rFonts w:cstheme="minorHAnsi"/>
        </w:rPr>
        <w:t>A landscape of diversity: The consumer in competition l</w:t>
      </w:r>
      <w:r w:rsidRPr="00B469B4">
        <w:rPr>
          <w:rFonts w:cstheme="minorHAnsi"/>
        </w:rPr>
        <w:t>aw</w:t>
      </w:r>
      <w:r w:rsidRPr="00854A65">
        <w:rPr>
          <w:rFonts w:cstheme="minorHAnsi"/>
          <w:i/>
        </w:rPr>
        <w:t xml:space="preserve">, </w:t>
      </w:r>
      <w:r>
        <w:rPr>
          <w:rFonts w:cstheme="minorHAnsi"/>
        </w:rPr>
        <w:t>p</w:t>
      </w:r>
      <w:r w:rsidRPr="00854A65">
        <w:rPr>
          <w:rFonts w:cstheme="minorHAnsi"/>
        </w:rPr>
        <w:t xml:space="preserve">aper for </w:t>
      </w:r>
      <w:r>
        <w:rPr>
          <w:i/>
        </w:rPr>
        <w:t>“</w:t>
      </w:r>
      <w:r w:rsidRPr="00B469B4">
        <w:t xml:space="preserve">The Images of the </w:t>
      </w:r>
      <w:r w:rsidRPr="00B469B4">
        <w:rPr>
          <w:rFonts w:cstheme="minorHAnsi"/>
        </w:rPr>
        <w:t>Consumer</w:t>
      </w:r>
      <w:r>
        <w:rPr>
          <w:rFonts w:cstheme="minorHAnsi"/>
          <w:iCs/>
        </w:rPr>
        <w:t xml:space="preserve">” conference (University of </w:t>
      </w:r>
      <w:r w:rsidRPr="00854A65">
        <w:rPr>
          <w:rFonts w:cstheme="minorHAnsi"/>
        </w:rPr>
        <w:t>Oxford</w:t>
      </w:r>
      <w:r>
        <w:rPr>
          <w:rFonts w:cstheme="minorHAnsi"/>
        </w:rPr>
        <w:t xml:space="preserve">, </w:t>
      </w:r>
      <w:r w:rsidRPr="00854A65">
        <w:rPr>
          <w:rFonts w:cstheme="minorHAnsi"/>
        </w:rPr>
        <w:t>March</w:t>
      </w:r>
      <w:r>
        <w:rPr>
          <w:rFonts w:cstheme="minorHAnsi"/>
        </w:rPr>
        <w:t>)</w:t>
      </w:r>
      <w:r w:rsidRPr="00854A65">
        <w:rPr>
          <w:rFonts w:cstheme="minorHAnsi"/>
        </w:rPr>
        <w:t xml:space="preserve">. </w:t>
      </w:r>
    </w:p>
  </w:footnote>
  <w:footnote w:id="120">
    <w:p w14:paraId="69A355A8" w14:textId="6FB5E236" w:rsidR="00D82918" w:rsidRPr="00854A65" w:rsidRDefault="00D82918" w:rsidP="00843222">
      <w:pPr>
        <w:pStyle w:val="FootnoteText"/>
      </w:pPr>
      <w:r w:rsidRPr="00854A65">
        <w:rPr>
          <w:rStyle w:val="FootnoteReference"/>
        </w:rPr>
        <w:footnoteRef/>
      </w:r>
      <w:r>
        <w:rPr>
          <w:rFonts w:cstheme="minorHAnsi"/>
        </w:rPr>
        <w:t xml:space="preserve"> OECD Secretariat, 2015,</w:t>
      </w:r>
      <w:r w:rsidRPr="00854A65">
        <w:rPr>
          <w:rFonts w:cstheme="minorHAnsi"/>
        </w:rPr>
        <w:t xml:space="preserve"> </w:t>
      </w:r>
      <w:r w:rsidRPr="00854A65">
        <w:rPr>
          <w:rFonts w:cstheme="minorHAnsi"/>
          <w:i/>
        </w:rPr>
        <w:t>Institutional Design</w:t>
      </w:r>
      <w:r>
        <w:rPr>
          <w:rFonts w:cstheme="minorHAnsi"/>
        </w:rPr>
        <w:t>,</w:t>
      </w:r>
      <w:r w:rsidRPr="00854A65">
        <w:rPr>
          <w:rFonts w:cstheme="minorHAnsi"/>
        </w:rPr>
        <w:t xml:space="preserve"> DAF/COMP/M(2014)3/ANN4/Final.</w:t>
      </w:r>
    </w:p>
  </w:footnote>
  <w:footnote w:id="121">
    <w:p w14:paraId="3A1A0FA8" w14:textId="7A056D1C" w:rsidR="00D82918" w:rsidRPr="00854A65" w:rsidRDefault="00D82918" w:rsidP="00B3745A">
      <w:pPr>
        <w:pStyle w:val="FootnoteText"/>
      </w:pPr>
      <w:r w:rsidRPr="00854A65">
        <w:rPr>
          <w:rStyle w:val="FootnoteReference"/>
        </w:rPr>
        <w:footnoteRef/>
      </w:r>
      <w:r>
        <w:t xml:space="preserve"> </w:t>
      </w:r>
      <w:r w:rsidRPr="00854A65">
        <w:t xml:space="preserve">OECD, </w:t>
      </w:r>
      <w:r>
        <w:t>2015, Best Practice Round</w:t>
      </w:r>
      <w:r w:rsidRPr="00B469B4">
        <w:t>t</w:t>
      </w:r>
      <w:r>
        <w:t>able on Competition P</w:t>
      </w:r>
      <w:r w:rsidRPr="00B469B4">
        <w:t>olicy</w:t>
      </w:r>
      <w:r>
        <w:t>; see also A Fels and H</w:t>
      </w:r>
      <w:r w:rsidRPr="00854A65">
        <w:t xml:space="preserve"> Ergas, </w:t>
      </w:r>
      <w:r>
        <w:t xml:space="preserve">2014, </w:t>
      </w:r>
      <w:r w:rsidRPr="00854A65">
        <w:rPr>
          <w:i/>
        </w:rPr>
        <w:t>Insitutional Design of Competition Autho</w:t>
      </w:r>
      <w:r>
        <w:rPr>
          <w:i/>
        </w:rPr>
        <w:t>rities</w:t>
      </w:r>
      <w:r w:rsidRPr="00854A65">
        <w:t xml:space="preserve"> </w:t>
      </w:r>
      <w:r>
        <w:t>(</w:t>
      </w:r>
      <w:r w:rsidRPr="00854A65">
        <w:t>OECD</w:t>
      </w:r>
      <w:r>
        <w:t>)</w:t>
      </w:r>
      <w:r w:rsidRPr="00854A65">
        <w:t xml:space="preserve">.  </w:t>
      </w:r>
    </w:p>
  </w:footnote>
  <w:footnote w:id="122">
    <w:p w14:paraId="14D78304" w14:textId="77777777" w:rsidR="00D82918" w:rsidRPr="00854A65" w:rsidRDefault="00D82918" w:rsidP="00843222">
      <w:pPr>
        <w:pStyle w:val="FootnoteText"/>
      </w:pPr>
      <w:r w:rsidRPr="00854A65">
        <w:rPr>
          <w:rStyle w:val="FootnoteReference"/>
        </w:rPr>
        <w:footnoteRef/>
      </w:r>
      <w:r>
        <w:t xml:space="preserve"> </w:t>
      </w:r>
      <w:r w:rsidRPr="00854A65">
        <w:t>A/RES/70/186.</w:t>
      </w:r>
    </w:p>
  </w:footnote>
  <w:footnote w:id="123">
    <w:p w14:paraId="2AC9E1E8" w14:textId="74E1FE69" w:rsidR="00D82918" w:rsidRPr="00854A65" w:rsidRDefault="00D82918" w:rsidP="00843222">
      <w:pPr>
        <w:pStyle w:val="Default"/>
        <w:rPr>
          <w:rFonts w:asciiTheme="minorHAnsi" w:hAnsiTheme="minorHAnsi"/>
          <w:color w:val="auto"/>
          <w:sz w:val="20"/>
          <w:szCs w:val="20"/>
        </w:rPr>
      </w:pPr>
      <w:r w:rsidRPr="00854A65">
        <w:rPr>
          <w:rStyle w:val="FootnoteReference"/>
          <w:rFonts w:asciiTheme="minorHAnsi" w:hAnsiTheme="minorHAnsi"/>
          <w:color w:val="auto"/>
          <w:sz w:val="20"/>
          <w:szCs w:val="20"/>
        </w:rPr>
        <w:footnoteRef/>
      </w:r>
      <w:r w:rsidRPr="00854A65">
        <w:rPr>
          <w:rFonts w:asciiTheme="minorHAnsi" w:hAnsiTheme="minorHAnsi" w:cstheme="minorHAnsi"/>
          <w:bCs/>
          <w:i/>
          <w:color w:val="auto"/>
          <w:sz w:val="20"/>
          <w:szCs w:val="20"/>
        </w:rPr>
        <w:t xml:space="preserve"> </w:t>
      </w:r>
      <w:r>
        <w:rPr>
          <w:rFonts w:asciiTheme="minorHAnsi" w:hAnsiTheme="minorHAnsi" w:cstheme="minorHAnsi"/>
          <w:bCs/>
          <w:color w:val="auto"/>
          <w:sz w:val="20"/>
          <w:szCs w:val="20"/>
        </w:rPr>
        <w:t>UNCTAD, 2013,</w:t>
      </w:r>
      <w:r w:rsidRPr="00854A65">
        <w:rPr>
          <w:rFonts w:asciiTheme="minorHAnsi" w:hAnsiTheme="minorHAnsi"/>
          <w:color w:val="auto"/>
          <w:sz w:val="20"/>
          <w:szCs w:val="20"/>
        </w:rPr>
        <w:t xml:space="preserve"> </w:t>
      </w:r>
      <w:r w:rsidRPr="00854A65">
        <w:rPr>
          <w:rFonts w:asciiTheme="minorHAnsi" w:hAnsiTheme="minorHAnsi"/>
          <w:i/>
          <w:color w:val="auto"/>
          <w:sz w:val="20"/>
          <w:szCs w:val="20"/>
        </w:rPr>
        <w:t>Implementation Report on the United Nations Guidelines on Consumer</w:t>
      </w:r>
      <w:r w:rsidRPr="00854A65">
        <w:rPr>
          <w:rFonts w:asciiTheme="minorHAnsi" w:hAnsiTheme="minorHAnsi"/>
          <w:b/>
          <w:i/>
          <w:color w:val="auto"/>
          <w:sz w:val="20"/>
          <w:szCs w:val="20"/>
        </w:rPr>
        <w:t xml:space="preserve"> </w:t>
      </w:r>
      <w:r>
        <w:rPr>
          <w:rFonts w:asciiTheme="minorHAnsi" w:hAnsiTheme="minorHAnsi"/>
          <w:i/>
          <w:color w:val="auto"/>
          <w:sz w:val="20"/>
          <w:szCs w:val="20"/>
        </w:rPr>
        <w:t>Protection</w:t>
      </w:r>
      <w:r w:rsidRPr="00854A65">
        <w:rPr>
          <w:rFonts w:asciiTheme="minorHAnsi" w:hAnsiTheme="minorHAnsi"/>
          <w:i/>
          <w:color w:val="auto"/>
          <w:sz w:val="20"/>
          <w:szCs w:val="20"/>
        </w:rPr>
        <w:t xml:space="preserve"> </w:t>
      </w:r>
      <w:r w:rsidRPr="00B469B4">
        <w:rPr>
          <w:rFonts w:asciiTheme="minorHAnsi" w:hAnsiTheme="minorHAnsi"/>
          <w:i/>
          <w:color w:val="auto"/>
          <w:sz w:val="20"/>
          <w:szCs w:val="20"/>
        </w:rPr>
        <w:t>1985–2013</w:t>
      </w:r>
      <w:r>
        <w:rPr>
          <w:rFonts w:asciiTheme="minorHAnsi" w:hAnsiTheme="minorHAnsi"/>
          <w:color w:val="auto"/>
          <w:sz w:val="20"/>
          <w:szCs w:val="20"/>
        </w:rPr>
        <w:t>, n</w:t>
      </w:r>
      <w:r w:rsidRPr="00854A65">
        <w:rPr>
          <w:rFonts w:asciiTheme="minorHAnsi" w:hAnsiTheme="minorHAnsi"/>
          <w:color w:val="auto"/>
          <w:sz w:val="20"/>
          <w:szCs w:val="20"/>
        </w:rPr>
        <w:t>ote by UNCTAD secretariat.</w:t>
      </w:r>
    </w:p>
  </w:footnote>
  <w:footnote w:id="124">
    <w:p w14:paraId="1DEC56A1" w14:textId="21E1A78C" w:rsidR="00D82918" w:rsidRPr="00854A65" w:rsidRDefault="00D82918" w:rsidP="00843222">
      <w:pPr>
        <w:pStyle w:val="FootnoteText"/>
      </w:pPr>
      <w:r w:rsidRPr="00854A65">
        <w:rPr>
          <w:rStyle w:val="FootnoteReference"/>
        </w:rPr>
        <w:footnoteRef/>
      </w:r>
      <w:r w:rsidRPr="00854A65">
        <w:t xml:space="preserve"> OECD, </w:t>
      </w:r>
      <w:r>
        <w:t xml:space="preserve">2016, </w:t>
      </w:r>
      <w:r w:rsidRPr="00854A65">
        <w:rPr>
          <w:i/>
        </w:rPr>
        <w:t>Consumer Protection in E-commerce,</w:t>
      </w:r>
      <w:r>
        <w:t xml:space="preserve"> OECD r</w:t>
      </w:r>
      <w:r w:rsidRPr="00854A65">
        <w:t>ecommendation.</w:t>
      </w:r>
    </w:p>
  </w:footnote>
  <w:footnote w:id="125">
    <w:p w14:paraId="0EC40DB2" w14:textId="1BE4D0B1" w:rsidR="00D82918" w:rsidRPr="00854A65" w:rsidRDefault="00D82918" w:rsidP="00B3745A">
      <w:pPr>
        <w:pStyle w:val="FootnoteText"/>
        <w:rPr>
          <w:rFonts w:cstheme="minorHAnsi"/>
        </w:rPr>
      </w:pPr>
      <w:r w:rsidRPr="00854A65">
        <w:rPr>
          <w:rStyle w:val="FootnoteReference"/>
          <w:rFonts w:cstheme="minorHAnsi"/>
        </w:rPr>
        <w:footnoteRef/>
      </w:r>
      <w:r w:rsidRPr="00854A65">
        <w:rPr>
          <w:rFonts w:cstheme="minorHAnsi"/>
        </w:rPr>
        <w:t xml:space="preserve"> OECD, </w:t>
      </w:r>
      <w:r>
        <w:rPr>
          <w:rFonts w:cstheme="minorHAnsi"/>
        </w:rPr>
        <w:t xml:space="preserve">2003, </w:t>
      </w:r>
      <w:r w:rsidRPr="00854A65">
        <w:rPr>
          <w:rFonts w:cstheme="minorHAnsi"/>
          <w:i/>
        </w:rPr>
        <w:t>Guidelines for Protecting Consumers from Fraudulent and Deceptive Commercial Practices Across Borders,</w:t>
      </w:r>
      <w:r>
        <w:rPr>
          <w:rFonts w:cstheme="minorHAnsi"/>
        </w:rPr>
        <w:t xml:space="preserve"> recommendation of the c</w:t>
      </w:r>
      <w:r w:rsidRPr="00854A65">
        <w:rPr>
          <w:rFonts w:cstheme="minorHAnsi"/>
        </w:rPr>
        <w:t>ouncil.</w:t>
      </w:r>
    </w:p>
  </w:footnote>
  <w:footnote w:id="126">
    <w:p w14:paraId="124E29C7" w14:textId="05CA9865" w:rsidR="00D82918" w:rsidRPr="00854A65" w:rsidRDefault="00D82918" w:rsidP="00B469B4">
      <w:pPr>
        <w:spacing w:after="0"/>
        <w:rPr>
          <w:sz w:val="20"/>
          <w:szCs w:val="20"/>
        </w:rPr>
      </w:pPr>
      <w:r w:rsidRPr="00854A65">
        <w:rPr>
          <w:rStyle w:val="FootnoteReference"/>
          <w:sz w:val="20"/>
          <w:szCs w:val="20"/>
        </w:rPr>
        <w:footnoteRef/>
      </w:r>
      <w:r>
        <w:rPr>
          <w:sz w:val="20"/>
          <w:szCs w:val="20"/>
        </w:rPr>
        <w:t xml:space="preserve"> </w:t>
      </w:r>
      <w:r w:rsidRPr="00854A65">
        <w:rPr>
          <w:sz w:val="20"/>
          <w:szCs w:val="20"/>
        </w:rPr>
        <w:t>ILA</w:t>
      </w:r>
      <w:r>
        <w:rPr>
          <w:sz w:val="20"/>
          <w:szCs w:val="20"/>
        </w:rPr>
        <w:t>, 2012,</w:t>
      </w:r>
      <w:r w:rsidRPr="00854A65">
        <w:rPr>
          <w:sz w:val="20"/>
          <w:szCs w:val="20"/>
        </w:rPr>
        <w:t xml:space="preserve"> </w:t>
      </w:r>
      <w:r w:rsidRPr="006332EC">
        <w:rPr>
          <w:bCs/>
          <w:i/>
          <w:sz w:val="20"/>
          <w:szCs w:val="20"/>
        </w:rPr>
        <w:t>Statement on the Development of International Principles on Consumer Protection</w:t>
      </w:r>
      <w:r>
        <w:rPr>
          <w:sz w:val="20"/>
          <w:szCs w:val="20"/>
        </w:rPr>
        <w:t>, resolution no. 4</w:t>
      </w:r>
      <w:r w:rsidRPr="00854A65">
        <w:rPr>
          <w:i/>
          <w:sz w:val="20"/>
          <w:szCs w:val="20"/>
        </w:rPr>
        <w:t xml:space="preserve"> </w:t>
      </w:r>
      <w:r w:rsidRPr="00B469B4">
        <w:rPr>
          <w:sz w:val="20"/>
          <w:szCs w:val="20"/>
        </w:rPr>
        <w:t>(</w:t>
      </w:r>
      <w:r w:rsidRPr="00854A65">
        <w:rPr>
          <w:sz w:val="20"/>
          <w:szCs w:val="20"/>
        </w:rPr>
        <w:t>Sofia</w:t>
      </w:r>
      <w:r>
        <w:rPr>
          <w:sz w:val="20"/>
          <w:szCs w:val="20"/>
        </w:rPr>
        <w:t>)</w:t>
      </w:r>
      <w:r w:rsidRPr="00854A65">
        <w:rPr>
          <w:sz w:val="20"/>
          <w:szCs w:val="20"/>
        </w:rPr>
        <w:t xml:space="preserve">. </w:t>
      </w:r>
      <w:r>
        <w:rPr>
          <w:sz w:val="20"/>
          <w:szCs w:val="20"/>
        </w:rPr>
        <w:t>For further elaboration see</w:t>
      </w:r>
      <w:r w:rsidRPr="00854A65">
        <w:rPr>
          <w:sz w:val="20"/>
          <w:szCs w:val="20"/>
        </w:rPr>
        <w:t xml:space="preserve"> ILA resolution 1/2016, including </w:t>
      </w:r>
      <w:r w:rsidRPr="006332EC">
        <w:rPr>
          <w:i/>
          <w:sz w:val="20"/>
          <w:szCs w:val="20"/>
        </w:rPr>
        <w:t>Guidelines on Best Practice on the Law Applicable to International Protection of Consumers</w:t>
      </w:r>
      <w:r>
        <w:rPr>
          <w:i/>
          <w:sz w:val="20"/>
          <w:szCs w:val="20"/>
        </w:rPr>
        <w:t xml:space="preserve"> </w:t>
      </w:r>
      <w:r>
        <w:rPr>
          <w:sz w:val="20"/>
          <w:szCs w:val="20"/>
        </w:rPr>
        <w:t>(Johannesburg, seventy-seventh</w:t>
      </w:r>
      <w:r w:rsidRPr="00854A65">
        <w:rPr>
          <w:iCs/>
          <w:sz w:val="20"/>
          <w:szCs w:val="20"/>
        </w:rPr>
        <w:t xml:space="preserve"> </w:t>
      </w:r>
      <w:r>
        <w:rPr>
          <w:iCs/>
          <w:sz w:val="20"/>
          <w:szCs w:val="20"/>
        </w:rPr>
        <w:t xml:space="preserve">ILA </w:t>
      </w:r>
      <w:r w:rsidRPr="00854A65">
        <w:rPr>
          <w:iCs/>
          <w:sz w:val="20"/>
          <w:szCs w:val="20"/>
        </w:rPr>
        <w:t>conference</w:t>
      </w:r>
      <w:r>
        <w:rPr>
          <w:iCs/>
          <w:sz w:val="20"/>
          <w:szCs w:val="20"/>
        </w:rPr>
        <w:t>)</w:t>
      </w:r>
      <w:r w:rsidRPr="00854A65">
        <w:rPr>
          <w:iCs/>
          <w:sz w:val="20"/>
          <w:szCs w:val="20"/>
        </w:rPr>
        <w:t>.</w:t>
      </w:r>
    </w:p>
  </w:footnote>
  <w:footnote w:id="127">
    <w:p w14:paraId="5BA56F0A" w14:textId="100CD514" w:rsidR="00D82918" w:rsidRPr="00854A65" w:rsidRDefault="00D82918" w:rsidP="00B3745A">
      <w:pPr>
        <w:pStyle w:val="FootnoteText"/>
      </w:pPr>
      <w:r w:rsidRPr="00854A65">
        <w:rPr>
          <w:rStyle w:val="FootnoteReference"/>
        </w:rPr>
        <w:footnoteRef/>
      </w:r>
      <w:r>
        <w:t xml:space="preserve"> C</w:t>
      </w:r>
      <w:r w:rsidRPr="00854A65">
        <w:t xml:space="preserve"> Lima Marques,</w:t>
      </w:r>
      <w:r w:rsidRPr="00854A65">
        <w:rPr>
          <w:i/>
        </w:rPr>
        <w:t xml:space="preserve"> </w:t>
      </w:r>
      <w:r>
        <w:t xml:space="preserve">2013, </w:t>
      </w:r>
      <w:r w:rsidRPr="00B469B4">
        <w:t>The need for a global cooperation network to protect foreign tourists/consumers and the comeback of private international law</w:t>
      </w:r>
      <w:r w:rsidRPr="00854A65">
        <w:rPr>
          <w:i/>
        </w:rPr>
        <w:t>.</w:t>
      </w:r>
    </w:p>
  </w:footnote>
  <w:footnote w:id="128">
    <w:p w14:paraId="74A1B1DD" w14:textId="341D1113" w:rsidR="00D82918" w:rsidRPr="00854A65" w:rsidRDefault="00D82918" w:rsidP="007C7433">
      <w:pPr>
        <w:pStyle w:val="FootnoteText"/>
      </w:pPr>
      <w:r w:rsidRPr="00854A65">
        <w:rPr>
          <w:rStyle w:val="FootnoteReference"/>
        </w:rPr>
        <w:footnoteRef/>
      </w:r>
      <w:r>
        <w:t xml:space="preserve"> </w:t>
      </w:r>
      <w:r w:rsidRPr="00854A65">
        <w:t>According to OECD, Chinese tourists s</w:t>
      </w:r>
      <w:r>
        <w:t>pent $102 billion in 2012, a 37 percent</w:t>
      </w:r>
      <w:r w:rsidRPr="00854A65">
        <w:t xml:space="preserve"> increase </w:t>
      </w:r>
      <w:r>
        <w:t>compared to</w:t>
      </w:r>
      <w:r w:rsidRPr="00854A65">
        <w:t xml:space="preserve"> the previous year </w:t>
      </w:r>
      <w:r>
        <w:t>and more than any other country</w:t>
      </w:r>
      <w:r w:rsidRPr="00854A65">
        <w:t xml:space="preserve"> </w:t>
      </w:r>
      <w:r>
        <w:t>(L</w:t>
      </w:r>
      <w:r w:rsidRPr="00854A65">
        <w:t xml:space="preserve"> Thompson, </w:t>
      </w:r>
      <w:r>
        <w:t xml:space="preserve">2013, </w:t>
      </w:r>
      <w:r w:rsidRPr="00854A65">
        <w:rPr>
          <w:i/>
        </w:rPr>
        <w:t>Tourism’s Changing Profile</w:t>
      </w:r>
      <w:r w:rsidRPr="00854A65">
        <w:t>, OECD Observer no. 297</w:t>
      </w:r>
      <w:r>
        <w:t>)</w:t>
      </w:r>
      <w:r w:rsidRPr="00854A65">
        <w:t>.</w:t>
      </w:r>
    </w:p>
  </w:footnote>
  <w:footnote w:id="129">
    <w:p w14:paraId="7A316650" w14:textId="149D8898" w:rsidR="00D82918" w:rsidRPr="00854A65" w:rsidRDefault="00D82918" w:rsidP="00B3745A">
      <w:pPr>
        <w:pStyle w:val="FootnoteText"/>
      </w:pPr>
      <w:r w:rsidRPr="00854A65">
        <w:rPr>
          <w:rStyle w:val="FootnoteReference"/>
        </w:rPr>
        <w:footnoteRef/>
      </w:r>
      <w:r>
        <w:t xml:space="preserve"> </w:t>
      </w:r>
      <w:r w:rsidRPr="00854A65">
        <w:t>Hague Conferen</w:t>
      </w:r>
      <w:r>
        <w:t>ce on Private International Law, 2013,</w:t>
      </w:r>
      <w:r w:rsidRPr="00854A65">
        <w:t xml:space="preserve"> </w:t>
      </w:r>
      <w:r w:rsidRPr="00854A65">
        <w:rPr>
          <w:i/>
        </w:rPr>
        <w:t>Draft International Convention on the Prote</w:t>
      </w:r>
      <w:r>
        <w:rPr>
          <w:i/>
        </w:rPr>
        <w:t>ction of Tourists and Visitors</w:t>
      </w:r>
      <w:r w:rsidRPr="00854A65">
        <w:t>.</w:t>
      </w:r>
    </w:p>
  </w:footnote>
  <w:footnote w:id="130">
    <w:p w14:paraId="542F1528" w14:textId="4EAD3751" w:rsidR="00D82918" w:rsidRPr="0046696C" w:rsidRDefault="00D82918" w:rsidP="00B3745A">
      <w:pPr>
        <w:pStyle w:val="FootnoteText"/>
        <w:rPr>
          <w:i/>
        </w:rPr>
      </w:pPr>
      <w:r w:rsidRPr="00854A65">
        <w:rPr>
          <w:rStyle w:val="FootnoteReference"/>
        </w:rPr>
        <w:footnoteRef/>
      </w:r>
      <w:r w:rsidRPr="0046696C">
        <w:t xml:space="preserve"> C Lima Marques, op. cit.</w:t>
      </w:r>
      <w:r w:rsidRPr="0046696C">
        <w:rPr>
          <w:i/>
        </w:rPr>
        <w:t xml:space="preserve"> </w:t>
      </w:r>
    </w:p>
  </w:footnote>
  <w:footnote w:id="131">
    <w:p w14:paraId="2D4B7061" w14:textId="3492DC43" w:rsidR="00D82918" w:rsidRPr="00854A65" w:rsidRDefault="00D82918">
      <w:pPr>
        <w:pStyle w:val="FootnoteText"/>
      </w:pPr>
      <w:r w:rsidRPr="00854A65">
        <w:rPr>
          <w:rStyle w:val="FootnoteReference"/>
        </w:rPr>
        <w:footnoteRef/>
      </w:r>
      <w:r w:rsidRPr="00854A65">
        <w:t xml:space="preserve"> UNCTAD</w:t>
      </w:r>
      <w:r>
        <w:t>, 2013,</w:t>
      </w:r>
      <w:r w:rsidRPr="00854A65">
        <w:rPr>
          <w:rFonts w:cstheme="minorHAnsi"/>
        </w:rPr>
        <w:t xml:space="preserve"> </w:t>
      </w:r>
      <w:r w:rsidRPr="00854A65">
        <w:rPr>
          <w:rFonts w:cstheme="minorHAnsi"/>
          <w:bCs/>
          <w:i/>
        </w:rPr>
        <w:t>Implementation report on the United Nations Gui</w:t>
      </w:r>
      <w:r>
        <w:rPr>
          <w:rFonts w:cstheme="minorHAnsi"/>
          <w:bCs/>
          <w:i/>
        </w:rPr>
        <w:t>delines on Consumer Protection 1985–2013</w:t>
      </w:r>
      <w:r>
        <w:rPr>
          <w:rFonts w:cstheme="minorHAnsi"/>
          <w:bCs/>
        </w:rPr>
        <w:t>,</w:t>
      </w:r>
      <w:r>
        <w:rPr>
          <w:rFonts w:cstheme="minorHAnsi"/>
          <w:bCs/>
          <w:i/>
        </w:rPr>
        <w:t xml:space="preserve"> </w:t>
      </w:r>
      <w:r>
        <w:rPr>
          <w:rFonts w:cstheme="minorHAnsi"/>
          <w:bCs/>
        </w:rPr>
        <w:t>n</w:t>
      </w:r>
      <w:r w:rsidRPr="00854A65">
        <w:rPr>
          <w:rFonts w:cstheme="minorHAnsi"/>
          <w:bCs/>
        </w:rPr>
        <w:t>ote by UNCTAD secretariat.</w:t>
      </w:r>
    </w:p>
  </w:footnote>
  <w:footnote w:id="132">
    <w:p w14:paraId="422312B4" w14:textId="1868A133" w:rsidR="00D82918" w:rsidRPr="00854A65" w:rsidRDefault="00D82918" w:rsidP="00843222">
      <w:pPr>
        <w:pStyle w:val="FootnoteText"/>
      </w:pPr>
      <w:r w:rsidRPr="00854A65">
        <w:rPr>
          <w:rStyle w:val="FootnoteReference"/>
        </w:rPr>
        <w:footnoteRef/>
      </w:r>
      <w:r w:rsidRPr="00854A65">
        <w:t xml:space="preserve"> </w:t>
      </w:r>
      <w:hyperlink r:id="rId17" w:history="1">
        <w:r w:rsidRPr="00F3283D">
          <w:rPr>
            <w:rStyle w:val="Hyperlink"/>
          </w:rPr>
          <w:t>www.icpen.org</w:t>
        </w:r>
      </w:hyperlink>
      <w:r w:rsidRPr="00854A65">
        <w:t>.</w:t>
      </w:r>
      <w:r>
        <w:t xml:space="preserve"> </w:t>
      </w:r>
    </w:p>
  </w:footnote>
  <w:footnote w:id="133">
    <w:p w14:paraId="56915895" w14:textId="0791EE24" w:rsidR="00D82918" w:rsidRPr="00854A65" w:rsidRDefault="00D82918" w:rsidP="00843222">
      <w:pPr>
        <w:pStyle w:val="FootnoteText"/>
      </w:pPr>
      <w:r w:rsidRPr="00854A65">
        <w:rPr>
          <w:rStyle w:val="FootnoteReference"/>
        </w:rPr>
        <w:footnoteRef/>
      </w:r>
      <w:r>
        <w:t xml:space="preserve"> </w:t>
      </w:r>
      <w:hyperlink r:id="rId18" w:history="1">
        <w:r w:rsidRPr="00F3283D">
          <w:rPr>
            <w:rStyle w:val="Hyperlink"/>
          </w:rPr>
          <w:t>http://ec.europa.eu/consumers/consumers_safety/safety_products/rapex/alerts/main/?event=main.listNotifications</w:t>
        </w:r>
      </w:hyperlink>
      <w:r w:rsidRPr="00854A65">
        <w:t>.</w:t>
      </w:r>
      <w:r>
        <w:t xml:space="preserve"> </w:t>
      </w:r>
    </w:p>
  </w:footnote>
  <w:footnote w:id="134">
    <w:p w14:paraId="20C2A9FB" w14:textId="2C7CB835" w:rsidR="00D82918" w:rsidRPr="00854A65" w:rsidRDefault="00D82918" w:rsidP="00B469B4">
      <w:pPr>
        <w:pStyle w:val="FootnoteText"/>
        <w:jc w:val="left"/>
      </w:pPr>
      <w:r w:rsidRPr="00854A65">
        <w:rPr>
          <w:rStyle w:val="FootnoteReference"/>
        </w:rPr>
        <w:footnoteRef/>
      </w:r>
      <w:r w:rsidRPr="00854A65">
        <w:t xml:space="preserve"> </w:t>
      </w:r>
      <w:hyperlink r:id="rId19" w:history="1">
        <w:r w:rsidRPr="00854A65">
          <w:rPr>
            <w:rStyle w:val="Hyperlink"/>
            <w:color w:val="auto"/>
            <w:u w:val="none"/>
          </w:rPr>
          <w:t>http://eur-lex.europa.eu/legal-content/EN/TXT/?uri=URISERV%3Al32048</w:t>
        </w:r>
      </w:hyperlink>
      <w:r>
        <w:rPr>
          <w:rStyle w:val="Hyperlink"/>
          <w:color w:val="auto"/>
          <w:u w:val="none"/>
        </w:rPr>
        <w:t xml:space="preserve"> and </w:t>
      </w:r>
      <w:r w:rsidRPr="00854A65">
        <w:t xml:space="preserve"> </w:t>
      </w:r>
      <w:hyperlink r:id="rId20" w:history="1">
        <w:r w:rsidRPr="00F3283D">
          <w:rPr>
            <w:rStyle w:val="Hyperlink"/>
          </w:rPr>
          <w:t>www.ec.europa.eu/consumers/ecc/</w:t>
        </w:r>
      </w:hyperlink>
      <w:r w:rsidRPr="00854A65">
        <w:t>.</w:t>
      </w:r>
      <w:r>
        <w:t xml:space="preserve"> </w:t>
      </w:r>
    </w:p>
  </w:footnote>
  <w:footnote w:id="135">
    <w:p w14:paraId="66FFB92E" w14:textId="024B5DB6" w:rsidR="00D82918" w:rsidRPr="00854A65" w:rsidRDefault="00D82918" w:rsidP="00BE71E3">
      <w:pPr>
        <w:pStyle w:val="FootnoteText"/>
        <w:rPr>
          <w:rFonts w:cstheme="minorHAnsi"/>
        </w:rPr>
      </w:pPr>
      <w:r w:rsidRPr="00854A65">
        <w:rPr>
          <w:rStyle w:val="FootnoteReference"/>
          <w:rFonts w:cstheme="minorHAnsi"/>
        </w:rPr>
        <w:footnoteRef/>
      </w:r>
      <w:r>
        <w:t xml:space="preserve"> </w:t>
      </w:r>
      <w:hyperlink r:id="rId21" w:history="1">
        <w:r w:rsidRPr="00854A65">
          <w:rPr>
            <w:rStyle w:val="Hyperlink"/>
            <w:color w:val="auto"/>
            <w:u w:val="none"/>
          </w:rPr>
          <w:t>http://www.cpsc.gov/en/Business--Manufacturing/Business-Education/</w:t>
        </w:r>
      </w:hyperlink>
      <w:r>
        <w:rPr>
          <w:rStyle w:val="Hyperlink"/>
          <w:color w:val="auto"/>
          <w:u w:val="none"/>
        </w:rPr>
        <w:t xml:space="preserve">  </w:t>
      </w:r>
    </w:p>
  </w:footnote>
  <w:footnote w:id="136">
    <w:p w14:paraId="7B6FFFFC" w14:textId="65D12C63" w:rsidR="00D82918" w:rsidRPr="00854A65" w:rsidRDefault="00D82918" w:rsidP="00BE71E3">
      <w:pPr>
        <w:pStyle w:val="FootnoteText"/>
        <w:rPr>
          <w:rStyle w:val="Hyperlink"/>
          <w:color w:val="auto"/>
          <w:u w:val="none"/>
        </w:rPr>
      </w:pPr>
      <w:r w:rsidRPr="00854A65">
        <w:rPr>
          <w:rStyle w:val="FootnoteReference"/>
        </w:rPr>
        <w:footnoteRef/>
      </w:r>
      <w:r>
        <w:rPr>
          <w:rStyle w:val="Hyperlink"/>
          <w:color w:val="auto"/>
          <w:u w:val="none"/>
        </w:rPr>
        <w:t xml:space="preserve"> </w:t>
      </w:r>
      <w:hyperlink r:id="rId22" w:history="1">
        <w:r w:rsidRPr="00F3283D">
          <w:rPr>
            <w:rStyle w:val="Hyperlink"/>
          </w:rPr>
          <w:t>http://ec.europa.eu/consumers/consumers_safety/safety_products/rapex/alerts/main/?event=main.listNotifications</w:t>
        </w:r>
      </w:hyperlink>
      <w:r>
        <w:rPr>
          <w:rStyle w:val="Hyperlink"/>
          <w:color w:val="auto"/>
          <w:u w:val="none"/>
        </w:rPr>
        <w:t xml:space="preserve"> </w:t>
      </w:r>
    </w:p>
  </w:footnote>
  <w:footnote w:id="137">
    <w:p w14:paraId="12BC646E" w14:textId="14796C8B" w:rsidR="00D82918" w:rsidRPr="00854A65" w:rsidRDefault="00D82918" w:rsidP="00BE71E3">
      <w:pPr>
        <w:pStyle w:val="FootnoteText"/>
      </w:pPr>
      <w:r w:rsidRPr="00854A65">
        <w:rPr>
          <w:rStyle w:val="FootnoteReference"/>
        </w:rPr>
        <w:footnoteRef/>
      </w:r>
      <w:r>
        <w:rPr>
          <w:rStyle w:val="Hyperlink"/>
          <w:color w:val="auto"/>
          <w:u w:val="none"/>
        </w:rPr>
        <w:t xml:space="preserve"> </w:t>
      </w:r>
      <w:hyperlink r:id="rId23" w:history="1">
        <w:r w:rsidRPr="00F3283D">
          <w:rPr>
            <w:rStyle w:val="Hyperlink"/>
          </w:rPr>
          <w:t>http://www.prosafe.org/</w:t>
        </w:r>
      </w:hyperlink>
      <w:r>
        <w:rPr>
          <w:rStyle w:val="Hyperlink"/>
          <w:color w:val="auto"/>
          <w:u w:val="none"/>
        </w:rPr>
        <w:t xml:space="preserve"> </w:t>
      </w:r>
    </w:p>
  </w:footnote>
  <w:footnote w:id="138">
    <w:p w14:paraId="6065896E" w14:textId="29C0C4C6" w:rsidR="00D82918" w:rsidRPr="00854A65" w:rsidRDefault="00D82918" w:rsidP="00BE71E3">
      <w:pPr>
        <w:pStyle w:val="FootnoteText"/>
      </w:pPr>
      <w:r w:rsidRPr="00854A65">
        <w:rPr>
          <w:rStyle w:val="FootnoteReference"/>
        </w:rPr>
        <w:footnoteRef/>
      </w:r>
      <w:r w:rsidRPr="00854A65">
        <w:t xml:space="preserve"> </w:t>
      </w:r>
      <w:hyperlink r:id="rId24" w:history="1">
        <w:r w:rsidRPr="00F3283D">
          <w:rPr>
            <w:rStyle w:val="Hyperlink"/>
          </w:rPr>
          <w:t>www.globalrecalls.oecd.org</w:t>
        </w:r>
      </w:hyperlink>
      <w:r>
        <w:t xml:space="preserve"> </w:t>
      </w:r>
    </w:p>
  </w:footnote>
  <w:footnote w:id="139">
    <w:p w14:paraId="2E238711" w14:textId="478C50B4" w:rsidR="00D82918" w:rsidRPr="00B469B4" w:rsidRDefault="00D82918" w:rsidP="00BE71E3">
      <w:pPr>
        <w:pStyle w:val="FootnoteText"/>
        <w:rPr>
          <w:i/>
        </w:rPr>
      </w:pPr>
      <w:r w:rsidRPr="00854A65">
        <w:rPr>
          <w:rStyle w:val="FootnoteReference"/>
        </w:rPr>
        <w:footnoteRef/>
      </w:r>
      <w:r>
        <w:rPr>
          <w:rFonts w:cstheme="minorHAnsi"/>
        </w:rPr>
        <w:t xml:space="preserve"> </w:t>
      </w:r>
      <w:r w:rsidRPr="00854A65">
        <w:rPr>
          <w:rFonts w:cstheme="minorHAnsi"/>
        </w:rPr>
        <w:t>World Trade Organization Agreement</w:t>
      </w:r>
      <w:r>
        <w:rPr>
          <w:rFonts w:cstheme="minorHAnsi"/>
        </w:rPr>
        <w:t xml:space="preserve"> on Technical Barriers to Trade</w:t>
      </w:r>
      <w:r w:rsidRPr="00854A65">
        <w:rPr>
          <w:rFonts w:cstheme="minorHAnsi"/>
        </w:rPr>
        <w:t xml:space="preserve"> Annex 3: </w:t>
      </w:r>
      <w:r w:rsidRPr="00B469B4">
        <w:t>Code of Good Practice for the Preparation, Adoption and Application of Standards</w:t>
      </w:r>
      <w:r>
        <w:rPr>
          <w:i/>
        </w:rPr>
        <w:t>.</w:t>
      </w:r>
    </w:p>
  </w:footnote>
  <w:footnote w:id="140">
    <w:p w14:paraId="24015D03" w14:textId="20436DFF"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United States Consumer Product Safety Commission, </w:t>
      </w:r>
      <w:r w:rsidRPr="00854A65">
        <w:rPr>
          <w:i/>
        </w:rPr>
        <w:t>Strategic Plan</w:t>
      </w:r>
      <w:r w:rsidRPr="00854A65">
        <w:rPr>
          <w:rFonts w:cstheme="minorHAnsi"/>
        </w:rPr>
        <w:t xml:space="preserve"> </w:t>
      </w:r>
      <w:r w:rsidRPr="00B469B4">
        <w:rPr>
          <w:rFonts w:cstheme="minorHAnsi"/>
          <w:i/>
        </w:rPr>
        <w:t>2011-2016</w:t>
      </w:r>
      <w:r w:rsidRPr="00854A65">
        <w:rPr>
          <w:rFonts w:cstheme="minorHAnsi"/>
        </w:rPr>
        <w:t xml:space="preserve">. </w:t>
      </w:r>
    </w:p>
  </w:footnote>
  <w:footnote w:id="141">
    <w:p w14:paraId="6359FAA7" w14:textId="77777777"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bCs/>
        </w:rPr>
        <w:t xml:space="preserve"> </w:t>
      </w:r>
      <w:r w:rsidRPr="00854A65">
        <w:rPr>
          <w:rFonts w:cstheme="minorHAnsi"/>
          <w:bCs/>
        </w:rPr>
        <w:t>Article 36 of Regulation EC 178/2002 and Article 1 of Regulation EC 2230/2004.</w:t>
      </w:r>
    </w:p>
  </w:footnote>
  <w:footnote w:id="142">
    <w:p w14:paraId="0DF1CC36" w14:textId="125ED015" w:rsidR="00D82918" w:rsidRPr="00854A65" w:rsidRDefault="00D82918" w:rsidP="00BE71E3">
      <w:pPr>
        <w:pStyle w:val="Default"/>
        <w:rPr>
          <w:rFonts w:asciiTheme="minorHAnsi" w:hAnsiTheme="minorHAnsi"/>
          <w:color w:val="auto"/>
          <w:sz w:val="20"/>
          <w:szCs w:val="20"/>
        </w:rPr>
      </w:pPr>
      <w:r w:rsidRPr="00854A65">
        <w:rPr>
          <w:rStyle w:val="FootnoteReference"/>
          <w:rFonts w:asciiTheme="minorHAnsi" w:hAnsiTheme="minorHAnsi"/>
          <w:color w:val="auto"/>
          <w:sz w:val="20"/>
          <w:szCs w:val="20"/>
        </w:rPr>
        <w:footnoteRef/>
      </w:r>
      <w:r>
        <w:rPr>
          <w:rFonts w:asciiTheme="minorHAnsi" w:hAnsiTheme="minorHAnsi"/>
          <w:color w:val="auto"/>
          <w:sz w:val="20"/>
          <w:szCs w:val="20"/>
        </w:rPr>
        <w:t xml:space="preserve"> </w:t>
      </w:r>
      <w:r w:rsidRPr="00854A65">
        <w:rPr>
          <w:rFonts w:asciiTheme="minorHAnsi" w:hAnsiTheme="minorHAnsi"/>
          <w:color w:val="auto"/>
          <w:sz w:val="20"/>
          <w:szCs w:val="20"/>
        </w:rPr>
        <w:t>OECD</w:t>
      </w:r>
      <w:r>
        <w:rPr>
          <w:rFonts w:asciiTheme="minorHAnsi" w:hAnsiTheme="minorHAnsi"/>
          <w:color w:val="auto"/>
          <w:sz w:val="20"/>
          <w:szCs w:val="20"/>
        </w:rPr>
        <w:t>, 2016,</w:t>
      </w:r>
      <w:r w:rsidRPr="00854A65">
        <w:rPr>
          <w:rFonts w:asciiTheme="minorHAnsi" w:hAnsiTheme="minorHAnsi"/>
          <w:color w:val="auto"/>
          <w:sz w:val="20"/>
          <w:szCs w:val="20"/>
        </w:rPr>
        <w:t xml:space="preserve"> </w:t>
      </w:r>
      <w:r w:rsidRPr="00B469B4">
        <w:rPr>
          <w:rFonts w:asciiTheme="minorHAnsi" w:hAnsiTheme="minorHAnsi"/>
          <w:i/>
          <w:color w:val="auto"/>
          <w:sz w:val="20"/>
          <w:szCs w:val="20"/>
        </w:rPr>
        <w:t>Product Risk Assessment Practices of Regulatory Agencies:</w:t>
      </w:r>
      <w:r w:rsidRPr="00854A65">
        <w:rPr>
          <w:rFonts w:asciiTheme="minorHAnsi" w:hAnsiTheme="minorHAnsi"/>
          <w:color w:val="auto"/>
          <w:sz w:val="20"/>
          <w:szCs w:val="20"/>
        </w:rPr>
        <w:t xml:space="preserve"> </w:t>
      </w:r>
      <w:r w:rsidRPr="00854A65">
        <w:rPr>
          <w:rFonts w:asciiTheme="minorHAnsi" w:hAnsiTheme="minorHAnsi"/>
          <w:i/>
          <w:color w:val="auto"/>
          <w:sz w:val="20"/>
          <w:szCs w:val="20"/>
        </w:rPr>
        <w:t>Summary of Discussions at Workshops and Meetings of the OECD Working Party on Consumer Product Safety</w:t>
      </w:r>
      <w:r w:rsidRPr="00854A65">
        <w:rPr>
          <w:rFonts w:asciiTheme="minorHAnsi" w:hAnsiTheme="minorHAnsi"/>
          <w:color w:val="auto"/>
          <w:sz w:val="20"/>
          <w:szCs w:val="20"/>
        </w:rPr>
        <w:t>.</w:t>
      </w:r>
      <w:r w:rsidRPr="00854A65">
        <w:rPr>
          <w:rFonts w:asciiTheme="minorHAnsi" w:hAnsiTheme="minorHAnsi"/>
          <w:i/>
          <w:color w:val="auto"/>
          <w:sz w:val="20"/>
          <w:szCs w:val="20"/>
        </w:rPr>
        <w:t xml:space="preserve"> </w:t>
      </w:r>
    </w:p>
  </w:footnote>
  <w:footnote w:id="143">
    <w:p w14:paraId="1033EA8B" w14:textId="77777777"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OECD, </w:t>
      </w:r>
      <w:r w:rsidRPr="00B469B4">
        <w:t>op. cit.</w:t>
      </w:r>
      <w:r w:rsidRPr="00854A65">
        <w:rPr>
          <w:rFonts w:cstheme="minorHAnsi"/>
        </w:rPr>
        <w:t xml:space="preserve"> </w:t>
      </w:r>
    </w:p>
  </w:footnote>
  <w:footnote w:id="144">
    <w:p w14:paraId="32B98F71" w14:textId="00C0101B" w:rsidR="00D82918" w:rsidRPr="00854A65" w:rsidRDefault="00D82918" w:rsidP="00BE71E3">
      <w:pPr>
        <w:pStyle w:val="FootnoteText"/>
      </w:pPr>
      <w:r w:rsidRPr="00854A65">
        <w:rPr>
          <w:rStyle w:val="FootnoteReference"/>
        </w:rPr>
        <w:footnoteRef/>
      </w:r>
      <w:r>
        <w:rPr>
          <w:rStyle w:val="Strong"/>
          <w:rFonts w:eastAsiaTheme="majorEastAsia" w:cstheme="minorHAnsi"/>
          <w:b w:val="0"/>
          <w:bCs/>
          <w:iCs/>
        </w:rPr>
        <w:t xml:space="preserve"> </w:t>
      </w:r>
      <w:r w:rsidRPr="00854A65">
        <w:rPr>
          <w:rStyle w:val="Strong"/>
          <w:rFonts w:eastAsiaTheme="majorEastAsia" w:cstheme="minorHAnsi"/>
          <w:b w:val="0"/>
          <w:bCs/>
          <w:iCs/>
        </w:rPr>
        <w:t xml:space="preserve">Council Directive 85/374/EEC of </w:t>
      </w:r>
      <w:r>
        <w:rPr>
          <w:rStyle w:val="Strong"/>
          <w:rFonts w:eastAsiaTheme="majorEastAsia" w:cstheme="minorHAnsi"/>
          <w:b w:val="0"/>
          <w:bCs/>
          <w:iCs/>
        </w:rPr>
        <w:t xml:space="preserve">25 </w:t>
      </w:r>
      <w:r w:rsidRPr="00854A65">
        <w:rPr>
          <w:rStyle w:val="Strong"/>
          <w:rFonts w:eastAsiaTheme="majorEastAsia" w:cstheme="minorHAnsi"/>
          <w:b w:val="0"/>
          <w:bCs/>
          <w:iCs/>
        </w:rPr>
        <w:t xml:space="preserve">July </w:t>
      </w:r>
      <w:r>
        <w:rPr>
          <w:rStyle w:val="Strong"/>
          <w:rFonts w:eastAsiaTheme="majorEastAsia" w:cstheme="minorHAnsi"/>
          <w:b w:val="0"/>
          <w:bCs/>
          <w:iCs/>
        </w:rPr>
        <w:t xml:space="preserve">1985, </w:t>
      </w:r>
      <w:r w:rsidRPr="00854A65">
        <w:rPr>
          <w:rStyle w:val="Strong"/>
          <w:rFonts w:eastAsiaTheme="majorEastAsia" w:cstheme="minorHAnsi"/>
          <w:b w:val="0"/>
          <w:bCs/>
          <w:i/>
        </w:rPr>
        <w:t xml:space="preserve">Approximation of the Laws, Regulations and Administrative Provisions of the Member States Concerning Liability for Defective Products, </w:t>
      </w:r>
      <w:r w:rsidRPr="00854A65">
        <w:rPr>
          <w:rStyle w:val="Strong"/>
          <w:rFonts w:eastAsiaTheme="majorEastAsia" w:cstheme="minorHAnsi"/>
          <w:b w:val="0"/>
          <w:bCs/>
          <w:iCs/>
        </w:rPr>
        <w:t>Article 7e.</w:t>
      </w:r>
      <w:r w:rsidRPr="00854A65">
        <w:rPr>
          <w:rStyle w:val="Strong"/>
          <w:rFonts w:eastAsiaTheme="majorEastAsia" w:cstheme="minorHAnsi"/>
          <w:b w:val="0"/>
          <w:bCs/>
          <w:i/>
        </w:rPr>
        <w:t xml:space="preserve"> </w:t>
      </w:r>
    </w:p>
  </w:footnote>
  <w:footnote w:id="145">
    <w:p w14:paraId="13C0BDB1" w14:textId="77777777" w:rsidR="00D82918" w:rsidRPr="00854A65" w:rsidRDefault="00D82918" w:rsidP="00BE71E3">
      <w:pPr>
        <w:pStyle w:val="FootnoteText"/>
      </w:pPr>
      <w:r w:rsidRPr="00854A65">
        <w:rPr>
          <w:rStyle w:val="FootnoteReference"/>
        </w:rPr>
        <w:footnoteRef/>
      </w:r>
      <w:r>
        <w:rPr>
          <w:rFonts w:cstheme="minorHAnsi"/>
        </w:rPr>
        <w:t xml:space="preserve"> </w:t>
      </w:r>
      <w:r w:rsidRPr="00854A65">
        <w:rPr>
          <w:rFonts w:cstheme="minorHAnsi"/>
        </w:rPr>
        <w:t>1993/34/EC.</w:t>
      </w:r>
      <w:r w:rsidRPr="00854A65">
        <w:t xml:space="preserve"> </w:t>
      </w:r>
    </w:p>
  </w:footnote>
  <w:footnote w:id="146">
    <w:p w14:paraId="6439E865" w14:textId="08B798E5" w:rsidR="00D82918" w:rsidRPr="00854A65" w:rsidRDefault="00D82918" w:rsidP="00BE71E3">
      <w:pPr>
        <w:pStyle w:val="NoSpacing"/>
        <w:rPr>
          <w:sz w:val="20"/>
          <w:szCs w:val="20"/>
        </w:rPr>
      </w:pPr>
      <w:r w:rsidRPr="00854A65">
        <w:rPr>
          <w:rStyle w:val="FootnoteReference"/>
          <w:sz w:val="20"/>
          <w:szCs w:val="20"/>
        </w:rPr>
        <w:footnoteRef/>
      </w:r>
      <w:r>
        <w:rPr>
          <w:sz w:val="20"/>
          <w:szCs w:val="20"/>
        </w:rPr>
        <w:t xml:space="preserve"> M</w:t>
      </w:r>
      <w:r w:rsidRPr="00854A65">
        <w:rPr>
          <w:sz w:val="20"/>
          <w:szCs w:val="20"/>
        </w:rPr>
        <w:t xml:space="preserve"> Kuneva, </w:t>
      </w:r>
      <w:r>
        <w:rPr>
          <w:sz w:val="20"/>
          <w:szCs w:val="20"/>
        </w:rPr>
        <w:t xml:space="preserve">2009, </w:t>
      </w:r>
      <w:r w:rsidRPr="00B469B4">
        <w:rPr>
          <w:iCs/>
          <w:sz w:val="20"/>
          <w:szCs w:val="20"/>
        </w:rPr>
        <w:t>Restori</w:t>
      </w:r>
      <w:r>
        <w:rPr>
          <w:iCs/>
          <w:sz w:val="20"/>
          <w:szCs w:val="20"/>
        </w:rPr>
        <w:t>ng consumer trust in retail financial s</w:t>
      </w:r>
      <w:r w:rsidRPr="00B469B4">
        <w:rPr>
          <w:iCs/>
          <w:sz w:val="20"/>
          <w:szCs w:val="20"/>
        </w:rPr>
        <w:t>ervices</w:t>
      </w:r>
      <w:r w:rsidRPr="00854A65">
        <w:rPr>
          <w:i/>
          <w:iCs/>
          <w:sz w:val="20"/>
          <w:szCs w:val="20"/>
        </w:rPr>
        <w:t xml:space="preserve"> </w:t>
      </w:r>
      <w:r>
        <w:rPr>
          <w:iCs/>
          <w:sz w:val="20"/>
          <w:szCs w:val="20"/>
        </w:rPr>
        <w:t>(</w:t>
      </w:r>
      <w:r w:rsidRPr="00854A65">
        <w:rPr>
          <w:sz w:val="20"/>
          <w:szCs w:val="20"/>
        </w:rPr>
        <w:t xml:space="preserve">Lisbon, </w:t>
      </w:r>
      <w:r>
        <w:rPr>
          <w:sz w:val="20"/>
          <w:szCs w:val="20"/>
        </w:rPr>
        <w:t xml:space="preserve">27 </w:t>
      </w:r>
      <w:r w:rsidRPr="00854A65">
        <w:rPr>
          <w:sz w:val="20"/>
          <w:szCs w:val="20"/>
        </w:rPr>
        <w:t>April</w:t>
      </w:r>
      <w:r>
        <w:rPr>
          <w:sz w:val="20"/>
          <w:szCs w:val="20"/>
        </w:rPr>
        <w:t>).</w:t>
      </w:r>
      <w:r w:rsidRPr="00854A65">
        <w:rPr>
          <w:sz w:val="20"/>
          <w:szCs w:val="20"/>
        </w:rPr>
        <w:t xml:space="preserve"> </w:t>
      </w:r>
    </w:p>
  </w:footnote>
  <w:footnote w:id="147">
    <w:p w14:paraId="1C955445" w14:textId="578A37BC" w:rsidR="00D82918" w:rsidRPr="00B469B4" w:rsidRDefault="00D82918" w:rsidP="00BE71E3">
      <w:pPr>
        <w:pStyle w:val="NoSpacing"/>
        <w:rPr>
          <w:i/>
          <w:sz w:val="20"/>
          <w:szCs w:val="20"/>
        </w:rPr>
      </w:pPr>
      <w:r w:rsidRPr="00854A65">
        <w:rPr>
          <w:rStyle w:val="FootnoteReference"/>
          <w:sz w:val="20"/>
          <w:szCs w:val="20"/>
        </w:rPr>
        <w:footnoteRef/>
      </w:r>
      <w:r>
        <w:rPr>
          <w:sz w:val="20"/>
          <w:szCs w:val="20"/>
        </w:rPr>
        <w:t xml:space="preserve"> E</w:t>
      </w:r>
      <w:r w:rsidRPr="00854A65">
        <w:rPr>
          <w:sz w:val="20"/>
          <w:szCs w:val="20"/>
        </w:rPr>
        <w:t xml:space="preserve"> Warren,</w:t>
      </w:r>
      <w:r>
        <w:rPr>
          <w:sz w:val="20"/>
          <w:szCs w:val="20"/>
        </w:rPr>
        <w:t xml:space="preserve"> 2008,</w:t>
      </w:r>
      <w:r w:rsidRPr="00854A65">
        <w:rPr>
          <w:sz w:val="20"/>
          <w:szCs w:val="20"/>
        </w:rPr>
        <w:t xml:space="preserve"> </w:t>
      </w:r>
      <w:r>
        <w:rPr>
          <w:iCs/>
          <w:sz w:val="20"/>
          <w:szCs w:val="20"/>
        </w:rPr>
        <w:t>Product safety regulation as a model for financial services r</w:t>
      </w:r>
      <w:r w:rsidRPr="00B469B4">
        <w:rPr>
          <w:iCs/>
          <w:sz w:val="20"/>
          <w:szCs w:val="20"/>
        </w:rPr>
        <w:t>egulation</w:t>
      </w:r>
      <w:r w:rsidRPr="00854A65">
        <w:rPr>
          <w:i/>
          <w:iCs/>
          <w:sz w:val="20"/>
          <w:szCs w:val="20"/>
        </w:rPr>
        <w:t xml:space="preserve">, </w:t>
      </w:r>
      <w:r w:rsidRPr="00B469B4">
        <w:rPr>
          <w:i/>
          <w:sz w:val="20"/>
          <w:szCs w:val="20"/>
        </w:rPr>
        <w:t>Journal of Consumer</w:t>
      </w:r>
    </w:p>
    <w:p w14:paraId="27CE8BEC" w14:textId="27650D4C" w:rsidR="00D82918" w:rsidRPr="00854A65" w:rsidRDefault="00D82918" w:rsidP="00BE71E3">
      <w:pPr>
        <w:pStyle w:val="NoSpacing"/>
        <w:rPr>
          <w:sz w:val="20"/>
          <w:szCs w:val="20"/>
        </w:rPr>
      </w:pPr>
      <w:r w:rsidRPr="00B469B4">
        <w:rPr>
          <w:i/>
          <w:sz w:val="20"/>
          <w:szCs w:val="20"/>
        </w:rPr>
        <w:t>Affairs</w:t>
      </w:r>
      <w:r w:rsidRPr="00854A65">
        <w:rPr>
          <w:sz w:val="20"/>
          <w:szCs w:val="20"/>
        </w:rPr>
        <w:t xml:space="preserve"> 42, quoted in OECD,</w:t>
      </w:r>
      <w:r>
        <w:rPr>
          <w:sz w:val="20"/>
          <w:szCs w:val="20"/>
        </w:rPr>
        <w:t xml:space="preserve"> 2009,</w:t>
      </w:r>
      <w:r w:rsidRPr="00854A65">
        <w:rPr>
          <w:sz w:val="20"/>
          <w:szCs w:val="20"/>
        </w:rPr>
        <w:t xml:space="preserve"> </w:t>
      </w:r>
      <w:r>
        <w:rPr>
          <w:i/>
          <w:iCs/>
          <w:sz w:val="20"/>
          <w:szCs w:val="20"/>
        </w:rPr>
        <w:t>Financial Consumer Protection:</w:t>
      </w:r>
      <w:r w:rsidRPr="00854A65">
        <w:rPr>
          <w:i/>
          <w:iCs/>
          <w:sz w:val="20"/>
          <w:szCs w:val="20"/>
        </w:rPr>
        <w:t xml:space="preserve"> Progress Report, </w:t>
      </w:r>
      <w:r w:rsidRPr="00854A65">
        <w:rPr>
          <w:sz w:val="20"/>
          <w:szCs w:val="20"/>
        </w:rPr>
        <w:t xml:space="preserve">DAF/CMF </w:t>
      </w:r>
      <w:r>
        <w:rPr>
          <w:sz w:val="20"/>
          <w:szCs w:val="20"/>
        </w:rPr>
        <w:t xml:space="preserve">(11 </w:t>
      </w:r>
      <w:r w:rsidRPr="00854A65">
        <w:rPr>
          <w:sz w:val="20"/>
          <w:szCs w:val="20"/>
        </w:rPr>
        <w:t>April</w:t>
      </w:r>
      <w:r>
        <w:rPr>
          <w:sz w:val="20"/>
          <w:szCs w:val="20"/>
        </w:rPr>
        <w:t>)</w:t>
      </w:r>
      <w:r w:rsidRPr="00854A65">
        <w:rPr>
          <w:sz w:val="20"/>
          <w:szCs w:val="20"/>
        </w:rPr>
        <w:t xml:space="preserve">. </w:t>
      </w:r>
    </w:p>
  </w:footnote>
  <w:footnote w:id="148">
    <w:p w14:paraId="39DAA0B2" w14:textId="7DD3933F" w:rsidR="00D82918" w:rsidRPr="00854A65" w:rsidRDefault="00D82918" w:rsidP="00BE71E3">
      <w:pPr>
        <w:pStyle w:val="NoSpacing"/>
        <w:rPr>
          <w:rFonts w:cs="Calibri"/>
          <w:sz w:val="20"/>
          <w:szCs w:val="20"/>
        </w:rPr>
      </w:pPr>
      <w:r w:rsidRPr="00854A65">
        <w:rPr>
          <w:rStyle w:val="FootnoteReference"/>
          <w:sz w:val="20"/>
          <w:szCs w:val="20"/>
        </w:rPr>
        <w:footnoteRef/>
      </w:r>
      <w:r>
        <w:rPr>
          <w:rFonts w:cs="Calibri"/>
          <w:sz w:val="20"/>
          <w:szCs w:val="20"/>
        </w:rPr>
        <w:t xml:space="preserve"> T</w:t>
      </w:r>
      <w:r w:rsidRPr="00854A65">
        <w:rPr>
          <w:rFonts w:cs="Calibri"/>
          <w:sz w:val="20"/>
          <w:szCs w:val="20"/>
        </w:rPr>
        <w:t xml:space="preserve"> Otsuki</w:t>
      </w:r>
      <w:r>
        <w:rPr>
          <w:rFonts w:cs="Calibri"/>
          <w:sz w:val="20"/>
          <w:szCs w:val="20"/>
        </w:rPr>
        <w:t xml:space="preserve"> et al, 2001, </w:t>
      </w:r>
      <w:r w:rsidRPr="00854A65">
        <w:rPr>
          <w:rFonts w:cs="Calibri"/>
          <w:i/>
          <w:sz w:val="20"/>
          <w:szCs w:val="20"/>
        </w:rPr>
        <w:t>Saving Two in a Billion: Quantifying the Trade Effect of European Food Safe</w:t>
      </w:r>
      <w:r>
        <w:rPr>
          <w:rFonts w:cs="Calibri"/>
          <w:i/>
          <w:sz w:val="20"/>
          <w:szCs w:val="20"/>
        </w:rPr>
        <w:t>ty Standards on African Exports</w:t>
      </w:r>
      <w:r w:rsidRPr="00854A65">
        <w:rPr>
          <w:rFonts w:cs="Calibri"/>
          <w:i/>
          <w:sz w:val="20"/>
          <w:szCs w:val="20"/>
        </w:rPr>
        <w:t xml:space="preserve"> </w:t>
      </w:r>
      <w:r>
        <w:rPr>
          <w:rFonts w:cs="Calibri"/>
          <w:sz w:val="20"/>
          <w:szCs w:val="20"/>
        </w:rPr>
        <w:t xml:space="preserve">(World Bank </w:t>
      </w:r>
      <w:r w:rsidRPr="00854A65">
        <w:rPr>
          <w:rFonts w:cs="Calibri"/>
          <w:iCs/>
          <w:sz w:val="20"/>
          <w:szCs w:val="20"/>
        </w:rPr>
        <w:t>Development Research Group</w:t>
      </w:r>
      <w:r>
        <w:rPr>
          <w:rFonts w:cs="Calibri"/>
          <w:iCs/>
          <w:sz w:val="20"/>
          <w:szCs w:val="20"/>
        </w:rPr>
        <w:t xml:space="preserve">, </w:t>
      </w:r>
      <w:r w:rsidRPr="00854A65">
        <w:rPr>
          <w:rFonts w:cs="Calibri"/>
          <w:iCs/>
          <w:sz w:val="20"/>
          <w:szCs w:val="20"/>
        </w:rPr>
        <w:t>DECRG)</w:t>
      </w:r>
      <w:r>
        <w:rPr>
          <w:rFonts w:cs="Calibri"/>
          <w:iCs/>
          <w:sz w:val="20"/>
          <w:szCs w:val="20"/>
        </w:rPr>
        <w:t>; s</w:t>
      </w:r>
      <w:r w:rsidRPr="00854A65">
        <w:rPr>
          <w:rFonts w:cs="Calibri"/>
          <w:iCs/>
          <w:sz w:val="20"/>
          <w:szCs w:val="20"/>
        </w:rPr>
        <w:t>ee also Oxfam</w:t>
      </w:r>
      <w:r>
        <w:rPr>
          <w:rFonts w:cs="Calibri"/>
          <w:iCs/>
          <w:sz w:val="20"/>
          <w:szCs w:val="20"/>
        </w:rPr>
        <w:t>, 2004,</w:t>
      </w:r>
      <w:r w:rsidRPr="00854A65">
        <w:rPr>
          <w:rFonts w:cs="Calibri"/>
          <w:iCs/>
          <w:sz w:val="20"/>
          <w:szCs w:val="20"/>
        </w:rPr>
        <w:t xml:space="preserve"> Supplementary Memorandum to United Kingdom Parliamentary Select Committee on</w:t>
      </w:r>
      <w:r>
        <w:rPr>
          <w:rFonts w:cs="Calibri"/>
          <w:iCs/>
          <w:sz w:val="20"/>
          <w:szCs w:val="20"/>
        </w:rPr>
        <w:t xml:space="preserve"> International Development</w:t>
      </w:r>
      <w:r w:rsidRPr="00854A65">
        <w:rPr>
          <w:rFonts w:cs="Calibri"/>
          <w:iCs/>
          <w:sz w:val="20"/>
          <w:szCs w:val="20"/>
        </w:rPr>
        <w:t xml:space="preserve">.  </w:t>
      </w:r>
    </w:p>
  </w:footnote>
  <w:footnote w:id="149">
    <w:p w14:paraId="13539CD7" w14:textId="0A9CC2F3"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United Nations regulation 13h</w:t>
      </w:r>
      <w:r w:rsidRPr="00854A65">
        <w:rPr>
          <w:rFonts w:cstheme="minorHAnsi"/>
        </w:rPr>
        <w:t xml:space="preserve">. The United </w:t>
      </w:r>
      <w:r>
        <w:rPr>
          <w:rFonts w:cstheme="minorHAnsi"/>
        </w:rPr>
        <w:t>Nations World Forum for Harmonization of V</w:t>
      </w:r>
      <w:r w:rsidRPr="00854A65">
        <w:rPr>
          <w:rFonts w:cstheme="minorHAnsi"/>
        </w:rPr>
        <w:t>ehic</w:t>
      </w:r>
      <w:r>
        <w:rPr>
          <w:rFonts w:cstheme="minorHAnsi"/>
        </w:rPr>
        <w:t>le R</w:t>
      </w:r>
      <w:r w:rsidRPr="00854A65">
        <w:rPr>
          <w:rFonts w:cstheme="minorHAnsi"/>
        </w:rPr>
        <w:t xml:space="preserve">egulations is the primary global body for development of car safety standards.   </w:t>
      </w:r>
    </w:p>
  </w:footnote>
  <w:footnote w:id="150">
    <w:p w14:paraId="09B4A539" w14:textId="68AA0CDC"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WHO, </w:t>
      </w:r>
      <w:r>
        <w:rPr>
          <w:rFonts w:cstheme="minorHAnsi"/>
        </w:rPr>
        <w:t xml:space="preserve">2015, </w:t>
      </w:r>
      <w:r w:rsidRPr="00854A65">
        <w:rPr>
          <w:rFonts w:cstheme="minorHAnsi"/>
          <w:i/>
        </w:rPr>
        <w:t>Global Status Report on Road Safety</w:t>
      </w:r>
      <w:r>
        <w:rPr>
          <w:rFonts w:cstheme="minorHAnsi"/>
        </w:rPr>
        <w:t>; s</w:t>
      </w:r>
      <w:r w:rsidRPr="00854A65">
        <w:rPr>
          <w:rFonts w:cstheme="minorHAnsi"/>
        </w:rPr>
        <w:t>ee also Global NCAP</w:t>
      </w:r>
      <w:r>
        <w:rPr>
          <w:rFonts w:cstheme="minorHAnsi"/>
        </w:rPr>
        <w:t>, 2015,</w:t>
      </w:r>
      <w:r w:rsidRPr="00854A65">
        <w:rPr>
          <w:rFonts w:cstheme="minorHAnsi"/>
        </w:rPr>
        <w:t xml:space="preserve"> </w:t>
      </w:r>
      <w:r w:rsidRPr="00854A65">
        <w:rPr>
          <w:rFonts w:cstheme="minorHAnsi"/>
          <w:i/>
        </w:rPr>
        <w:t>Democratizing Car Safety: Road Map for Safer Cars 2020</w:t>
      </w:r>
      <w:r w:rsidRPr="00854A65">
        <w:rPr>
          <w:rFonts w:cstheme="minorHAnsi"/>
        </w:rPr>
        <w:t xml:space="preserve">. </w:t>
      </w:r>
    </w:p>
  </w:footnote>
  <w:footnote w:id="151">
    <w:p w14:paraId="72332943" w14:textId="31E65991" w:rsidR="00D82918" w:rsidRPr="00854A65" w:rsidRDefault="00D82918" w:rsidP="00BE71E3">
      <w:pPr>
        <w:pStyle w:val="FootnoteText"/>
        <w:rPr>
          <w:rFonts w:cstheme="minorHAnsi"/>
        </w:rPr>
      </w:pPr>
      <w:r w:rsidRPr="00854A65">
        <w:rPr>
          <w:rStyle w:val="FootnoteReference"/>
        </w:rPr>
        <w:footnoteRef/>
      </w:r>
      <w:r w:rsidRPr="00854A65">
        <w:t xml:space="preserve"> ISO </w:t>
      </w:r>
      <w:r>
        <w:rPr>
          <w:rFonts w:cstheme="minorHAnsi"/>
        </w:rPr>
        <w:t>standard for cross-border trade of second-</w:t>
      </w:r>
      <w:r w:rsidRPr="00854A65">
        <w:rPr>
          <w:rFonts w:cstheme="minorHAnsi"/>
        </w:rPr>
        <w:t>hand goods</w:t>
      </w:r>
      <w:r>
        <w:rPr>
          <w:rFonts w:cstheme="minorHAnsi"/>
        </w:rPr>
        <w:t>, Technical Standard 20245 (2014)</w:t>
      </w:r>
      <w:r w:rsidRPr="00854A65">
        <w:rPr>
          <w:rFonts w:cstheme="minorHAnsi"/>
        </w:rPr>
        <w:t xml:space="preserve">, possibly under way to full ISO standard. </w:t>
      </w:r>
    </w:p>
  </w:footnote>
  <w:footnote w:id="152">
    <w:p w14:paraId="2FC2D9F7" w14:textId="068D0D42"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ISO standard for cross-border trade of second-hand g</w:t>
      </w:r>
      <w:r w:rsidRPr="00854A65">
        <w:rPr>
          <w:rFonts w:cstheme="minorHAnsi"/>
        </w:rPr>
        <w:t xml:space="preserve">oods, </w:t>
      </w:r>
      <w:r w:rsidRPr="00B469B4">
        <w:t>Technical Standard 20245</w:t>
      </w:r>
      <w:r w:rsidRPr="00854A65">
        <w:rPr>
          <w:rFonts w:cstheme="minorHAnsi"/>
        </w:rPr>
        <w:t xml:space="preserve"> </w:t>
      </w:r>
      <w:r>
        <w:rPr>
          <w:rFonts w:cstheme="minorHAnsi"/>
        </w:rPr>
        <w:t>(</w:t>
      </w:r>
      <w:r w:rsidRPr="00854A65">
        <w:rPr>
          <w:rFonts w:cstheme="minorHAnsi"/>
        </w:rPr>
        <w:t>2014</w:t>
      </w:r>
      <w:r>
        <w:rPr>
          <w:rFonts w:cstheme="minorHAnsi"/>
        </w:rPr>
        <w:t>)</w:t>
      </w:r>
      <w:r w:rsidRPr="00854A65">
        <w:rPr>
          <w:rFonts w:cstheme="minorHAnsi"/>
        </w:rPr>
        <w:t xml:space="preserve">, possibly under way to full ISO standard. </w:t>
      </w:r>
    </w:p>
  </w:footnote>
  <w:footnote w:id="153">
    <w:p w14:paraId="61309E7D" w14:textId="73C02DBC"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J</w:t>
      </w:r>
      <w:r w:rsidRPr="00854A65">
        <w:rPr>
          <w:rFonts w:cstheme="minorHAnsi"/>
        </w:rPr>
        <w:t xml:space="preserve"> Lukaz, </w:t>
      </w:r>
      <w:r>
        <w:rPr>
          <w:rFonts w:cstheme="minorHAnsi"/>
        </w:rPr>
        <w:t xml:space="preserve">2012, </w:t>
      </w:r>
      <w:r w:rsidRPr="00B469B4">
        <w:rPr>
          <w:rFonts w:cstheme="minorHAnsi"/>
        </w:rPr>
        <w:t>Second-hand goods</w:t>
      </w:r>
      <w:r w:rsidRPr="00854A65">
        <w:rPr>
          <w:rFonts w:cstheme="minorHAnsi"/>
          <w:i/>
        </w:rPr>
        <w:t>,</w:t>
      </w:r>
      <w:r>
        <w:rPr>
          <w:rFonts w:cstheme="minorHAnsi"/>
        </w:rPr>
        <w:t xml:space="preserve"> Contribution to ISO COPOLCO workshop on</w:t>
      </w:r>
      <w:r w:rsidRPr="00854A65">
        <w:rPr>
          <w:rFonts w:cstheme="minorHAnsi"/>
        </w:rPr>
        <w:t xml:space="preserve"> </w:t>
      </w:r>
      <w:r>
        <w:rPr>
          <w:rFonts w:cstheme="minorHAnsi"/>
        </w:rPr>
        <w:t>Consumer Issues in Standardiz</w:t>
      </w:r>
      <w:r w:rsidRPr="00B469B4">
        <w:rPr>
          <w:rFonts w:cstheme="minorHAnsi"/>
        </w:rPr>
        <w:t>ation in Ghana</w:t>
      </w:r>
      <w:r w:rsidRPr="00854A65">
        <w:rPr>
          <w:rFonts w:cstheme="minorHAnsi"/>
        </w:rPr>
        <w:t xml:space="preserve"> </w:t>
      </w:r>
      <w:r>
        <w:rPr>
          <w:rFonts w:cstheme="minorHAnsi"/>
        </w:rPr>
        <w:t>(</w:t>
      </w:r>
      <w:r w:rsidRPr="00854A65">
        <w:rPr>
          <w:rFonts w:cstheme="minorHAnsi"/>
        </w:rPr>
        <w:t>Accra</w:t>
      </w:r>
      <w:r>
        <w:rPr>
          <w:rFonts w:cstheme="minorHAnsi"/>
        </w:rPr>
        <w:t>)</w:t>
      </w:r>
      <w:r w:rsidRPr="00854A65">
        <w:rPr>
          <w:rFonts w:cstheme="minorHAnsi"/>
        </w:rPr>
        <w:t xml:space="preserve">.  </w:t>
      </w:r>
    </w:p>
  </w:footnote>
  <w:footnote w:id="154">
    <w:p w14:paraId="213CFF5F" w14:textId="751D0E48" w:rsidR="00D82918" w:rsidRPr="00854A65" w:rsidRDefault="00D82918" w:rsidP="00BE71E3">
      <w:pPr>
        <w:pStyle w:val="FootnoteText"/>
      </w:pPr>
      <w:r w:rsidRPr="004B1DCC">
        <w:rPr>
          <w:rStyle w:val="FootnoteReference"/>
          <w:rFonts w:cstheme="minorHAnsi"/>
        </w:rPr>
        <w:footnoteRef/>
      </w:r>
      <w:r>
        <w:rPr>
          <w:rFonts w:cstheme="minorHAnsi"/>
          <w:bCs/>
          <w:i/>
        </w:rPr>
        <w:t xml:space="preserve"> </w:t>
      </w:r>
      <w:r>
        <w:rPr>
          <w:rFonts w:cstheme="minorHAnsi"/>
          <w:bCs/>
        </w:rPr>
        <w:t xml:space="preserve">UNCTAD, 2013, </w:t>
      </w:r>
      <w:r w:rsidRPr="00854A65">
        <w:rPr>
          <w:rFonts w:cstheme="minorHAnsi"/>
          <w:bCs/>
          <w:i/>
        </w:rPr>
        <w:t>Implementation Report on the United Nations Gui</w:t>
      </w:r>
      <w:r>
        <w:rPr>
          <w:rFonts w:cstheme="minorHAnsi"/>
          <w:bCs/>
          <w:i/>
        </w:rPr>
        <w:t>delines on Consumer Protection 1985–2013</w:t>
      </w:r>
      <w:r>
        <w:rPr>
          <w:rFonts w:cstheme="minorHAnsi"/>
          <w:bCs/>
        </w:rPr>
        <w:t xml:space="preserve">, </w:t>
      </w:r>
      <w:r w:rsidRPr="00854A65">
        <w:t>TD/B/C.I/CLP 23</w:t>
      </w:r>
      <w:r>
        <w:t>,</w:t>
      </w:r>
      <w:r w:rsidRPr="00854A65">
        <w:rPr>
          <w:rFonts w:cstheme="minorHAnsi"/>
          <w:bCs/>
          <w:i/>
        </w:rPr>
        <w:t xml:space="preserve"> </w:t>
      </w:r>
      <w:r>
        <w:t>n</w:t>
      </w:r>
      <w:r w:rsidRPr="00854A65">
        <w:t>ote by UNCTAD secretariat.</w:t>
      </w:r>
    </w:p>
  </w:footnote>
  <w:footnote w:id="155">
    <w:p w14:paraId="3C1DB0CF" w14:textId="6FDC6FBD" w:rsidR="00D82918" w:rsidRPr="00854A65" w:rsidRDefault="00D82918" w:rsidP="00BE71E3">
      <w:pPr>
        <w:pStyle w:val="FootnoteText"/>
        <w:rPr>
          <w:rFonts w:cstheme="minorHAnsi"/>
          <w:i/>
        </w:rPr>
      </w:pPr>
      <w:r w:rsidRPr="004B1DCC">
        <w:rPr>
          <w:rStyle w:val="FootnoteReference"/>
          <w:rFonts w:cstheme="minorHAnsi"/>
        </w:rPr>
        <w:footnoteRef/>
      </w:r>
      <w:r>
        <w:t xml:space="preserve"> Consumers International, 2013,</w:t>
      </w:r>
      <w:r>
        <w:rPr>
          <w:rFonts w:cstheme="minorHAnsi"/>
          <w:i/>
        </w:rPr>
        <w:t xml:space="preserve"> </w:t>
      </w:r>
      <w:r w:rsidRPr="00854A65">
        <w:rPr>
          <w:rFonts w:cstheme="minorHAnsi"/>
          <w:i/>
        </w:rPr>
        <w:t>The State of Consumer Protection Around the World.</w:t>
      </w:r>
    </w:p>
  </w:footnote>
  <w:footnote w:id="156">
    <w:p w14:paraId="5A14D21C" w14:textId="4A3F9C05" w:rsidR="00D82918" w:rsidRPr="00854A65" w:rsidRDefault="00D82918" w:rsidP="00BE71E3">
      <w:pPr>
        <w:spacing w:after="0"/>
        <w:rPr>
          <w:sz w:val="20"/>
          <w:szCs w:val="20"/>
        </w:rPr>
      </w:pPr>
      <w:r w:rsidRPr="00854A65">
        <w:rPr>
          <w:rStyle w:val="FootnoteReference"/>
          <w:sz w:val="20"/>
          <w:szCs w:val="20"/>
        </w:rPr>
        <w:footnoteRef/>
      </w:r>
      <w:r w:rsidRPr="00854A65">
        <w:rPr>
          <w:sz w:val="20"/>
          <w:szCs w:val="20"/>
        </w:rPr>
        <w:t xml:space="preserve"> </w:t>
      </w:r>
      <w:r w:rsidRPr="00854A65">
        <w:rPr>
          <w:iCs/>
          <w:sz w:val="20"/>
          <w:szCs w:val="20"/>
        </w:rPr>
        <w:t xml:space="preserve">To illustrate, research conducted by the International Chamber </w:t>
      </w:r>
      <w:r>
        <w:rPr>
          <w:iCs/>
          <w:sz w:val="20"/>
          <w:szCs w:val="20"/>
        </w:rPr>
        <w:t xml:space="preserve">of </w:t>
      </w:r>
      <w:r w:rsidRPr="00854A65">
        <w:rPr>
          <w:iCs/>
          <w:sz w:val="20"/>
          <w:szCs w:val="20"/>
        </w:rPr>
        <w:t>Commerce’s initiative against counterfeiting shows that consumers refrain from purchasing counterfeit goods when they are better informed and aware of the related r</w:t>
      </w:r>
      <w:r>
        <w:rPr>
          <w:iCs/>
          <w:sz w:val="20"/>
          <w:szCs w:val="20"/>
        </w:rPr>
        <w:t>isks to their health and safety</w:t>
      </w:r>
      <w:r w:rsidRPr="00854A65">
        <w:rPr>
          <w:iCs/>
          <w:sz w:val="20"/>
          <w:szCs w:val="20"/>
        </w:rPr>
        <w:t xml:space="preserve"> </w:t>
      </w:r>
      <w:r>
        <w:rPr>
          <w:iCs/>
          <w:sz w:val="20"/>
          <w:szCs w:val="20"/>
        </w:rPr>
        <w:t>(</w:t>
      </w:r>
      <w:r w:rsidRPr="00854A65">
        <w:rPr>
          <w:iCs/>
          <w:sz w:val="20"/>
          <w:szCs w:val="20"/>
        </w:rPr>
        <w:t xml:space="preserve">ICC/ </w:t>
      </w:r>
      <w:r w:rsidRPr="00854A65">
        <w:rPr>
          <w:sz w:val="20"/>
          <w:szCs w:val="20"/>
        </w:rPr>
        <w:t xml:space="preserve">BASCAP, </w:t>
      </w:r>
      <w:r>
        <w:rPr>
          <w:sz w:val="20"/>
          <w:szCs w:val="20"/>
        </w:rPr>
        <w:t xml:space="preserve">2009, </w:t>
      </w:r>
      <w:r w:rsidRPr="00B469B4">
        <w:rPr>
          <w:i/>
          <w:sz w:val="20"/>
          <w:szCs w:val="20"/>
        </w:rPr>
        <w:t>Consumer Attitudes and Perceptions on Counterfeiting and Piracy</w:t>
      </w:r>
      <w:r w:rsidRPr="00854A65">
        <w:rPr>
          <w:sz w:val="20"/>
          <w:szCs w:val="20"/>
        </w:rPr>
        <w:t xml:space="preserve">, available at </w:t>
      </w:r>
      <w:hyperlink r:id="rId25" w:history="1">
        <w:r w:rsidRPr="00F3283D">
          <w:rPr>
            <w:rStyle w:val="Hyperlink"/>
            <w:sz w:val="20"/>
            <w:szCs w:val="20"/>
          </w:rPr>
          <w:t>http://www.iccwbo.org/advocacy-codes-and-rules/bascap/consumer-awareness/consumer-perceptions/</w:t>
        </w:r>
      </w:hyperlink>
      <w:r>
        <w:rPr>
          <w:sz w:val="20"/>
          <w:szCs w:val="20"/>
        </w:rPr>
        <w:t>)</w:t>
      </w:r>
      <w:r w:rsidRPr="00854A65">
        <w:rPr>
          <w:sz w:val="20"/>
          <w:szCs w:val="20"/>
        </w:rPr>
        <w:t>.</w:t>
      </w:r>
      <w:r>
        <w:rPr>
          <w:sz w:val="20"/>
          <w:szCs w:val="20"/>
        </w:rPr>
        <w:t xml:space="preserve"> </w:t>
      </w:r>
      <w:r w:rsidRPr="00854A65">
        <w:rPr>
          <w:sz w:val="20"/>
          <w:szCs w:val="20"/>
        </w:rPr>
        <w:t xml:space="preserve">  </w:t>
      </w:r>
    </w:p>
  </w:footnote>
  <w:footnote w:id="157">
    <w:p w14:paraId="6BCD5F00" w14:textId="0C7DDA02"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OECD, </w:t>
      </w:r>
      <w:r>
        <w:rPr>
          <w:rFonts w:cstheme="minorHAnsi"/>
        </w:rPr>
        <w:t xml:space="preserve">2010, </w:t>
      </w:r>
      <w:r w:rsidRPr="00854A65">
        <w:rPr>
          <w:rFonts w:cstheme="minorHAnsi"/>
          <w:i/>
        </w:rPr>
        <w:t>Consumer Policy Toolkit</w:t>
      </w:r>
      <w:r w:rsidRPr="00854A65">
        <w:rPr>
          <w:rFonts w:cstheme="minorHAnsi"/>
        </w:rPr>
        <w:t>.</w:t>
      </w:r>
    </w:p>
  </w:footnote>
  <w:footnote w:id="158">
    <w:p w14:paraId="40C2733E" w14:textId="4918BB0E"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OECD, </w:t>
      </w:r>
      <w:r>
        <w:rPr>
          <w:rFonts w:cstheme="minorHAnsi"/>
        </w:rPr>
        <w:t xml:space="preserve">2009, </w:t>
      </w:r>
      <w:r w:rsidRPr="00854A65">
        <w:rPr>
          <w:rFonts w:cstheme="minorHAnsi"/>
          <w:i/>
        </w:rPr>
        <w:t>Financial Literacy and Consumer Protection: Overlooked Aspects of the Crisis</w:t>
      </w:r>
      <w:r w:rsidRPr="00854A65">
        <w:rPr>
          <w:rFonts w:cstheme="minorHAnsi"/>
        </w:rPr>
        <w:t>.</w:t>
      </w:r>
    </w:p>
  </w:footnote>
  <w:footnote w:id="159">
    <w:p w14:paraId="7ECBEF41" w14:textId="7F00735B" w:rsidR="00D82918" w:rsidRPr="00854A65" w:rsidRDefault="00D82918" w:rsidP="00BE71E3">
      <w:pPr>
        <w:pStyle w:val="FootnoteText"/>
      </w:pPr>
      <w:r w:rsidRPr="00854A65">
        <w:rPr>
          <w:rStyle w:val="FootnoteReference"/>
        </w:rPr>
        <w:footnoteRef/>
      </w:r>
      <w:r>
        <w:rPr>
          <w:rFonts w:ascii="Calibri" w:hAnsi="Calibri" w:cs="Calibri"/>
        </w:rPr>
        <w:t xml:space="preserve"> M</w:t>
      </w:r>
      <w:r w:rsidRPr="00854A65">
        <w:rPr>
          <w:rFonts w:ascii="Calibri" w:hAnsi="Calibri" w:cs="Calibri"/>
        </w:rPr>
        <w:t xml:space="preserve"> Bertrand</w:t>
      </w:r>
      <w:r>
        <w:rPr>
          <w:rFonts w:ascii="Calibri" w:hAnsi="Calibri" w:cs="Calibri"/>
        </w:rPr>
        <w:t xml:space="preserve"> et al, 2010</w:t>
      </w:r>
      <w:r w:rsidRPr="00854A65">
        <w:rPr>
          <w:rFonts w:ascii="Calibri" w:hAnsi="Calibri" w:cs="Calibri"/>
        </w:rPr>
        <w:t xml:space="preserve">, </w:t>
      </w:r>
      <w:r>
        <w:rPr>
          <w:rFonts w:ascii="Calibri" w:hAnsi="Calibri" w:cs="Calibri"/>
        </w:rPr>
        <w:t>What’s advertising content worth? Evidence from a consumer c</w:t>
      </w:r>
      <w:r w:rsidRPr="00B469B4">
        <w:rPr>
          <w:rFonts w:ascii="Calibri" w:hAnsi="Calibri" w:cs="Calibri"/>
        </w:rPr>
        <w:t>red</w:t>
      </w:r>
      <w:r>
        <w:rPr>
          <w:rFonts w:ascii="Calibri" w:hAnsi="Calibri" w:cs="Calibri"/>
        </w:rPr>
        <w:t>it marketing field e</w:t>
      </w:r>
      <w:r w:rsidRPr="00B469B4">
        <w:rPr>
          <w:rFonts w:ascii="Calibri" w:hAnsi="Calibri" w:cs="Calibri"/>
        </w:rPr>
        <w:t>xperiment</w:t>
      </w:r>
      <w:r w:rsidRPr="00854A65">
        <w:rPr>
          <w:rFonts w:ascii="Calibri" w:hAnsi="Calibri" w:cs="Calibri"/>
          <w:i/>
        </w:rPr>
        <w:t>,</w:t>
      </w:r>
      <w:r w:rsidRPr="00854A65">
        <w:rPr>
          <w:rFonts w:ascii="Calibri" w:hAnsi="Calibri" w:cs="Calibri"/>
        </w:rPr>
        <w:t xml:space="preserve"> </w:t>
      </w:r>
      <w:r w:rsidRPr="00B469B4">
        <w:rPr>
          <w:rFonts w:ascii="Calibri" w:hAnsi="Calibri" w:cs="Calibri"/>
          <w:i/>
          <w:iCs/>
        </w:rPr>
        <w:t>Quarterly Journal of Economics</w:t>
      </w:r>
      <w:r>
        <w:rPr>
          <w:rFonts w:ascii="Calibri" w:hAnsi="Calibri" w:cs="Calibri"/>
        </w:rPr>
        <w:t xml:space="preserve"> 125(1):</w:t>
      </w:r>
      <w:r w:rsidRPr="0009026B">
        <w:rPr>
          <w:rFonts w:ascii="Calibri" w:hAnsi="Calibri" w:cs="Calibri"/>
        </w:rPr>
        <w:t>263–306</w:t>
      </w:r>
      <w:r>
        <w:rPr>
          <w:rFonts w:ascii="Calibri" w:hAnsi="Calibri" w:cs="Calibri"/>
        </w:rPr>
        <w:t>.</w:t>
      </w:r>
    </w:p>
  </w:footnote>
  <w:footnote w:id="160">
    <w:p w14:paraId="70A699BB" w14:textId="3BD6EEBF"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G20/OECD, </w:t>
      </w:r>
      <w:r>
        <w:rPr>
          <w:rFonts w:cstheme="minorHAnsi"/>
        </w:rPr>
        <w:t xml:space="preserve">2011, </w:t>
      </w:r>
      <w:r>
        <w:rPr>
          <w:rFonts w:cstheme="minorHAnsi"/>
          <w:i/>
        </w:rPr>
        <w:t>High-</w:t>
      </w:r>
      <w:r w:rsidRPr="00854A65">
        <w:rPr>
          <w:rFonts w:cstheme="minorHAnsi"/>
          <w:i/>
        </w:rPr>
        <w:t xml:space="preserve">Level Principles </w:t>
      </w:r>
      <w:r>
        <w:rPr>
          <w:rFonts w:cstheme="minorHAnsi"/>
          <w:i/>
        </w:rPr>
        <w:t xml:space="preserve">for </w:t>
      </w:r>
      <w:r w:rsidRPr="00854A65">
        <w:rPr>
          <w:rFonts w:cstheme="minorHAnsi"/>
          <w:i/>
        </w:rPr>
        <w:t>C</w:t>
      </w:r>
      <w:r w:rsidRPr="00854A65">
        <w:rPr>
          <w:rFonts w:ascii="Calibri" w:hAnsi="Calibri" w:cs="Calibri"/>
          <w:i/>
        </w:rPr>
        <w:t>onsumer Protection</w:t>
      </w:r>
      <w:r>
        <w:rPr>
          <w:rFonts w:cstheme="minorHAnsi"/>
          <w:i/>
        </w:rPr>
        <w:t xml:space="preserve"> in Financial Services</w:t>
      </w:r>
    </w:p>
  </w:footnote>
  <w:footnote w:id="161">
    <w:p w14:paraId="4264845C" w14:textId="14C05BCB" w:rsidR="00D82918" w:rsidRPr="00854A65" w:rsidRDefault="00D82918" w:rsidP="00B25A17">
      <w:pPr>
        <w:pStyle w:val="FootnoteText"/>
        <w:jc w:val="left"/>
        <w:rPr>
          <w:rFonts w:cstheme="minorHAnsi"/>
        </w:rPr>
      </w:pPr>
      <w:r w:rsidRPr="00854A65">
        <w:rPr>
          <w:rStyle w:val="FootnoteReference"/>
          <w:rFonts w:cstheme="minorHAnsi"/>
        </w:rPr>
        <w:footnoteRef/>
      </w:r>
      <w:r>
        <w:rPr>
          <w:rFonts w:cstheme="minorHAnsi"/>
        </w:rPr>
        <w:t xml:space="preserve"> </w:t>
      </w:r>
      <w:r w:rsidRPr="00854A65">
        <w:rPr>
          <w:rFonts w:cstheme="minorHAnsi"/>
        </w:rPr>
        <w:t>Citizens Advice, 2015</w:t>
      </w:r>
      <w:r>
        <w:rPr>
          <w:rFonts w:cstheme="minorHAnsi"/>
        </w:rPr>
        <w:t xml:space="preserve">, </w:t>
      </w:r>
      <w:r w:rsidRPr="00B25A17">
        <w:rPr>
          <w:rFonts w:cstheme="minorHAnsi"/>
          <w:i/>
        </w:rPr>
        <w:t>Personal Data Empowerment:</w:t>
      </w:r>
      <w:r w:rsidRPr="00854A65">
        <w:rPr>
          <w:rFonts w:cstheme="minorHAnsi"/>
        </w:rPr>
        <w:t xml:space="preserve"> </w:t>
      </w:r>
      <w:r w:rsidRPr="00854A65">
        <w:rPr>
          <w:rFonts w:cstheme="minorHAnsi"/>
          <w:i/>
          <w:iCs/>
        </w:rPr>
        <w:t>Time for a Fairer Data Deal?</w:t>
      </w:r>
      <w:r>
        <w:rPr>
          <w:rFonts w:cstheme="minorHAnsi"/>
          <w:iCs/>
        </w:rPr>
        <w:t>,</w:t>
      </w:r>
      <w:r w:rsidRPr="00854A65">
        <w:rPr>
          <w:rFonts w:cstheme="minorHAnsi"/>
        </w:rPr>
        <w:t xml:space="preserve"> </w:t>
      </w:r>
      <w:r>
        <w:rPr>
          <w:rFonts w:cstheme="minorHAnsi"/>
        </w:rPr>
        <w:t xml:space="preserve">available at </w:t>
      </w:r>
      <w:hyperlink r:id="rId26" w:history="1">
        <w:r w:rsidRPr="00854A65">
          <w:rPr>
            <w:rStyle w:val="Hyperlink"/>
            <w:rFonts w:cstheme="minorHAnsi"/>
            <w:color w:val="auto"/>
            <w:u w:val="none"/>
          </w:rPr>
          <w:t>https://www.citizensadvice.org.uk/personal-data-empowerment-time-for-a-fairer-deal/</w:t>
        </w:r>
      </w:hyperlink>
      <w:r>
        <w:rPr>
          <w:rStyle w:val="Hyperlink"/>
          <w:rFonts w:cstheme="minorHAnsi"/>
          <w:color w:val="auto"/>
          <w:u w:val="none"/>
        </w:rPr>
        <w:t xml:space="preserve">. </w:t>
      </w:r>
    </w:p>
  </w:footnote>
  <w:footnote w:id="162">
    <w:p w14:paraId="253686C7" w14:textId="40ACC93D" w:rsidR="00D82918" w:rsidRPr="00854A65" w:rsidRDefault="00D82918" w:rsidP="00BE71E3">
      <w:pPr>
        <w:pStyle w:val="NoSpacing"/>
        <w:rPr>
          <w:sz w:val="20"/>
          <w:szCs w:val="20"/>
          <w:lang w:val="en-GB"/>
        </w:rPr>
      </w:pPr>
      <w:r w:rsidRPr="00854A65">
        <w:rPr>
          <w:rStyle w:val="FootnoteReference"/>
          <w:rFonts w:cstheme="minorHAnsi"/>
          <w:sz w:val="20"/>
          <w:szCs w:val="20"/>
        </w:rPr>
        <w:footnoteRef/>
      </w:r>
      <w:r>
        <w:rPr>
          <w:sz w:val="20"/>
          <w:szCs w:val="20"/>
          <w:lang w:val="en-GB"/>
        </w:rPr>
        <w:t xml:space="preserve"> </w:t>
      </w:r>
      <w:r w:rsidRPr="00854A65">
        <w:rPr>
          <w:sz w:val="20"/>
          <w:szCs w:val="20"/>
          <w:lang w:val="en-GB"/>
        </w:rPr>
        <w:t xml:space="preserve">USFTC, </w:t>
      </w:r>
      <w:r>
        <w:rPr>
          <w:sz w:val="20"/>
          <w:szCs w:val="20"/>
          <w:lang w:val="en-GB"/>
        </w:rPr>
        <w:t xml:space="preserve">2008, </w:t>
      </w:r>
      <w:r w:rsidRPr="00854A65">
        <w:rPr>
          <w:i/>
          <w:sz w:val="20"/>
          <w:szCs w:val="20"/>
          <w:lang w:val="en-GB"/>
        </w:rPr>
        <w:t>Marketing Food to Children and Adolescents</w:t>
      </w:r>
      <w:r w:rsidRPr="00854A65">
        <w:rPr>
          <w:sz w:val="20"/>
          <w:szCs w:val="20"/>
          <w:lang w:val="en-GB"/>
        </w:rPr>
        <w:t xml:space="preserve">. </w:t>
      </w:r>
    </w:p>
  </w:footnote>
  <w:footnote w:id="163">
    <w:p w14:paraId="37DD5377" w14:textId="764E90B2" w:rsidR="00D82918" w:rsidRPr="00854A65" w:rsidRDefault="00D82918" w:rsidP="00BE71E3">
      <w:pPr>
        <w:pStyle w:val="NoSpacing"/>
        <w:rPr>
          <w:iCs/>
          <w:sz w:val="20"/>
          <w:szCs w:val="20"/>
          <w:lang w:val="en-GB"/>
        </w:rPr>
      </w:pPr>
      <w:r w:rsidRPr="00854A65">
        <w:rPr>
          <w:rStyle w:val="FootnoteReference"/>
          <w:sz w:val="20"/>
          <w:szCs w:val="20"/>
        </w:rPr>
        <w:footnoteRef/>
      </w:r>
      <w:r>
        <w:rPr>
          <w:rFonts w:cstheme="minorHAnsi"/>
          <w:iCs/>
          <w:sz w:val="20"/>
          <w:szCs w:val="20"/>
        </w:rPr>
        <w:t xml:space="preserve"> </w:t>
      </w:r>
      <w:r w:rsidRPr="00854A65">
        <w:rPr>
          <w:rStyle w:val="FootnoteReference"/>
          <w:rFonts w:cstheme="minorHAnsi"/>
          <w:iCs/>
          <w:sz w:val="20"/>
          <w:szCs w:val="20"/>
          <w:vertAlign w:val="baseline"/>
        </w:rPr>
        <w:t>One of the best known is ISO 26000</w:t>
      </w:r>
      <w:r>
        <w:rPr>
          <w:rStyle w:val="FootnoteReference"/>
          <w:rFonts w:cstheme="minorHAnsi"/>
          <w:iCs/>
          <w:sz w:val="20"/>
          <w:szCs w:val="20"/>
          <w:vertAlign w:val="baseline"/>
        </w:rPr>
        <w:t xml:space="preserve"> </w:t>
      </w:r>
      <w:r w:rsidRPr="00B25A17">
        <w:rPr>
          <w:rStyle w:val="FootnoteReference"/>
          <w:sz w:val="20"/>
          <w:szCs w:val="20"/>
          <w:vertAlign w:val="baseline"/>
        </w:rPr>
        <w:t xml:space="preserve">Guidance on </w:t>
      </w:r>
      <w:r w:rsidRPr="00B25A17">
        <w:rPr>
          <w:sz w:val="20"/>
          <w:szCs w:val="20"/>
        </w:rPr>
        <w:t>S</w:t>
      </w:r>
      <w:r w:rsidRPr="00B25A17">
        <w:rPr>
          <w:rStyle w:val="FootnoteReference"/>
          <w:sz w:val="20"/>
          <w:szCs w:val="20"/>
          <w:vertAlign w:val="baseline"/>
        </w:rPr>
        <w:t>ocial Responsibility</w:t>
      </w:r>
      <w:r w:rsidRPr="00854A65">
        <w:rPr>
          <w:rStyle w:val="FootnoteReference"/>
          <w:rFonts w:cstheme="minorHAnsi"/>
          <w:iCs/>
          <w:sz w:val="20"/>
          <w:szCs w:val="20"/>
          <w:vertAlign w:val="baseline"/>
        </w:rPr>
        <w:t xml:space="preserve"> </w:t>
      </w:r>
      <w:r>
        <w:rPr>
          <w:rStyle w:val="FootnoteReference"/>
          <w:rFonts w:cstheme="minorHAnsi"/>
          <w:iCs/>
          <w:sz w:val="20"/>
          <w:szCs w:val="20"/>
          <w:vertAlign w:val="baseline"/>
        </w:rPr>
        <w:t>(</w:t>
      </w:r>
      <w:r w:rsidRPr="00854A65">
        <w:rPr>
          <w:rStyle w:val="FootnoteReference"/>
          <w:rFonts w:cstheme="minorHAnsi"/>
          <w:iCs/>
          <w:sz w:val="20"/>
          <w:szCs w:val="20"/>
          <w:vertAlign w:val="baseline"/>
        </w:rPr>
        <w:t>2012</w:t>
      </w:r>
      <w:r>
        <w:rPr>
          <w:rStyle w:val="FootnoteReference"/>
          <w:rFonts w:cstheme="minorHAnsi"/>
          <w:iCs/>
          <w:sz w:val="20"/>
          <w:szCs w:val="20"/>
          <w:vertAlign w:val="baseline"/>
        </w:rPr>
        <w:t>)</w:t>
      </w:r>
      <w:r w:rsidRPr="00854A65">
        <w:rPr>
          <w:rStyle w:val="FootnoteReference"/>
          <w:rFonts w:cstheme="minorHAnsi"/>
          <w:iCs/>
          <w:sz w:val="20"/>
          <w:szCs w:val="20"/>
          <w:vertAlign w:val="baseline"/>
        </w:rPr>
        <w:t xml:space="preserve">. It covers environment, labour conditions, human rights and consumer issues. The latter section </w:t>
      </w:r>
      <w:r>
        <w:rPr>
          <w:rStyle w:val="FootnoteReference"/>
          <w:rFonts w:cstheme="minorHAnsi"/>
          <w:iCs/>
          <w:sz w:val="20"/>
          <w:szCs w:val="20"/>
          <w:vertAlign w:val="baseline"/>
        </w:rPr>
        <w:t>refers to the UNGCP, referenc</w:t>
      </w:r>
      <w:r w:rsidRPr="00854A65">
        <w:rPr>
          <w:rStyle w:val="FootnoteReference"/>
          <w:rFonts w:cstheme="minorHAnsi"/>
          <w:iCs/>
          <w:sz w:val="20"/>
          <w:szCs w:val="20"/>
          <w:vertAlign w:val="baseline"/>
        </w:rPr>
        <w:t xml:space="preserve">ing </w:t>
      </w:r>
      <w:r>
        <w:rPr>
          <w:rStyle w:val="FootnoteReference"/>
          <w:rFonts w:cstheme="minorHAnsi"/>
          <w:iCs/>
          <w:sz w:val="20"/>
          <w:szCs w:val="20"/>
          <w:vertAlign w:val="baseline"/>
        </w:rPr>
        <w:t>“</w:t>
      </w:r>
      <w:r w:rsidRPr="00854A65">
        <w:rPr>
          <w:rStyle w:val="FootnoteReference"/>
          <w:rFonts w:cstheme="minorHAnsi"/>
          <w:iCs/>
          <w:sz w:val="20"/>
          <w:szCs w:val="20"/>
          <w:vertAlign w:val="baseline"/>
        </w:rPr>
        <w:t>th</w:t>
      </w:r>
      <w:r>
        <w:rPr>
          <w:rStyle w:val="FootnoteReference"/>
          <w:rFonts w:cstheme="minorHAnsi"/>
          <w:iCs/>
          <w:sz w:val="20"/>
          <w:szCs w:val="20"/>
          <w:vertAlign w:val="baseline"/>
        </w:rPr>
        <w:t>e legitimate needs of consumers”,</w:t>
      </w:r>
      <w:r w:rsidRPr="00854A65">
        <w:rPr>
          <w:rStyle w:val="FootnoteReference"/>
          <w:rFonts w:cstheme="minorHAnsi"/>
          <w:iCs/>
          <w:sz w:val="20"/>
          <w:szCs w:val="20"/>
          <w:vertAlign w:val="baseline"/>
        </w:rPr>
        <w:t xml:space="preserve"> of which it says </w:t>
      </w:r>
      <w:r>
        <w:rPr>
          <w:rStyle w:val="FootnoteReference"/>
          <w:rFonts w:cstheme="minorHAnsi"/>
          <w:iCs/>
          <w:sz w:val="20"/>
          <w:szCs w:val="20"/>
          <w:vertAlign w:val="baseline"/>
        </w:rPr>
        <w:t>that “t</w:t>
      </w:r>
      <w:r w:rsidRPr="00854A65">
        <w:rPr>
          <w:rStyle w:val="FootnoteReference"/>
          <w:rFonts w:cstheme="minorHAnsi"/>
          <w:iCs/>
          <w:sz w:val="20"/>
          <w:szCs w:val="20"/>
          <w:vertAlign w:val="baseline"/>
        </w:rPr>
        <w:t xml:space="preserve">hese principles of consumer protection are elaborated and detailed throughout the text of the </w:t>
      </w:r>
      <w:r w:rsidRPr="00854A65">
        <w:rPr>
          <w:rStyle w:val="FootnoteReference"/>
          <w:i/>
          <w:sz w:val="20"/>
          <w:szCs w:val="20"/>
          <w:vertAlign w:val="baseline"/>
        </w:rPr>
        <w:t>UN Guidelines</w:t>
      </w:r>
      <w:r w:rsidRPr="00854A65">
        <w:rPr>
          <w:rStyle w:val="FootnoteReference"/>
          <w:rFonts w:cstheme="minorHAnsi"/>
          <w:iCs/>
          <w:sz w:val="20"/>
          <w:szCs w:val="20"/>
          <w:vertAlign w:val="baseline"/>
        </w:rPr>
        <w:t>, and</w:t>
      </w:r>
      <w:r>
        <w:rPr>
          <w:rStyle w:val="FootnoteReference"/>
          <w:rFonts w:cstheme="minorHAnsi"/>
          <w:iCs/>
          <w:sz w:val="20"/>
          <w:szCs w:val="20"/>
          <w:vertAlign w:val="baseline"/>
        </w:rPr>
        <w:t xml:space="preserve"> are commonly referred to as ‘consumer rights’”</w:t>
      </w:r>
      <w:r w:rsidRPr="00854A65">
        <w:rPr>
          <w:rStyle w:val="FootnoteReference"/>
          <w:rFonts w:cstheme="minorHAnsi"/>
          <w:iCs/>
          <w:sz w:val="20"/>
          <w:szCs w:val="20"/>
          <w:vertAlign w:val="baseline"/>
        </w:rPr>
        <w:t>.</w:t>
      </w:r>
      <w:r w:rsidRPr="00854A65">
        <w:rPr>
          <w:iCs/>
          <w:sz w:val="20"/>
          <w:szCs w:val="20"/>
          <w:lang w:val="en-GB"/>
        </w:rPr>
        <w:t xml:space="preserve">  </w:t>
      </w:r>
    </w:p>
  </w:footnote>
  <w:footnote w:id="164">
    <w:p w14:paraId="40D7C789" w14:textId="63637CBF" w:rsidR="00D82918" w:rsidRPr="00282072" w:rsidRDefault="00D82918" w:rsidP="00282072">
      <w:pPr>
        <w:pStyle w:val="NoSpacing"/>
        <w:rPr>
          <w:sz w:val="20"/>
          <w:szCs w:val="20"/>
        </w:rPr>
      </w:pPr>
      <w:r w:rsidRPr="00854A65">
        <w:rPr>
          <w:rStyle w:val="FootnoteReference"/>
          <w:sz w:val="20"/>
          <w:szCs w:val="20"/>
        </w:rPr>
        <w:footnoteRef/>
      </w:r>
      <w:r>
        <w:t xml:space="preserve"> </w:t>
      </w:r>
      <w:hyperlink r:id="rId27" w:history="1">
        <w:r w:rsidRPr="00854A65">
          <w:rPr>
            <w:rStyle w:val="Hyperlink"/>
            <w:color w:val="auto"/>
            <w:sz w:val="20"/>
            <w:szCs w:val="20"/>
            <w:u w:val="none"/>
          </w:rPr>
          <w:t>http://www.isealalliance.org/our-work/defining-credibility/credibility-principles</w:t>
        </w:r>
      </w:hyperlink>
      <w:r>
        <w:rPr>
          <w:rStyle w:val="Hyperlink"/>
          <w:color w:val="auto"/>
          <w:sz w:val="20"/>
          <w:szCs w:val="20"/>
          <w:u w:val="none"/>
        </w:rPr>
        <w:t xml:space="preserve"> </w:t>
      </w:r>
    </w:p>
  </w:footnote>
  <w:footnote w:id="165">
    <w:p w14:paraId="310E9B4D" w14:textId="36D71F68" w:rsidR="00D82918" w:rsidRPr="00854A65" w:rsidRDefault="00D82918" w:rsidP="00BE71E3">
      <w:pPr>
        <w:spacing w:after="0"/>
        <w:rPr>
          <w:rFonts w:cstheme="minorHAnsi"/>
          <w:sz w:val="20"/>
          <w:szCs w:val="20"/>
        </w:rPr>
      </w:pPr>
      <w:r w:rsidRPr="00854A65">
        <w:rPr>
          <w:rStyle w:val="FootnoteReference"/>
          <w:sz w:val="20"/>
          <w:szCs w:val="20"/>
        </w:rPr>
        <w:footnoteRef/>
      </w:r>
      <w:r w:rsidRPr="00854A65">
        <w:rPr>
          <w:sz w:val="20"/>
          <w:szCs w:val="20"/>
        </w:rPr>
        <w:t xml:space="preserve"> </w:t>
      </w:r>
      <w:r>
        <w:rPr>
          <w:rFonts w:cstheme="minorHAnsi"/>
          <w:sz w:val="20"/>
          <w:szCs w:val="20"/>
        </w:rPr>
        <w:t>The meaning of “organic"</w:t>
      </w:r>
      <w:r w:rsidRPr="00854A65">
        <w:rPr>
          <w:rFonts w:cstheme="minorHAnsi"/>
          <w:sz w:val="20"/>
          <w:szCs w:val="20"/>
        </w:rPr>
        <w:t xml:space="preserve"> is regulated</w:t>
      </w:r>
      <w:r>
        <w:rPr>
          <w:rFonts w:cstheme="minorHAnsi"/>
          <w:sz w:val="20"/>
          <w:szCs w:val="20"/>
        </w:rPr>
        <w:t xml:space="preserve"> </w:t>
      </w:r>
      <w:r w:rsidRPr="00854A65">
        <w:rPr>
          <w:rFonts w:cstheme="minorHAnsi"/>
          <w:sz w:val="20"/>
          <w:szCs w:val="20"/>
        </w:rPr>
        <w:t>in the European Union and United States</w:t>
      </w:r>
      <w:r>
        <w:rPr>
          <w:rFonts w:cstheme="minorHAnsi"/>
          <w:sz w:val="20"/>
          <w:szCs w:val="20"/>
        </w:rPr>
        <w:t xml:space="preserve"> of America</w:t>
      </w:r>
      <w:r w:rsidRPr="00854A65">
        <w:rPr>
          <w:rFonts w:cstheme="minorHAnsi"/>
          <w:sz w:val="20"/>
          <w:szCs w:val="20"/>
        </w:rPr>
        <w:t>, so it implies a s</w:t>
      </w:r>
      <w:r>
        <w:rPr>
          <w:rFonts w:cstheme="minorHAnsi"/>
          <w:sz w:val="20"/>
          <w:szCs w:val="20"/>
        </w:rPr>
        <w:t>et of defined characteristics. “Natural”</w:t>
      </w:r>
      <w:r w:rsidRPr="00854A65">
        <w:rPr>
          <w:rFonts w:cstheme="minorHAnsi"/>
          <w:sz w:val="20"/>
          <w:szCs w:val="20"/>
        </w:rPr>
        <w:t>, on the other hand, does not carry much meaning at all.</w:t>
      </w:r>
    </w:p>
  </w:footnote>
  <w:footnote w:id="166">
    <w:p w14:paraId="1868AC39" w14:textId="467E5D4E" w:rsidR="00D82918" w:rsidRPr="00B25A17" w:rsidRDefault="00D82918" w:rsidP="00BE71E3">
      <w:pPr>
        <w:spacing w:after="0"/>
        <w:rPr>
          <w:rFonts w:cstheme="minorHAnsi"/>
          <w:color w:val="666666"/>
          <w:sz w:val="20"/>
          <w:szCs w:val="20"/>
          <w:lang w:eastAsia="en-GB"/>
        </w:rPr>
      </w:pPr>
      <w:r w:rsidRPr="00854A65">
        <w:rPr>
          <w:rStyle w:val="FootnoteReference"/>
          <w:rFonts w:cstheme="minorHAnsi"/>
          <w:sz w:val="20"/>
          <w:szCs w:val="20"/>
        </w:rPr>
        <w:footnoteRef/>
      </w:r>
      <w:r w:rsidRPr="00854A65">
        <w:rPr>
          <w:rFonts w:cstheme="minorHAnsi"/>
          <w:sz w:val="20"/>
          <w:szCs w:val="20"/>
        </w:rPr>
        <w:t xml:space="preserve"> </w:t>
      </w:r>
      <w:hyperlink r:id="rId28" w:history="1">
        <w:r w:rsidRPr="00F3283D">
          <w:rPr>
            <w:rStyle w:val="Hyperlink"/>
            <w:rFonts w:cstheme="minorHAnsi"/>
            <w:sz w:val="20"/>
            <w:szCs w:val="20"/>
            <w:lang w:eastAsia="en-GB"/>
          </w:rPr>
          <w:t>www.cmocouncil.org/facts-stats-categories.php?view=all&amp;category...spend</w:t>
        </w:r>
      </w:hyperlink>
      <w:r w:rsidRPr="00B25A17">
        <w:rPr>
          <w:rFonts w:cstheme="minorHAnsi"/>
          <w:iCs/>
          <w:sz w:val="20"/>
          <w:szCs w:val="20"/>
          <w:lang w:eastAsia="en-GB"/>
        </w:rPr>
        <w:t>.</w:t>
      </w:r>
      <w:r>
        <w:rPr>
          <w:rFonts w:cstheme="minorHAnsi"/>
          <w:iCs/>
          <w:sz w:val="20"/>
          <w:szCs w:val="20"/>
          <w:lang w:eastAsia="en-GB"/>
        </w:rPr>
        <w:t xml:space="preserve"> </w:t>
      </w:r>
    </w:p>
  </w:footnote>
  <w:footnote w:id="167">
    <w:p w14:paraId="02A3B29E" w14:textId="17DEA81E" w:rsidR="00D82918" w:rsidRPr="00854A65" w:rsidRDefault="00D82918" w:rsidP="00D9279F">
      <w:pPr>
        <w:pStyle w:val="FootnoteText"/>
        <w:rPr>
          <w:rFonts w:cstheme="minorHAnsi"/>
        </w:rPr>
      </w:pPr>
      <w:r w:rsidRPr="00854A65">
        <w:rPr>
          <w:rStyle w:val="FootnoteReference"/>
          <w:rFonts w:cstheme="minorHAnsi"/>
        </w:rPr>
        <w:footnoteRef/>
      </w:r>
      <w:r w:rsidRPr="00854A65">
        <w:rPr>
          <w:rFonts w:cstheme="minorHAnsi"/>
        </w:rPr>
        <w:t xml:space="preserve"> </w:t>
      </w:r>
      <w:r w:rsidRPr="00B25A17">
        <w:rPr>
          <w:rFonts w:cstheme="minorHAnsi"/>
        </w:rPr>
        <w:t>eMarketer.com</w:t>
      </w:r>
      <w:r>
        <w:rPr>
          <w:rFonts w:cstheme="minorHAnsi"/>
        </w:rPr>
        <w:t>, 10</w:t>
      </w:r>
      <w:r w:rsidRPr="00854A65">
        <w:rPr>
          <w:rFonts w:cstheme="minorHAnsi"/>
        </w:rPr>
        <w:t xml:space="preserve"> December 2014.</w:t>
      </w:r>
    </w:p>
  </w:footnote>
  <w:footnote w:id="168">
    <w:p w14:paraId="5D081BCE" w14:textId="6FC755C7" w:rsidR="00D82918" w:rsidRPr="00854A65" w:rsidRDefault="00D82918" w:rsidP="00BE71E3">
      <w:pPr>
        <w:pStyle w:val="FootnoteText"/>
        <w:rPr>
          <w:rFonts w:cstheme="minorHAnsi"/>
        </w:rPr>
      </w:pPr>
      <w:r w:rsidRPr="00854A65">
        <w:rPr>
          <w:rStyle w:val="FootnoteReference"/>
          <w:rFonts w:cstheme="minorHAnsi"/>
        </w:rPr>
        <w:footnoteRef/>
      </w:r>
      <w:r w:rsidRPr="00854A65">
        <w:rPr>
          <w:rFonts w:cstheme="minorHAnsi"/>
        </w:rPr>
        <w:t xml:space="preserve"> </w:t>
      </w:r>
      <w:hyperlink r:id="rId29" w:history="1">
        <w:r w:rsidRPr="00F3283D">
          <w:rPr>
            <w:rStyle w:val="Hyperlink"/>
            <w:rFonts w:cstheme="minorHAnsi"/>
          </w:rPr>
          <w:t>www.statistica.com</w:t>
        </w:r>
      </w:hyperlink>
      <w:r w:rsidRPr="00854A65">
        <w:rPr>
          <w:rFonts w:cstheme="minorHAnsi"/>
          <w:i/>
        </w:rPr>
        <w:t>.</w:t>
      </w:r>
      <w:r w:rsidRPr="00854A65">
        <w:rPr>
          <w:rFonts w:cstheme="minorHAnsi"/>
        </w:rPr>
        <w:t xml:space="preserve"> </w:t>
      </w:r>
    </w:p>
  </w:footnote>
  <w:footnote w:id="169">
    <w:p w14:paraId="1B1FA7D3" w14:textId="54093639"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ICC,</w:t>
      </w:r>
      <w:r>
        <w:rPr>
          <w:rFonts w:cstheme="minorHAnsi"/>
        </w:rPr>
        <w:t xml:space="preserve"> 2011,</w:t>
      </w:r>
      <w:r w:rsidRPr="00854A65">
        <w:rPr>
          <w:rFonts w:cstheme="minorHAnsi"/>
        </w:rPr>
        <w:t xml:space="preserve"> </w:t>
      </w:r>
      <w:r w:rsidRPr="00854A65">
        <w:rPr>
          <w:rFonts w:cstheme="minorHAnsi"/>
          <w:i/>
        </w:rPr>
        <w:t>Consolidated Code of Advertising and Marketing Communication Practice</w:t>
      </w:r>
      <w:r w:rsidRPr="00854A65">
        <w:rPr>
          <w:rFonts w:cstheme="minorHAnsi"/>
        </w:rPr>
        <w:t xml:space="preserve">. </w:t>
      </w:r>
    </w:p>
  </w:footnote>
  <w:footnote w:id="170">
    <w:p w14:paraId="2876090B" w14:textId="185A60D2"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ASA, </w:t>
      </w:r>
      <w:r>
        <w:rPr>
          <w:rFonts w:cstheme="minorHAnsi"/>
        </w:rPr>
        <w:t xml:space="preserve">2014, </w:t>
      </w:r>
      <w:r>
        <w:rPr>
          <w:rFonts w:cstheme="minorHAnsi"/>
          <w:i/>
        </w:rPr>
        <w:t>Having More Input,</w:t>
      </w:r>
      <w:r w:rsidRPr="00854A65">
        <w:rPr>
          <w:rFonts w:cstheme="minorHAnsi"/>
          <w:i/>
        </w:rPr>
        <w:t xml:space="preserve"> Being More Proactive</w:t>
      </w:r>
      <w:r w:rsidRPr="00854A65">
        <w:rPr>
          <w:rFonts w:cstheme="minorHAnsi"/>
          <w:iCs/>
        </w:rPr>
        <w:t>.</w:t>
      </w:r>
      <w:r w:rsidRPr="00854A65">
        <w:rPr>
          <w:rFonts w:cstheme="minorHAnsi"/>
        </w:rPr>
        <w:t xml:space="preserve"> </w:t>
      </w:r>
    </w:p>
  </w:footnote>
  <w:footnote w:id="171">
    <w:p w14:paraId="5345B819" w14:textId="77777777" w:rsidR="00D82918" w:rsidRPr="00854A65" w:rsidRDefault="00D82918" w:rsidP="00BE71E3">
      <w:pPr>
        <w:pStyle w:val="FootnoteText"/>
      </w:pPr>
      <w:r w:rsidRPr="00854A65">
        <w:rPr>
          <w:rStyle w:val="FootnoteReference"/>
        </w:rPr>
        <w:footnoteRef/>
      </w:r>
      <w:r>
        <w:t xml:space="preserve"> See also chapter</w:t>
      </w:r>
      <w:r w:rsidRPr="00854A65">
        <w:t xml:space="preserve"> </w:t>
      </w:r>
      <w:r>
        <w:t xml:space="preserve">XIV </w:t>
      </w:r>
      <w:r w:rsidRPr="00854A65">
        <w:t>for further discussion.</w:t>
      </w:r>
    </w:p>
  </w:footnote>
  <w:footnote w:id="172">
    <w:p w14:paraId="08D5C57D" w14:textId="77EA4244" w:rsidR="00D82918" w:rsidRPr="00B25A17" w:rsidRDefault="00D82918" w:rsidP="00B25A17">
      <w:pPr>
        <w:pStyle w:val="CommentText"/>
        <w:spacing w:after="0"/>
        <w:rPr>
          <w:rFonts w:cstheme="minorHAnsi"/>
        </w:rPr>
      </w:pPr>
      <w:r w:rsidRPr="00854A65">
        <w:rPr>
          <w:rStyle w:val="FootnoteReference"/>
        </w:rPr>
        <w:footnoteRef/>
      </w:r>
      <w:r w:rsidRPr="00854A65">
        <w:t xml:space="preserve"> </w:t>
      </w:r>
      <w:r w:rsidRPr="00854A65">
        <w:rPr>
          <w:rFonts w:cstheme="minorHAnsi"/>
        </w:rPr>
        <w:t>WHO, 2010</w:t>
      </w:r>
      <w:r>
        <w:rPr>
          <w:rFonts w:cstheme="minorHAnsi"/>
        </w:rPr>
        <w:t>, Set of r</w:t>
      </w:r>
      <w:r w:rsidRPr="00854A65">
        <w:rPr>
          <w:rFonts w:cstheme="minorHAnsi"/>
        </w:rPr>
        <w:t>ecommendations o</w:t>
      </w:r>
      <w:r>
        <w:rPr>
          <w:rFonts w:cstheme="minorHAnsi"/>
        </w:rPr>
        <w:t>n the marketing of food and non-</w:t>
      </w:r>
      <w:r w:rsidRPr="00854A65">
        <w:rPr>
          <w:rFonts w:cstheme="minorHAnsi"/>
        </w:rPr>
        <w:t>alcoholic beverages to child</w:t>
      </w:r>
      <w:r>
        <w:rPr>
          <w:rFonts w:cstheme="minorHAnsi"/>
        </w:rPr>
        <w:t>ren</w:t>
      </w:r>
      <w:r w:rsidRPr="00854A65">
        <w:rPr>
          <w:rFonts w:cstheme="minorHAnsi"/>
        </w:rPr>
        <w:t xml:space="preserve">, endorsed by WHO </w:t>
      </w:r>
      <w:r>
        <w:rPr>
          <w:rFonts w:cstheme="minorHAnsi"/>
        </w:rPr>
        <w:t>member states at the sixty-third</w:t>
      </w:r>
      <w:r w:rsidRPr="00854A65">
        <w:rPr>
          <w:rFonts w:cstheme="minorHAnsi"/>
        </w:rPr>
        <w:t xml:space="preserve"> World Health Assembly (resolution WHA63.14). </w:t>
      </w:r>
      <w:hyperlink r:id="rId30" w:history="1">
        <w:r w:rsidRPr="00F3283D">
          <w:rPr>
            <w:rStyle w:val="Hyperlink"/>
            <w:rFonts w:cstheme="minorHAnsi"/>
          </w:rPr>
          <w:t>http://www.who.int/dietphysicalactivity/publications/recsmarketing/en/</w:t>
        </w:r>
      </w:hyperlink>
      <w:r w:rsidRPr="00854A65">
        <w:rPr>
          <w:rFonts w:cstheme="minorHAnsi"/>
        </w:rPr>
        <w:t>.</w:t>
      </w:r>
      <w:r>
        <w:rPr>
          <w:rFonts w:cstheme="minorHAnsi"/>
        </w:rPr>
        <w:t xml:space="preserve"> </w:t>
      </w:r>
    </w:p>
  </w:footnote>
  <w:footnote w:id="173">
    <w:p w14:paraId="0C060150" w14:textId="72802EC2" w:rsidR="00D82918" w:rsidRPr="00854A65" w:rsidRDefault="00D82918" w:rsidP="008D3617">
      <w:pPr>
        <w:pStyle w:val="FootnoteText"/>
        <w:rPr>
          <w:rFonts w:cstheme="minorHAnsi"/>
        </w:rPr>
      </w:pPr>
      <w:r w:rsidRPr="00854A65">
        <w:rPr>
          <w:rStyle w:val="FootnoteReference"/>
          <w:rFonts w:cstheme="minorHAnsi"/>
        </w:rPr>
        <w:footnoteRef/>
      </w:r>
      <w:r w:rsidRPr="00854A65">
        <w:rPr>
          <w:rFonts w:cstheme="minorHAnsi"/>
        </w:rPr>
        <w:t xml:space="preserve"> UNICEF</w:t>
      </w:r>
      <w:r>
        <w:rPr>
          <w:rFonts w:cstheme="minorHAnsi"/>
        </w:rPr>
        <w:t>,</w:t>
      </w:r>
      <w:r w:rsidRPr="00854A65">
        <w:rPr>
          <w:rFonts w:cstheme="minorHAnsi"/>
        </w:rPr>
        <w:t xml:space="preserve"> op</w:t>
      </w:r>
      <w:r>
        <w:rPr>
          <w:rFonts w:cstheme="minorHAnsi"/>
        </w:rPr>
        <w:t>.</w:t>
      </w:r>
      <w:r w:rsidRPr="00854A65">
        <w:rPr>
          <w:rFonts w:cstheme="minorHAnsi"/>
        </w:rPr>
        <w:t xml:space="preserve"> cit.</w:t>
      </w:r>
    </w:p>
  </w:footnote>
  <w:footnote w:id="174">
    <w:p w14:paraId="5D6D16AE" w14:textId="4E759CD4" w:rsidR="00D82918" w:rsidRPr="00854A65" w:rsidRDefault="00D82918" w:rsidP="00380EE7">
      <w:pPr>
        <w:pStyle w:val="FootnoteText"/>
        <w:rPr>
          <w:rFonts w:cstheme="minorHAnsi"/>
        </w:rPr>
      </w:pPr>
      <w:r w:rsidRPr="00854A65">
        <w:rPr>
          <w:rStyle w:val="FootnoteReference"/>
          <w:rFonts w:cstheme="minorHAnsi"/>
        </w:rPr>
        <w:footnoteRef/>
      </w:r>
      <w:r>
        <w:t xml:space="preserve"> G</w:t>
      </w:r>
      <w:r w:rsidRPr="00854A65">
        <w:t xml:space="preserve"> Hellman-Tuitert</w:t>
      </w:r>
      <w:r w:rsidRPr="00854A65">
        <w:rPr>
          <w:i/>
        </w:rPr>
        <w:t xml:space="preserve">, </w:t>
      </w:r>
      <w:r>
        <w:t xml:space="preserve">1999, </w:t>
      </w:r>
      <w:r w:rsidRPr="00854A65">
        <w:rPr>
          <w:i/>
        </w:rPr>
        <w:t>Promoting Consumer Education in Schools</w:t>
      </w:r>
      <w:r w:rsidRPr="00854A65">
        <w:t>.</w:t>
      </w:r>
      <w:r w:rsidRPr="00854A65">
        <w:rPr>
          <w:i/>
        </w:rPr>
        <w:t xml:space="preserve"> </w:t>
      </w:r>
    </w:p>
  </w:footnote>
  <w:footnote w:id="175">
    <w:p w14:paraId="3D0BE907" w14:textId="1480659A" w:rsidR="00D82918" w:rsidRPr="00854A65" w:rsidRDefault="00D82918" w:rsidP="00BE71E3">
      <w:pPr>
        <w:pStyle w:val="Default"/>
        <w:rPr>
          <w:rFonts w:asciiTheme="minorHAnsi" w:hAnsiTheme="minorHAnsi"/>
          <w:color w:val="auto"/>
          <w:sz w:val="20"/>
          <w:szCs w:val="20"/>
        </w:rPr>
      </w:pPr>
      <w:r w:rsidRPr="00854A65">
        <w:rPr>
          <w:rStyle w:val="FootnoteReference"/>
          <w:rFonts w:asciiTheme="minorHAnsi" w:hAnsiTheme="minorHAnsi"/>
          <w:color w:val="auto"/>
          <w:sz w:val="20"/>
          <w:szCs w:val="20"/>
        </w:rPr>
        <w:footnoteRef/>
      </w:r>
      <w:r>
        <w:rPr>
          <w:rFonts w:asciiTheme="minorHAnsi" w:hAnsiTheme="minorHAnsi"/>
          <w:i/>
          <w:color w:val="auto"/>
          <w:sz w:val="20"/>
          <w:szCs w:val="20"/>
        </w:rPr>
        <w:t xml:space="preserve"> </w:t>
      </w:r>
      <w:r>
        <w:rPr>
          <w:rFonts w:asciiTheme="minorHAnsi" w:hAnsiTheme="minorHAnsi"/>
          <w:color w:val="auto"/>
          <w:sz w:val="20"/>
          <w:szCs w:val="20"/>
        </w:rPr>
        <w:t xml:space="preserve">UNCTAD, 2013, </w:t>
      </w:r>
      <w:r w:rsidRPr="00854A65">
        <w:rPr>
          <w:rFonts w:asciiTheme="minorHAnsi" w:hAnsiTheme="minorHAnsi"/>
          <w:i/>
          <w:color w:val="auto"/>
          <w:sz w:val="20"/>
          <w:szCs w:val="20"/>
        </w:rPr>
        <w:t>Implementation Report on the United Nations Guidelines on Consumer Protection</w:t>
      </w:r>
      <w:r w:rsidRPr="00854A65">
        <w:rPr>
          <w:rFonts w:asciiTheme="minorHAnsi" w:hAnsiTheme="minorHAnsi"/>
          <w:color w:val="auto"/>
          <w:sz w:val="20"/>
          <w:szCs w:val="20"/>
        </w:rPr>
        <w:t xml:space="preserve"> </w:t>
      </w:r>
      <w:r w:rsidRPr="00B25A17">
        <w:rPr>
          <w:rFonts w:asciiTheme="minorHAnsi" w:hAnsiTheme="minorHAnsi"/>
          <w:i/>
          <w:color w:val="auto"/>
          <w:sz w:val="20"/>
          <w:szCs w:val="20"/>
        </w:rPr>
        <w:t>1985–2013</w:t>
      </w:r>
      <w:r>
        <w:rPr>
          <w:rFonts w:asciiTheme="minorHAnsi" w:hAnsiTheme="minorHAnsi"/>
          <w:color w:val="auto"/>
          <w:sz w:val="20"/>
          <w:szCs w:val="20"/>
        </w:rPr>
        <w:t xml:space="preserve">, </w:t>
      </w:r>
      <w:r w:rsidRPr="00854A65">
        <w:rPr>
          <w:rFonts w:asciiTheme="minorHAnsi" w:hAnsiTheme="minorHAnsi"/>
          <w:color w:val="auto"/>
          <w:sz w:val="20"/>
          <w:szCs w:val="20"/>
        </w:rPr>
        <w:t>TD/B/C.I/CLP 23</w:t>
      </w:r>
      <w:r>
        <w:rPr>
          <w:rFonts w:asciiTheme="minorHAnsi" w:hAnsiTheme="minorHAnsi"/>
          <w:color w:val="auto"/>
          <w:sz w:val="20"/>
          <w:szCs w:val="20"/>
        </w:rPr>
        <w:t>, n</w:t>
      </w:r>
      <w:r w:rsidRPr="00854A65">
        <w:rPr>
          <w:rFonts w:asciiTheme="minorHAnsi" w:hAnsiTheme="minorHAnsi"/>
          <w:color w:val="auto"/>
          <w:sz w:val="20"/>
          <w:szCs w:val="20"/>
        </w:rPr>
        <w:t>ote by UNCTAD secretariat.</w:t>
      </w:r>
    </w:p>
  </w:footnote>
  <w:footnote w:id="176">
    <w:p w14:paraId="0CF786E4" w14:textId="24BF7A79" w:rsidR="00D82918" w:rsidRPr="00854A65" w:rsidRDefault="00D82918" w:rsidP="00BE71E3">
      <w:pPr>
        <w:pStyle w:val="FootnoteText"/>
      </w:pPr>
      <w:r w:rsidRPr="00854A65">
        <w:rPr>
          <w:rStyle w:val="FootnoteReference"/>
        </w:rPr>
        <w:footnoteRef/>
      </w:r>
      <w:r w:rsidRPr="00854A65">
        <w:t xml:space="preserve"> Consumers International</w:t>
      </w:r>
      <w:r>
        <w:t>, 2013,</w:t>
      </w:r>
      <w:r w:rsidRPr="00854A65">
        <w:t xml:space="preserve"> </w:t>
      </w:r>
      <w:r w:rsidRPr="00B25A17">
        <w:t>op. cit.</w:t>
      </w:r>
    </w:p>
  </w:footnote>
  <w:footnote w:id="177">
    <w:p w14:paraId="0EFE8809" w14:textId="1BB61CF3" w:rsidR="00D82918" w:rsidRPr="00854A65" w:rsidRDefault="00D82918" w:rsidP="00BE71E3">
      <w:pPr>
        <w:autoSpaceDE w:val="0"/>
        <w:autoSpaceDN w:val="0"/>
        <w:adjustRightInd w:val="0"/>
        <w:spacing w:after="0"/>
        <w:jc w:val="left"/>
        <w:rPr>
          <w:rFonts w:cs="Arial"/>
          <w:sz w:val="20"/>
          <w:szCs w:val="20"/>
        </w:rPr>
      </w:pPr>
      <w:r w:rsidRPr="00854A65">
        <w:rPr>
          <w:rStyle w:val="FootnoteReference"/>
          <w:sz w:val="20"/>
          <w:szCs w:val="20"/>
        </w:rPr>
        <w:footnoteRef/>
      </w:r>
      <w:r>
        <w:rPr>
          <w:rFonts w:cs="Arial"/>
          <w:sz w:val="20"/>
          <w:szCs w:val="20"/>
        </w:rPr>
        <w:t xml:space="preserve"> M</w:t>
      </w:r>
      <w:r w:rsidRPr="00854A65">
        <w:rPr>
          <w:rFonts w:cs="Arial"/>
          <w:sz w:val="20"/>
          <w:szCs w:val="20"/>
        </w:rPr>
        <w:t xml:space="preserve"> Kuneva,</w:t>
      </w:r>
      <w:r>
        <w:rPr>
          <w:rFonts w:cs="Arial"/>
          <w:sz w:val="20"/>
          <w:szCs w:val="20"/>
        </w:rPr>
        <w:t xml:space="preserve"> 2009,</w:t>
      </w:r>
      <w:r w:rsidRPr="00854A65">
        <w:rPr>
          <w:rFonts w:cs="Arial"/>
          <w:sz w:val="20"/>
          <w:szCs w:val="20"/>
        </w:rPr>
        <w:t xml:space="preserve"> </w:t>
      </w:r>
      <w:r>
        <w:rPr>
          <w:rFonts w:cs="Arial"/>
          <w:iCs/>
          <w:sz w:val="20"/>
          <w:szCs w:val="20"/>
        </w:rPr>
        <w:t>Restoring consumer trust in r</w:t>
      </w:r>
      <w:r w:rsidRPr="00B25A17">
        <w:rPr>
          <w:rFonts w:cs="Arial"/>
          <w:iCs/>
          <w:sz w:val="20"/>
          <w:szCs w:val="20"/>
        </w:rPr>
        <w:t>et</w:t>
      </w:r>
      <w:r>
        <w:rPr>
          <w:rFonts w:cs="Arial"/>
          <w:iCs/>
          <w:sz w:val="20"/>
          <w:szCs w:val="20"/>
        </w:rPr>
        <w:t>ail financial s</w:t>
      </w:r>
      <w:r w:rsidRPr="00B25A17">
        <w:rPr>
          <w:rFonts w:cs="Arial"/>
          <w:iCs/>
          <w:sz w:val="20"/>
          <w:szCs w:val="20"/>
        </w:rPr>
        <w:t>ervices</w:t>
      </w:r>
      <w:r w:rsidRPr="00854A65">
        <w:rPr>
          <w:rFonts w:cs="Arial"/>
          <w:i/>
          <w:iCs/>
          <w:sz w:val="20"/>
          <w:szCs w:val="20"/>
        </w:rPr>
        <w:t xml:space="preserve">, </w:t>
      </w:r>
      <w:r w:rsidRPr="00854A65">
        <w:rPr>
          <w:rFonts w:cs="Arial"/>
          <w:sz w:val="20"/>
          <w:szCs w:val="20"/>
        </w:rPr>
        <w:t>DECO 35th Anniversary Seminar on Financial Ser</w:t>
      </w:r>
      <w:r>
        <w:rPr>
          <w:rFonts w:cs="Arial"/>
          <w:sz w:val="20"/>
          <w:szCs w:val="20"/>
        </w:rPr>
        <w:t>vices and the Consumer Interest</w:t>
      </w:r>
      <w:r w:rsidRPr="00854A65">
        <w:rPr>
          <w:rFonts w:cs="Arial"/>
          <w:sz w:val="20"/>
          <w:szCs w:val="20"/>
        </w:rPr>
        <w:t xml:space="preserve"> </w:t>
      </w:r>
      <w:r>
        <w:rPr>
          <w:rFonts w:cs="Arial"/>
          <w:sz w:val="20"/>
          <w:szCs w:val="20"/>
        </w:rPr>
        <w:t>(</w:t>
      </w:r>
      <w:r w:rsidRPr="00854A65">
        <w:rPr>
          <w:rFonts w:cs="Arial"/>
          <w:sz w:val="20"/>
          <w:szCs w:val="20"/>
        </w:rPr>
        <w:t>Lisbon</w:t>
      </w:r>
      <w:r>
        <w:rPr>
          <w:rFonts w:cs="Arial"/>
          <w:sz w:val="20"/>
          <w:szCs w:val="20"/>
        </w:rPr>
        <w:t>, 27</w:t>
      </w:r>
      <w:r w:rsidRPr="00854A65">
        <w:rPr>
          <w:rFonts w:cs="Arial"/>
          <w:sz w:val="20"/>
          <w:szCs w:val="20"/>
        </w:rPr>
        <w:t xml:space="preserve"> April</w:t>
      </w:r>
      <w:r>
        <w:rPr>
          <w:rFonts w:cs="Arial"/>
          <w:sz w:val="20"/>
          <w:szCs w:val="20"/>
        </w:rPr>
        <w:t>)</w:t>
      </w:r>
      <w:r w:rsidRPr="00854A65">
        <w:rPr>
          <w:rFonts w:cs="Arial"/>
          <w:sz w:val="20"/>
          <w:szCs w:val="20"/>
        </w:rPr>
        <w:t xml:space="preserve">. </w:t>
      </w:r>
    </w:p>
  </w:footnote>
  <w:footnote w:id="178">
    <w:p w14:paraId="55B58561" w14:textId="2763BD7D"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L E</w:t>
      </w:r>
      <w:r w:rsidRPr="00854A65">
        <w:rPr>
          <w:rFonts w:cstheme="minorHAnsi"/>
        </w:rPr>
        <w:t xml:space="preserve"> Willis, </w:t>
      </w:r>
      <w:r w:rsidRPr="00B25A17">
        <w:rPr>
          <w:rFonts w:cstheme="minorHAnsi"/>
          <w:iCs/>
        </w:rPr>
        <w:t>Against Financial Literacy Education</w:t>
      </w:r>
      <w:r w:rsidRPr="00854A65">
        <w:rPr>
          <w:rFonts w:cstheme="minorHAnsi"/>
          <w:i/>
          <w:iCs/>
        </w:rPr>
        <w:t xml:space="preserve">, </w:t>
      </w:r>
      <w:r w:rsidRPr="00854A65">
        <w:rPr>
          <w:rFonts w:cstheme="minorHAnsi"/>
        </w:rPr>
        <w:t>Public Law and Leg</w:t>
      </w:r>
      <w:r>
        <w:rPr>
          <w:rFonts w:cstheme="minorHAnsi"/>
        </w:rPr>
        <w:t>al Theory Research Paper Series</w:t>
      </w:r>
      <w:r w:rsidRPr="00854A65">
        <w:rPr>
          <w:rFonts w:cstheme="minorHAnsi"/>
        </w:rPr>
        <w:t xml:space="preserve"> 8/10.</w:t>
      </w:r>
    </w:p>
  </w:footnote>
  <w:footnote w:id="179">
    <w:p w14:paraId="2FCAB859" w14:textId="443E263F" w:rsidR="00D82918" w:rsidRPr="00854A65" w:rsidRDefault="00D82918" w:rsidP="00BE71E3">
      <w:pPr>
        <w:pStyle w:val="Default"/>
        <w:spacing w:line="240" w:lineRule="auto"/>
        <w:jc w:val="both"/>
        <w:rPr>
          <w:rFonts w:asciiTheme="minorHAnsi" w:hAnsiTheme="minorHAnsi"/>
          <w:color w:val="auto"/>
          <w:sz w:val="20"/>
          <w:szCs w:val="20"/>
        </w:rPr>
      </w:pPr>
      <w:r w:rsidRPr="00854A65">
        <w:rPr>
          <w:rStyle w:val="FootnoteReference"/>
          <w:rFonts w:asciiTheme="minorHAnsi" w:hAnsiTheme="minorHAnsi"/>
          <w:color w:val="auto"/>
          <w:sz w:val="20"/>
          <w:szCs w:val="20"/>
        </w:rPr>
        <w:footnoteRef/>
      </w:r>
      <w:r>
        <w:rPr>
          <w:rFonts w:asciiTheme="minorHAnsi" w:hAnsiTheme="minorHAnsi"/>
          <w:color w:val="auto"/>
          <w:sz w:val="20"/>
          <w:szCs w:val="20"/>
        </w:rPr>
        <w:t xml:space="preserve"> D</w:t>
      </w:r>
      <w:r w:rsidRPr="00854A65">
        <w:rPr>
          <w:rFonts w:asciiTheme="minorHAnsi" w:hAnsiTheme="minorHAnsi"/>
          <w:color w:val="auto"/>
          <w:sz w:val="20"/>
          <w:szCs w:val="20"/>
        </w:rPr>
        <w:t xml:space="preserve"> Fernandes</w:t>
      </w:r>
      <w:r>
        <w:rPr>
          <w:rFonts w:asciiTheme="minorHAnsi" w:hAnsiTheme="minorHAnsi"/>
          <w:color w:val="auto"/>
          <w:sz w:val="20"/>
          <w:szCs w:val="20"/>
        </w:rPr>
        <w:t xml:space="preserve"> et al, 2014, Financial literacy, financial education and downstream financial b</w:t>
      </w:r>
      <w:r w:rsidRPr="00B25A17">
        <w:rPr>
          <w:rFonts w:asciiTheme="minorHAnsi" w:hAnsiTheme="minorHAnsi"/>
          <w:color w:val="auto"/>
          <w:sz w:val="20"/>
          <w:szCs w:val="20"/>
        </w:rPr>
        <w:t>ehaviours</w:t>
      </w:r>
      <w:r w:rsidRPr="00854A65">
        <w:rPr>
          <w:rFonts w:asciiTheme="minorHAnsi" w:hAnsiTheme="minorHAnsi"/>
          <w:i/>
          <w:color w:val="auto"/>
          <w:sz w:val="20"/>
          <w:szCs w:val="20"/>
        </w:rPr>
        <w:t>,</w:t>
      </w:r>
      <w:r>
        <w:rPr>
          <w:rFonts w:asciiTheme="minorHAnsi" w:hAnsiTheme="minorHAnsi"/>
          <w:color w:val="auto"/>
          <w:sz w:val="20"/>
          <w:szCs w:val="20"/>
        </w:rPr>
        <w:t xml:space="preserve"> </w:t>
      </w:r>
      <w:r w:rsidRPr="00B25A17">
        <w:rPr>
          <w:rFonts w:asciiTheme="minorHAnsi" w:hAnsiTheme="minorHAnsi"/>
          <w:i/>
          <w:color w:val="auto"/>
          <w:sz w:val="20"/>
          <w:szCs w:val="20"/>
        </w:rPr>
        <w:t>Management Science</w:t>
      </w:r>
      <w:r>
        <w:rPr>
          <w:rFonts w:asciiTheme="minorHAnsi" w:hAnsiTheme="minorHAnsi"/>
          <w:color w:val="auto"/>
          <w:sz w:val="20"/>
          <w:szCs w:val="20"/>
        </w:rPr>
        <w:t xml:space="preserve"> 60(8):</w:t>
      </w:r>
      <w:r w:rsidRPr="00B25A17">
        <w:t xml:space="preserve"> </w:t>
      </w:r>
      <w:r>
        <w:rPr>
          <w:rFonts w:asciiTheme="minorHAnsi" w:hAnsiTheme="minorHAnsi"/>
          <w:color w:val="auto"/>
          <w:sz w:val="20"/>
          <w:szCs w:val="20"/>
        </w:rPr>
        <w:t>1861</w:t>
      </w:r>
      <w:r>
        <w:rPr>
          <w:rFonts w:asciiTheme="minorHAnsi" w:hAnsiTheme="minorHAnsi" w:cstheme="minorHAnsi"/>
          <w:color w:val="auto"/>
          <w:sz w:val="20"/>
          <w:szCs w:val="20"/>
        </w:rPr>
        <w:t>‒</w:t>
      </w:r>
      <w:r w:rsidRPr="00B25A17">
        <w:rPr>
          <w:rFonts w:asciiTheme="minorHAnsi" w:hAnsiTheme="minorHAnsi"/>
          <w:color w:val="auto"/>
          <w:sz w:val="20"/>
          <w:szCs w:val="20"/>
        </w:rPr>
        <w:t>1883</w:t>
      </w:r>
      <w:r>
        <w:rPr>
          <w:rFonts w:asciiTheme="minorHAnsi" w:hAnsiTheme="minorHAnsi"/>
          <w:color w:val="auto"/>
          <w:sz w:val="20"/>
          <w:szCs w:val="20"/>
        </w:rPr>
        <w:t>.</w:t>
      </w:r>
      <w:r w:rsidRPr="00854A65">
        <w:rPr>
          <w:rFonts w:asciiTheme="minorHAnsi" w:hAnsiTheme="minorHAnsi"/>
          <w:color w:val="auto"/>
          <w:sz w:val="20"/>
          <w:szCs w:val="20"/>
        </w:rPr>
        <w:t xml:space="preserve"> </w:t>
      </w:r>
      <w:r>
        <w:rPr>
          <w:rFonts w:asciiTheme="minorHAnsi" w:hAnsiTheme="minorHAnsi" w:cstheme="minorHAnsi"/>
          <w:color w:val="auto"/>
          <w:sz w:val="20"/>
          <w:szCs w:val="20"/>
        </w:rPr>
        <w:t>The cases came predominantly</w:t>
      </w:r>
      <w:r w:rsidRPr="00854A65">
        <w:rPr>
          <w:rFonts w:asciiTheme="minorHAnsi" w:hAnsiTheme="minorHAnsi" w:cstheme="minorHAnsi"/>
          <w:color w:val="auto"/>
          <w:sz w:val="20"/>
          <w:szCs w:val="20"/>
        </w:rPr>
        <w:t xml:space="preserve"> though not entirely from OECD member countries. </w:t>
      </w:r>
    </w:p>
  </w:footnote>
  <w:footnote w:id="180">
    <w:p w14:paraId="0F0F0D92" w14:textId="22197ED9" w:rsidR="00D82918" w:rsidRPr="00854A65" w:rsidRDefault="00D82918" w:rsidP="00BE71E3">
      <w:pPr>
        <w:pStyle w:val="NoSpacing"/>
        <w:rPr>
          <w:sz w:val="20"/>
          <w:szCs w:val="20"/>
        </w:rPr>
      </w:pPr>
      <w:r w:rsidRPr="00854A65">
        <w:rPr>
          <w:rStyle w:val="FootnoteReference"/>
          <w:rFonts w:cstheme="minorHAnsi"/>
          <w:sz w:val="20"/>
          <w:szCs w:val="20"/>
        </w:rPr>
        <w:footnoteRef/>
      </w:r>
      <w:r>
        <w:rPr>
          <w:sz w:val="20"/>
          <w:szCs w:val="20"/>
        </w:rPr>
        <w:t xml:space="preserve"> OECD, 2005, </w:t>
      </w:r>
      <w:r w:rsidRPr="00854A65">
        <w:rPr>
          <w:sz w:val="20"/>
          <w:szCs w:val="20"/>
        </w:rPr>
        <w:t>Recommendations on Principles and Good Practices for Fi</w:t>
      </w:r>
      <w:r>
        <w:rPr>
          <w:sz w:val="20"/>
          <w:szCs w:val="20"/>
        </w:rPr>
        <w:t>nancial Education and Awareness,</w:t>
      </w:r>
      <w:r w:rsidRPr="00854A65">
        <w:rPr>
          <w:sz w:val="20"/>
          <w:szCs w:val="20"/>
        </w:rPr>
        <w:t xml:space="preserve"> C(2005)55/REV1).</w:t>
      </w:r>
    </w:p>
  </w:footnote>
  <w:footnote w:id="181">
    <w:p w14:paraId="4F884858" w14:textId="0F7E62B7" w:rsidR="00D82918" w:rsidRPr="00E64F4A" w:rsidRDefault="00D82918" w:rsidP="00BE71E3">
      <w:pPr>
        <w:pStyle w:val="NoSpacing"/>
        <w:rPr>
          <w:i/>
          <w:iCs/>
          <w:sz w:val="20"/>
          <w:szCs w:val="20"/>
        </w:rPr>
      </w:pPr>
      <w:r w:rsidRPr="00854A65">
        <w:rPr>
          <w:rStyle w:val="FootnoteReference"/>
          <w:rFonts w:cstheme="minorHAnsi"/>
          <w:sz w:val="20"/>
          <w:szCs w:val="20"/>
        </w:rPr>
        <w:footnoteRef/>
      </w:r>
      <w:r>
        <w:rPr>
          <w:sz w:val="20"/>
          <w:szCs w:val="20"/>
        </w:rPr>
        <w:t xml:space="preserve"> S</w:t>
      </w:r>
      <w:r w:rsidRPr="00854A65">
        <w:rPr>
          <w:sz w:val="20"/>
          <w:szCs w:val="20"/>
        </w:rPr>
        <w:t xml:space="preserve"> Rutledge</w:t>
      </w:r>
      <w:r>
        <w:rPr>
          <w:sz w:val="20"/>
          <w:szCs w:val="20"/>
        </w:rPr>
        <w:t xml:space="preserve"> et al, 2010, </w:t>
      </w:r>
      <w:r w:rsidRPr="00854A65">
        <w:rPr>
          <w:i/>
          <w:iCs/>
          <w:sz w:val="20"/>
          <w:szCs w:val="20"/>
        </w:rPr>
        <w:t>Good Practices for Consumer Protecti</w:t>
      </w:r>
      <w:r>
        <w:rPr>
          <w:i/>
          <w:iCs/>
          <w:sz w:val="20"/>
          <w:szCs w:val="20"/>
        </w:rPr>
        <w:t xml:space="preserve">on and Financial Literacy in </w:t>
      </w:r>
      <w:r w:rsidRPr="00854A65">
        <w:rPr>
          <w:i/>
          <w:iCs/>
          <w:sz w:val="20"/>
          <w:szCs w:val="20"/>
        </w:rPr>
        <w:t xml:space="preserve">Europe and </w:t>
      </w:r>
      <w:r>
        <w:rPr>
          <w:i/>
          <w:iCs/>
          <w:sz w:val="20"/>
          <w:szCs w:val="20"/>
        </w:rPr>
        <w:t>Central Asia: A Diagnostic Tool</w:t>
      </w:r>
      <w:r w:rsidRPr="00854A65">
        <w:rPr>
          <w:i/>
          <w:iCs/>
          <w:sz w:val="20"/>
          <w:szCs w:val="20"/>
        </w:rPr>
        <w:t xml:space="preserve"> </w:t>
      </w:r>
      <w:r>
        <w:rPr>
          <w:iCs/>
          <w:sz w:val="20"/>
          <w:szCs w:val="20"/>
        </w:rPr>
        <w:t>(</w:t>
      </w:r>
      <w:r w:rsidRPr="00854A65">
        <w:rPr>
          <w:sz w:val="20"/>
          <w:szCs w:val="20"/>
        </w:rPr>
        <w:t>World Bank</w:t>
      </w:r>
      <w:r>
        <w:rPr>
          <w:sz w:val="20"/>
          <w:szCs w:val="20"/>
        </w:rPr>
        <w:t>)</w:t>
      </w:r>
      <w:r w:rsidRPr="00854A65">
        <w:rPr>
          <w:sz w:val="20"/>
          <w:szCs w:val="20"/>
        </w:rPr>
        <w:t xml:space="preserve">. </w:t>
      </w:r>
    </w:p>
  </w:footnote>
  <w:footnote w:id="182">
    <w:p w14:paraId="3A4C3B8D" w14:textId="585380B4" w:rsidR="00D82918" w:rsidRPr="00854A65" w:rsidRDefault="00D82918" w:rsidP="00BE71E3">
      <w:pPr>
        <w:pStyle w:val="NoSpacing"/>
        <w:rPr>
          <w:sz w:val="20"/>
          <w:szCs w:val="20"/>
        </w:rPr>
      </w:pPr>
      <w:r w:rsidRPr="00854A65">
        <w:rPr>
          <w:rStyle w:val="FootnoteReference"/>
          <w:rFonts w:cstheme="minorHAnsi"/>
          <w:sz w:val="20"/>
          <w:szCs w:val="20"/>
        </w:rPr>
        <w:footnoteRef/>
      </w:r>
      <w:r>
        <w:rPr>
          <w:sz w:val="20"/>
          <w:szCs w:val="20"/>
        </w:rPr>
        <w:t xml:space="preserve"> </w:t>
      </w:r>
      <w:r w:rsidRPr="00854A65">
        <w:rPr>
          <w:sz w:val="20"/>
          <w:szCs w:val="20"/>
        </w:rPr>
        <w:t xml:space="preserve">OECD, </w:t>
      </w:r>
      <w:r>
        <w:rPr>
          <w:sz w:val="20"/>
          <w:szCs w:val="20"/>
        </w:rPr>
        <w:t xml:space="preserve">2009, </w:t>
      </w:r>
      <w:r w:rsidRPr="00854A65">
        <w:rPr>
          <w:i/>
          <w:sz w:val="20"/>
          <w:szCs w:val="20"/>
        </w:rPr>
        <w:t>Financial Education and the Crisis</w:t>
      </w:r>
      <w:r w:rsidRPr="00854A65">
        <w:rPr>
          <w:sz w:val="20"/>
          <w:szCs w:val="20"/>
        </w:rPr>
        <w:t>, DAF/CMF(2009)10.</w:t>
      </w:r>
    </w:p>
  </w:footnote>
  <w:footnote w:id="183">
    <w:p w14:paraId="19955310" w14:textId="7D0AB9E2" w:rsidR="00D82918" w:rsidRPr="00854A65" w:rsidRDefault="00D82918" w:rsidP="00BE71E3">
      <w:pPr>
        <w:pStyle w:val="FootnoteText"/>
        <w:rPr>
          <w:rFonts w:cstheme="minorHAnsi"/>
        </w:rPr>
      </w:pPr>
      <w:r w:rsidRPr="00854A65">
        <w:rPr>
          <w:rStyle w:val="FootnoteReference"/>
          <w:rFonts w:cstheme="minorHAnsi"/>
        </w:rPr>
        <w:footnoteRef/>
      </w:r>
      <w:r w:rsidRPr="00854A65">
        <w:rPr>
          <w:rFonts w:cstheme="minorHAnsi"/>
          <w:i/>
        </w:rPr>
        <w:t xml:space="preserve"> </w:t>
      </w:r>
      <w:r w:rsidRPr="00854A65">
        <w:t>OECD</w:t>
      </w:r>
      <w:r>
        <w:t>, 2007,</w:t>
      </w:r>
      <w:r w:rsidRPr="00854A65">
        <w:rPr>
          <w:rFonts w:cstheme="minorHAnsi"/>
          <w:i/>
        </w:rPr>
        <w:t xml:space="preserve"> Recommendation on Consumer Dispute Resolution and Redress</w:t>
      </w:r>
      <w:r w:rsidRPr="00075E7C">
        <w:rPr>
          <w:rFonts w:cstheme="minorHAnsi"/>
        </w:rPr>
        <w:t>, (C (2007) 74)</w:t>
      </w:r>
      <w:r w:rsidRPr="00854A65">
        <w:rPr>
          <w:rFonts w:cstheme="minorHAnsi"/>
        </w:rPr>
        <w:t>.</w:t>
      </w:r>
    </w:p>
  </w:footnote>
  <w:footnote w:id="184">
    <w:p w14:paraId="10A04131" w14:textId="02C35022" w:rsidR="00D82918" w:rsidRPr="00854A65" w:rsidRDefault="00D82918" w:rsidP="00075E7C">
      <w:pPr>
        <w:pStyle w:val="FootnoteText"/>
        <w:jc w:val="left"/>
        <w:rPr>
          <w:rFonts w:cstheme="minorHAnsi"/>
        </w:rPr>
      </w:pPr>
      <w:r w:rsidRPr="00854A65">
        <w:rPr>
          <w:rStyle w:val="FootnoteReference"/>
          <w:rFonts w:cstheme="minorHAnsi"/>
        </w:rPr>
        <w:footnoteRef/>
      </w:r>
      <w:r>
        <w:rPr>
          <w:rFonts w:cstheme="minorHAnsi"/>
          <w:i/>
          <w:iCs/>
        </w:rPr>
        <w:t xml:space="preserve"> </w:t>
      </w:r>
      <w:r w:rsidRPr="00854A65">
        <w:rPr>
          <w:rFonts w:cstheme="minorHAnsi"/>
        </w:rPr>
        <w:t>Office of Fair Trading, 2008</w:t>
      </w:r>
      <w:r>
        <w:rPr>
          <w:rFonts w:cstheme="minorHAnsi"/>
        </w:rPr>
        <w:t xml:space="preserve">, </w:t>
      </w:r>
      <w:r>
        <w:rPr>
          <w:rFonts w:cstheme="minorHAnsi"/>
          <w:i/>
          <w:iCs/>
        </w:rPr>
        <w:t>Consumer Detriment:</w:t>
      </w:r>
      <w:r w:rsidRPr="00854A65">
        <w:rPr>
          <w:rFonts w:cstheme="minorHAnsi"/>
          <w:i/>
          <w:iCs/>
        </w:rPr>
        <w:t xml:space="preserve"> Assessing the Frequency and Impact of Consumer Problems with Goods and Services</w:t>
      </w:r>
      <w:r>
        <w:rPr>
          <w:rFonts w:cstheme="minorHAnsi"/>
        </w:rPr>
        <w:t>;</w:t>
      </w:r>
      <w:r w:rsidRPr="00854A65">
        <w:rPr>
          <w:rFonts w:cstheme="minorHAnsi"/>
        </w:rPr>
        <w:t xml:space="preserve"> </w:t>
      </w:r>
      <w:r>
        <w:rPr>
          <w:rFonts w:cstheme="minorHAnsi"/>
        </w:rPr>
        <w:t>Consumer</w:t>
      </w:r>
      <w:r w:rsidRPr="00854A65">
        <w:rPr>
          <w:rFonts w:cstheme="minorHAnsi"/>
        </w:rPr>
        <w:t xml:space="preserve"> </w:t>
      </w:r>
      <w:r>
        <w:rPr>
          <w:rFonts w:cstheme="minorHAnsi"/>
        </w:rPr>
        <w:t xml:space="preserve">Focus, 2012, </w:t>
      </w:r>
      <w:r w:rsidRPr="00854A65">
        <w:rPr>
          <w:rFonts w:cstheme="minorHAnsi"/>
          <w:i/>
        </w:rPr>
        <w:t>Consumer Detriment 2012</w:t>
      </w:r>
      <w:r w:rsidRPr="00854A65">
        <w:rPr>
          <w:rFonts w:cstheme="minorHAnsi"/>
        </w:rPr>
        <w:t xml:space="preserve">; </w:t>
      </w:r>
      <w:r w:rsidRPr="00075E7C">
        <w:rPr>
          <w:rFonts w:cstheme="minorHAnsi"/>
        </w:rPr>
        <w:t>European Consumer Centres Network, 2012,</w:t>
      </w:r>
      <w:r>
        <w:rPr>
          <w:rFonts w:cstheme="minorHAnsi"/>
          <w:i/>
        </w:rPr>
        <w:t xml:space="preserve"> </w:t>
      </w:r>
      <w:r w:rsidRPr="00854A65">
        <w:rPr>
          <w:rFonts w:cstheme="minorHAnsi"/>
          <w:i/>
        </w:rPr>
        <w:t>Help and</w:t>
      </w:r>
      <w:r>
        <w:rPr>
          <w:rFonts w:cstheme="minorHAnsi"/>
          <w:i/>
        </w:rPr>
        <w:t xml:space="preserve"> Advice on your Purchases Abroad</w:t>
      </w:r>
      <w:r>
        <w:rPr>
          <w:rFonts w:cstheme="minorHAnsi"/>
        </w:rPr>
        <w:t>; EC, 2011,</w:t>
      </w:r>
      <w:r>
        <w:rPr>
          <w:rFonts w:cstheme="minorHAnsi"/>
          <w:i/>
        </w:rPr>
        <w:t xml:space="preserve"> Special Eurobarometer 342:</w:t>
      </w:r>
      <w:r w:rsidRPr="00854A65">
        <w:rPr>
          <w:rFonts w:cstheme="minorHAnsi"/>
          <w:i/>
        </w:rPr>
        <w:t xml:space="preserve"> Consumer Empowerment,</w:t>
      </w:r>
      <w:r>
        <w:rPr>
          <w:rFonts w:cstheme="minorHAnsi"/>
        </w:rPr>
        <w:t xml:space="preserve"> available at </w:t>
      </w:r>
      <w:r w:rsidRPr="00854A65">
        <w:rPr>
          <w:rFonts w:cstheme="minorHAnsi"/>
        </w:rPr>
        <w:t xml:space="preserve">http://ec.europa.eu/consumers/consumer_empowerment/docs/report_eurobarometer_342_en.pdf 175; </w:t>
      </w:r>
      <w:r>
        <w:rPr>
          <w:rFonts w:cstheme="minorHAnsi"/>
        </w:rPr>
        <w:t xml:space="preserve">EC, 2013, </w:t>
      </w:r>
      <w:r w:rsidRPr="00854A65">
        <w:rPr>
          <w:rFonts w:cstheme="minorHAnsi"/>
          <w:i/>
        </w:rPr>
        <w:t>The Consumer Conditions Scoreboard</w:t>
      </w:r>
      <w:r>
        <w:rPr>
          <w:rFonts w:cstheme="minorHAnsi"/>
        </w:rPr>
        <w:t>,</w:t>
      </w:r>
      <w:r w:rsidRPr="00854A65">
        <w:rPr>
          <w:rFonts w:cstheme="minorHAnsi"/>
          <w:i/>
        </w:rPr>
        <w:t xml:space="preserve">  </w:t>
      </w:r>
      <w:r w:rsidRPr="00854A65">
        <w:rPr>
          <w:rFonts w:cstheme="minorHAnsi"/>
        </w:rPr>
        <w:t xml:space="preserve">available at </w:t>
      </w:r>
      <w:hyperlink r:id="rId31" w:history="1">
        <w:r w:rsidRPr="00854A65">
          <w:rPr>
            <w:rStyle w:val="Hyperlink"/>
            <w:color w:val="auto"/>
            <w:u w:val="none"/>
          </w:rPr>
          <w:t>http://ec.europa.eu/consumers/consumer_research/editions/docs/9th_edition_scoreboard_en.pdf</w:t>
        </w:r>
      </w:hyperlink>
      <w:r w:rsidRPr="00854A65">
        <w:rPr>
          <w:rStyle w:val="Hyperlink"/>
          <w:color w:val="auto"/>
          <w:u w:val="none"/>
        </w:rPr>
        <w:t>.</w:t>
      </w:r>
    </w:p>
  </w:footnote>
  <w:footnote w:id="185">
    <w:p w14:paraId="6EF1A700" w14:textId="6E3880D5" w:rsidR="00D82918" w:rsidRPr="00854A65" w:rsidRDefault="00D82918" w:rsidP="00BE71E3">
      <w:pPr>
        <w:pStyle w:val="FootnoteText"/>
        <w:rPr>
          <w:rFonts w:cstheme="minorHAnsi"/>
          <w:i/>
        </w:rPr>
      </w:pPr>
      <w:r w:rsidRPr="00854A65">
        <w:rPr>
          <w:rStyle w:val="FootnoteReference"/>
          <w:rFonts w:cstheme="minorHAnsi"/>
          <w:i/>
        </w:rPr>
        <w:footnoteRef/>
      </w:r>
      <w:r>
        <w:rPr>
          <w:rFonts w:cstheme="minorHAnsi"/>
          <w:i/>
        </w:rPr>
        <w:t xml:space="preserve"> </w:t>
      </w:r>
      <w:r w:rsidRPr="00075E7C">
        <w:rPr>
          <w:rFonts w:cstheme="minorHAnsi"/>
        </w:rPr>
        <w:t>European Union</w:t>
      </w:r>
      <w:r>
        <w:rPr>
          <w:rFonts w:cstheme="minorHAnsi"/>
        </w:rPr>
        <w:t>, 2013,</w:t>
      </w:r>
      <w:r w:rsidRPr="00075E7C">
        <w:rPr>
          <w:rFonts w:cstheme="minorHAnsi"/>
        </w:rPr>
        <w:t xml:space="preserve"> </w:t>
      </w:r>
      <w:r w:rsidRPr="00854A65">
        <w:rPr>
          <w:rFonts w:cstheme="minorHAnsi"/>
          <w:i/>
        </w:rPr>
        <w:t>Alternative Dispute R</w:t>
      </w:r>
      <w:r>
        <w:rPr>
          <w:rFonts w:cstheme="minorHAnsi"/>
          <w:i/>
        </w:rPr>
        <w:t xml:space="preserve">esolution for Consumer Disputes L/165/63, </w:t>
      </w:r>
      <w:r>
        <w:rPr>
          <w:rFonts w:cstheme="minorHAnsi"/>
        </w:rPr>
        <w:t>d</w:t>
      </w:r>
      <w:r w:rsidRPr="00075E7C">
        <w:rPr>
          <w:rFonts w:cstheme="minorHAnsi"/>
        </w:rPr>
        <w:t>irective 2013/11/EU</w:t>
      </w:r>
      <w:r>
        <w:rPr>
          <w:rFonts w:cstheme="minorHAnsi"/>
          <w:i/>
        </w:rPr>
        <w:t xml:space="preserve"> </w:t>
      </w:r>
      <w:r>
        <w:rPr>
          <w:rFonts w:cstheme="minorHAnsi"/>
        </w:rPr>
        <w:t xml:space="preserve">(21 </w:t>
      </w:r>
      <w:r w:rsidRPr="00854A65">
        <w:rPr>
          <w:rFonts w:cstheme="minorHAnsi"/>
          <w:iCs/>
        </w:rPr>
        <w:t>May</w:t>
      </w:r>
      <w:r>
        <w:rPr>
          <w:rFonts w:cstheme="minorHAnsi"/>
          <w:iCs/>
        </w:rPr>
        <w:t>)</w:t>
      </w:r>
      <w:r>
        <w:rPr>
          <w:rFonts w:cstheme="minorHAnsi"/>
          <w:i/>
        </w:rPr>
        <w:t>.</w:t>
      </w:r>
    </w:p>
  </w:footnote>
  <w:footnote w:id="186">
    <w:p w14:paraId="47A09FAA" w14:textId="44D41F61" w:rsidR="00D82918" w:rsidRPr="00854A65" w:rsidRDefault="00D82918" w:rsidP="00BE71E3">
      <w:pPr>
        <w:pStyle w:val="FootnoteText"/>
        <w:spacing w:before="240"/>
        <w:rPr>
          <w:rFonts w:cstheme="minorHAnsi"/>
          <w:i/>
        </w:rPr>
      </w:pPr>
      <w:r w:rsidRPr="00854A65">
        <w:rPr>
          <w:rStyle w:val="FootnoteReference"/>
          <w:rFonts w:cstheme="minorHAnsi"/>
          <w:i/>
        </w:rPr>
        <w:footnoteRef/>
      </w:r>
      <w:r>
        <w:rPr>
          <w:rFonts w:cstheme="minorHAnsi"/>
        </w:rPr>
        <w:t xml:space="preserve"> </w:t>
      </w:r>
      <w:r w:rsidRPr="00854A65">
        <w:rPr>
          <w:rFonts w:cstheme="minorHAnsi"/>
        </w:rPr>
        <w:t>For further elaboration see OECD</w:t>
      </w:r>
      <w:r>
        <w:rPr>
          <w:rFonts w:cstheme="minorHAnsi"/>
        </w:rPr>
        <w:t>, 2014,</w:t>
      </w:r>
      <w:r w:rsidRPr="00854A65">
        <w:rPr>
          <w:rFonts w:cstheme="minorHAnsi"/>
          <w:i/>
        </w:rPr>
        <w:t xml:space="preserve"> Implementation of the Recommendation of the Council on Consumer Dispute Resolution and Redress, C (2014) 29.</w:t>
      </w:r>
    </w:p>
  </w:footnote>
  <w:footnote w:id="187">
    <w:p w14:paraId="781A0F8D" w14:textId="1B51C8B3"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J</w:t>
      </w:r>
      <w:r w:rsidRPr="00854A65">
        <w:rPr>
          <w:rFonts w:cstheme="minorHAnsi"/>
        </w:rPr>
        <w:t xml:space="preserve"> Coffee, </w:t>
      </w:r>
      <w:r>
        <w:rPr>
          <w:rFonts w:cstheme="minorHAnsi"/>
        </w:rPr>
        <w:t xml:space="preserve">2015, </w:t>
      </w:r>
      <w:r w:rsidRPr="00854A65">
        <w:rPr>
          <w:rFonts w:cstheme="minorHAnsi"/>
          <w:i/>
        </w:rPr>
        <w:t>Entrepreneurial Litiga</w:t>
      </w:r>
      <w:r>
        <w:rPr>
          <w:rFonts w:cstheme="minorHAnsi"/>
          <w:i/>
        </w:rPr>
        <w:t>tion: Its Rise, Fall and Future</w:t>
      </w:r>
      <w:r w:rsidRPr="00854A65">
        <w:rPr>
          <w:rFonts w:cstheme="minorHAnsi"/>
          <w:i/>
        </w:rPr>
        <w:t xml:space="preserve"> </w:t>
      </w:r>
      <w:r>
        <w:rPr>
          <w:rFonts w:cstheme="minorHAnsi"/>
        </w:rPr>
        <w:t>(</w:t>
      </w:r>
      <w:r w:rsidRPr="00854A65">
        <w:rPr>
          <w:rFonts w:cstheme="minorHAnsi"/>
        </w:rPr>
        <w:t>Harvard University Press</w:t>
      </w:r>
      <w:r>
        <w:rPr>
          <w:rFonts w:cstheme="minorHAnsi"/>
        </w:rPr>
        <w:t>)</w:t>
      </w:r>
      <w:r w:rsidRPr="00854A65">
        <w:rPr>
          <w:rFonts w:cstheme="minorHAnsi"/>
        </w:rPr>
        <w:t>.</w:t>
      </w:r>
    </w:p>
  </w:footnote>
  <w:footnote w:id="188">
    <w:p w14:paraId="1AD3896A" w14:textId="7DF5EC24"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See the commission r</w:t>
      </w:r>
      <w:r w:rsidRPr="00854A65">
        <w:rPr>
          <w:rFonts w:cstheme="minorHAnsi"/>
        </w:rPr>
        <w:t xml:space="preserve">ecommendation of </w:t>
      </w:r>
      <w:r>
        <w:rPr>
          <w:rFonts w:cstheme="minorHAnsi"/>
        </w:rPr>
        <w:t xml:space="preserve">11 </w:t>
      </w:r>
      <w:r w:rsidRPr="00854A65">
        <w:rPr>
          <w:rFonts w:cstheme="minorHAnsi"/>
        </w:rPr>
        <w:t>June 2013 on Common Principles for Injunctive and Compensatory Collective Redress Mechanisms in the Member States concerning violations</w:t>
      </w:r>
      <w:r>
        <w:rPr>
          <w:rFonts w:cstheme="minorHAnsi"/>
        </w:rPr>
        <w:t xml:space="preserve"> of rights granted under union l</w:t>
      </w:r>
      <w:r w:rsidRPr="00854A65">
        <w:rPr>
          <w:rFonts w:cstheme="minorHAnsi"/>
        </w:rPr>
        <w:t>aw.</w:t>
      </w:r>
    </w:p>
  </w:footnote>
  <w:footnote w:id="189">
    <w:p w14:paraId="404B5E48" w14:textId="70A40D64" w:rsidR="00D82918" w:rsidRPr="00854A65" w:rsidRDefault="00D82918" w:rsidP="00BE71E3">
      <w:pPr>
        <w:pStyle w:val="FootnoteText"/>
      </w:pPr>
      <w:r w:rsidRPr="00854A65">
        <w:rPr>
          <w:rStyle w:val="FootnoteReference"/>
          <w:rFonts w:cstheme="minorHAnsi"/>
        </w:rPr>
        <w:footnoteRef/>
      </w:r>
      <w:r>
        <w:rPr>
          <w:rFonts w:cstheme="minorHAnsi"/>
        </w:rPr>
        <w:t xml:space="preserve"> </w:t>
      </w:r>
      <w:r>
        <w:t>D</w:t>
      </w:r>
      <w:r w:rsidRPr="00854A65">
        <w:t xml:space="preserve"> Fernandez Arroyo, </w:t>
      </w:r>
      <w:r>
        <w:t>2012, Consumer protection in international private relations: General r</w:t>
      </w:r>
      <w:r w:rsidRPr="00EC6A16">
        <w:t>eport</w:t>
      </w:r>
      <w:r>
        <w:rPr>
          <w:i/>
        </w:rPr>
        <w:t>,</w:t>
      </w:r>
      <w:r>
        <w:t xml:space="preserve"> in</w:t>
      </w:r>
      <w:r w:rsidRPr="00854A65">
        <w:t xml:space="preserve"> </w:t>
      </w:r>
      <w:r>
        <w:t xml:space="preserve">C Lima Marques et al, </w:t>
      </w:r>
      <w:r w:rsidRPr="00854A65">
        <w:rPr>
          <w:i/>
        </w:rPr>
        <w:t>The Global Financial Crisis and the Nee</w:t>
      </w:r>
      <w:r>
        <w:rPr>
          <w:i/>
        </w:rPr>
        <w:t xml:space="preserve">d for Consumer Regulation </w:t>
      </w:r>
      <w:r>
        <w:t>(</w:t>
      </w:r>
      <w:r w:rsidRPr="00854A65">
        <w:t>International Law Association</w:t>
      </w:r>
      <w:r>
        <w:t>)</w:t>
      </w:r>
      <w:r w:rsidRPr="00854A65">
        <w:t>.</w:t>
      </w:r>
    </w:p>
  </w:footnote>
  <w:footnote w:id="190">
    <w:p w14:paraId="266CC188" w14:textId="77777777" w:rsidR="00D82918" w:rsidRPr="00854A65" w:rsidRDefault="00D82918" w:rsidP="00BE71E3">
      <w:pPr>
        <w:pStyle w:val="FootnoteText"/>
      </w:pPr>
      <w:r w:rsidRPr="00854A65">
        <w:rPr>
          <w:rStyle w:val="FootnoteReference"/>
        </w:rPr>
        <w:footnoteRef/>
      </w:r>
      <w:r w:rsidRPr="00854A65">
        <w:t xml:space="preserve"> Law 2014-443 of 17 March 2014.</w:t>
      </w:r>
    </w:p>
  </w:footnote>
  <w:footnote w:id="191">
    <w:p w14:paraId="35493BEC" w14:textId="22F7B2F1"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Instituto Nacional de Defensa de la Competencia y Protecc</w:t>
      </w:r>
      <w:r>
        <w:rPr>
          <w:rFonts w:cstheme="minorHAnsi"/>
        </w:rPr>
        <w:t>ión de la Propiedad Intelectual</w:t>
      </w:r>
      <w:r w:rsidRPr="00854A65">
        <w:rPr>
          <w:rFonts w:cstheme="minorHAnsi"/>
        </w:rPr>
        <w:t xml:space="preserve"> </w:t>
      </w:r>
      <w:r>
        <w:rPr>
          <w:rFonts w:cstheme="minorHAnsi"/>
        </w:rPr>
        <w:t>(</w:t>
      </w:r>
      <w:r w:rsidRPr="00854A65">
        <w:rPr>
          <w:rFonts w:cstheme="minorHAnsi"/>
        </w:rPr>
        <w:t>National Agency for the Defence of Competition and Intellectual Property</w:t>
      </w:r>
      <w:r>
        <w:rPr>
          <w:rFonts w:cstheme="minorHAnsi"/>
        </w:rPr>
        <w:t>)</w:t>
      </w:r>
      <w:r w:rsidRPr="00854A65">
        <w:rPr>
          <w:rFonts w:cstheme="minorHAnsi"/>
        </w:rPr>
        <w:t>.</w:t>
      </w:r>
    </w:p>
  </w:footnote>
  <w:footnote w:id="192">
    <w:p w14:paraId="558CAB71" w14:textId="77777777"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OECD, </w:t>
      </w:r>
      <w:r w:rsidRPr="00075E7C">
        <w:t>op. cit.</w:t>
      </w:r>
    </w:p>
  </w:footnote>
  <w:footnote w:id="193">
    <w:p w14:paraId="1099FEAC" w14:textId="339690BB" w:rsidR="00D82918" w:rsidRPr="00854A65" w:rsidRDefault="00D82918" w:rsidP="00BE71E3">
      <w:pPr>
        <w:pStyle w:val="FootnoteText"/>
      </w:pPr>
      <w:r w:rsidRPr="00854A65">
        <w:rPr>
          <w:rStyle w:val="FootnoteReference"/>
        </w:rPr>
        <w:footnoteRef/>
      </w:r>
      <w:r w:rsidRPr="00854A65">
        <w:t xml:space="preserve"> </w:t>
      </w:r>
      <w:r w:rsidRPr="00854A65">
        <w:rPr>
          <w:i/>
        </w:rPr>
        <w:t>United Nations Guidelines for Consumer Protection</w:t>
      </w:r>
      <w:r w:rsidRPr="00854A65">
        <w:t>, 1999 edition</w:t>
      </w:r>
      <w:r>
        <w:t>, g</w:t>
      </w:r>
      <w:r w:rsidRPr="00854A65">
        <w:t>uideline 32.</w:t>
      </w:r>
    </w:p>
  </w:footnote>
  <w:footnote w:id="194">
    <w:p w14:paraId="7ECBC02E" w14:textId="09EAE3DA" w:rsidR="00D82918" w:rsidRPr="00854A65" w:rsidRDefault="00D82918" w:rsidP="00BE71E3">
      <w:pPr>
        <w:pStyle w:val="FootnoteText"/>
      </w:pPr>
      <w:r w:rsidRPr="00854A65">
        <w:rPr>
          <w:rStyle w:val="FootnoteReference"/>
        </w:rPr>
        <w:footnoteRef/>
      </w:r>
      <w:r>
        <w:t xml:space="preserve"> C </w:t>
      </w:r>
      <w:r w:rsidRPr="00854A65">
        <w:t xml:space="preserve">Hodges, </w:t>
      </w:r>
      <w:r>
        <w:t>Mass collective r</w:t>
      </w:r>
      <w:r w:rsidRPr="00075E7C">
        <w:t>edress: Consu</w:t>
      </w:r>
      <w:r>
        <w:t>mer ADR and regulatory t</w:t>
      </w:r>
      <w:r w:rsidRPr="00075E7C">
        <w:t>echniques</w:t>
      </w:r>
      <w:r>
        <w:t>,</w:t>
      </w:r>
      <w:r w:rsidRPr="00854A65">
        <w:t xml:space="preserve"> </w:t>
      </w:r>
      <w:r w:rsidRPr="00075E7C">
        <w:rPr>
          <w:i/>
        </w:rPr>
        <w:t>European Review of Private Law</w:t>
      </w:r>
      <w:r>
        <w:rPr>
          <w:i/>
        </w:rPr>
        <w:t xml:space="preserve"> </w:t>
      </w:r>
      <w:r>
        <w:t>23:</w:t>
      </w:r>
      <w:r w:rsidRPr="00854A65">
        <w:rPr>
          <w:i/>
        </w:rPr>
        <w:t xml:space="preserve"> </w:t>
      </w:r>
      <w:r>
        <w:t>829</w:t>
      </w:r>
      <w:r>
        <w:rPr>
          <w:rFonts w:cstheme="minorHAnsi"/>
        </w:rPr>
        <w:t>‒</w:t>
      </w:r>
      <w:r w:rsidRPr="00854A65">
        <w:t>874.</w:t>
      </w:r>
    </w:p>
  </w:footnote>
  <w:footnote w:id="195">
    <w:p w14:paraId="6998B1A6" w14:textId="6149ECE0" w:rsidR="00D82918" w:rsidRPr="00854A65" w:rsidRDefault="00D82918" w:rsidP="00BE71E3">
      <w:pPr>
        <w:pStyle w:val="FootnoteText"/>
      </w:pPr>
      <w:r w:rsidRPr="00854A65">
        <w:rPr>
          <w:rStyle w:val="FootnoteReference"/>
        </w:rPr>
        <w:footnoteRef/>
      </w:r>
      <w:r>
        <w:t xml:space="preserve"> C</w:t>
      </w:r>
      <w:r w:rsidRPr="00854A65">
        <w:t xml:space="preserve"> Hodges</w:t>
      </w:r>
      <w:r>
        <w:t xml:space="preserve"> et al, 2012, </w:t>
      </w:r>
      <w:r>
        <w:rPr>
          <w:i/>
        </w:rPr>
        <w:t>Consumer ADR in Europe</w:t>
      </w:r>
      <w:r w:rsidRPr="00854A65">
        <w:t xml:space="preserve"> </w:t>
      </w:r>
      <w:r>
        <w:t>(</w:t>
      </w:r>
      <w:r w:rsidRPr="00854A65">
        <w:t>Hart Publishing</w:t>
      </w:r>
      <w:r>
        <w:t>)</w:t>
      </w:r>
      <w:r w:rsidRPr="00854A65">
        <w:t>.</w:t>
      </w:r>
    </w:p>
  </w:footnote>
  <w:footnote w:id="196">
    <w:p w14:paraId="21E420C5" w14:textId="12DFE41F"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D</w:t>
      </w:r>
      <w:r w:rsidRPr="00854A65">
        <w:rPr>
          <w:rFonts w:cstheme="minorHAnsi"/>
        </w:rPr>
        <w:t xml:space="preserve"> Thomas, </w:t>
      </w:r>
      <w:r>
        <w:rPr>
          <w:rFonts w:cstheme="minorHAnsi"/>
        </w:rPr>
        <w:t xml:space="preserve">2013, </w:t>
      </w:r>
      <w:r w:rsidRPr="00075E7C">
        <w:rPr>
          <w:rFonts w:cstheme="minorHAnsi"/>
        </w:rPr>
        <w:t>The</w:t>
      </w:r>
      <w:r>
        <w:rPr>
          <w:rFonts w:cstheme="minorHAnsi"/>
        </w:rPr>
        <w:t xml:space="preserve"> role of ombudsmen in consumer p</w:t>
      </w:r>
      <w:r w:rsidRPr="00075E7C">
        <w:rPr>
          <w:rFonts w:cstheme="minorHAnsi"/>
        </w:rPr>
        <w:t>rot</w:t>
      </w:r>
      <w:r>
        <w:rPr>
          <w:rFonts w:cstheme="minorHAnsi"/>
        </w:rPr>
        <w:t>ection, including in financial s</w:t>
      </w:r>
      <w:r w:rsidRPr="00075E7C">
        <w:rPr>
          <w:rFonts w:cstheme="minorHAnsi"/>
        </w:rPr>
        <w:t>ervices</w:t>
      </w:r>
      <w:r w:rsidRPr="00854A65">
        <w:rPr>
          <w:rFonts w:cstheme="minorHAnsi"/>
          <w:i/>
        </w:rPr>
        <w:t>,</w:t>
      </w:r>
      <w:r>
        <w:rPr>
          <w:rFonts w:cstheme="minorHAnsi"/>
        </w:rPr>
        <w:t xml:space="preserve"> c</w:t>
      </w:r>
      <w:r w:rsidRPr="00854A65">
        <w:rPr>
          <w:rFonts w:cstheme="minorHAnsi"/>
        </w:rPr>
        <w:t xml:space="preserve">onference paper for </w:t>
      </w:r>
      <w:r w:rsidRPr="00854A65">
        <w:rPr>
          <w:rFonts w:cstheme="minorHAnsi"/>
          <w:iCs/>
        </w:rPr>
        <w:t>International Forum on Justi</w:t>
      </w:r>
      <w:r>
        <w:rPr>
          <w:rFonts w:cstheme="minorHAnsi"/>
          <w:iCs/>
        </w:rPr>
        <w:t>ce and Consumer Rights (</w:t>
      </w:r>
      <w:r w:rsidRPr="00854A65">
        <w:rPr>
          <w:rFonts w:cstheme="minorHAnsi"/>
        </w:rPr>
        <w:t>Wuhan, China</w:t>
      </w:r>
      <w:r>
        <w:rPr>
          <w:rFonts w:cstheme="minorHAnsi"/>
        </w:rPr>
        <w:t>)</w:t>
      </w:r>
      <w:r w:rsidRPr="00854A65">
        <w:rPr>
          <w:rFonts w:cstheme="minorHAnsi"/>
        </w:rPr>
        <w:t>.</w:t>
      </w:r>
    </w:p>
  </w:footnote>
  <w:footnote w:id="197">
    <w:p w14:paraId="47C9FBE2" w14:textId="77777777" w:rsidR="00D82918" w:rsidRPr="00854A65" w:rsidRDefault="00D82918" w:rsidP="00BE71E3">
      <w:pPr>
        <w:pStyle w:val="FootnoteText"/>
      </w:pPr>
      <w:r w:rsidRPr="00854A65">
        <w:rPr>
          <w:rStyle w:val="FootnoteReference"/>
        </w:rPr>
        <w:footnoteRef/>
      </w:r>
      <w:r>
        <w:rPr>
          <w:rFonts w:cs="Calibri"/>
          <w:i/>
        </w:rPr>
        <w:t xml:space="preserve"> </w:t>
      </w:r>
      <w:r w:rsidRPr="00075E7C">
        <w:rPr>
          <w:rFonts w:cs="Calibri"/>
        </w:rPr>
        <w:t xml:space="preserve">Directive 2013/11/European Union, </w:t>
      </w:r>
      <w:r w:rsidRPr="00075E7C">
        <w:rPr>
          <w:rFonts w:cs="Calibri"/>
          <w:iCs/>
        </w:rPr>
        <w:t>op. cit.</w:t>
      </w:r>
    </w:p>
  </w:footnote>
  <w:footnote w:id="198">
    <w:p w14:paraId="2AD0F088" w14:textId="4CC280CF" w:rsidR="00D82918" w:rsidRPr="00854A65" w:rsidRDefault="00D82918" w:rsidP="00351947">
      <w:pPr>
        <w:spacing w:after="0"/>
        <w:jc w:val="left"/>
        <w:rPr>
          <w:sz w:val="20"/>
          <w:szCs w:val="20"/>
        </w:rPr>
      </w:pPr>
      <w:r w:rsidRPr="00854A65">
        <w:rPr>
          <w:rStyle w:val="FootnoteReference"/>
          <w:sz w:val="20"/>
          <w:szCs w:val="20"/>
        </w:rPr>
        <w:footnoteRef/>
      </w:r>
      <w:r>
        <w:t xml:space="preserve"> </w:t>
      </w:r>
      <w:hyperlink r:id="rId32" w:history="1">
        <w:r w:rsidRPr="00854A65">
          <w:rPr>
            <w:rStyle w:val="Hyperlink"/>
            <w:color w:val="auto"/>
            <w:sz w:val="20"/>
            <w:szCs w:val="20"/>
            <w:u w:val="none"/>
          </w:rPr>
          <w:t>http://ec.europa.eu/consumers/solving_consumer_disputes/non-judicial_redress/adr-odr/index_en.htm</w:t>
        </w:r>
      </w:hyperlink>
      <w:r w:rsidRPr="00854A65">
        <w:rPr>
          <w:rStyle w:val="Hyperlink"/>
          <w:color w:val="auto"/>
          <w:sz w:val="20"/>
          <w:szCs w:val="20"/>
          <w:u w:val="none"/>
        </w:rPr>
        <w:br/>
      </w:r>
      <w:hyperlink r:id="rId33" w:history="1">
        <w:r w:rsidRPr="00854A65">
          <w:rPr>
            <w:rStyle w:val="Hyperlink"/>
            <w:color w:val="auto"/>
            <w:sz w:val="20"/>
            <w:szCs w:val="20"/>
            <w:u w:val="none"/>
          </w:rPr>
          <w:t>http://www.colinrule.com/writing/UALR2012.pdf</w:t>
        </w:r>
      </w:hyperlink>
      <w:r>
        <w:rPr>
          <w:rStyle w:val="Hyperlink"/>
          <w:color w:val="auto"/>
          <w:sz w:val="20"/>
          <w:szCs w:val="20"/>
          <w:u w:val="none"/>
        </w:rPr>
        <w:t xml:space="preserve"> </w:t>
      </w:r>
    </w:p>
  </w:footnote>
  <w:footnote w:id="199">
    <w:p w14:paraId="2CA86CAC" w14:textId="6277AA82" w:rsidR="00D82918" w:rsidRPr="00854A65" w:rsidRDefault="00D82918" w:rsidP="00BE71E3">
      <w:pPr>
        <w:pStyle w:val="FootnoteText"/>
      </w:pPr>
      <w:r w:rsidRPr="00854A65">
        <w:rPr>
          <w:rStyle w:val="FootnoteReference"/>
        </w:rPr>
        <w:footnoteRef/>
      </w:r>
      <w:r>
        <w:rPr>
          <w:i/>
        </w:rPr>
        <w:t xml:space="preserve"> </w:t>
      </w:r>
      <w:r>
        <w:t>Review of the guide for the i</w:t>
      </w:r>
      <w:r w:rsidRPr="00D3365F">
        <w:t xml:space="preserve">ncorporation </w:t>
      </w:r>
      <w:r>
        <w:t>of domestic law: New version of UNCITRAL model l</w:t>
      </w:r>
      <w:r w:rsidRPr="00D3365F">
        <w:t>aw</w:t>
      </w:r>
      <w:r w:rsidRPr="00854A65">
        <w:rPr>
          <w:i/>
        </w:rPr>
        <w:t xml:space="preserve"> </w:t>
      </w:r>
      <w:r>
        <w:t>(</w:t>
      </w:r>
      <w:r w:rsidRPr="00854A65">
        <w:rPr>
          <w:iCs/>
        </w:rPr>
        <w:t>New York,</w:t>
      </w:r>
      <w:r w:rsidRPr="00854A65">
        <w:t xml:space="preserve"> </w:t>
      </w:r>
      <w:r>
        <w:t xml:space="preserve">25 </w:t>
      </w:r>
      <w:r w:rsidRPr="00854A65">
        <w:t>June</w:t>
      </w:r>
      <w:r>
        <w:rPr>
          <w:rFonts w:cstheme="minorHAnsi"/>
        </w:rPr>
        <w:t>‒</w:t>
      </w:r>
      <w:r w:rsidRPr="00854A65">
        <w:t>July 7</w:t>
      </w:r>
      <w:r>
        <w:t>)</w:t>
      </w:r>
      <w:r w:rsidRPr="00854A65">
        <w:t xml:space="preserve">.  </w:t>
      </w:r>
    </w:p>
  </w:footnote>
  <w:footnote w:id="200">
    <w:p w14:paraId="545DBF1A" w14:textId="76598FD8" w:rsidR="00D82918" w:rsidRPr="00854A65" w:rsidRDefault="00D82918" w:rsidP="00BE71E3">
      <w:pPr>
        <w:pStyle w:val="FootnoteText"/>
      </w:pPr>
      <w:r w:rsidRPr="00854A65">
        <w:rPr>
          <w:rStyle w:val="FootnoteReference"/>
        </w:rPr>
        <w:footnoteRef/>
      </w:r>
      <w:r>
        <w:t xml:space="preserve"> C</w:t>
      </w:r>
      <w:r w:rsidRPr="00854A65">
        <w:t xml:space="preserve"> Rule, </w:t>
      </w:r>
      <w:r>
        <w:t>2012, Quantifying the economic benefits of effective redress: Large e-commerce data sets and the cost-benefit case for i</w:t>
      </w:r>
      <w:r w:rsidRPr="00D3365F">
        <w:t xml:space="preserve">nvesting in </w:t>
      </w:r>
      <w:r>
        <w:t xml:space="preserve">dispute resolution, </w:t>
      </w:r>
      <w:r w:rsidRPr="00D3365F">
        <w:rPr>
          <w:i/>
        </w:rPr>
        <w:t>University of Arkansas at Little Rock Law Review</w:t>
      </w:r>
      <w:r>
        <w:t xml:space="preserve"> </w:t>
      </w:r>
      <w:r w:rsidRPr="00854A65">
        <w:t>34</w:t>
      </w:r>
      <w:r>
        <w:t>(4):6</w:t>
      </w:r>
      <w:r w:rsidRPr="00854A65">
        <w:t xml:space="preserve">. </w:t>
      </w:r>
    </w:p>
  </w:footnote>
  <w:footnote w:id="201">
    <w:p w14:paraId="2B792043" w14:textId="62FC7E58" w:rsidR="00D82918" w:rsidRPr="00854A65" w:rsidRDefault="00D82918" w:rsidP="00BE71E3">
      <w:pPr>
        <w:pStyle w:val="FootnoteText"/>
      </w:pPr>
      <w:r w:rsidRPr="00854A65">
        <w:rPr>
          <w:rStyle w:val="FootnoteReference"/>
        </w:rPr>
        <w:footnoteRef/>
      </w:r>
      <w:r>
        <w:t xml:space="preserve"> N</w:t>
      </w:r>
      <w:r w:rsidRPr="00854A65">
        <w:t xml:space="preserve"> Gonzales-Martin,</w:t>
      </w:r>
      <w:r>
        <w:t xml:space="preserve"> 2015,</w:t>
      </w:r>
      <w:r w:rsidRPr="00854A65">
        <w:t xml:space="preserve"> in</w:t>
      </w:r>
      <w:r>
        <w:t xml:space="preserve"> C Esplugues Mota and L</w:t>
      </w:r>
      <w:r w:rsidRPr="00854A65">
        <w:t xml:space="preserve"> Marquis</w:t>
      </w:r>
      <w:r>
        <w:t xml:space="preserve"> (eds.),</w:t>
      </w:r>
      <w:r w:rsidRPr="00854A65">
        <w:t xml:space="preserve"> </w:t>
      </w:r>
      <w:r w:rsidRPr="00854A65">
        <w:rPr>
          <w:i/>
        </w:rPr>
        <w:t>New Developments in</w:t>
      </w:r>
      <w:r>
        <w:rPr>
          <w:i/>
        </w:rPr>
        <w:t xml:space="preserve"> Civil and Commercial Mediation</w:t>
      </w:r>
      <w:r w:rsidRPr="00854A65">
        <w:t xml:space="preserve">. </w:t>
      </w:r>
    </w:p>
  </w:footnote>
  <w:footnote w:id="202">
    <w:p w14:paraId="60D77FAE" w14:textId="2797B0E5" w:rsidR="00D82918" w:rsidRPr="00854A65" w:rsidRDefault="00D82918" w:rsidP="00BE71E3">
      <w:pPr>
        <w:pStyle w:val="FootnoteText"/>
        <w:rPr>
          <w:i/>
        </w:rPr>
      </w:pPr>
      <w:r w:rsidRPr="00854A65">
        <w:rPr>
          <w:rStyle w:val="FootnoteReference"/>
        </w:rPr>
        <w:footnoteRef/>
      </w:r>
      <w:r>
        <w:t xml:space="preserve"> </w:t>
      </w:r>
      <w:r w:rsidRPr="00854A65">
        <w:t>E</w:t>
      </w:r>
      <w:r>
        <w:t>uropean Commission Daily News, press r</w:t>
      </w:r>
      <w:r w:rsidRPr="00854A65">
        <w:t>elease</w:t>
      </w:r>
      <w:r>
        <w:t xml:space="preserve"> 8 </w:t>
      </w:r>
      <w:r w:rsidRPr="00854A65">
        <w:t>January 2016</w:t>
      </w:r>
      <w:r>
        <w:t xml:space="preserve"> and 15 </w:t>
      </w:r>
      <w:r w:rsidRPr="00854A65">
        <w:t>February 2016</w:t>
      </w:r>
      <w:r w:rsidRPr="00854A65">
        <w:rPr>
          <w:i/>
        </w:rPr>
        <w:t>.</w:t>
      </w:r>
    </w:p>
  </w:footnote>
  <w:footnote w:id="203">
    <w:p w14:paraId="464A3224" w14:textId="27B950F7" w:rsidR="00D82918" w:rsidRPr="00854A65" w:rsidRDefault="00D82918" w:rsidP="00BE71E3">
      <w:pPr>
        <w:pStyle w:val="FootnoteText"/>
        <w:rPr>
          <w:rFonts w:cstheme="minorHAnsi"/>
          <w:i/>
          <w:iCs/>
        </w:rPr>
      </w:pPr>
      <w:r w:rsidRPr="00854A65">
        <w:rPr>
          <w:rStyle w:val="FootnoteReference"/>
          <w:rFonts w:cstheme="minorHAnsi"/>
        </w:rPr>
        <w:footnoteRef/>
      </w:r>
      <w:r>
        <w:rPr>
          <w:rFonts w:cstheme="minorHAnsi"/>
        </w:rPr>
        <w:t xml:space="preserve"> </w:t>
      </w:r>
      <w:r w:rsidRPr="00854A65">
        <w:rPr>
          <w:rFonts w:cstheme="minorHAnsi"/>
        </w:rPr>
        <w:t>OECD, 2007</w:t>
      </w:r>
      <w:r>
        <w:rPr>
          <w:rFonts w:cstheme="minorHAnsi"/>
        </w:rPr>
        <w:t>,</w:t>
      </w:r>
      <w:r w:rsidRPr="00854A65">
        <w:rPr>
          <w:rFonts w:cstheme="minorHAnsi"/>
        </w:rPr>
        <w:t xml:space="preserve"> </w:t>
      </w:r>
      <w:r w:rsidRPr="00D3365F">
        <w:rPr>
          <w:rFonts w:cstheme="minorHAnsi"/>
          <w:iCs/>
        </w:rPr>
        <w:t>op. cit.</w:t>
      </w:r>
    </w:p>
  </w:footnote>
  <w:footnote w:id="204">
    <w:p w14:paraId="2772798E" w14:textId="362E0121" w:rsidR="00D82918" w:rsidRPr="00854A65" w:rsidRDefault="00D82918" w:rsidP="0017760A">
      <w:pPr>
        <w:pStyle w:val="FootnoteText"/>
        <w:jc w:val="left"/>
      </w:pPr>
      <w:r w:rsidRPr="00854A65">
        <w:rPr>
          <w:rStyle w:val="FootnoteReference"/>
        </w:rPr>
        <w:footnoteRef/>
      </w:r>
      <w:r>
        <w:t xml:space="preserve"> </w:t>
      </w:r>
      <w:hyperlink r:id="rId34" w:history="1">
        <w:r w:rsidRPr="00854A65">
          <w:rPr>
            <w:rStyle w:val="Hyperlink"/>
            <w:rFonts w:ascii="Calibri" w:hAnsi="Calibri"/>
          </w:rPr>
          <w:t>http://www.thisismoney.co.uk/money/news/article-3181723/PPI-bill-soars-27bn-scandal-costs-banks-1-000-family-Britain.html</w:t>
        </w:r>
      </w:hyperlink>
      <w:r w:rsidRPr="00854A65">
        <w:rPr>
          <w:rFonts w:ascii="Calibri" w:hAnsi="Calibri"/>
        </w:rPr>
        <w:t xml:space="preserve">; </w:t>
      </w:r>
      <w:r>
        <w:rPr>
          <w:rFonts w:ascii="Calibri" w:hAnsi="Calibri" w:cs="Calibri"/>
        </w:rPr>
        <w:t>D</w:t>
      </w:r>
      <w:r w:rsidRPr="00854A65">
        <w:rPr>
          <w:rFonts w:ascii="Calibri" w:hAnsi="Calibri" w:cs="Calibri"/>
        </w:rPr>
        <w:t xml:space="preserve"> Lindley,</w:t>
      </w:r>
      <w:r>
        <w:rPr>
          <w:rFonts w:ascii="Calibri" w:hAnsi="Calibri" w:cs="Calibri"/>
        </w:rPr>
        <w:t xml:space="preserve"> 2014,</w:t>
      </w:r>
      <w:r w:rsidRPr="00854A65">
        <w:rPr>
          <w:rFonts w:ascii="Calibri" w:hAnsi="Calibri" w:cs="Calibri"/>
        </w:rPr>
        <w:t xml:space="preserve"> </w:t>
      </w:r>
      <w:r>
        <w:rPr>
          <w:rFonts w:ascii="Calibri" w:hAnsi="Calibri" w:cs="Calibri"/>
          <w:i/>
        </w:rPr>
        <w:t>Risky Business: The Case for Reform of Sales Incentives Schemes in B</w:t>
      </w:r>
      <w:r w:rsidRPr="00854A65">
        <w:rPr>
          <w:rFonts w:ascii="Calibri" w:hAnsi="Calibri" w:cs="Calibri"/>
          <w:i/>
        </w:rPr>
        <w:t>anks.</w:t>
      </w:r>
    </w:p>
  </w:footnote>
  <w:footnote w:id="205">
    <w:p w14:paraId="6DADF455" w14:textId="1CCC5FDB" w:rsidR="00D82918" w:rsidRPr="00854A65" w:rsidRDefault="00D82918" w:rsidP="00BE71E3">
      <w:pPr>
        <w:pStyle w:val="FootnoteText"/>
      </w:pPr>
      <w:r w:rsidRPr="00854A65">
        <w:rPr>
          <w:rStyle w:val="FootnoteReference"/>
        </w:rPr>
        <w:footnoteRef/>
      </w:r>
      <w:r>
        <w:t xml:space="preserve"> </w:t>
      </w:r>
      <w:r w:rsidRPr="00854A65">
        <w:t xml:space="preserve">Financial System Mediator, </w:t>
      </w:r>
      <w:r>
        <w:rPr>
          <w:i/>
        </w:rPr>
        <w:t>Annual Report 2013</w:t>
      </w:r>
      <w:r w:rsidRPr="00854A65">
        <w:rPr>
          <w:i/>
        </w:rPr>
        <w:t xml:space="preserve"> </w:t>
      </w:r>
      <w:r>
        <w:t>(</w:t>
      </w:r>
      <w:r w:rsidRPr="00854A65">
        <w:t>Yerevan</w:t>
      </w:r>
      <w:r>
        <w:t>,</w:t>
      </w:r>
      <w:r w:rsidRPr="00854A65">
        <w:t xml:space="preserve"> Armenia</w:t>
      </w:r>
      <w:r>
        <w:t>)</w:t>
      </w:r>
      <w:r w:rsidRPr="00854A65">
        <w:t>.</w:t>
      </w:r>
    </w:p>
  </w:footnote>
  <w:footnote w:id="206">
    <w:p w14:paraId="4583401D" w14:textId="6DC3E5D4" w:rsidR="00D82918" w:rsidRPr="00854A65" w:rsidRDefault="00D82918" w:rsidP="00BE71E3">
      <w:pPr>
        <w:pStyle w:val="FootnoteText"/>
      </w:pPr>
      <w:r w:rsidRPr="00854A65">
        <w:rPr>
          <w:rStyle w:val="FootnoteReference"/>
        </w:rPr>
        <w:footnoteRef/>
      </w:r>
      <w:r>
        <w:rPr>
          <w:rFonts w:ascii="Calibri" w:hAnsi="Calibri" w:cs="Calibri"/>
          <w:bCs/>
        </w:rPr>
        <w:t xml:space="preserve"> </w:t>
      </w:r>
      <w:r w:rsidRPr="00854A65">
        <w:rPr>
          <w:rFonts w:ascii="Calibri" w:hAnsi="Calibri" w:cs="Calibri"/>
          <w:bCs/>
        </w:rPr>
        <w:t xml:space="preserve">Strictly speaking </w:t>
      </w:r>
      <w:r w:rsidRPr="00854A65">
        <w:rPr>
          <w:rFonts w:ascii="Calibri" w:hAnsi="Calibri" w:cs="Calibri"/>
          <w:bCs/>
          <w:iCs/>
        </w:rPr>
        <w:t>this is not “a principle of equivalence</w:t>
      </w:r>
      <w:r>
        <w:rPr>
          <w:rFonts w:ascii="Calibri" w:hAnsi="Calibri" w:cs="Calibri"/>
          <w:bCs/>
          <w:iCs/>
        </w:rPr>
        <w:t>”</w:t>
      </w:r>
      <w:r w:rsidRPr="00854A65">
        <w:rPr>
          <w:rFonts w:ascii="Calibri" w:hAnsi="Calibri" w:cs="Calibri"/>
          <w:bCs/>
          <w:i/>
        </w:rPr>
        <w:t>,</w:t>
      </w:r>
      <w:r w:rsidRPr="00854A65">
        <w:rPr>
          <w:rFonts w:ascii="Calibri" w:hAnsi="Calibri" w:cs="Calibri"/>
          <w:bCs/>
          <w:iCs/>
        </w:rPr>
        <w:t xml:space="preserve"> </w:t>
      </w:r>
      <w:r>
        <w:rPr>
          <w:rFonts w:ascii="Calibri" w:hAnsi="Calibri"/>
        </w:rPr>
        <w:t>as</w:t>
      </w:r>
      <w:r w:rsidRPr="00854A65">
        <w:rPr>
          <w:rFonts w:ascii="Calibri" w:hAnsi="Calibri"/>
        </w:rPr>
        <w:t xml:space="preserve"> in both </w:t>
      </w:r>
      <w:r>
        <w:rPr>
          <w:rFonts w:ascii="Calibri" w:hAnsi="Calibri" w:cs="Calibri"/>
          <w:bCs/>
        </w:rPr>
        <w:t>g</w:t>
      </w:r>
      <w:r w:rsidRPr="00854A65">
        <w:rPr>
          <w:rFonts w:ascii="Calibri" w:hAnsi="Calibri" w:cs="Calibri"/>
          <w:bCs/>
        </w:rPr>
        <w:t>uidelines</w:t>
      </w:r>
      <w:r w:rsidRPr="00854A65">
        <w:rPr>
          <w:rFonts w:ascii="Calibri" w:hAnsi="Calibri"/>
        </w:rPr>
        <w:t xml:space="preserve"> the wording only requires that </w:t>
      </w:r>
      <w:r>
        <w:rPr>
          <w:rFonts w:ascii="Calibri" w:hAnsi="Calibri"/>
        </w:rPr>
        <w:t xml:space="preserve">consumer protection </w:t>
      </w:r>
      <w:r w:rsidRPr="00854A65">
        <w:rPr>
          <w:rFonts w:ascii="Calibri" w:hAnsi="Calibri"/>
        </w:rPr>
        <w:t xml:space="preserve">as enjoyed by e-commerce </w:t>
      </w:r>
      <w:r>
        <w:rPr>
          <w:rFonts w:ascii="Calibri" w:hAnsi="Calibri"/>
        </w:rPr>
        <w:t xml:space="preserve">consumers </w:t>
      </w:r>
      <w:r w:rsidRPr="00854A65">
        <w:rPr>
          <w:rFonts w:ascii="Calibri" w:hAnsi="Calibri"/>
        </w:rPr>
        <w:t>should be</w:t>
      </w:r>
      <w:r w:rsidRPr="00854A65">
        <w:rPr>
          <w:rFonts w:ascii="Calibri" w:hAnsi="Calibri" w:cs="Calibri"/>
          <w:bCs/>
          <w:i/>
        </w:rPr>
        <w:t xml:space="preserve"> </w:t>
      </w:r>
      <w:r>
        <w:rPr>
          <w:rFonts w:ascii="Calibri" w:hAnsi="Calibri" w:cs="Calibri"/>
          <w:bCs/>
        </w:rPr>
        <w:t>“</w:t>
      </w:r>
      <w:r w:rsidRPr="00854A65">
        <w:rPr>
          <w:rFonts w:ascii="Calibri" w:hAnsi="Calibri" w:cs="Calibri"/>
          <w:bCs/>
        </w:rPr>
        <w:t>not less than that affo</w:t>
      </w:r>
      <w:r>
        <w:rPr>
          <w:rFonts w:ascii="Calibri" w:hAnsi="Calibri" w:cs="Calibri"/>
          <w:bCs/>
        </w:rPr>
        <w:t>rded in other forms of commerce”</w:t>
      </w:r>
      <w:r w:rsidRPr="00854A65">
        <w:rPr>
          <w:rFonts w:ascii="Calibri" w:hAnsi="Calibri" w:cs="Calibri"/>
          <w:bCs/>
        </w:rPr>
        <w:t xml:space="preserve"> and does not specify the converse. Whether this is used to justify discrimination against other forms of commerce in future years is too early to tell.</w:t>
      </w:r>
    </w:p>
  </w:footnote>
  <w:footnote w:id="207">
    <w:p w14:paraId="573F6D47" w14:textId="59DC36DD"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 xml:space="preserve">OECD, </w:t>
      </w:r>
      <w:r>
        <w:rPr>
          <w:rFonts w:ascii="Calibri" w:hAnsi="Calibri" w:cs="Calibri"/>
        </w:rPr>
        <w:t xml:space="preserve">2016, </w:t>
      </w:r>
      <w:r w:rsidRPr="00854A65">
        <w:rPr>
          <w:rFonts w:ascii="Calibri" w:hAnsi="Calibri"/>
          <w:i/>
        </w:rPr>
        <w:t>Consumer Protection in E-commerce: OECD Recommendation</w:t>
      </w:r>
      <w:r w:rsidRPr="00854A65">
        <w:rPr>
          <w:rFonts w:ascii="Calibri" w:hAnsi="Calibri" w:cs="Calibri"/>
        </w:rPr>
        <w:t>.</w:t>
      </w:r>
    </w:p>
  </w:footnote>
  <w:footnote w:id="208">
    <w:p w14:paraId="37502758" w14:textId="415321BA" w:rsidR="00D82918" w:rsidRPr="00854A65" w:rsidRDefault="00D82918" w:rsidP="00BE71E3">
      <w:pPr>
        <w:pStyle w:val="FootnoteText"/>
      </w:pPr>
      <w:r w:rsidRPr="00854A65">
        <w:rPr>
          <w:rStyle w:val="FootnoteReference"/>
        </w:rPr>
        <w:footnoteRef/>
      </w:r>
      <w:r>
        <w:rPr>
          <w:rFonts w:ascii="Calibri" w:hAnsi="Calibri" w:cs="Calibri"/>
        </w:rPr>
        <w:t xml:space="preserve"> </w:t>
      </w:r>
      <w:r w:rsidRPr="00854A65">
        <w:rPr>
          <w:rFonts w:ascii="Calibri" w:hAnsi="Calibri" w:cs="Calibri"/>
        </w:rPr>
        <w:t>The OECD def</w:t>
      </w:r>
      <w:r>
        <w:rPr>
          <w:rFonts w:ascii="Calibri" w:hAnsi="Calibri" w:cs="Calibri"/>
        </w:rPr>
        <w:t>ines e-commerce transactions as “</w:t>
      </w:r>
      <w:r w:rsidRPr="00854A65">
        <w:rPr>
          <w:rFonts w:ascii="Calibri" w:hAnsi="Calibri" w:cs="Calibri"/>
        </w:rPr>
        <w:t>the sale or purchase of goods or services, conducted over computer networks by methods specifically designed for the purpose of receiving or placing of orders. The goods or services are ordered by those methods, but the payment and the ultimate delivery of the goods or services do not have to be conducted online. An e-commerce transaction can be between enterpr</w:t>
      </w:r>
      <w:r>
        <w:rPr>
          <w:rFonts w:ascii="Calibri" w:hAnsi="Calibri" w:cs="Calibri"/>
        </w:rPr>
        <w:t>ises, households, individuals, governments</w:t>
      </w:r>
      <w:r w:rsidRPr="00854A65">
        <w:rPr>
          <w:rFonts w:ascii="Calibri" w:hAnsi="Calibri" w:cs="Calibri"/>
        </w:rPr>
        <w:t xml:space="preserve"> and other public or private organizations. To be included are orders made over the web, extranet or electronic data interchange. The type is defined by the method of placing the order. To be excluded are orders made by telephone calls, facsimile or manually typed e-mail</w:t>
      </w:r>
      <w:r>
        <w:rPr>
          <w:rFonts w:ascii="Calibri" w:hAnsi="Calibri" w:cs="Calibri"/>
        </w:rPr>
        <w:t xml:space="preserve">” (OECD, 2011, </w:t>
      </w:r>
      <w:r w:rsidRPr="00854A65">
        <w:rPr>
          <w:rFonts w:ascii="Calibri" w:hAnsi="Calibri" w:cs="Calibri"/>
          <w:i/>
        </w:rPr>
        <w:t>Guide to me</w:t>
      </w:r>
      <w:r>
        <w:rPr>
          <w:rFonts w:ascii="Calibri" w:hAnsi="Calibri" w:cs="Calibri"/>
          <w:i/>
        </w:rPr>
        <w:t>asuring the Information Society</w:t>
      </w:r>
      <w:r>
        <w:rPr>
          <w:rFonts w:ascii="Calibri" w:hAnsi="Calibri" w:cs="Calibri"/>
        </w:rPr>
        <w:t xml:space="preserve">, available at </w:t>
      </w:r>
      <w:hyperlink r:id="rId35" w:history="1">
        <w:r w:rsidRPr="00854A65">
          <w:rPr>
            <w:rStyle w:val="Hyperlink"/>
            <w:rFonts w:ascii="Calibri" w:hAnsi="Calibri" w:cs="Calibri"/>
          </w:rPr>
          <w:t>https://stats.oecd.org/glossary/detail.asp?ID=4721</w:t>
        </w:r>
      </w:hyperlink>
      <w:r>
        <w:rPr>
          <w:rFonts w:ascii="Calibri" w:hAnsi="Calibri" w:cs="Calibri"/>
        </w:rPr>
        <w:t>).</w:t>
      </w:r>
    </w:p>
  </w:footnote>
  <w:footnote w:id="209">
    <w:p w14:paraId="190219B0" w14:textId="4990E44E" w:rsidR="00D82918" w:rsidRPr="00854A65" w:rsidRDefault="00D82918" w:rsidP="00BE71E3">
      <w:pPr>
        <w:pStyle w:val="FootnoteText"/>
      </w:pPr>
      <w:r w:rsidRPr="00854A65">
        <w:rPr>
          <w:rStyle w:val="FootnoteReference"/>
        </w:rPr>
        <w:footnoteRef/>
      </w:r>
      <w:r>
        <w:rPr>
          <w:rFonts w:ascii="Calibri" w:hAnsi="Calibri" w:cs="Calibri"/>
        </w:rPr>
        <w:t xml:space="preserve"> </w:t>
      </w:r>
      <w:r w:rsidRPr="00854A65">
        <w:rPr>
          <w:rFonts w:ascii="Calibri" w:hAnsi="Calibri" w:cs="Calibri"/>
        </w:rPr>
        <w:t xml:space="preserve">Phishing emails </w:t>
      </w:r>
      <w:r w:rsidRPr="00854A65">
        <w:rPr>
          <w:rStyle w:val="tgc"/>
          <w:rFonts w:ascii="Calibri" w:hAnsi="Calibri"/>
        </w:rPr>
        <w:t>typically direct the user to visit a website where they are asked to update personal information, such as</w:t>
      </w:r>
      <w:r>
        <w:rPr>
          <w:rStyle w:val="tgc"/>
          <w:rFonts w:ascii="Calibri" w:hAnsi="Calibri"/>
        </w:rPr>
        <w:t xml:space="preserve"> passwords, credit card details and</w:t>
      </w:r>
      <w:r w:rsidRPr="00854A65">
        <w:rPr>
          <w:rStyle w:val="tgc"/>
          <w:rFonts w:ascii="Calibri" w:hAnsi="Calibri"/>
        </w:rPr>
        <w:t xml:space="preserve"> bank account numbers, in effect impersonating a legitimate organization that already has such data.</w:t>
      </w:r>
    </w:p>
  </w:footnote>
  <w:footnote w:id="210">
    <w:p w14:paraId="00A029B1" w14:textId="015ED4CE"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For more on the regulation of this</w:t>
      </w:r>
      <w:r>
        <w:rPr>
          <w:rFonts w:ascii="Calibri" w:hAnsi="Calibri" w:cs="Calibri"/>
        </w:rPr>
        <w:t xml:space="preserve"> form of commerce, see C</w:t>
      </w:r>
      <w:r w:rsidRPr="00854A65">
        <w:rPr>
          <w:rFonts w:ascii="Calibri" w:hAnsi="Calibri" w:cs="Calibri"/>
        </w:rPr>
        <w:t xml:space="preserve"> Riefa,</w:t>
      </w:r>
      <w:r>
        <w:rPr>
          <w:rFonts w:ascii="Calibri" w:hAnsi="Calibri" w:cs="Calibri"/>
        </w:rPr>
        <w:t xml:space="preserve"> 2015,</w:t>
      </w:r>
      <w:r w:rsidRPr="00854A65">
        <w:rPr>
          <w:rFonts w:ascii="Calibri" w:hAnsi="Calibri" w:cs="Calibri"/>
        </w:rPr>
        <w:t xml:space="preserve"> </w:t>
      </w:r>
      <w:r w:rsidRPr="00854A65">
        <w:rPr>
          <w:rFonts w:ascii="Calibri" w:hAnsi="Calibri"/>
          <w:i/>
        </w:rPr>
        <w:t>Consumer Protectio</w:t>
      </w:r>
      <w:r>
        <w:rPr>
          <w:rFonts w:ascii="Calibri" w:hAnsi="Calibri"/>
          <w:i/>
        </w:rPr>
        <w:t>n and Online Auction Platforms:</w:t>
      </w:r>
      <w:r w:rsidRPr="00854A65">
        <w:rPr>
          <w:rFonts w:ascii="Calibri" w:hAnsi="Calibri"/>
          <w:i/>
        </w:rPr>
        <w:t xml:space="preserve"> </w:t>
      </w:r>
      <w:r>
        <w:rPr>
          <w:rFonts w:ascii="Calibri" w:hAnsi="Calibri"/>
          <w:i/>
        </w:rPr>
        <w:t>Towards a Safer Legal Framework</w:t>
      </w:r>
      <w:r w:rsidRPr="00854A65">
        <w:rPr>
          <w:rFonts w:ascii="Calibri" w:hAnsi="Calibri"/>
          <w:i/>
        </w:rPr>
        <w:t xml:space="preserve"> </w:t>
      </w:r>
      <w:r>
        <w:rPr>
          <w:rFonts w:ascii="Calibri" w:hAnsi="Calibri"/>
        </w:rPr>
        <w:t>(</w:t>
      </w:r>
      <w:r w:rsidRPr="00854A65">
        <w:rPr>
          <w:rFonts w:ascii="Calibri" w:hAnsi="Calibri" w:cs="Calibri"/>
        </w:rPr>
        <w:t>Ashgate/Routledge</w:t>
      </w:r>
      <w:r>
        <w:rPr>
          <w:rFonts w:ascii="Calibri" w:hAnsi="Calibri" w:cs="Calibri"/>
        </w:rPr>
        <w:t>)</w:t>
      </w:r>
      <w:r w:rsidRPr="00854A65">
        <w:rPr>
          <w:rFonts w:ascii="Calibri" w:hAnsi="Calibri" w:cs="Calibri"/>
        </w:rPr>
        <w:t>.</w:t>
      </w:r>
    </w:p>
  </w:footnote>
  <w:footnote w:id="211">
    <w:p w14:paraId="1B6C19FC" w14:textId="5038B926"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 xml:space="preserve">For more on the </w:t>
      </w:r>
      <w:r>
        <w:rPr>
          <w:rFonts w:ascii="Calibri" w:hAnsi="Calibri" w:cs="Calibri"/>
        </w:rPr>
        <w:t>role of platforms in e-</w:t>
      </w:r>
      <w:r w:rsidRPr="00854A65">
        <w:rPr>
          <w:rFonts w:ascii="Calibri" w:hAnsi="Calibri" w:cs="Calibri"/>
        </w:rPr>
        <w:t>commerce and the l</w:t>
      </w:r>
      <w:r>
        <w:rPr>
          <w:rFonts w:ascii="Calibri" w:hAnsi="Calibri" w:cs="Calibri"/>
        </w:rPr>
        <w:t>atest trends, see special issue on</w:t>
      </w:r>
      <w:r w:rsidRPr="00854A65">
        <w:rPr>
          <w:rFonts w:ascii="Calibri" w:hAnsi="Calibri" w:cs="Calibri"/>
        </w:rPr>
        <w:t xml:space="preserve"> </w:t>
      </w:r>
      <w:r>
        <w:rPr>
          <w:rFonts w:ascii="Calibri" w:hAnsi="Calibri" w:cs="Calibri"/>
        </w:rPr>
        <w:t>“</w:t>
      </w:r>
      <w:r w:rsidRPr="00D3365F">
        <w:rPr>
          <w:rFonts w:ascii="Calibri" w:hAnsi="Calibri"/>
        </w:rPr>
        <w:t>The Rise of the Platform Economy</w:t>
      </w:r>
      <w:r>
        <w:rPr>
          <w:rFonts w:ascii="Calibri" w:hAnsi="Calibri"/>
        </w:rPr>
        <w:t>”</w:t>
      </w:r>
      <w:r w:rsidRPr="00854A65">
        <w:rPr>
          <w:rFonts w:ascii="Calibri" w:hAnsi="Calibri" w:cs="Calibri"/>
        </w:rPr>
        <w:t xml:space="preserve">, </w:t>
      </w:r>
      <w:r w:rsidRPr="005E5308">
        <w:rPr>
          <w:rFonts w:ascii="Calibri" w:hAnsi="Calibri" w:cs="Calibri"/>
          <w:i/>
        </w:rPr>
        <w:t>Journal of European Consumer and Market Law</w:t>
      </w:r>
      <w:r w:rsidRPr="00854A65">
        <w:rPr>
          <w:rFonts w:ascii="Calibri" w:hAnsi="Calibri" w:cs="Calibri"/>
        </w:rPr>
        <w:t>, 5</w:t>
      </w:r>
      <w:r>
        <w:rPr>
          <w:rFonts w:ascii="Calibri" w:hAnsi="Calibri" w:cs="Calibri"/>
        </w:rPr>
        <w:t>(1):1‒</w:t>
      </w:r>
      <w:r w:rsidRPr="00854A65">
        <w:rPr>
          <w:rFonts w:ascii="Calibri" w:hAnsi="Calibri" w:cs="Calibri"/>
        </w:rPr>
        <w:t>72</w:t>
      </w:r>
      <w:r>
        <w:rPr>
          <w:rFonts w:ascii="Calibri" w:hAnsi="Calibri" w:cs="Calibri"/>
        </w:rPr>
        <w:t>.</w:t>
      </w:r>
    </w:p>
  </w:footnote>
  <w:footnote w:id="212">
    <w:p w14:paraId="1D2D923F" w14:textId="285A821C"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sidRPr="00854A65">
        <w:rPr>
          <w:rFonts w:ascii="Calibri" w:hAnsi="Calibri" w:cs="Calibri"/>
        </w:rPr>
        <w:t xml:space="preserve"> </w:t>
      </w:r>
      <w:hyperlink r:id="rId36" w:history="1">
        <w:r w:rsidRPr="00F3283D">
          <w:rPr>
            <w:rStyle w:val="Hyperlink"/>
            <w:rFonts w:ascii="Calibri" w:hAnsi="Calibri" w:cs="Calibri"/>
          </w:rPr>
          <w:t>http://www.internetlivestats.com/internet-users/</w:t>
        </w:r>
      </w:hyperlink>
      <w:r>
        <w:rPr>
          <w:rFonts w:ascii="Calibri" w:hAnsi="Calibri" w:cs="Calibri"/>
        </w:rPr>
        <w:t xml:space="preserve"> </w:t>
      </w:r>
    </w:p>
  </w:footnote>
  <w:footnote w:id="213">
    <w:p w14:paraId="7850349E" w14:textId="5152C1D6" w:rsidR="00D82918" w:rsidRPr="00854A65" w:rsidRDefault="00D82918" w:rsidP="00BE71E3">
      <w:pPr>
        <w:pStyle w:val="FootnoteText"/>
        <w:rPr>
          <w:rFonts w:asciiTheme="majorHAnsi" w:hAnsiTheme="majorHAnsi"/>
        </w:rPr>
      </w:pPr>
      <w:r w:rsidRPr="00854A65">
        <w:rPr>
          <w:rStyle w:val="FootnoteReference"/>
        </w:rPr>
        <w:footnoteRef/>
      </w:r>
      <w:r>
        <w:rPr>
          <w:rFonts w:ascii="Calibri" w:hAnsi="Calibri" w:cs="Calibri"/>
        </w:rPr>
        <w:t xml:space="preserve"> </w:t>
      </w:r>
      <w:r w:rsidRPr="00854A65">
        <w:rPr>
          <w:rFonts w:ascii="Calibri" w:hAnsi="Calibri" w:cs="Calibri"/>
        </w:rPr>
        <w:t xml:space="preserve">UNCTAD, </w:t>
      </w:r>
      <w:r>
        <w:rPr>
          <w:rFonts w:ascii="Calibri" w:hAnsi="Calibri" w:cs="Calibri"/>
        </w:rPr>
        <w:t xml:space="preserve">2015, </w:t>
      </w:r>
      <w:r w:rsidRPr="00854A65">
        <w:rPr>
          <w:rFonts w:ascii="Calibri" w:hAnsi="Calibri"/>
          <w:i/>
        </w:rPr>
        <w:t>Information Economy Report</w:t>
      </w:r>
      <w:r>
        <w:rPr>
          <w:rFonts w:ascii="Calibri" w:hAnsi="Calibri" w:cs="Calibri"/>
        </w:rPr>
        <w:t>:</w:t>
      </w:r>
      <w:r w:rsidRPr="00854A65">
        <w:rPr>
          <w:rFonts w:ascii="Calibri" w:hAnsi="Calibri"/>
          <w:i/>
        </w:rPr>
        <w:t xml:space="preserve"> </w:t>
      </w:r>
      <w:r>
        <w:rPr>
          <w:rFonts w:ascii="Calibri" w:hAnsi="Calibri" w:cs="Calibri"/>
          <w:i/>
        </w:rPr>
        <w:t>Unlocking the Potential of E-commerce for Developing C</w:t>
      </w:r>
      <w:r w:rsidRPr="00854A65">
        <w:rPr>
          <w:rFonts w:ascii="Calibri" w:hAnsi="Calibri" w:cs="Calibri"/>
          <w:i/>
        </w:rPr>
        <w:t>ountries</w:t>
      </w:r>
      <w:r w:rsidRPr="00854A65">
        <w:rPr>
          <w:rFonts w:ascii="Calibri" w:hAnsi="Calibri" w:cs="Calibri"/>
        </w:rPr>
        <w:t>.</w:t>
      </w:r>
    </w:p>
  </w:footnote>
  <w:footnote w:id="214">
    <w:p w14:paraId="37FF7CA9" w14:textId="448CFBAA"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t xml:space="preserve"> </w:t>
      </w:r>
      <w:hyperlink r:id="rId37" w:history="1">
        <w:r w:rsidRPr="00854A65">
          <w:rPr>
            <w:rStyle w:val="Hyperlink"/>
            <w:rFonts w:ascii="Calibri" w:hAnsi="Calibri"/>
            <w:color w:val="auto"/>
            <w:u w:val="none"/>
          </w:rPr>
          <w:t>http://www.statista.com/markets/413/e-commerce/</w:t>
        </w:r>
      </w:hyperlink>
      <w:r w:rsidRPr="00854A65">
        <w:rPr>
          <w:rFonts w:ascii="Calibri" w:hAnsi="Calibri" w:cs="Calibri"/>
        </w:rPr>
        <w:t>.</w:t>
      </w:r>
      <w:r>
        <w:rPr>
          <w:rFonts w:ascii="Calibri" w:hAnsi="Calibri" w:cs="Calibri"/>
        </w:rPr>
        <w:t xml:space="preserve"> </w:t>
      </w:r>
    </w:p>
  </w:footnote>
  <w:footnote w:id="215">
    <w:p w14:paraId="5F5E26CD" w14:textId="38F146CA" w:rsidR="00D82918" w:rsidRPr="00854A65" w:rsidRDefault="00D82918" w:rsidP="000831DA">
      <w:pPr>
        <w:pStyle w:val="FootnoteText"/>
        <w:tabs>
          <w:tab w:val="left" w:pos="142"/>
          <w:tab w:val="left" w:pos="1276"/>
          <w:tab w:val="left" w:pos="3119"/>
        </w:tabs>
        <w:jc w:val="left"/>
        <w:rPr>
          <w:rFonts w:ascii="Calibri" w:hAnsi="Calibri" w:cs="Calibri"/>
        </w:rPr>
      </w:pPr>
      <w:r>
        <w:rPr>
          <w:rFonts w:ascii="Calibri" w:hAnsi="Calibri" w:cs="Calibri"/>
          <w:vertAlign w:val="superscript"/>
        </w:rPr>
        <w:t xml:space="preserve">215 </w:t>
      </w:r>
      <w:hyperlink r:id="rId38" w:history="1">
        <w:r w:rsidRPr="00F3283D">
          <w:rPr>
            <w:rStyle w:val="Hyperlink"/>
            <w:rFonts w:ascii="Calibri" w:hAnsi="Calibri" w:cs="Calibri"/>
          </w:rPr>
          <w:t>https://rjmetrics.com/resources/reports/ecommerce-buyer-behavior/?utm_source=pardot&amp;utm_medium=email&amp;utm_campaign=adr+content</w:t>
        </w:r>
      </w:hyperlink>
      <w:r>
        <w:rPr>
          <w:rFonts w:ascii="Calibri" w:hAnsi="Calibri" w:cs="Calibri"/>
        </w:rPr>
        <w:t xml:space="preserve"> </w:t>
      </w:r>
    </w:p>
  </w:footnote>
  <w:footnote w:id="216">
    <w:p w14:paraId="3A036449" w14:textId="04CAEB13" w:rsidR="00D82918" w:rsidRPr="00854A65" w:rsidRDefault="00D82918" w:rsidP="00BE71E3">
      <w:pPr>
        <w:pStyle w:val="FootnoteText"/>
      </w:pPr>
      <w:r w:rsidRPr="00854A65">
        <w:rPr>
          <w:rStyle w:val="FootnoteReference"/>
        </w:rPr>
        <w:footnoteRef/>
      </w:r>
      <w:r>
        <w:rPr>
          <w:rFonts w:ascii="Calibri" w:hAnsi="Calibri" w:cs="Calibri"/>
          <w:iCs/>
        </w:rPr>
        <w:t xml:space="preserve"> </w:t>
      </w:r>
      <w:r w:rsidRPr="00854A65">
        <w:rPr>
          <w:rFonts w:ascii="Calibri" w:hAnsi="Calibri" w:cs="Calibri"/>
          <w:iCs/>
        </w:rPr>
        <w:t>UNCTAD</w:t>
      </w:r>
      <w:r w:rsidRPr="00854A65">
        <w:rPr>
          <w:rFonts w:ascii="Calibri" w:hAnsi="Calibri" w:cs="Calibri"/>
          <w:i/>
        </w:rPr>
        <w:t xml:space="preserve">, </w:t>
      </w:r>
      <w:r>
        <w:rPr>
          <w:rFonts w:ascii="Calibri" w:hAnsi="Calibri" w:cs="Calibri"/>
        </w:rPr>
        <w:t xml:space="preserve">2015, </w:t>
      </w:r>
      <w:r w:rsidRPr="005E5308">
        <w:rPr>
          <w:rFonts w:ascii="Calibri" w:hAnsi="Calibri" w:cs="Calibri"/>
        </w:rPr>
        <w:t>op. cit.</w:t>
      </w:r>
      <w:r>
        <w:rPr>
          <w:rFonts w:ascii="Calibri" w:hAnsi="Calibri" w:cs="Calibri"/>
        </w:rPr>
        <w:t xml:space="preserve"> </w:t>
      </w:r>
    </w:p>
  </w:footnote>
  <w:footnote w:id="217">
    <w:p w14:paraId="2F2B07E2" w14:textId="1D31901C"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hyperlink r:id="rId39" w:history="1">
        <w:r w:rsidRPr="00F3283D">
          <w:rPr>
            <w:rStyle w:val="Hyperlink"/>
            <w:rFonts w:ascii="Calibri" w:hAnsi="Calibri" w:cs="Calibri"/>
          </w:rPr>
          <w:t>http://www.internetworldstats.com/stats.htm</w:t>
        </w:r>
      </w:hyperlink>
      <w:r>
        <w:rPr>
          <w:rFonts w:ascii="Calibri" w:hAnsi="Calibri" w:cs="Calibri"/>
        </w:rPr>
        <w:t xml:space="preserve"> </w:t>
      </w:r>
      <w:r w:rsidRPr="00854A65">
        <w:rPr>
          <w:rFonts w:ascii="Calibri" w:hAnsi="Calibri" w:cs="Calibri"/>
        </w:rPr>
        <w:t xml:space="preserve"> </w:t>
      </w:r>
    </w:p>
  </w:footnote>
  <w:footnote w:id="218">
    <w:p w14:paraId="20DA27E5" w14:textId="7949941F" w:rsidR="00D82918" w:rsidRPr="00854A65" w:rsidRDefault="00D82918" w:rsidP="00BE71E3">
      <w:pPr>
        <w:pStyle w:val="FootnoteText"/>
        <w:rPr>
          <w:rFonts w:ascii="Calibri" w:hAnsi="Calibri" w:cs="Calibri"/>
        </w:rPr>
      </w:pPr>
      <w:r w:rsidRPr="00854A65">
        <w:rPr>
          <w:rStyle w:val="FootnoteReference"/>
        </w:rPr>
        <w:footnoteRef/>
      </w:r>
      <w:r>
        <w:rPr>
          <w:rFonts w:ascii="Calibri" w:hAnsi="Calibri" w:cs="Calibri"/>
        </w:rPr>
        <w:t xml:space="preserve"> </w:t>
      </w:r>
      <w:r w:rsidRPr="00854A65">
        <w:rPr>
          <w:rFonts w:ascii="Calibri" w:hAnsi="Calibri" w:cs="Calibri"/>
        </w:rPr>
        <w:t xml:space="preserve">OECD, </w:t>
      </w:r>
      <w:r>
        <w:rPr>
          <w:rFonts w:ascii="Calibri" w:hAnsi="Calibri" w:cs="Calibri"/>
        </w:rPr>
        <w:t xml:space="preserve">2014, </w:t>
      </w:r>
      <w:r w:rsidRPr="00854A65">
        <w:rPr>
          <w:rFonts w:ascii="Calibri" w:hAnsi="Calibri" w:cs="Calibri"/>
          <w:i/>
        </w:rPr>
        <w:t>Empowering and Protecting Consumers in The Internet Economy on the Rise,</w:t>
      </w:r>
      <w:r w:rsidRPr="00854A65">
        <w:rPr>
          <w:rFonts w:ascii="Calibri" w:hAnsi="Calibri" w:cs="Calibri"/>
        </w:rPr>
        <w:t xml:space="preserve"> </w:t>
      </w:r>
      <w:r>
        <w:rPr>
          <w:rFonts w:ascii="Calibri" w:hAnsi="Calibri" w:cs="Calibri"/>
        </w:rPr>
        <w:t>c</w:t>
      </w:r>
      <w:r w:rsidRPr="00854A65">
        <w:rPr>
          <w:rFonts w:ascii="Calibri" w:hAnsi="Calibri" w:cs="Calibri"/>
        </w:rPr>
        <w:t>hapter 4.</w:t>
      </w:r>
    </w:p>
  </w:footnote>
  <w:footnote w:id="219">
    <w:p w14:paraId="6A22B691" w14:textId="4673E68C" w:rsidR="00D82918" w:rsidRPr="005E5308" w:rsidRDefault="00D82918" w:rsidP="005E5308">
      <w:pPr>
        <w:spacing w:after="0"/>
        <w:rPr>
          <w:rFonts w:ascii="Calibri" w:hAnsi="Calibri" w:cs="Calibri"/>
          <w:sz w:val="20"/>
          <w:szCs w:val="20"/>
        </w:rPr>
      </w:pPr>
      <w:r w:rsidRPr="00854A65">
        <w:rPr>
          <w:rStyle w:val="FootnoteReference"/>
          <w:rFonts w:ascii="Calibri" w:hAnsi="Calibri" w:cs="Calibri"/>
          <w:sz w:val="20"/>
          <w:szCs w:val="20"/>
        </w:rPr>
        <w:footnoteRef/>
      </w:r>
      <w:r>
        <w:rPr>
          <w:rFonts w:ascii="Calibri" w:hAnsi="Calibri" w:cs="Calibri"/>
          <w:sz w:val="20"/>
          <w:szCs w:val="20"/>
        </w:rPr>
        <w:t xml:space="preserve"> </w:t>
      </w:r>
      <w:r w:rsidRPr="00854A65">
        <w:rPr>
          <w:rFonts w:ascii="Calibri" w:hAnsi="Calibri" w:cs="Calibri"/>
          <w:sz w:val="20"/>
          <w:szCs w:val="20"/>
        </w:rPr>
        <w:t xml:space="preserve">UNCTAD, </w:t>
      </w:r>
      <w:r>
        <w:rPr>
          <w:rFonts w:ascii="Calibri" w:hAnsi="Calibri" w:cs="Calibri"/>
          <w:sz w:val="20"/>
          <w:szCs w:val="20"/>
        </w:rPr>
        <w:t xml:space="preserve">2016, </w:t>
      </w:r>
      <w:r w:rsidRPr="005E5308">
        <w:rPr>
          <w:rFonts w:ascii="Calibri" w:hAnsi="Calibri" w:cs="Calibri"/>
          <w:i/>
          <w:sz w:val="20"/>
          <w:szCs w:val="20"/>
        </w:rPr>
        <w:t>B2C</w:t>
      </w:r>
      <w:r w:rsidRPr="00854A65">
        <w:rPr>
          <w:rFonts w:ascii="Calibri" w:hAnsi="Calibri" w:cs="Calibri"/>
          <w:i/>
          <w:sz w:val="20"/>
          <w:szCs w:val="20"/>
        </w:rPr>
        <w:t xml:space="preserve"> E-commerce Index.</w:t>
      </w:r>
    </w:p>
  </w:footnote>
  <w:footnote w:id="220">
    <w:p w14:paraId="50C2B91C" w14:textId="5E81CDD5" w:rsidR="00D82918" w:rsidRPr="00854A65" w:rsidRDefault="00D82918" w:rsidP="004016F4">
      <w:pPr>
        <w:pStyle w:val="FootnoteText"/>
        <w:jc w:val="left"/>
      </w:pPr>
      <w:r w:rsidRPr="00854A65">
        <w:rPr>
          <w:rStyle w:val="FootnoteReference"/>
        </w:rPr>
        <w:footnoteRef/>
      </w:r>
      <w:r w:rsidRPr="00854A65">
        <w:t xml:space="preserve"> </w:t>
      </w:r>
      <w:hyperlink r:id="rId40" w:history="1">
        <w:r w:rsidRPr="00F3283D">
          <w:rPr>
            <w:rStyle w:val="Hyperlink"/>
          </w:rPr>
          <w:t>http://www.economist.com/news/leaders/21693925-battle-indias-e-commerce-market-about-much-more-retailing-india-online</w:t>
        </w:r>
      </w:hyperlink>
      <w:r>
        <w:t xml:space="preserve">. </w:t>
      </w:r>
    </w:p>
  </w:footnote>
  <w:footnote w:id="221">
    <w:p w14:paraId="5944383E" w14:textId="74B056D1" w:rsidR="00D82918" w:rsidRPr="00854A65" w:rsidRDefault="00D82918" w:rsidP="00BE71E3">
      <w:pPr>
        <w:pStyle w:val="FootnoteText"/>
      </w:pPr>
      <w:r w:rsidRPr="00854A65">
        <w:rPr>
          <w:rStyle w:val="FootnoteReference"/>
        </w:rPr>
        <w:footnoteRef/>
      </w:r>
      <w:r w:rsidRPr="00854A65">
        <w:t xml:space="preserve"> </w:t>
      </w:r>
      <w:hyperlink r:id="rId41" w:history="1">
        <w:r w:rsidRPr="00F3283D">
          <w:rPr>
            <w:rStyle w:val="Hyperlink"/>
          </w:rPr>
          <w:t>http://growwithtrellis.com/blog/top-10-ecommerce-markets-by-country/</w:t>
        </w:r>
      </w:hyperlink>
      <w:r w:rsidRPr="00854A65">
        <w:t>.</w:t>
      </w:r>
      <w:r>
        <w:t xml:space="preserve"> </w:t>
      </w:r>
    </w:p>
  </w:footnote>
  <w:footnote w:id="222">
    <w:p w14:paraId="292E90E5" w14:textId="70D6D182" w:rsidR="00D82918" w:rsidRPr="00854A65" w:rsidRDefault="00D82918" w:rsidP="00BE71E3">
      <w:pPr>
        <w:pStyle w:val="FootnoteText"/>
      </w:pPr>
      <w:r w:rsidRPr="00854A65">
        <w:rPr>
          <w:rStyle w:val="FootnoteReference"/>
        </w:rPr>
        <w:footnoteRef/>
      </w:r>
      <w:r>
        <w:t xml:space="preserve"> Y Yu and M</w:t>
      </w:r>
      <w:r w:rsidRPr="00854A65">
        <w:t xml:space="preserve"> Shen</w:t>
      </w:r>
      <w:r w:rsidRPr="00854A65">
        <w:rPr>
          <w:rFonts w:cs="Calibri"/>
        </w:rPr>
        <w:t>,</w:t>
      </w:r>
      <w:r w:rsidRPr="00854A65">
        <w:t xml:space="preserve"> </w:t>
      </w:r>
      <w:r>
        <w:t>2015, Consumer protection as the “Open Sesame” that allows Alibaba to crush the forty t</w:t>
      </w:r>
      <w:r w:rsidRPr="005E5308">
        <w:t>hieves</w:t>
      </w:r>
      <w:r w:rsidRPr="00854A65">
        <w:rPr>
          <w:rFonts w:cs="Calibri"/>
          <w:i/>
        </w:rPr>
        <w:t>,</w:t>
      </w:r>
      <w:r w:rsidRPr="00854A65">
        <w:rPr>
          <w:i/>
        </w:rPr>
        <w:t xml:space="preserve"> </w:t>
      </w:r>
      <w:r w:rsidRPr="005E5308">
        <w:rPr>
          <w:i/>
        </w:rPr>
        <w:t>Journal of Antitrust Enforcement</w:t>
      </w:r>
      <w:r>
        <w:rPr>
          <w:i/>
        </w:rPr>
        <w:t xml:space="preserve"> </w:t>
      </w:r>
      <w:r>
        <w:t>3(i</w:t>
      </w:r>
      <w:r w:rsidRPr="005E5308">
        <w:t>ssue suppl_1</w:t>
      </w:r>
      <w:r>
        <w:t>):</w:t>
      </w:r>
      <w:r w:rsidRPr="005E5308">
        <w:t xml:space="preserve"> i228–i241</w:t>
      </w:r>
      <w:r w:rsidRPr="00854A65">
        <w:t>.</w:t>
      </w:r>
    </w:p>
  </w:footnote>
  <w:footnote w:id="223">
    <w:p w14:paraId="7A796A05" w14:textId="7106F5B6"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OECD</w:t>
      </w:r>
      <w:r>
        <w:rPr>
          <w:rFonts w:ascii="Calibri" w:hAnsi="Calibri" w:cs="Calibri"/>
        </w:rPr>
        <w:t>,</w:t>
      </w:r>
      <w:r w:rsidRPr="00854A65">
        <w:rPr>
          <w:rFonts w:ascii="Calibri" w:hAnsi="Calibri" w:cs="Calibri"/>
        </w:rPr>
        <w:t xml:space="preserve"> 2016, </w:t>
      </w:r>
      <w:r w:rsidRPr="005E5308">
        <w:rPr>
          <w:rFonts w:ascii="Calibri" w:hAnsi="Calibri" w:cs="Calibri"/>
        </w:rPr>
        <w:t>op. cit.</w:t>
      </w:r>
      <w:r w:rsidRPr="00854A65">
        <w:rPr>
          <w:rFonts w:ascii="Calibri" w:hAnsi="Calibri" w:cs="Calibri"/>
        </w:rPr>
        <w:t>, paragraph 41.</w:t>
      </w:r>
    </w:p>
  </w:footnote>
  <w:footnote w:id="224">
    <w:p w14:paraId="1EE530F0" w14:textId="3E089E70" w:rsidR="00D82918" w:rsidRPr="00854A65" w:rsidRDefault="00D82918" w:rsidP="00BE71E3">
      <w:pPr>
        <w:pStyle w:val="NoSpacing"/>
        <w:rPr>
          <w:sz w:val="20"/>
          <w:szCs w:val="20"/>
        </w:rPr>
      </w:pPr>
      <w:r w:rsidRPr="00854A65">
        <w:rPr>
          <w:rStyle w:val="FootnoteReference"/>
          <w:rFonts w:ascii="Calibri" w:hAnsi="Calibri" w:cs="Calibri"/>
          <w:sz w:val="20"/>
          <w:szCs w:val="20"/>
        </w:rPr>
        <w:footnoteRef/>
      </w:r>
      <w:r>
        <w:rPr>
          <w:sz w:val="20"/>
          <w:szCs w:val="20"/>
        </w:rPr>
        <w:t xml:space="preserve"> </w:t>
      </w:r>
      <w:r w:rsidRPr="00854A65">
        <w:rPr>
          <w:sz w:val="20"/>
          <w:szCs w:val="20"/>
        </w:rPr>
        <w:t>EC</w:t>
      </w:r>
      <w:r>
        <w:rPr>
          <w:sz w:val="20"/>
          <w:szCs w:val="20"/>
        </w:rPr>
        <w:t>, 2012,</w:t>
      </w:r>
      <w:r w:rsidRPr="00854A65">
        <w:rPr>
          <w:sz w:val="20"/>
          <w:szCs w:val="20"/>
        </w:rPr>
        <w:t xml:space="preserve"> </w:t>
      </w:r>
      <w:r w:rsidRPr="00854A65">
        <w:rPr>
          <w:i/>
          <w:sz w:val="20"/>
          <w:szCs w:val="20"/>
        </w:rPr>
        <w:t>Consumers’ Attitude Towards Cross-Border Trade and Consumer Protection</w:t>
      </w:r>
      <w:r>
        <w:rPr>
          <w:sz w:val="20"/>
          <w:szCs w:val="20"/>
        </w:rPr>
        <w:t xml:space="preserve">, available at </w:t>
      </w:r>
      <w:hyperlink r:id="rId42" w:history="1">
        <w:r w:rsidRPr="00854A65">
          <w:rPr>
            <w:rStyle w:val="Hyperlink"/>
            <w:rFonts w:ascii="Calibri" w:hAnsi="Calibri"/>
            <w:color w:val="auto"/>
            <w:sz w:val="20"/>
            <w:szCs w:val="20"/>
            <w:u w:val="none"/>
          </w:rPr>
          <w:t>http://ec.europa.eu/public _opinion/flash/fl_en.pdf</w:t>
        </w:r>
      </w:hyperlink>
      <w:r w:rsidRPr="00854A65">
        <w:rPr>
          <w:sz w:val="20"/>
          <w:szCs w:val="20"/>
        </w:rPr>
        <w:t>.</w:t>
      </w:r>
      <w:r>
        <w:rPr>
          <w:sz w:val="20"/>
          <w:szCs w:val="20"/>
        </w:rPr>
        <w:t xml:space="preserve"> </w:t>
      </w:r>
    </w:p>
  </w:footnote>
  <w:footnote w:id="225">
    <w:p w14:paraId="5993290C" w14:textId="2CCB1B81" w:rsidR="00D82918" w:rsidRPr="00854A65" w:rsidRDefault="00D82918" w:rsidP="00BE71E3">
      <w:pPr>
        <w:pStyle w:val="FootnoteText"/>
      </w:pPr>
      <w:r w:rsidRPr="00854A65">
        <w:rPr>
          <w:rStyle w:val="FootnoteReference"/>
        </w:rPr>
        <w:footnoteRef/>
      </w:r>
      <w:r w:rsidRPr="00854A65">
        <w:t xml:space="preserve"> E</w:t>
      </w:r>
      <w:r>
        <w:t xml:space="preserve">C, 2015, </w:t>
      </w:r>
      <w:r w:rsidRPr="00854A65">
        <w:rPr>
          <w:i/>
        </w:rPr>
        <w:t>Consumer Conditions Scorecard 2015</w:t>
      </w:r>
      <w:r>
        <w:t>, available at</w:t>
      </w:r>
      <w:r w:rsidRPr="00854A65">
        <w:t xml:space="preserve"> </w:t>
      </w:r>
      <w:hyperlink r:id="rId43" w:history="1">
        <w:r w:rsidRPr="00854A65">
          <w:rPr>
            <w:rStyle w:val="Hyperlink"/>
          </w:rPr>
          <w:t>http://bit.ly/1V7oDK5</w:t>
        </w:r>
      </w:hyperlink>
      <w:r w:rsidRPr="00854A65">
        <w:t>.</w:t>
      </w:r>
    </w:p>
  </w:footnote>
  <w:footnote w:id="226">
    <w:p w14:paraId="7D9AA498" w14:textId="47E77BDB" w:rsidR="00D82918" w:rsidRPr="00854A65" w:rsidRDefault="00D82918" w:rsidP="00AB2007">
      <w:pPr>
        <w:pStyle w:val="NoSpacing"/>
        <w:rPr>
          <w:sz w:val="20"/>
          <w:szCs w:val="20"/>
        </w:rPr>
      </w:pPr>
      <w:r w:rsidRPr="00854A65">
        <w:rPr>
          <w:rStyle w:val="FootnoteReference"/>
          <w:rFonts w:ascii="Calibri" w:hAnsi="Calibri" w:cs="Calibri"/>
          <w:sz w:val="20"/>
          <w:szCs w:val="20"/>
        </w:rPr>
        <w:footnoteRef/>
      </w:r>
      <w:r>
        <w:rPr>
          <w:sz w:val="20"/>
          <w:szCs w:val="20"/>
        </w:rPr>
        <w:t xml:space="preserve"> </w:t>
      </w:r>
      <w:r w:rsidRPr="00854A65">
        <w:rPr>
          <w:sz w:val="20"/>
          <w:szCs w:val="20"/>
        </w:rPr>
        <w:t>Civic Consulting Consumer,</w:t>
      </w:r>
      <w:r>
        <w:rPr>
          <w:sz w:val="20"/>
          <w:szCs w:val="20"/>
        </w:rPr>
        <w:t xml:space="preserve"> 2011,</w:t>
      </w:r>
      <w:r w:rsidRPr="00854A65">
        <w:rPr>
          <w:sz w:val="20"/>
          <w:szCs w:val="20"/>
        </w:rPr>
        <w:t xml:space="preserve"> </w:t>
      </w:r>
      <w:r w:rsidRPr="00854A65">
        <w:rPr>
          <w:i/>
          <w:sz w:val="20"/>
          <w:szCs w:val="20"/>
        </w:rPr>
        <w:t>Market Study on the Functioning of E-commerce and Internet Marketing and Selling Techniques in the Retail of Goods</w:t>
      </w:r>
      <w:r>
        <w:rPr>
          <w:iCs/>
          <w:sz w:val="20"/>
          <w:szCs w:val="20"/>
        </w:rPr>
        <w:t>, available at</w:t>
      </w:r>
      <w:r w:rsidRPr="00854A65">
        <w:rPr>
          <w:sz w:val="20"/>
          <w:szCs w:val="20"/>
        </w:rPr>
        <w:t xml:space="preserve"> </w:t>
      </w:r>
      <w:hyperlink r:id="rId44" w:history="1">
        <w:r w:rsidRPr="00854A65">
          <w:rPr>
            <w:rStyle w:val="Hyperlink"/>
            <w:rFonts w:ascii="Calibri" w:hAnsi="Calibri"/>
            <w:i/>
            <w:color w:val="auto"/>
            <w:sz w:val="20"/>
            <w:szCs w:val="20"/>
            <w:u w:val="none"/>
          </w:rPr>
          <w:t>http://ec.europa.eu.consumers/consumer_research/market_studies/docs/study_ecommerce_goods_en.pdf</w:t>
        </w:r>
      </w:hyperlink>
      <w:r>
        <w:rPr>
          <w:rStyle w:val="Hyperlink"/>
          <w:rFonts w:ascii="Calibri" w:hAnsi="Calibri"/>
          <w:i/>
          <w:color w:val="auto"/>
          <w:sz w:val="20"/>
          <w:szCs w:val="20"/>
          <w:u w:val="none"/>
        </w:rPr>
        <w:t xml:space="preserve">. </w:t>
      </w:r>
      <w:r w:rsidRPr="00854A65">
        <w:rPr>
          <w:rStyle w:val="Hyperlink"/>
          <w:rFonts w:ascii="Calibri" w:hAnsi="Calibri"/>
          <w:i/>
          <w:color w:val="auto"/>
          <w:sz w:val="20"/>
          <w:szCs w:val="20"/>
          <w:u w:val="none"/>
        </w:rPr>
        <w:t xml:space="preserve">   </w:t>
      </w:r>
    </w:p>
  </w:footnote>
  <w:footnote w:id="227">
    <w:p w14:paraId="30A9695C" w14:textId="05896B7B"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sz w:val="20"/>
          <w:szCs w:val="20"/>
        </w:rPr>
        <w:t xml:space="preserve"> </w:t>
      </w:r>
      <w:r w:rsidRPr="00854A65">
        <w:rPr>
          <w:sz w:val="20"/>
          <w:szCs w:val="20"/>
        </w:rPr>
        <w:t>UNCTAD,</w:t>
      </w:r>
      <w:r>
        <w:rPr>
          <w:sz w:val="20"/>
          <w:szCs w:val="20"/>
        </w:rPr>
        <w:t xml:space="preserve"> 2015,</w:t>
      </w:r>
      <w:r w:rsidRPr="00854A65">
        <w:rPr>
          <w:sz w:val="20"/>
          <w:szCs w:val="20"/>
        </w:rPr>
        <w:t xml:space="preserve"> </w:t>
      </w:r>
      <w:r w:rsidRPr="00854A65">
        <w:rPr>
          <w:i/>
          <w:iCs/>
          <w:sz w:val="20"/>
          <w:szCs w:val="20"/>
        </w:rPr>
        <w:t>Information Economy Report 2015: Unlocking the Potential of Ecommerce for Developing Countries</w:t>
      </w:r>
      <w:r w:rsidRPr="00854A65">
        <w:rPr>
          <w:iCs/>
          <w:sz w:val="20"/>
          <w:szCs w:val="20"/>
        </w:rPr>
        <w:t>.</w:t>
      </w:r>
    </w:p>
  </w:footnote>
  <w:footnote w:id="228">
    <w:p w14:paraId="6E3BB7ED" w14:textId="30E8D2BE"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sz w:val="20"/>
          <w:szCs w:val="20"/>
        </w:rPr>
        <w:t xml:space="preserve"> C</w:t>
      </w:r>
      <w:r w:rsidRPr="00854A65">
        <w:rPr>
          <w:sz w:val="20"/>
          <w:szCs w:val="20"/>
        </w:rPr>
        <w:t xml:space="preserve"> Riefa,</w:t>
      </w:r>
      <w:r>
        <w:rPr>
          <w:sz w:val="20"/>
          <w:szCs w:val="20"/>
        </w:rPr>
        <w:t xml:space="preserve"> 2014,</w:t>
      </w:r>
      <w:r w:rsidRPr="00854A65">
        <w:rPr>
          <w:sz w:val="20"/>
          <w:szCs w:val="20"/>
        </w:rPr>
        <w:t xml:space="preserve"> </w:t>
      </w:r>
      <w:r w:rsidRPr="00854A65">
        <w:rPr>
          <w:i/>
          <w:sz w:val="20"/>
          <w:szCs w:val="20"/>
        </w:rPr>
        <w:t>Study on Electronic Commerce and the Protection of the Digital Consumers in Serbia,</w:t>
      </w:r>
      <w:r w:rsidRPr="00854A65">
        <w:rPr>
          <w:b/>
          <w:sz w:val="20"/>
          <w:szCs w:val="20"/>
        </w:rPr>
        <w:t xml:space="preserve"> </w:t>
      </w:r>
      <w:r>
        <w:rPr>
          <w:sz w:val="20"/>
          <w:szCs w:val="20"/>
        </w:rPr>
        <w:t>EuropAid/129680/C/SER/RS</w:t>
      </w:r>
      <w:r w:rsidRPr="00854A65">
        <w:rPr>
          <w:sz w:val="20"/>
          <w:szCs w:val="20"/>
        </w:rPr>
        <w:t xml:space="preserve"> </w:t>
      </w:r>
      <w:r>
        <w:rPr>
          <w:sz w:val="20"/>
          <w:szCs w:val="20"/>
        </w:rPr>
        <w:t>(</w:t>
      </w:r>
      <w:r w:rsidRPr="00854A65">
        <w:rPr>
          <w:sz w:val="20"/>
          <w:szCs w:val="20"/>
        </w:rPr>
        <w:t>Belgrade</w:t>
      </w:r>
      <w:r>
        <w:rPr>
          <w:sz w:val="20"/>
          <w:szCs w:val="20"/>
        </w:rPr>
        <w:t xml:space="preserve">).  </w:t>
      </w:r>
    </w:p>
  </w:footnote>
  <w:footnote w:id="229">
    <w:p w14:paraId="040BE035" w14:textId="390A56F3" w:rsidR="00D82918" w:rsidRPr="00854A65" w:rsidRDefault="00D82918" w:rsidP="00BE71E3">
      <w:pPr>
        <w:pStyle w:val="FootnoteText"/>
      </w:pPr>
      <w:r w:rsidRPr="00854A65">
        <w:rPr>
          <w:rStyle w:val="FootnoteReference"/>
        </w:rPr>
        <w:footnoteRef/>
      </w:r>
      <w:r w:rsidRPr="00854A65">
        <w:t xml:space="preserve"> </w:t>
      </w:r>
      <w:hyperlink r:id="rId45" w:history="1">
        <w:r w:rsidRPr="00F3283D">
          <w:rPr>
            <w:rStyle w:val="Hyperlink"/>
          </w:rPr>
          <w:t>http://www.bmjv.de/G20/EN/ConsumerSummit/G20_node.html</w:t>
        </w:r>
      </w:hyperlink>
      <w:r w:rsidRPr="00854A65">
        <w:t>.</w:t>
      </w:r>
      <w:r>
        <w:t xml:space="preserve"> </w:t>
      </w:r>
    </w:p>
  </w:footnote>
  <w:footnote w:id="230">
    <w:p w14:paraId="56A51450" w14:textId="15FCF0EC"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i/>
          <w:sz w:val="20"/>
          <w:szCs w:val="20"/>
        </w:rPr>
        <w:t xml:space="preserve"> </w:t>
      </w:r>
      <w:r>
        <w:rPr>
          <w:sz w:val="20"/>
          <w:szCs w:val="20"/>
        </w:rPr>
        <w:t xml:space="preserve">OECD, 1999, </w:t>
      </w:r>
      <w:r w:rsidRPr="00854A65">
        <w:rPr>
          <w:i/>
          <w:sz w:val="20"/>
          <w:szCs w:val="20"/>
        </w:rPr>
        <w:t>Recommendation of the OECD Council Concerning Guidelines for Consumer Protection in the Context of Electronic Commerce</w:t>
      </w:r>
      <w:r w:rsidRPr="00854A65">
        <w:rPr>
          <w:sz w:val="20"/>
          <w:szCs w:val="20"/>
        </w:rPr>
        <w:t>.</w:t>
      </w:r>
    </w:p>
  </w:footnote>
  <w:footnote w:id="231">
    <w:p w14:paraId="160930B5" w14:textId="696892C9"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sz w:val="20"/>
          <w:szCs w:val="20"/>
        </w:rPr>
        <w:t xml:space="preserve"> </w:t>
      </w:r>
      <w:r w:rsidRPr="00854A65">
        <w:rPr>
          <w:sz w:val="20"/>
          <w:szCs w:val="20"/>
        </w:rPr>
        <w:t xml:space="preserve">OECD, </w:t>
      </w:r>
      <w:r>
        <w:rPr>
          <w:sz w:val="20"/>
          <w:szCs w:val="20"/>
        </w:rPr>
        <w:t xml:space="preserve">2016, </w:t>
      </w:r>
      <w:r w:rsidRPr="005E5308">
        <w:rPr>
          <w:sz w:val="20"/>
          <w:szCs w:val="20"/>
        </w:rPr>
        <w:t>op. cit.</w:t>
      </w:r>
    </w:p>
  </w:footnote>
  <w:footnote w:id="232">
    <w:p w14:paraId="799E5BF4" w14:textId="69665B1F" w:rsidR="00D82918" w:rsidRPr="00BF5195" w:rsidRDefault="00D82918" w:rsidP="00BF5195">
      <w:pPr>
        <w:pStyle w:val="NoSpacing"/>
        <w:jc w:val="both"/>
        <w:rPr>
          <w:i/>
          <w:sz w:val="20"/>
          <w:szCs w:val="20"/>
        </w:rPr>
      </w:pPr>
      <w:r w:rsidRPr="00854A65">
        <w:rPr>
          <w:rStyle w:val="FootnoteReference"/>
          <w:rFonts w:ascii="Calibri" w:hAnsi="Calibri" w:cs="Calibri"/>
          <w:sz w:val="20"/>
          <w:szCs w:val="20"/>
        </w:rPr>
        <w:footnoteRef/>
      </w:r>
      <w:r>
        <w:rPr>
          <w:i/>
          <w:sz w:val="20"/>
          <w:szCs w:val="20"/>
        </w:rPr>
        <w:t xml:space="preserve"> </w:t>
      </w:r>
      <w:r w:rsidRPr="00854A65">
        <w:rPr>
          <w:i/>
          <w:sz w:val="20"/>
          <w:szCs w:val="20"/>
        </w:rPr>
        <w:t>Recommendation of the Council concerning Guidelines for Protecting Consumers from Fraudulent and Deceptive Commercial Practi</w:t>
      </w:r>
      <w:r>
        <w:rPr>
          <w:i/>
          <w:sz w:val="20"/>
          <w:szCs w:val="20"/>
        </w:rPr>
        <w:t xml:space="preserve">ces across Borders </w:t>
      </w:r>
      <w:r w:rsidRPr="005E5308">
        <w:rPr>
          <w:sz w:val="20"/>
          <w:szCs w:val="20"/>
        </w:rPr>
        <w:t>(C92003)116)</w:t>
      </w:r>
      <w:r>
        <w:rPr>
          <w:sz w:val="20"/>
          <w:szCs w:val="20"/>
        </w:rPr>
        <w:t>;</w:t>
      </w:r>
      <w:r w:rsidRPr="00854A65">
        <w:rPr>
          <w:i/>
          <w:sz w:val="20"/>
          <w:szCs w:val="20"/>
        </w:rPr>
        <w:t xml:space="preserve"> Recommendation of the Council on Consumer Dispute Resolution and Redress </w:t>
      </w:r>
      <w:r w:rsidRPr="005E5308">
        <w:rPr>
          <w:sz w:val="20"/>
          <w:szCs w:val="20"/>
        </w:rPr>
        <w:t>(C(2007)76);</w:t>
      </w:r>
      <w:r w:rsidRPr="00854A65">
        <w:rPr>
          <w:i/>
          <w:sz w:val="20"/>
          <w:szCs w:val="20"/>
        </w:rPr>
        <w:t xml:space="preserve"> Declaration for the Future of the Internet Economy (The Seoul Declaration) </w:t>
      </w:r>
      <w:r w:rsidRPr="005E5308">
        <w:rPr>
          <w:sz w:val="20"/>
          <w:szCs w:val="20"/>
        </w:rPr>
        <w:t>(C(2008)99)</w:t>
      </w:r>
      <w:r w:rsidRPr="00854A65">
        <w:rPr>
          <w:i/>
          <w:sz w:val="20"/>
          <w:szCs w:val="20"/>
        </w:rPr>
        <w:t xml:space="preserve">; Recommendation of the Council on Principles for Internet Policy Making </w:t>
      </w:r>
      <w:r w:rsidRPr="005E5308">
        <w:rPr>
          <w:sz w:val="20"/>
          <w:szCs w:val="20"/>
        </w:rPr>
        <w:t>(C(2011)154);</w:t>
      </w:r>
      <w:r w:rsidRPr="00854A65">
        <w:rPr>
          <w:i/>
          <w:sz w:val="20"/>
          <w:szCs w:val="20"/>
        </w:rPr>
        <w:t xml:space="preserve"> Recommendation of the Council Concerning Guidelines Governing the Protection of Privacy and Trans-border Flows of Personal Data (“Privacy Guidelines”) </w:t>
      </w:r>
      <w:r w:rsidRPr="005E5308">
        <w:rPr>
          <w:sz w:val="20"/>
          <w:szCs w:val="20"/>
        </w:rPr>
        <w:t>(C(80)58/final as amended);</w:t>
      </w:r>
      <w:r w:rsidRPr="00854A65">
        <w:rPr>
          <w:i/>
          <w:sz w:val="20"/>
          <w:szCs w:val="20"/>
        </w:rPr>
        <w:t xml:space="preserve"> Recommendation of the Council on Digital Security Risk Management for Economic and Social Prosperity (“Security Risk Recommendation”)</w:t>
      </w:r>
      <w:r>
        <w:rPr>
          <w:i/>
          <w:sz w:val="20"/>
          <w:szCs w:val="20"/>
        </w:rPr>
        <w:t xml:space="preserve"> </w:t>
      </w:r>
      <w:r w:rsidRPr="005E5308">
        <w:rPr>
          <w:sz w:val="20"/>
          <w:szCs w:val="20"/>
        </w:rPr>
        <w:t>(C(2015)115).</w:t>
      </w:r>
    </w:p>
  </w:footnote>
  <w:footnote w:id="233">
    <w:p w14:paraId="4B3A956D" w14:textId="534CA752" w:rsidR="00D82918" w:rsidRPr="00854A65" w:rsidRDefault="00D82918" w:rsidP="00BE71E3">
      <w:pPr>
        <w:autoSpaceDE w:val="0"/>
        <w:autoSpaceDN w:val="0"/>
        <w:adjustRightInd w:val="0"/>
        <w:spacing w:after="0"/>
        <w:rPr>
          <w:sz w:val="20"/>
          <w:szCs w:val="20"/>
        </w:rPr>
      </w:pPr>
      <w:r w:rsidRPr="00854A65">
        <w:rPr>
          <w:rStyle w:val="FootnoteReference"/>
          <w:sz w:val="20"/>
          <w:szCs w:val="20"/>
        </w:rPr>
        <w:footnoteRef/>
      </w:r>
      <w:r w:rsidRPr="00854A65">
        <w:rPr>
          <w:sz w:val="20"/>
          <w:szCs w:val="20"/>
        </w:rPr>
        <w:t xml:space="preserve"> </w:t>
      </w:r>
      <w:r>
        <w:rPr>
          <w:rFonts w:ascii="Calibri" w:eastAsiaTheme="minorEastAsia" w:hAnsi="Calibri" w:cs="Calibri"/>
          <w:color w:val="000000"/>
          <w:sz w:val="20"/>
          <w:szCs w:val="20"/>
        </w:rPr>
        <w:t xml:space="preserve">OECD, </w:t>
      </w:r>
      <w:r w:rsidRPr="00854A65">
        <w:rPr>
          <w:rFonts w:ascii="Calibri" w:eastAsiaTheme="minorEastAsia" w:hAnsi="Calibri" w:cs="Calibri"/>
          <w:color w:val="000000"/>
          <w:sz w:val="20"/>
          <w:szCs w:val="20"/>
        </w:rPr>
        <w:t xml:space="preserve">2013, </w:t>
      </w:r>
      <w:r w:rsidRPr="00854A65">
        <w:rPr>
          <w:rFonts w:ascii="Calibri" w:eastAsiaTheme="minorEastAsia" w:hAnsi="Calibri" w:cs="Calibri"/>
          <w:i/>
          <w:iCs/>
          <w:color w:val="000000"/>
          <w:sz w:val="20"/>
          <w:szCs w:val="20"/>
        </w:rPr>
        <w:t>Revised Recommendation of the Council concerning Guidelines governing the Protection of Privacy and Transborder Flows of Personal Data</w:t>
      </w:r>
      <w:r w:rsidRPr="00854A65">
        <w:rPr>
          <w:rFonts w:ascii="Calibri" w:eastAsiaTheme="minorEastAsia" w:hAnsi="Calibri" w:cs="Calibri"/>
          <w:color w:val="000000"/>
          <w:sz w:val="20"/>
          <w:szCs w:val="20"/>
        </w:rPr>
        <w:t>,</w:t>
      </w:r>
      <w:r>
        <w:rPr>
          <w:rFonts w:ascii="Calibri" w:eastAsiaTheme="minorEastAsia" w:hAnsi="Calibri" w:cs="Calibri"/>
          <w:color w:val="000000"/>
          <w:sz w:val="20"/>
          <w:szCs w:val="20"/>
        </w:rPr>
        <w:t xml:space="preserve"> available at</w:t>
      </w:r>
      <w:r w:rsidRPr="00854A65">
        <w:rPr>
          <w:rFonts w:ascii="Calibri" w:eastAsiaTheme="minorEastAsia" w:hAnsi="Calibri" w:cs="Calibri"/>
          <w:color w:val="000000"/>
          <w:sz w:val="20"/>
          <w:szCs w:val="20"/>
        </w:rPr>
        <w:t xml:space="preserve"> </w:t>
      </w:r>
      <w:hyperlink r:id="rId46" w:history="1">
        <w:r w:rsidRPr="00F3283D">
          <w:rPr>
            <w:rStyle w:val="Hyperlink"/>
            <w:rFonts w:ascii="Calibri" w:eastAsiaTheme="minorEastAsia" w:hAnsi="Calibri" w:cs="Calibri"/>
            <w:sz w:val="20"/>
            <w:szCs w:val="20"/>
          </w:rPr>
          <w:t>www.oecd.org/sti/ieconomy/2013-oecd-privacy-guidelines.pdf</w:t>
        </w:r>
      </w:hyperlink>
      <w:r w:rsidRPr="00854A65">
        <w:rPr>
          <w:rFonts w:ascii="Calibri" w:eastAsiaTheme="minorEastAsia" w:hAnsi="Calibri" w:cs="Calibri"/>
          <w:color w:val="000000"/>
          <w:sz w:val="20"/>
          <w:szCs w:val="20"/>
        </w:rPr>
        <w:t>.</w:t>
      </w:r>
      <w:r>
        <w:rPr>
          <w:rFonts w:ascii="Calibri" w:eastAsiaTheme="minorEastAsia" w:hAnsi="Calibri" w:cs="Calibri"/>
          <w:color w:val="000000"/>
          <w:sz w:val="20"/>
          <w:szCs w:val="20"/>
        </w:rPr>
        <w:t xml:space="preserve"> </w:t>
      </w:r>
    </w:p>
  </w:footnote>
  <w:footnote w:id="234">
    <w:p w14:paraId="2183651E" w14:textId="77777777" w:rsidR="00D82918" w:rsidRPr="00854A65" w:rsidRDefault="00D82918" w:rsidP="00BE71E3">
      <w:pPr>
        <w:pStyle w:val="NoSpacing"/>
        <w:jc w:val="both"/>
        <w:rPr>
          <w:sz w:val="20"/>
          <w:szCs w:val="20"/>
        </w:rPr>
      </w:pPr>
      <w:r w:rsidRPr="00854A65">
        <w:rPr>
          <w:rStyle w:val="FootnoteReference"/>
          <w:rFonts w:cs="Calibri"/>
          <w:sz w:val="20"/>
          <w:szCs w:val="20"/>
        </w:rPr>
        <w:footnoteRef/>
      </w:r>
      <w:r>
        <w:rPr>
          <w:i/>
          <w:sz w:val="20"/>
          <w:szCs w:val="20"/>
        </w:rPr>
        <w:t xml:space="preserve"> </w:t>
      </w:r>
      <w:r w:rsidRPr="00854A65">
        <w:rPr>
          <w:i/>
          <w:sz w:val="20"/>
          <w:szCs w:val="20"/>
        </w:rPr>
        <w:t>European Union Payment Services Directive 2</w:t>
      </w:r>
      <w:r w:rsidRPr="00854A65">
        <w:rPr>
          <w:sz w:val="20"/>
          <w:szCs w:val="20"/>
        </w:rPr>
        <w:t>, Article 74.</w:t>
      </w:r>
    </w:p>
  </w:footnote>
  <w:footnote w:id="235">
    <w:p w14:paraId="48CB06AA" w14:textId="1BA088F3" w:rsidR="00D82918" w:rsidRPr="00854A65" w:rsidRDefault="00D82918" w:rsidP="00BE71E3">
      <w:pPr>
        <w:pStyle w:val="NoSpacing"/>
        <w:jc w:val="both"/>
        <w:rPr>
          <w:b/>
          <w:bCs/>
          <w:sz w:val="20"/>
          <w:szCs w:val="20"/>
        </w:rPr>
      </w:pPr>
      <w:r w:rsidRPr="00854A65">
        <w:rPr>
          <w:rStyle w:val="FootnoteReference"/>
          <w:sz w:val="20"/>
          <w:szCs w:val="20"/>
        </w:rPr>
        <w:footnoteRef/>
      </w:r>
      <w:r>
        <w:rPr>
          <w:sz w:val="20"/>
          <w:szCs w:val="20"/>
        </w:rPr>
        <w:t xml:space="preserve"> C</w:t>
      </w:r>
      <w:r w:rsidRPr="00854A65">
        <w:rPr>
          <w:sz w:val="20"/>
          <w:szCs w:val="20"/>
        </w:rPr>
        <w:t xml:space="preserve"> Riefa,</w:t>
      </w:r>
      <w:r>
        <w:rPr>
          <w:sz w:val="20"/>
          <w:szCs w:val="20"/>
        </w:rPr>
        <w:t xml:space="preserve"> 2015,</w:t>
      </w:r>
      <w:r w:rsidRPr="00854A65">
        <w:rPr>
          <w:sz w:val="20"/>
          <w:szCs w:val="20"/>
        </w:rPr>
        <w:t xml:space="preserve"> </w:t>
      </w:r>
      <w:r w:rsidRPr="00854A65">
        <w:rPr>
          <w:i/>
          <w:iCs/>
          <w:sz w:val="20"/>
          <w:szCs w:val="20"/>
        </w:rPr>
        <w:t>The Control of Electronic Payments in the EU: Payment Services Directives and Electronic Money Directive 2009/110/EC</w:t>
      </w:r>
      <w:r w:rsidRPr="00854A65">
        <w:rPr>
          <w:sz w:val="20"/>
          <w:szCs w:val="20"/>
        </w:rPr>
        <w:t>.</w:t>
      </w:r>
    </w:p>
  </w:footnote>
  <w:footnote w:id="236">
    <w:p w14:paraId="2FCB8EA3" w14:textId="77777777" w:rsidR="00D82918" w:rsidRPr="00854A65" w:rsidRDefault="00D82918" w:rsidP="00BE71E3">
      <w:pPr>
        <w:pStyle w:val="NoSpacing"/>
        <w:jc w:val="both"/>
        <w:rPr>
          <w:sz w:val="20"/>
          <w:szCs w:val="20"/>
        </w:rPr>
      </w:pPr>
      <w:r w:rsidRPr="00854A65">
        <w:rPr>
          <w:rStyle w:val="FootnoteReference"/>
          <w:sz w:val="20"/>
          <w:szCs w:val="20"/>
        </w:rPr>
        <w:footnoteRef/>
      </w:r>
      <w:r>
        <w:rPr>
          <w:sz w:val="20"/>
          <w:szCs w:val="20"/>
        </w:rPr>
        <w:t xml:space="preserve"> </w:t>
      </w:r>
      <w:r w:rsidRPr="00854A65">
        <w:rPr>
          <w:sz w:val="20"/>
          <w:szCs w:val="20"/>
        </w:rPr>
        <w:t xml:space="preserve">Yu and Shen, </w:t>
      </w:r>
      <w:r w:rsidRPr="005E5308">
        <w:rPr>
          <w:sz w:val="20"/>
          <w:szCs w:val="20"/>
        </w:rPr>
        <w:t>op. cit.</w:t>
      </w:r>
    </w:p>
  </w:footnote>
  <w:footnote w:id="237">
    <w:p w14:paraId="2F2BC5C1" w14:textId="0A2CCDBD" w:rsidR="00D82918" w:rsidRPr="00854A65" w:rsidRDefault="00D82918" w:rsidP="00BE71E3">
      <w:pPr>
        <w:pStyle w:val="NoSpacing"/>
        <w:jc w:val="both"/>
        <w:rPr>
          <w:sz w:val="20"/>
          <w:szCs w:val="20"/>
        </w:rPr>
      </w:pPr>
      <w:r w:rsidRPr="00854A65">
        <w:rPr>
          <w:rStyle w:val="FootnoteReference"/>
          <w:rFonts w:cs="Calibri"/>
          <w:sz w:val="20"/>
          <w:szCs w:val="20"/>
        </w:rPr>
        <w:footnoteRef/>
      </w:r>
      <w:r>
        <w:rPr>
          <w:i/>
          <w:sz w:val="20"/>
          <w:szCs w:val="20"/>
        </w:rPr>
        <w:t xml:space="preserve"> </w:t>
      </w:r>
      <w:r w:rsidRPr="005E5308">
        <w:rPr>
          <w:i/>
          <w:sz w:val="20"/>
          <w:szCs w:val="20"/>
        </w:rPr>
        <w:t>The Economist</w:t>
      </w:r>
      <w:r w:rsidRPr="005E5308">
        <w:rPr>
          <w:sz w:val="20"/>
          <w:szCs w:val="20"/>
        </w:rPr>
        <w:t>, 2016,</w:t>
      </w:r>
      <w:r>
        <w:rPr>
          <w:i/>
          <w:sz w:val="20"/>
          <w:szCs w:val="20"/>
        </w:rPr>
        <w:t xml:space="preserve"> </w:t>
      </w:r>
      <w:r>
        <w:rPr>
          <w:sz w:val="20"/>
          <w:szCs w:val="20"/>
        </w:rPr>
        <w:t>Klarna: getting more a</w:t>
      </w:r>
      <w:r w:rsidRPr="005E5308">
        <w:rPr>
          <w:sz w:val="20"/>
          <w:szCs w:val="20"/>
        </w:rPr>
        <w:t>mbitious</w:t>
      </w:r>
      <w:r w:rsidRPr="00854A65">
        <w:rPr>
          <w:sz w:val="20"/>
          <w:szCs w:val="20"/>
        </w:rPr>
        <w:t xml:space="preserve"> </w:t>
      </w:r>
      <w:r>
        <w:rPr>
          <w:sz w:val="20"/>
          <w:szCs w:val="20"/>
        </w:rPr>
        <w:t xml:space="preserve">(6 </w:t>
      </w:r>
      <w:r w:rsidRPr="00854A65">
        <w:rPr>
          <w:sz w:val="20"/>
          <w:szCs w:val="20"/>
        </w:rPr>
        <w:t>February</w:t>
      </w:r>
      <w:r>
        <w:rPr>
          <w:sz w:val="20"/>
          <w:szCs w:val="20"/>
        </w:rPr>
        <w:t>)</w:t>
      </w:r>
      <w:r w:rsidRPr="00854A65">
        <w:rPr>
          <w:sz w:val="20"/>
          <w:szCs w:val="20"/>
        </w:rPr>
        <w:t>.</w:t>
      </w:r>
    </w:p>
  </w:footnote>
  <w:footnote w:id="238">
    <w:p w14:paraId="3D4E3BFB" w14:textId="56BEBE5D" w:rsidR="00D82918" w:rsidRPr="00854A65" w:rsidRDefault="00D82918" w:rsidP="00BE71E3">
      <w:pPr>
        <w:pStyle w:val="FootnoteText"/>
      </w:pPr>
      <w:r w:rsidRPr="00854A65">
        <w:rPr>
          <w:rStyle w:val="FootnoteReference"/>
        </w:rPr>
        <w:footnoteRef/>
      </w:r>
      <w:r>
        <w:t xml:space="preserve"> </w:t>
      </w:r>
      <w:r w:rsidRPr="00854A65">
        <w:t>OECD/G20,</w:t>
      </w:r>
      <w:r>
        <w:t xml:space="preserve"> 2011,</w:t>
      </w:r>
      <w:r>
        <w:rPr>
          <w:i/>
        </w:rPr>
        <w:t xml:space="preserve"> High-</w:t>
      </w:r>
      <w:r w:rsidRPr="00854A65">
        <w:rPr>
          <w:i/>
        </w:rPr>
        <w:t>Level Principles for Consumer Protection in Financial Services</w:t>
      </w:r>
      <w:r w:rsidRPr="00854A65">
        <w:t>.</w:t>
      </w:r>
    </w:p>
  </w:footnote>
  <w:footnote w:id="239">
    <w:p w14:paraId="7D5FCEDE" w14:textId="10878D41" w:rsidR="00D82918" w:rsidRPr="00854A65" w:rsidRDefault="00D82918" w:rsidP="00BE71E3">
      <w:pPr>
        <w:pStyle w:val="FootnoteText"/>
      </w:pPr>
      <w:r w:rsidRPr="00854A65">
        <w:rPr>
          <w:rStyle w:val="FootnoteReference"/>
        </w:rPr>
        <w:footnoteRef/>
      </w:r>
      <w:r>
        <w:t xml:space="preserve"> </w:t>
      </w:r>
      <w:r w:rsidRPr="00854A65">
        <w:t xml:space="preserve">UNCTAD, </w:t>
      </w:r>
      <w:r w:rsidRPr="00F411F4">
        <w:rPr>
          <w:i/>
        </w:rPr>
        <w:t>Global Cyberlaw Tracker</w:t>
      </w:r>
      <w:r>
        <w:t>, available at</w:t>
      </w:r>
      <w:r w:rsidRPr="00854A65">
        <w:t xml:space="preserve"> </w:t>
      </w:r>
      <w:hyperlink r:id="rId47" w:history="1">
        <w:r w:rsidRPr="00F3283D">
          <w:rPr>
            <w:rStyle w:val="Hyperlink"/>
          </w:rPr>
          <w:t>http://unctad.org/en/Pages/DTL/STI_and_ICTs/ICT4D-Legislation/eCom-Global-Legislation.aspx</w:t>
        </w:r>
      </w:hyperlink>
      <w:r w:rsidRPr="00854A65">
        <w:t>.</w:t>
      </w:r>
      <w:r>
        <w:t xml:space="preserve"> </w:t>
      </w:r>
    </w:p>
  </w:footnote>
  <w:footnote w:id="240">
    <w:p w14:paraId="5F900DD0" w14:textId="197B1CFD" w:rsidR="00D82918" w:rsidRPr="00854A65" w:rsidRDefault="00D82918" w:rsidP="00BE71E3">
      <w:pPr>
        <w:pStyle w:val="FootnoteText"/>
      </w:pPr>
      <w:r w:rsidRPr="00854A65">
        <w:rPr>
          <w:rStyle w:val="FootnoteReference"/>
        </w:rPr>
        <w:footnoteRef/>
      </w:r>
      <w:r>
        <w:t xml:space="preserve"> </w:t>
      </w:r>
      <w:hyperlink r:id="rId48" w:history="1">
        <w:r w:rsidRPr="00F3283D">
          <w:rPr>
            <w:rStyle w:val="Hyperlink"/>
          </w:rPr>
          <w:t>http://www.uncitral.org/pdf/english/texts/electcom/06-57452_Ebook.pdf</w:t>
        </w:r>
      </w:hyperlink>
      <w:r w:rsidRPr="00854A65">
        <w:t>.</w:t>
      </w:r>
      <w:r>
        <w:t xml:space="preserve"> </w:t>
      </w:r>
    </w:p>
  </w:footnote>
  <w:footnote w:id="241">
    <w:p w14:paraId="346EC572" w14:textId="157DC0E8" w:rsidR="00D82918" w:rsidRPr="00854A65" w:rsidRDefault="00D82918" w:rsidP="00BE71E3">
      <w:pPr>
        <w:tabs>
          <w:tab w:val="num" w:pos="0"/>
        </w:tabs>
        <w:autoSpaceDE w:val="0"/>
        <w:autoSpaceDN w:val="0"/>
        <w:adjustRightInd w:val="0"/>
        <w:spacing w:after="0"/>
        <w:rPr>
          <w:sz w:val="20"/>
          <w:szCs w:val="20"/>
          <w:lang w:val="en-US"/>
        </w:rPr>
      </w:pPr>
      <w:r w:rsidRPr="00854A65">
        <w:rPr>
          <w:rStyle w:val="FootnoteReference"/>
          <w:sz w:val="20"/>
          <w:szCs w:val="20"/>
        </w:rPr>
        <w:footnoteRef/>
      </w:r>
      <w:r>
        <w:rPr>
          <w:sz w:val="20"/>
          <w:szCs w:val="20"/>
        </w:rPr>
        <w:t xml:space="preserve"> </w:t>
      </w:r>
      <w:r w:rsidRPr="00854A65">
        <w:rPr>
          <w:sz w:val="20"/>
          <w:szCs w:val="20"/>
        </w:rPr>
        <w:t xml:space="preserve">UNCTAD, </w:t>
      </w:r>
      <w:r>
        <w:rPr>
          <w:sz w:val="20"/>
          <w:szCs w:val="20"/>
        </w:rPr>
        <w:t xml:space="preserve">2015, </w:t>
      </w:r>
      <w:r w:rsidRPr="00854A65">
        <w:rPr>
          <w:i/>
          <w:sz w:val="20"/>
          <w:szCs w:val="20"/>
        </w:rPr>
        <w:t>Information Economy Report</w:t>
      </w:r>
      <w:r w:rsidRPr="00854A65">
        <w:rPr>
          <w:sz w:val="20"/>
          <w:szCs w:val="20"/>
        </w:rPr>
        <w:t xml:space="preserve">, </w:t>
      </w:r>
      <w:r w:rsidRPr="00F411F4">
        <w:rPr>
          <w:sz w:val="20"/>
          <w:szCs w:val="20"/>
        </w:rPr>
        <w:t xml:space="preserve">op. </w:t>
      </w:r>
      <w:r w:rsidRPr="00F411F4">
        <w:rPr>
          <w:rFonts w:cstheme="majorHAnsi"/>
          <w:iCs/>
          <w:sz w:val="20"/>
          <w:szCs w:val="20"/>
          <w:lang w:val="en-US"/>
        </w:rPr>
        <w:t>cit</w:t>
      </w:r>
      <w:r w:rsidRPr="00F411F4">
        <w:rPr>
          <w:sz w:val="20"/>
          <w:szCs w:val="20"/>
          <w:lang w:val="en-US"/>
        </w:rPr>
        <w:t>.</w:t>
      </w:r>
    </w:p>
  </w:footnote>
  <w:footnote w:id="242">
    <w:p w14:paraId="18997AF0" w14:textId="6BBC68AB" w:rsidR="00D82918" w:rsidRPr="0046696C" w:rsidRDefault="00D82918" w:rsidP="00BE71E3">
      <w:pPr>
        <w:pStyle w:val="NoSpacing"/>
        <w:jc w:val="both"/>
        <w:rPr>
          <w:rFonts w:cstheme="majorHAnsi"/>
          <w:sz w:val="20"/>
          <w:szCs w:val="20"/>
          <w:lang w:val="en-GB"/>
        </w:rPr>
      </w:pPr>
      <w:r w:rsidRPr="00854A65">
        <w:rPr>
          <w:rStyle w:val="FootnoteReference"/>
          <w:rFonts w:cstheme="majorHAnsi"/>
          <w:sz w:val="20"/>
          <w:szCs w:val="20"/>
        </w:rPr>
        <w:footnoteRef/>
      </w:r>
      <w:r w:rsidRPr="0046696C">
        <w:rPr>
          <w:sz w:val="20"/>
          <w:szCs w:val="20"/>
          <w:lang w:val="en-GB"/>
        </w:rPr>
        <w:t xml:space="preserve"> ASEAN review available at </w:t>
      </w:r>
      <w:hyperlink r:id="rId49" w:history="1">
        <w:r w:rsidRPr="0046696C">
          <w:rPr>
            <w:rStyle w:val="Hyperlink"/>
            <w:color w:val="auto"/>
            <w:sz w:val="20"/>
            <w:szCs w:val="20"/>
            <w:u w:val="none"/>
            <w:lang w:val="en-GB"/>
          </w:rPr>
          <w:t>http://unctad.org/en/PublicationsLibrary/dtlstict2013d1_en.pdf</w:t>
        </w:r>
      </w:hyperlink>
      <w:r w:rsidRPr="0046696C">
        <w:rPr>
          <w:rStyle w:val="Hyperlink"/>
          <w:color w:val="auto"/>
          <w:sz w:val="20"/>
          <w:szCs w:val="20"/>
          <w:u w:val="none"/>
          <w:lang w:val="en-GB"/>
        </w:rPr>
        <w:t xml:space="preserve">;  </w:t>
      </w:r>
    </w:p>
    <w:p w14:paraId="530DF877" w14:textId="40690B44" w:rsidR="00D82918" w:rsidRPr="00854A65" w:rsidRDefault="00D82918" w:rsidP="00BE71E3">
      <w:pPr>
        <w:pStyle w:val="NoSpacing"/>
        <w:jc w:val="both"/>
        <w:rPr>
          <w:rFonts w:cstheme="majorHAnsi"/>
          <w:sz w:val="20"/>
          <w:szCs w:val="20"/>
        </w:rPr>
      </w:pPr>
      <w:r w:rsidRPr="00854A65">
        <w:rPr>
          <w:sz w:val="20"/>
          <w:szCs w:val="20"/>
        </w:rPr>
        <w:t xml:space="preserve">ECOWAS </w:t>
      </w:r>
      <w:r>
        <w:rPr>
          <w:sz w:val="20"/>
          <w:szCs w:val="20"/>
        </w:rPr>
        <w:t xml:space="preserve">review available at </w:t>
      </w:r>
      <w:hyperlink r:id="rId50" w:history="1">
        <w:r w:rsidRPr="00F3283D">
          <w:rPr>
            <w:rStyle w:val="Hyperlink"/>
            <w:sz w:val="20"/>
            <w:szCs w:val="20"/>
          </w:rPr>
          <w:t>http://unctad.org/en/PublicationsLibrary/dtlstict2015d2_en.pdf</w:t>
        </w:r>
      </w:hyperlink>
      <w:r w:rsidRPr="00854A65">
        <w:rPr>
          <w:sz w:val="20"/>
          <w:szCs w:val="20"/>
        </w:rPr>
        <w:t>.</w:t>
      </w:r>
      <w:r>
        <w:rPr>
          <w:sz w:val="20"/>
          <w:szCs w:val="20"/>
        </w:rPr>
        <w:t xml:space="preserve"> </w:t>
      </w:r>
    </w:p>
  </w:footnote>
  <w:footnote w:id="243">
    <w:p w14:paraId="5A01DEAC" w14:textId="5B20CE4E" w:rsidR="00D82918" w:rsidRPr="00854A65" w:rsidRDefault="00D82918" w:rsidP="00BE71E3">
      <w:pPr>
        <w:pStyle w:val="NoSpacing"/>
        <w:jc w:val="both"/>
        <w:rPr>
          <w:sz w:val="20"/>
          <w:szCs w:val="20"/>
        </w:rPr>
      </w:pPr>
      <w:r w:rsidRPr="00854A65">
        <w:rPr>
          <w:rStyle w:val="FootnoteReference"/>
          <w:rFonts w:cstheme="majorHAnsi"/>
          <w:sz w:val="20"/>
          <w:szCs w:val="20"/>
        </w:rPr>
        <w:footnoteRef/>
      </w:r>
      <w:r>
        <w:rPr>
          <w:rFonts w:cstheme="majorHAnsi"/>
          <w:sz w:val="20"/>
          <w:szCs w:val="20"/>
        </w:rPr>
        <w:t xml:space="preserve"> </w:t>
      </w:r>
      <w:r w:rsidRPr="00854A65">
        <w:rPr>
          <w:rFonts w:cstheme="majorHAnsi"/>
          <w:sz w:val="20"/>
          <w:szCs w:val="20"/>
        </w:rPr>
        <w:t>UNCTAD</w:t>
      </w:r>
      <w:r>
        <w:rPr>
          <w:rFonts w:cstheme="majorHAnsi"/>
          <w:sz w:val="20"/>
          <w:szCs w:val="20"/>
        </w:rPr>
        <w:t>, 2015,</w:t>
      </w:r>
      <w:r w:rsidRPr="00854A65">
        <w:rPr>
          <w:rFonts w:cstheme="majorHAnsi"/>
          <w:sz w:val="20"/>
          <w:szCs w:val="20"/>
        </w:rPr>
        <w:t xml:space="preserve"> </w:t>
      </w:r>
      <w:r w:rsidRPr="00854A65">
        <w:rPr>
          <w:rFonts w:cstheme="majorHAnsi"/>
          <w:i/>
          <w:sz w:val="20"/>
          <w:szCs w:val="20"/>
        </w:rPr>
        <w:t>Information Economy Report 2015: Unlocking the Potential of E-commerce for Developing Countries.</w:t>
      </w:r>
    </w:p>
  </w:footnote>
  <w:footnote w:id="244">
    <w:p w14:paraId="14C8467A" w14:textId="50779786" w:rsidR="00D82918" w:rsidRPr="00854A65" w:rsidRDefault="00D82918" w:rsidP="00BE71E3">
      <w:pPr>
        <w:pStyle w:val="FootnoteText"/>
      </w:pPr>
      <w:r w:rsidRPr="00854A65">
        <w:rPr>
          <w:rStyle w:val="FootnoteReference"/>
        </w:rPr>
        <w:footnoteRef/>
      </w:r>
      <w:r w:rsidRPr="00854A65">
        <w:t xml:space="preserve"> </w:t>
      </w:r>
      <w:hyperlink r:id="rId51" w:history="1">
        <w:r w:rsidRPr="00F3283D">
          <w:rPr>
            <w:rStyle w:val="Hyperlink"/>
          </w:rPr>
          <w:t>http://www.who.int/disabilities/world_report/2011/report.pdf</w:t>
        </w:r>
      </w:hyperlink>
      <w:r w:rsidRPr="00854A65">
        <w:t>.</w:t>
      </w:r>
      <w:r>
        <w:t xml:space="preserve"> </w:t>
      </w:r>
    </w:p>
  </w:footnote>
  <w:footnote w:id="245">
    <w:p w14:paraId="62446F90" w14:textId="01970C05" w:rsidR="00D82918" w:rsidRPr="00854A65" w:rsidRDefault="00D82918" w:rsidP="00BE71E3">
      <w:pPr>
        <w:pStyle w:val="FootnoteText"/>
      </w:pPr>
      <w:r w:rsidRPr="00854A65">
        <w:rPr>
          <w:rStyle w:val="FootnoteReference"/>
          <w:rFonts w:cs="Arial"/>
        </w:rPr>
        <w:footnoteRef/>
      </w:r>
      <w:r w:rsidRPr="00854A65">
        <w:rPr>
          <w:rFonts w:cs="Arial"/>
        </w:rPr>
        <w:t xml:space="preserve"> The United Kingdom</w:t>
      </w:r>
      <w:r>
        <w:rPr>
          <w:rFonts w:cs="Arial"/>
        </w:rPr>
        <w:t xml:space="preserve"> of Great Britain and Northern Ireland</w:t>
      </w:r>
      <w:r w:rsidRPr="00854A65">
        <w:rPr>
          <w:rFonts w:cs="Arial"/>
        </w:rPr>
        <w:t xml:space="preserve">’s </w:t>
      </w:r>
      <w:r w:rsidRPr="00F411F4">
        <w:rPr>
          <w:rStyle w:val="Emphasis"/>
          <w:rFonts w:cs="Arial"/>
          <w:bCs/>
          <w:i w:val="0"/>
          <w:shd w:val="clear" w:color="auto" w:fill="FFFFFF"/>
        </w:rPr>
        <w:t>Disability Rights Commission</w:t>
      </w:r>
      <w:r w:rsidRPr="00854A65">
        <w:rPr>
          <w:rStyle w:val="apple-converted-space"/>
          <w:rFonts w:cs="Arial"/>
          <w:shd w:val="clear" w:color="auto" w:fill="FFFFFF"/>
        </w:rPr>
        <w:t> </w:t>
      </w:r>
      <w:r w:rsidRPr="00854A65">
        <w:rPr>
          <w:rFonts w:cs="Arial"/>
        </w:rPr>
        <w:t>investigation in 2004 i</w:t>
      </w:r>
      <w:r>
        <w:rPr>
          <w:rFonts w:cs="Arial"/>
        </w:rPr>
        <w:t>nto 1,000 websites found over 80 percent</w:t>
      </w:r>
      <w:r w:rsidRPr="00854A65">
        <w:rPr>
          <w:rFonts w:cs="Arial"/>
        </w:rPr>
        <w:t xml:space="preserve"> were next to impossible for disabled people to use. Similar findings of poor </w:t>
      </w:r>
      <w:r>
        <w:rPr>
          <w:rFonts w:cs="Arial"/>
        </w:rPr>
        <w:t xml:space="preserve">compliance were found in a 2006 </w:t>
      </w:r>
      <w:r w:rsidRPr="00854A65">
        <w:rPr>
          <w:rFonts w:cs="Arial"/>
        </w:rPr>
        <w:t xml:space="preserve">UN and </w:t>
      </w:r>
      <w:r>
        <w:rPr>
          <w:rFonts w:cs="Arial"/>
        </w:rPr>
        <w:t xml:space="preserve">2009 </w:t>
      </w:r>
      <w:r w:rsidRPr="00854A65">
        <w:rPr>
          <w:rFonts w:cs="Arial"/>
        </w:rPr>
        <w:t>European Union 2009 study.</w:t>
      </w:r>
    </w:p>
  </w:footnote>
  <w:footnote w:id="246">
    <w:p w14:paraId="7678DED2" w14:textId="7794DEF6" w:rsidR="00D82918" w:rsidRPr="00854A65" w:rsidRDefault="00D82918" w:rsidP="00BE71E3">
      <w:pPr>
        <w:pStyle w:val="FootnoteText"/>
      </w:pPr>
      <w:r w:rsidRPr="00854A65">
        <w:rPr>
          <w:rStyle w:val="FootnoteReference"/>
        </w:rPr>
        <w:footnoteRef/>
      </w:r>
      <w:r w:rsidRPr="00854A65">
        <w:t xml:space="preserve"> </w:t>
      </w:r>
      <w:hyperlink r:id="rId52" w:history="1">
        <w:r w:rsidRPr="00F3283D">
          <w:rPr>
            <w:rStyle w:val="Hyperlink"/>
          </w:rPr>
          <w:t>http://goo.gl/W8JREa</w:t>
        </w:r>
      </w:hyperlink>
      <w:r w:rsidRPr="00854A65">
        <w:t>.</w:t>
      </w:r>
      <w:r>
        <w:t xml:space="preserve"> </w:t>
      </w:r>
    </w:p>
  </w:footnote>
  <w:footnote w:id="247">
    <w:p w14:paraId="160913A1" w14:textId="101C1BE5" w:rsidR="00D82918" w:rsidRPr="00854A65" w:rsidRDefault="00D82918" w:rsidP="00BE71E3">
      <w:pPr>
        <w:pStyle w:val="FootnoteText"/>
      </w:pPr>
      <w:r w:rsidRPr="00854A65">
        <w:rPr>
          <w:rStyle w:val="FootnoteReference"/>
        </w:rPr>
        <w:footnoteRef/>
      </w:r>
      <w:r>
        <w:t xml:space="preserve"> ICC</w:t>
      </w:r>
      <w:r w:rsidRPr="00854A65">
        <w:t>/BASCAP,</w:t>
      </w:r>
      <w:r>
        <w:t xml:space="preserve"> 2016,</w:t>
      </w:r>
      <w:r w:rsidRPr="00854A65">
        <w:t xml:space="preserve"> </w:t>
      </w:r>
      <w:r>
        <w:rPr>
          <w:i/>
        </w:rPr>
        <w:t>BASCAP’s I</w:t>
      </w:r>
      <w:r w:rsidRPr="00854A65">
        <w:rPr>
          <w:i/>
        </w:rPr>
        <w:t>nput to the UNCTAD</w:t>
      </w:r>
      <w:r>
        <w:rPr>
          <w:i/>
        </w:rPr>
        <w:t xml:space="preserve"> M</w:t>
      </w:r>
      <w:r w:rsidRPr="00854A65">
        <w:rPr>
          <w:i/>
        </w:rPr>
        <w:t>anual on Consumer Protection</w:t>
      </w:r>
      <w:r w:rsidRPr="00854A65">
        <w:t xml:space="preserve">. </w:t>
      </w:r>
    </w:p>
  </w:footnote>
  <w:footnote w:id="248">
    <w:p w14:paraId="7542CC58" w14:textId="523B453B" w:rsidR="00D82918" w:rsidRPr="00854A65" w:rsidRDefault="00D82918" w:rsidP="00BE71E3">
      <w:pPr>
        <w:pStyle w:val="NoSpacing"/>
        <w:jc w:val="both"/>
        <w:rPr>
          <w:rFonts w:ascii="Calibri" w:hAnsi="Calibri"/>
          <w:i/>
          <w:sz w:val="20"/>
          <w:szCs w:val="20"/>
          <w:lang w:val="en-GB"/>
        </w:rPr>
      </w:pPr>
      <w:r w:rsidRPr="00854A65">
        <w:rPr>
          <w:rStyle w:val="FootnoteReference"/>
          <w:rFonts w:cs="Calibri"/>
          <w:iCs/>
          <w:sz w:val="20"/>
          <w:szCs w:val="20"/>
        </w:rPr>
        <w:footnoteRef/>
      </w:r>
      <w:r>
        <w:rPr>
          <w:sz w:val="20"/>
          <w:szCs w:val="20"/>
          <w:lang w:val="en-GB"/>
        </w:rPr>
        <w:t xml:space="preserve"> C</w:t>
      </w:r>
      <w:r w:rsidRPr="00854A65">
        <w:rPr>
          <w:rFonts w:cs="Calibri"/>
          <w:sz w:val="20"/>
          <w:szCs w:val="20"/>
          <w:lang w:val="en-GB"/>
        </w:rPr>
        <w:t xml:space="preserve"> </w:t>
      </w:r>
      <w:r w:rsidRPr="00854A65">
        <w:rPr>
          <w:sz w:val="20"/>
          <w:szCs w:val="20"/>
          <w:lang w:val="en-GB"/>
        </w:rPr>
        <w:t xml:space="preserve">Riefa, </w:t>
      </w:r>
      <w:r w:rsidRPr="00F411F4">
        <w:rPr>
          <w:sz w:val="20"/>
          <w:szCs w:val="20"/>
          <w:lang w:val="en-GB"/>
        </w:rPr>
        <w:t>2014, op. cit.</w:t>
      </w:r>
      <w:r w:rsidRPr="00854A65">
        <w:rPr>
          <w:rFonts w:ascii="Calibri" w:hAnsi="Calibri"/>
          <w:i/>
          <w:sz w:val="20"/>
          <w:szCs w:val="20"/>
          <w:lang w:val="en-GB"/>
        </w:rPr>
        <w:t xml:space="preserve"> </w:t>
      </w:r>
    </w:p>
  </w:footnote>
  <w:footnote w:id="249">
    <w:p w14:paraId="1EA64967" w14:textId="29EFC9DF"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OECD, 1999 and 2016</w:t>
      </w:r>
      <w:r>
        <w:rPr>
          <w:rFonts w:ascii="Calibri" w:hAnsi="Calibri" w:cs="Calibri"/>
        </w:rPr>
        <w:t xml:space="preserve">, </w:t>
      </w:r>
      <w:r w:rsidRPr="00F411F4">
        <w:rPr>
          <w:rFonts w:ascii="Calibri" w:hAnsi="Calibri" w:cs="Calibri"/>
        </w:rPr>
        <w:t>op. cit</w:t>
      </w:r>
      <w:r w:rsidRPr="00854A65">
        <w:rPr>
          <w:rFonts w:ascii="Calibri" w:hAnsi="Calibri" w:cs="Calibri"/>
        </w:rPr>
        <w:t>.</w:t>
      </w:r>
    </w:p>
  </w:footnote>
  <w:footnote w:id="250">
    <w:p w14:paraId="6C5AAA97" w14:textId="6EEC474C" w:rsidR="00D82918" w:rsidRPr="00854A65" w:rsidRDefault="00D82918" w:rsidP="00BB0960">
      <w:pPr>
        <w:pStyle w:val="FootnoteText"/>
        <w:jc w:val="left"/>
        <w:rPr>
          <w:rFonts w:ascii="Calibri" w:hAnsi="Calibri" w:cs="Calibri"/>
        </w:rPr>
      </w:pPr>
      <w:r w:rsidRPr="00854A65">
        <w:rPr>
          <w:rStyle w:val="FootnoteReference"/>
          <w:rFonts w:ascii="Calibri" w:hAnsi="Calibri" w:cs="Calibri"/>
        </w:rPr>
        <w:footnoteRef/>
      </w:r>
      <w:r>
        <w:rPr>
          <w:rFonts w:ascii="Calibri" w:hAnsi="Calibri" w:cs="Calibri"/>
        </w:rPr>
        <w:t xml:space="preserve"> </w:t>
      </w:r>
      <w:hyperlink r:id="rId53" w:history="1">
        <w:r w:rsidRPr="00F3283D">
          <w:rPr>
            <w:rStyle w:val="Hyperlink"/>
            <w:rFonts w:ascii="Calibri" w:hAnsi="Calibri" w:cs="Calibri"/>
          </w:rPr>
          <w:t>http://www.economist.com/news/finance-and-economics/21690106-payments-unicorn-seeks-become-dray-horse-bank-getting-more-ambitious</w:t>
        </w:r>
      </w:hyperlink>
      <w:r>
        <w:rPr>
          <w:rFonts w:ascii="Calibri" w:hAnsi="Calibri" w:cs="Calibri"/>
        </w:rPr>
        <w:t xml:space="preserve"> </w:t>
      </w:r>
    </w:p>
  </w:footnote>
  <w:footnote w:id="251">
    <w:p w14:paraId="6D4F4935" w14:textId="7DDD30C6" w:rsidR="00D82918" w:rsidRPr="00854A65" w:rsidRDefault="00D82918" w:rsidP="00BE71E3">
      <w:pPr>
        <w:autoSpaceDE w:val="0"/>
        <w:autoSpaceDN w:val="0"/>
        <w:adjustRightInd w:val="0"/>
        <w:spacing w:after="0"/>
        <w:rPr>
          <w:sz w:val="20"/>
          <w:szCs w:val="20"/>
        </w:rPr>
      </w:pPr>
      <w:r w:rsidRPr="00854A65">
        <w:rPr>
          <w:rStyle w:val="FootnoteReference"/>
          <w:sz w:val="20"/>
          <w:szCs w:val="20"/>
        </w:rPr>
        <w:footnoteRef/>
      </w:r>
      <w:r>
        <w:rPr>
          <w:rFonts w:ascii="Calibri" w:eastAsiaTheme="minorEastAsia" w:hAnsi="Calibri" w:cs="Calibri"/>
          <w:sz w:val="20"/>
          <w:szCs w:val="20"/>
        </w:rPr>
        <w:t xml:space="preserve"> </w:t>
      </w:r>
      <w:r w:rsidRPr="00854A65">
        <w:rPr>
          <w:rFonts w:ascii="Calibri" w:eastAsiaTheme="minorEastAsia" w:hAnsi="Calibri" w:cs="Calibri"/>
          <w:sz w:val="20"/>
          <w:szCs w:val="20"/>
        </w:rPr>
        <w:t>OECD</w:t>
      </w:r>
      <w:r>
        <w:rPr>
          <w:rFonts w:ascii="Calibri" w:eastAsiaTheme="minorEastAsia" w:hAnsi="Calibri" w:cs="Calibri"/>
          <w:sz w:val="20"/>
          <w:szCs w:val="20"/>
        </w:rPr>
        <w:t>, 2013</w:t>
      </w:r>
      <w:r w:rsidRPr="00854A65">
        <w:rPr>
          <w:rFonts w:ascii="Calibri" w:eastAsiaTheme="minorEastAsia" w:hAnsi="Calibri" w:cs="Calibri"/>
          <w:sz w:val="20"/>
          <w:szCs w:val="20"/>
        </w:rPr>
        <w:t xml:space="preserve">, </w:t>
      </w:r>
      <w:r w:rsidRPr="00854A65">
        <w:rPr>
          <w:rFonts w:ascii="Calibri" w:eastAsiaTheme="minorEastAsia" w:hAnsi="Calibri" w:cs="Calibri"/>
          <w:i/>
          <w:iCs/>
          <w:sz w:val="20"/>
          <w:szCs w:val="20"/>
        </w:rPr>
        <w:t>Revised Recommendation of the Council Concerning Guidelines Governing the Protection of Privacy and Transborder Flows of Personal Data</w:t>
      </w:r>
      <w:r w:rsidRPr="00854A65">
        <w:rPr>
          <w:rFonts w:ascii="Calibri" w:eastAsiaTheme="minorEastAsia" w:hAnsi="Calibri" w:cs="Calibri"/>
          <w:sz w:val="20"/>
          <w:szCs w:val="20"/>
        </w:rPr>
        <w:t xml:space="preserve">, </w:t>
      </w:r>
      <w:r>
        <w:rPr>
          <w:rFonts w:ascii="Calibri" w:eastAsiaTheme="minorEastAsia" w:hAnsi="Calibri" w:cs="Calibri"/>
          <w:sz w:val="20"/>
          <w:szCs w:val="20"/>
        </w:rPr>
        <w:t xml:space="preserve">available at </w:t>
      </w:r>
      <w:hyperlink r:id="rId54" w:history="1">
        <w:r w:rsidRPr="00F3283D">
          <w:rPr>
            <w:rStyle w:val="Hyperlink"/>
            <w:rFonts w:ascii="Calibri" w:eastAsiaTheme="minorEastAsia" w:hAnsi="Calibri" w:cs="Calibri"/>
            <w:sz w:val="20"/>
            <w:szCs w:val="20"/>
          </w:rPr>
          <w:t>www.oecd.org/sti/ieconomy/2013-oecd-privacy-guidelines.pdf</w:t>
        </w:r>
      </w:hyperlink>
      <w:r w:rsidRPr="00854A65">
        <w:rPr>
          <w:rFonts w:ascii="Calibri" w:eastAsiaTheme="minorEastAsia" w:hAnsi="Calibri" w:cs="Calibri"/>
          <w:sz w:val="20"/>
          <w:szCs w:val="20"/>
        </w:rPr>
        <w:t>.</w:t>
      </w:r>
      <w:r>
        <w:rPr>
          <w:rFonts w:ascii="Calibri" w:eastAsiaTheme="minorEastAsia" w:hAnsi="Calibri" w:cs="Calibri"/>
          <w:sz w:val="20"/>
          <w:szCs w:val="20"/>
        </w:rPr>
        <w:t xml:space="preserve"> </w:t>
      </w:r>
    </w:p>
  </w:footnote>
  <w:footnote w:id="252">
    <w:p w14:paraId="15B854E4" w14:textId="1A31AF34" w:rsidR="00D82918" w:rsidRPr="00BB0960" w:rsidRDefault="00D82918" w:rsidP="00BE71E3">
      <w:pPr>
        <w:pStyle w:val="FootnoteText"/>
        <w:rPr>
          <w:rFonts w:cstheme="minorHAnsi"/>
        </w:rPr>
      </w:pPr>
      <w:r w:rsidRPr="00854A65">
        <w:rPr>
          <w:rStyle w:val="FootnoteReference"/>
        </w:rPr>
        <w:footnoteRef/>
      </w:r>
      <w:r>
        <w:t xml:space="preserve"> </w:t>
      </w:r>
      <w:r w:rsidRPr="00854A65">
        <w:t xml:space="preserve">UNCTAD, </w:t>
      </w:r>
      <w:r>
        <w:t xml:space="preserve">2016, </w:t>
      </w:r>
      <w:r w:rsidRPr="00854A65">
        <w:rPr>
          <w:rFonts w:cstheme="minorHAnsi"/>
          <w:i/>
        </w:rPr>
        <w:t>Data Protection Regulati</w:t>
      </w:r>
      <w:r>
        <w:rPr>
          <w:rFonts w:cstheme="minorHAnsi"/>
          <w:i/>
        </w:rPr>
        <w:t>on and International Data Flows:</w:t>
      </w:r>
      <w:r w:rsidRPr="00854A65">
        <w:rPr>
          <w:rFonts w:cstheme="minorHAnsi"/>
          <w:i/>
        </w:rPr>
        <w:t xml:space="preserve"> Implications for Trade and Development, </w:t>
      </w:r>
      <w:r w:rsidRPr="00854A65">
        <w:rPr>
          <w:rFonts w:cstheme="minorHAnsi"/>
        </w:rPr>
        <w:t>available at un</w:t>
      </w:r>
      <w:r>
        <w:rPr>
          <w:rFonts w:cstheme="minorHAnsi"/>
        </w:rPr>
        <w:t xml:space="preserve">ctad.org/Data-Protection-Study. </w:t>
      </w:r>
    </w:p>
  </w:footnote>
  <w:footnote w:id="253">
    <w:p w14:paraId="5B9D7230" w14:textId="24833CB6" w:rsidR="00D82918" w:rsidRPr="00854A65" w:rsidRDefault="00D82918" w:rsidP="00BB0960">
      <w:pPr>
        <w:pStyle w:val="FootnoteText"/>
      </w:pPr>
      <w:r w:rsidRPr="00854A65">
        <w:rPr>
          <w:rStyle w:val="FootnoteReference"/>
        </w:rPr>
        <w:footnoteRef/>
      </w:r>
      <w:r>
        <w:t xml:space="preserve"> </w:t>
      </w:r>
      <w:r w:rsidRPr="00854A65">
        <w:t>unctad.org/cyberlawtracker.</w:t>
      </w:r>
      <w:r>
        <w:t xml:space="preserve"> </w:t>
      </w:r>
    </w:p>
  </w:footnote>
  <w:footnote w:id="254">
    <w:p w14:paraId="42328097" w14:textId="23003249" w:rsidR="00D82918" w:rsidRPr="00854A65" w:rsidRDefault="00D82918" w:rsidP="00BB0960">
      <w:pPr>
        <w:pStyle w:val="FootnoteText"/>
      </w:pPr>
      <w:r w:rsidRPr="00854A65">
        <w:rPr>
          <w:rStyle w:val="FootnoteReference"/>
        </w:rPr>
        <w:footnoteRef/>
      </w:r>
      <w:r>
        <w:t xml:space="preserve"> </w:t>
      </w:r>
      <w:hyperlink r:id="rId55" w:history="1">
        <w:r w:rsidRPr="00F3283D">
          <w:rPr>
            <w:rStyle w:val="Hyperlink"/>
          </w:rPr>
          <w:t>https://www.privacyinternational.org/privacy-101</w:t>
        </w:r>
      </w:hyperlink>
      <w:r w:rsidRPr="00854A65">
        <w:t>.</w:t>
      </w:r>
      <w:r>
        <w:t xml:space="preserve"> </w:t>
      </w:r>
    </w:p>
  </w:footnote>
  <w:footnote w:id="255">
    <w:p w14:paraId="267C02F0" w14:textId="31339336" w:rsidR="00D82918" w:rsidRPr="00854A65" w:rsidRDefault="00D82918" w:rsidP="00916019">
      <w:pPr>
        <w:pStyle w:val="FootnoteText"/>
        <w:jc w:val="left"/>
      </w:pPr>
      <w:r w:rsidRPr="00854A65">
        <w:rPr>
          <w:rStyle w:val="FootnoteReference"/>
        </w:rPr>
        <w:footnoteRef/>
      </w:r>
      <w:r>
        <w:t xml:space="preserve"> </w:t>
      </w:r>
      <w:hyperlink r:id="rId56" w:anchor="/join/" w:history="1">
        <w:r w:rsidRPr="00F3283D">
          <w:rPr>
            <w:rStyle w:val="Hyperlink"/>
          </w:rPr>
          <w:t>https://www.technologyreview.com/business-report/big-data-gets-personal/download/?redirectTo=%2Fs%2F514351%2Fhas-big-data-made-anonymity-impossible%2F#/join/</w:t>
        </w:r>
      </w:hyperlink>
      <w:r w:rsidRPr="00854A65">
        <w:t>.</w:t>
      </w:r>
      <w:r>
        <w:t xml:space="preserve"> </w:t>
      </w:r>
    </w:p>
  </w:footnote>
  <w:footnote w:id="256">
    <w:p w14:paraId="7E89821B" w14:textId="7CAA8A6F" w:rsidR="00D82918" w:rsidRPr="00854A65" w:rsidRDefault="00D82918" w:rsidP="00BE71E3">
      <w:pPr>
        <w:pStyle w:val="FootnoteText"/>
      </w:pPr>
      <w:r w:rsidRPr="00854A65">
        <w:rPr>
          <w:rStyle w:val="FootnoteReference"/>
        </w:rPr>
        <w:footnoteRef/>
      </w:r>
      <w:r>
        <w:t xml:space="preserve"> </w:t>
      </w:r>
      <w:hyperlink r:id="rId57" w:history="1">
        <w:r w:rsidRPr="00F3283D">
          <w:rPr>
            <w:rStyle w:val="Hyperlink"/>
          </w:rPr>
          <w:t>www.technologyreview.com/news/514351/has-big-data-made-anonymity-impossible</w:t>
        </w:r>
      </w:hyperlink>
      <w:r w:rsidRPr="00854A65">
        <w:t>.</w:t>
      </w:r>
      <w:r>
        <w:t xml:space="preserve"> </w:t>
      </w:r>
    </w:p>
  </w:footnote>
  <w:footnote w:id="257">
    <w:p w14:paraId="7C514C9A" w14:textId="3164025E" w:rsidR="00D82918" w:rsidRPr="00854A65" w:rsidRDefault="00D82918" w:rsidP="00BE71E3">
      <w:pPr>
        <w:spacing w:after="0"/>
        <w:rPr>
          <w:sz w:val="20"/>
          <w:szCs w:val="20"/>
        </w:rPr>
      </w:pPr>
      <w:r w:rsidRPr="00854A65">
        <w:rPr>
          <w:rStyle w:val="FootnoteReference"/>
          <w:sz w:val="20"/>
          <w:szCs w:val="20"/>
        </w:rPr>
        <w:footnoteRef/>
      </w:r>
      <w:r>
        <w:rPr>
          <w:sz w:val="20"/>
          <w:szCs w:val="20"/>
        </w:rPr>
        <w:t xml:space="preserve"> </w:t>
      </w:r>
      <w:r w:rsidRPr="00854A65">
        <w:rPr>
          <w:sz w:val="20"/>
          <w:szCs w:val="20"/>
        </w:rPr>
        <w:t xml:space="preserve">TRUSTe, 2015 </w:t>
      </w:r>
      <w:r w:rsidRPr="00854A65">
        <w:rPr>
          <w:i/>
          <w:sz w:val="20"/>
          <w:szCs w:val="20"/>
        </w:rPr>
        <w:t>United States Consumer Confidence Index</w:t>
      </w:r>
      <w:r>
        <w:rPr>
          <w:sz w:val="20"/>
          <w:szCs w:val="20"/>
        </w:rPr>
        <w:t>, s</w:t>
      </w:r>
      <w:r w:rsidRPr="00854A65">
        <w:rPr>
          <w:sz w:val="20"/>
          <w:szCs w:val="20"/>
        </w:rPr>
        <w:t xml:space="preserve">ee: </w:t>
      </w:r>
      <w:hyperlink r:id="rId58" w:history="1">
        <w:r w:rsidRPr="00854A65">
          <w:rPr>
            <w:rStyle w:val="Hyperlink"/>
            <w:color w:val="auto"/>
            <w:sz w:val="20"/>
            <w:szCs w:val="20"/>
            <w:u w:val="none"/>
          </w:rPr>
          <w:t>http://bit.ly/1NIETKt</w:t>
        </w:r>
      </w:hyperlink>
      <w:r w:rsidRPr="00854A65">
        <w:rPr>
          <w:sz w:val="20"/>
          <w:szCs w:val="20"/>
        </w:rPr>
        <w:t xml:space="preserve">. </w:t>
      </w:r>
      <w:r>
        <w:rPr>
          <w:sz w:val="20"/>
          <w:szCs w:val="20"/>
        </w:rPr>
        <w:t xml:space="preserve"> </w:t>
      </w:r>
    </w:p>
  </w:footnote>
  <w:footnote w:id="258">
    <w:p w14:paraId="55F4A774" w14:textId="4E2191C4" w:rsidR="00D82918" w:rsidRPr="00854A65" w:rsidRDefault="00D82918" w:rsidP="00BE71E3">
      <w:pPr>
        <w:pStyle w:val="FootnoteText"/>
      </w:pPr>
      <w:r w:rsidRPr="00854A65">
        <w:rPr>
          <w:rStyle w:val="FootnoteReference"/>
        </w:rPr>
        <w:footnoteRef/>
      </w:r>
      <w:r>
        <w:t xml:space="preserve"> </w:t>
      </w:r>
      <w:r w:rsidRPr="00854A65">
        <w:t xml:space="preserve">TRUSTe, 2015 </w:t>
      </w:r>
      <w:r w:rsidRPr="00854A65">
        <w:rPr>
          <w:i/>
        </w:rPr>
        <w:t>United Kingdom Consumer Confidence Index</w:t>
      </w:r>
      <w:r>
        <w:t>, s</w:t>
      </w:r>
      <w:r w:rsidRPr="00854A65">
        <w:t xml:space="preserve">ee: </w:t>
      </w:r>
      <w:hyperlink r:id="rId59" w:history="1">
        <w:r w:rsidRPr="00854A65">
          <w:rPr>
            <w:rStyle w:val="Hyperlink"/>
            <w:color w:val="auto"/>
            <w:u w:val="none"/>
          </w:rPr>
          <w:t>http://bit.ly/1e51fJX</w:t>
        </w:r>
      </w:hyperlink>
      <w:r w:rsidRPr="00854A65">
        <w:t>.</w:t>
      </w:r>
    </w:p>
  </w:footnote>
  <w:footnote w:id="259">
    <w:p w14:paraId="25C9028E" w14:textId="13BC1057" w:rsidR="00D82918" w:rsidRPr="00854A65" w:rsidRDefault="00D82918" w:rsidP="00BE71E3">
      <w:pPr>
        <w:pStyle w:val="FootnoteText"/>
      </w:pPr>
      <w:r w:rsidRPr="00854A65">
        <w:rPr>
          <w:rStyle w:val="FootnoteReference"/>
        </w:rPr>
        <w:footnoteRef/>
      </w:r>
      <w:r>
        <w:t xml:space="preserve"> </w:t>
      </w:r>
      <w:hyperlink r:id="rId60" w:history="1">
        <w:r w:rsidRPr="00F3283D">
          <w:rPr>
            <w:rStyle w:val="Hyperlink"/>
          </w:rPr>
          <w:t>https://www.cigionline.org/internet-survey-2016</w:t>
        </w:r>
      </w:hyperlink>
      <w:r w:rsidRPr="00854A65">
        <w:t>.</w:t>
      </w:r>
      <w:r>
        <w:t xml:space="preserve"> </w:t>
      </w:r>
    </w:p>
  </w:footnote>
  <w:footnote w:id="260">
    <w:p w14:paraId="2B73CD44" w14:textId="2CC72E7E" w:rsidR="00D82918" w:rsidRPr="00854A65" w:rsidRDefault="00D82918" w:rsidP="00BE71E3">
      <w:pPr>
        <w:pStyle w:val="FootnoteText"/>
      </w:pPr>
      <w:r w:rsidRPr="00854A65">
        <w:rPr>
          <w:rStyle w:val="FootnoteReference"/>
        </w:rPr>
        <w:footnoteRef/>
      </w:r>
      <w:r>
        <w:t xml:space="preserve"> </w:t>
      </w:r>
      <w:r w:rsidRPr="00854A65">
        <w:t xml:space="preserve">Ipsos Mori, </w:t>
      </w:r>
      <w:r>
        <w:t xml:space="preserve">2014, </w:t>
      </w:r>
      <w:r w:rsidRPr="00854A65">
        <w:rPr>
          <w:i/>
        </w:rPr>
        <w:t>Global Trends Survey,</w:t>
      </w:r>
      <w:r w:rsidRPr="00854A65">
        <w:t xml:space="preserve"> </w:t>
      </w:r>
      <w:r>
        <w:t>s</w:t>
      </w:r>
      <w:r w:rsidRPr="00854A65">
        <w:t xml:space="preserve">ee: </w:t>
      </w:r>
      <w:hyperlink r:id="rId61" w:history="1">
        <w:r w:rsidRPr="00854A65">
          <w:rPr>
            <w:rStyle w:val="Hyperlink"/>
            <w:color w:val="auto"/>
            <w:u w:val="none"/>
          </w:rPr>
          <w:t>http://bit.ly/1RGHLvG</w:t>
        </w:r>
      </w:hyperlink>
      <w:r w:rsidRPr="00854A65">
        <w:t>.</w:t>
      </w:r>
      <w:r>
        <w:t xml:space="preserve"> </w:t>
      </w:r>
    </w:p>
  </w:footnote>
  <w:footnote w:id="261">
    <w:p w14:paraId="14966EB7" w14:textId="68F15E80"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EC</w:t>
      </w:r>
      <w:r w:rsidRPr="00854A65">
        <w:rPr>
          <w:rFonts w:cstheme="minorHAnsi"/>
        </w:rPr>
        <w:t xml:space="preserve">, </w:t>
      </w:r>
      <w:r>
        <w:rPr>
          <w:rFonts w:cstheme="minorHAnsi"/>
        </w:rPr>
        <w:t xml:space="preserve">2011, </w:t>
      </w:r>
      <w:r w:rsidRPr="00854A65">
        <w:rPr>
          <w:i/>
        </w:rPr>
        <w:t>Attitudes on Data Protection and Electronic Identity in the European Union</w:t>
      </w:r>
      <w:r w:rsidRPr="00854A65">
        <w:t>,</w:t>
      </w:r>
      <w:r>
        <w:t xml:space="preserve"> </w:t>
      </w:r>
      <w:r>
        <w:rPr>
          <w:rFonts w:cstheme="minorHAnsi"/>
        </w:rPr>
        <w:t>Eurobarometer</w:t>
      </w:r>
      <w:r w:rsidRPr="00854A65">
        <w:rPr>
          <w:rFonts w:cstheme="minorHAnsi"/>
        </w:rPr>
        <w:t xml:space="preserve"> 359</w:t>
      </w:r>
      <w:r>
        <w:t xml:space="preserve">, see </w:t>
      </w:r>
      <w:hyperlink r:id="rId62" w:history="1">
        <w:r w:rsidRPr="00854A65">
          <w:rPr>
            <w:rStyle w:val="Hyperlink"/>
            <w:color w:val="auto"/>
            <w:u w:val="none"/>
          </w:rPr>
          <w:t>http://bit.ly/1TjkP5t</w:t>
        </w:r>
      </w:hyperlink>
      <w:r w:rsidRPr="00854A65">
        <w:t>.</w:t>
      </w:r>
    </w:p>
  </w:footnote>
  <w:footnote w:id="262">
    <w:p w14:paraId="6A22211E" w14:textId="30FAFF71"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Econsultancy, </w:t>
      </w:r>
      <w:r>
        <w:rPr>
          <w:rFonts w:cstheme="minorHAnsi"/>
        </w:rPr>
        <w:t xml:space="preserve">2011, </w:t>
      </w:r>
      <w:r w:rsidRPr="00854A65">
        <w:rPr>
          <w:rFonts w:cstheme="minorHAnsi"/>
          <w:i/>
        </w:rPr>
        <w:t>Why Do Consumers Abandon Online Purchases?</w:t>
      </w:r>
      <w:r>
        <w:rPr>
          <w:rFonts w:cstheme="minorHAnsi"/>
        </w:rPr>
        <w:t>, see</w:t>
      </w:r>
      <w:r w:rsidRPr="00854A65">
        <w:rPr>
          <w:rFonts w:cstheme="minorHAnsi"/>
        </w:rPr>
        <w:t xml:space="preserve"> </w:t>
      </w:r>
      <w:hyperlink r:id="rId63" w:history="1">
        <w:r w:rsidRPr="00854A65">
          <w:rPr>
            <w:rStyle w:val="Hyperlink"/>
            <w:color w:val="auto"/>
            <w:u w:val="none"/>
          </w:rPr>
          <w:t>http://bit.ly/1QOoSSE</w:t>
        </w:r>
      </w:hyperlink>
      <w:r w:rsidRPr="00854A65">
        <w:rPr>
          <w:rStyle w:val="Hyperlink"/>
          <w:color w:val="auto"/>
          <w:u w:val="none"/>
        </w:rPr>
        <w:t>.</w:t>
      </w:r>
      <w:r w:rsidRPr="00854A65">
        <w:rPr>
          <w:rFonts w:cstheme="minorHAnsi"/>
        </w:rPr>
        <w:t xml:space="preserve"> </w:t>
      </w:r>
      <w:r>
        <w:rPr>
          <w:rFonts w:cstheme="minorHAnsi"/>
        </w:rPr>
        <w:t xml:space="preserve"> </w:t>
      </w:r>
    </w:p>
  </w:footnote>
  <w:footnote w:id="263">
    <w:p w14:paraId="3A5D7668" w14:textId="0FCC0FC6" w:rsidR="00D82918" w:rsidRPr="00854A65" w:rsidRDefault="00D82918" w:rsidP="00BE71E3">
      <w:pPr>
        <w:pStyle w:val="FootnoteText"/>
      </w:pPr>
      <w:r w:rsidRPr="00854A65">
        <w:rPr>
          <w:rStyle w:val="FootnoteReference"/>
        </w:rPr>
        <w:footnoteRef/>
      </w:r>
      <w:r>
        <w:t xml:space="preserve"> </w:t>
      </w:r>
      <w:r w:rsidRPr="00854A65">
        <w:t xml:space="preserve">Symantec, </w:t>
      </w:r>
      <w:r>
        <w:t xml:space="preserve">2015, </w:t>
      </w:r>
      <w:r w:rsidRPr="00854A65">
        <w:rPr>
          <w:i/>
        </w:rPr>
        <w:t>Internet Security Threat Report</w:t>
      </w:r>
      <w:r>
        <w:rPr>
          <w:i/>
        </w:rPr>
        <w:t xml:space="preserve">, </w:t>
      </w:r>
      <w:r>
        <w:t>see</w:t>
      </w:r>
      <w:r w:rsidRPr="00854A65">
        <w:t xml:space="preserve"> </w:t>
      </w:r>
      <w:hyperlink r:id="rId64" w:history="1">
        <w:r w:rsidRPr="00854A65">
          <w:rPr>
            <w:rStyle w:val="Hyperlink"/>
            <w:color w:val="auto"/>
            <w:u w:val="none"/>
          </w:rPr>
          <w:t>http://symc.ly/1Klmlm7</w:t>
        </w:r>
      </w:hyperlink>
      <w:r w:rsidRPr="00854A65">
        <w:rPr>
          <w:rStyle w:val="Hyperlink"/>
          <w:color w:val="auto"/>
          <w:u w:val="none"/>
        </w:rPr>
        <w:t>.</w:t>
      </w:r>
      <w:r w:rsidRPr="00854A65">
        <w:t xml:space="preserve">  </w:t>
      </w:r>
    </w:p>
  </w:footnote>
  <w:footnote w:id="264">
    <w:p w14:paraId="2E944CF3" w14:textId="14CCA942" w:rsidR="00D82918" w:rsidRPr="00854A65" w:rsidRDefault="00D82918" w:rsidP="00BE71E3">
      <w:pPr>
        <w:pStyle w:val="FootnoteText"/>
        <w:rPr>
          <w:rFonts w:cstheme="minorHAnsi"/>
        </w:rPr>
      </w:pPr>
      <w:r w:rsidRPr="00854A65">
        <w:rPr>
          <w:rStyle w:val="FootnoteReference"/>
        </w:rPr>
        <w:footnoteRef/>
      </w:r>
      <w:r>
        <w:t xml:space="preserve"> AM </w:t>
      </w:r>
      <w:r w:rsidRPr="00854A65">
        <w:t xml:space="preserve">MacDonald and </w:t>
      </w:r>
      <w:r>
        <w:t xml:space="preserve">L. </w:t>
      </w:r>
      <w:r w:rsidRPr="00854A65">
        <w:t xml:space="preserve">Cranor, </w:t>
      </w:r>
      <w:r>
        <w:t>2008, The cost of reading privacy p</w:t>
      </w:r>
      <w:r w:rsidRPr="00F411F4">
        <w:t>olicies</w:t>
      </w:r>
      <w:r w:rsidRPr="00854A65">
        <w:rPr>
          <w:i/>
        </w:rPr>
        <w:t xml:space="preserve">, </w:t>
      </w:r>
      <w:r w:rsidRPr="00F411F4">
        <w:rPr>
          <w:i/>
        </w:rPr>
        <w:t xml:space="preserve">I/S: A Journal of Law and Policy for the </w:t>
      </w:r>
      <w:r w:rsidRPr="00F411F4">
        <w:rPr>
          <w:rFonts w:cstheme="minorHAnsi"/>
          <w:i/>
        </w:rPr>
        <w:t>Information Society</w:t>
      </w:r>
      <w:r>
        <w:rPr>
          <w:rFonts w:cstheme="minorHAnsi"/>
        </w:rPr>
        <w:t>, see</w:t>
      </w:r>
      <w:r w:rsidRPr="00854A65">
        <w:rPr>
          <w:rFonts w:cstheme="minorHAnsi"/>
        </w:rPr>
        <w:t xml:space="preserve"> </w:t>
      </w:r>
      <w:hyperlink r:id="rId65" w:history="1">
        <w:r w:rsidRPr="00854A65">
          <w:rPr>
            <w:rStyle w:val="Hyperlink"/>
            <w:color w:val="auto"/>
            <w:u w:val="none"/>
          </w:rPr>
          <w:t>http://www.is-journal.org</w:t>
        </w:r>
      </w:hyperlink>
      <w:r w:rsidRPr="00854A65">
        <w:rPr>
          <w:rFonts w:cstheme="minorHAnsi"/>
        </w:rPr>
        <w:t xml:space="preserve">. </w:t>
      </w:r>
      <w:r>
        <w:rPr>
          <w:rFonts w:cstheme="minorHAnsi"/>
        </w:rPr>
        <w:t>The a</w:t>
      </w:r>
      <w:r w:rsidRPr="00854A65">
        <w:rPr>
          <w:rFonts w:cstheme="minorHAnsi"/>
        </w:rPr>
        <w:t xml:space="preserve">nalysis calculated that it would take 76 working days to read every privacy policy an internet user encounters in the course of a year. </w:t>
      </w:r>
    </w:p>
  </w:footnote>
  <w:footnote w:id="265">
    <w:p w14:paraId="0A58BF9A" w14:textId="2FD42AB3" w:rsidR="00D82918" w:rsidRPr="00854A65" w:rsidRDefault="00D82918" w:rsidP="00BE71E3">
      <w:pPr>
        <w:pStyle w:val="FootnoteText"/>
      </w:pPr>
      <w:r w:rsidRPr="00854A65">
        <w:rPr>
          <w:rStyle w:val="FootnoteReference"/>
          <w:rFonts w:cstheme="minorHAnsi"/>
        </w:rPr>
        <w:footnoteRef/>
      </w:r>
      <w:r>
        <w:rPr>
          <w:rFonts w:cstheme="minorHAnsi"/>
        </w:rPr>
        <w:t xml:space="preserve"> Analysis in the United Kingdom of Great Britain and Northern Ireland found 43 percent</w:t>
      </w:r>
      <w:r w:rsidRPr="00854A65">
        <w:rPr>
          <w:rFonts w:cstheme="minorHAnsi"/>
        </w:rPr>
        <w:t xml:space="preserve"> of the adult English population would not be able to understand Google’s 20</w:t>
      </w:r>
      <w:r>
        <w:rPr>
          <w:rFonts w:cstheme="minorHAnsi"/>
        </w:rPr>
        <w:t>13 terms and conditions. See E</w:t>
      </w:r>
      <w:r w:rsidRPr="00854A65">
        <w:rPr>
          <w:rFonts w:cstheme="minorHAnsi"/>
        </w:rPr>
        <w:t xml:space="preserve"> Luger</w:t>
      </w:r>
      <w:r>
        <w:rPr>
          <w:rFonts w:cstheme="minorHAnsi"/>
        </w:rPr>
        <w:t xml:space="preserve"> et al</w:t>
      </w:r>
      <w:r w:rsidRPr="00854A65">
        <w:rPr>
          <w:rFonts w:cstheme="minorHAnsi"/>
        </w:rPr>
        <w:t xml:space="preserve">, </w:t>
      </w:r>
      <w:r>
        <w:rPr>
          <w:rFonts w:cstheme="minorHAnsi"/>
        </w:rPr>
        <w:t xml:space="preserve">2013, </w:t>
      </w:r>
      <w:r>
        <w:t>Consent for all: Revealing the hidden complexity of terms and c</w:t>
      </w:r>
      <w:r w:rsidRPr="00F411F4">
        <w:t>onditions</w:t>
      </w:r>
      <w:r w:rsidRPr="00854A65">
        <w:t xml:space="preserve">, </w:t>
      </w:r>
      <w:r w:rsidRPr="00854A65">
        <w:rPr>
          <w:shd w:val="clear" w:color="auto" w:fill="FFFFFF"/>
        </w:rPr>
        <w:t>proceedings of the SIGCHI Conference on Human Factors in Computing Systems,</w:t>
      </w:r>
      <w:r>
        <w:rPr>
          <w:shd w:val="clear" w:color="auto" w:fill="FFFFFF"/>
        </w:rPr>
        <w:t xml:space="preserve"> s</w:t>
      </w:r>
      <w:r w:rsidRPr="00854A65">
        <w:rPr>
          <w:shd w:val="clear" w:color="auto" w:fill="FFFFFF"/>
        </w:rPr>
        <w:t xml:space="preserve">ee: </w:t>
      </w:r>
      <w:hyperlink r:id="rId66" w:history="1">
        <w:r w:rsidRPr="00854A65">
          <w:rPr>
            <w:rStyle w:val="Hyperlink"/>
            <w:color w:val="auto"/>
            <w:u w:val="none"/>
            <w:shd w:val="clear" w:color="auto" w:fill="FFFFFF"/>
          </w:rPr>
          <w:t>http://bit.ly/1QhHv0C</w:t>
        </w:r>
      </w:hyperlink>
      <w:r w:rsidRPr="00854A65">
        <w:rPr>
          <w:shd w:val="clear" w:color="auto" w:fill="FFFFFF"/>
        </w:rPr>
        <w:t>.</w:t>
      </w:r>
      <w:r>
        <w:rPr>
          <w:shd w:val="clear" w:color="auto" w:fill="FFFFFF"/>
        </w:rPr>
        <w:t xml:space="preserve"> </w:t>
      </w:r>
    </w:p>
  </w:footnote>
  <w:footnote w:id="266">
    <w:p w14:paraId="09BB28B4" w14:textId="605A71DC"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J</w:t>
      </w:r>
      <w:r w:rsidRPr="00854A65">
        <w:rPr>
          <w:rFonts w:cstheme="minorHAnsi"/>
        </w:rPr>
        <w:t xml:space="preserve"> Turow</w:t>
      </w:r>
      <w:r>
        <w:rPr>
          <w:rFonts w:cstheme="minorHAnsi"/>
        </w:rPr>
        <w:t xml:space="preserve"> et al, 2015, </w:t>
      </w:r>
      <w:r w:rsidRPr="00854A65">
        <w:rPr>
          <w:rFonts w:cstheme="minorHAnsi"/>
          <w:i/>
        </w:rPr>
        <w:t xml:space="preserve">The Trade-Off Fallacy </w:t>
      </w:r>
      <w:r>
        <w:rPr>
          <w:rFonts w:cstheme="minorHAnsi"/>
        </w:rPr>
        <w:t>(</w:t>
      </w:r>
      <w:r w:rsidRPr="00854A65">
        <w:rPr>
          <w:rFonts w:cstheme="minorHAnsi"/>
        </w:rPr>
        <w:t>Annenberg School for Communication, U</w:t>
      </w:r>
      <w:r>
        <w:rPr>
          <w:rFonts w:cstheme="minorHAnsi"/>
        </w:rPr>
        <w:t>niversity of Pennsylvania), see</w:t>
      </w:r>
      <w:r w:rsidRPr="00854A65">
        <w:rPr>
          <w:rFonts w:cstheme="minorHAnsi"/>
        </w:rPr>
        <w:t xml:space="preserve"> </w:t>
      </w:r>
      <w:hyperlink r:id="rId67" w:history="1">
        <w:r w:rsidRPr="00854A65">
          <w:rPr>
            <w:rStyle w:val="Hyperlink"/>
            <w:color w:val="auto"/>
            <w:u w:val="none"/>
          </w:rPr>
          <w:t>http://bit.ly/1F4S958</w:t>
        </w:r>
      </w:hyperlink>
      <w:r w:rsidRPr="00854A65">
        <w:rPr>
          <w:rStyle w:val="Hyperlink"/>
          <w:color w:val="auto"/>
          <w:u w:val="none"/>
        </w:rPr>
        <w:t>.</w:t>
      </w:r>
      <w:r w:rsidRPr="00854A65">
        <w:rPr>
          <w:rFonts w:cstheme="minorHAnsi"/>
        </w:rPr>
        <w:t xml:space="preserve"> </w:t>
      </w:r>
    </w:p>
  </w:footnote>
  <w:footnote w:id="267">
    <w:p w14:paraId="6C1525E1" w14:textId="7F38FD47" w:rsidR="00D82918" w:rsidRPr="00854A65" w:rsidRDefault="00D82918" w:rsidP="00BE71E3">
      <w:pPr>
        <w:pStyle w:val="FootnoteText"/>
      </w:pPr>
      <w:r w:rsidRPr="00854A65">
        <w:rPr>
          <w:rStyle w:val="FootnoteReference"/>
        </w:rPr>
        <w:footnoteRef/>
      </w:r>
      <w:r>
        <w:t xml:space="preserve"> </w:t>
      </w:r>
      <w:r w:rsidRPr="00854A65">
        <w:t>Ipsos Mori,</w:t>
      </w:r>
      <w:r>
        <w:t xml:space="preserve"> 2014,</w:t>
      </w:r>
      <w:r w:rsidRPr="00854A65">
        <w:t xml:space="preserve"> </w:t>
      </w:r>
      <w:r w:rsidRPr="00854A65">
        <w:rPr>
          <w:i/>
          <w:iCs/>
        </w:rPr>
        <w:t>Glo</w:t>
      </w:r>
      <w:r>
        <w:rPr>
          <w:i/>
          <w:iCs/>
        </w:rPr>
        <w:t>bal Trends Survey 2014</w:t>
      </w:r>
      <w:r>
        <w:rPr>
          <w:iCs/>
        </w:rPr>
        <w:t>,</w:t>
      </w:r>
      <w:r>
        <w:t xml:space="preserve"> s</w:t>
      </w:r>
      <w:r w:rsidRPr="00854A65">
        <w:t xml:space="preserve">ee: </w:t>
      </w:r>
      <w:hyperlink r:id="rId68" w:history="1">
        <w:r w:rsidRPr="00854A65">
          <w:rPr>
            <w:rStyle w:val="Hyperlink"/>
            <w:color w:val="auto"/>
            <w:u w:val="none"/>
          </w:rPr>
          <w:t>http://bit.ly/1RGHLvG</w:t>
        </w:r>
      </w:hyperlink>
      <w:r w:rsidRPr="00854A65">
        <w:rPr>
          <w:rStyle w:val="Hyperlink"/>
          <w:color w:val="auto"/>
          <w:u w:val="none"/>
        </w:rPr>
        <w:t>.</w:t>
      </w:r>
      <w:r>
        <w:rPr>
          <w:rStyle w:val="Hyperlink"/>
          <w:color w:val="auto"/>
          <w:u w:val="none"/>
        </w:rPr>
        <w:t xml:space="preserve"> </w:t>
      </w:r>
    </w:p>
  </w:footnote>
  <w:footnote w:id="268">
    <w:p w14:paraId="025B1431" w14:textId="349ED56D" w:rsidR="00D82918" w:rsidRPr="00854A65" w:rsidRDefault="00D82918" w:rsidP="00BE71E3">
      <w:pPr>
        <w:pStyle w:val="FootnoteText"/>
        <w:rPr>
          <w:rFonts w:cstheme="minorHAnsi"/>
        </w:rPr>
      </w:pPr>
      <w:r w:rsidRPr="00854A65">
        <w:rPr>
          <w:rStyle w:val="FootnoteReference"/>
          <w:rFonts w:cstheme="minorHAnsi"/>
        </w:rPr>
        <w:footnoteRef/>
      </w:r>
      <w:r>
        <w:rPr>
          <w:rFonts w:cstheme="minorHAnsi"/>
        </w:rPr>
        <w:t xml:space="preserve"> </w:t>
      </w:r>
      <w:r w:rsidRPr="00854A65">
        <w:rPr>
          <w:rFonts w:cstheme="minorHAnsi"/>
        </w:rPr>
        <w:t xml:space="preserve">World Economic Forum, </w:t>
      </w:r>
      <w:r>
        <w:rPr>
          <w:rFonts w:cstheme="minorHAnsi"/>
        </w:rPr>
        <w:t xml:space="preserve">2012, </w:t>
      </w:r>
      <w:r w:rsidRPr="00854A65">
        <w:rPr>
          <w:rFonts w:cstheme="minorHAnsi"/>
          <w:i/>
        </w:rPr>
        <w:t>Rethinking Personal Data: Strengthening Trust</w:t>
      </w:r>
      <w:r w:rsidRPr="00854A65">
        <w:rPr>
          <w:rFonts w:cstheme="minorHAnsi"/>
        </w:rPr>
        <w:t xml:space="preserve">, </w:t>
      </w:r>
      <w:r>
        <w:rPr>
          <w:rFonts w:cstheme="minorHAnsi"/>
        </w:rPr>
        <w:t>s</w:t>
      </w:r>
      <w:r w:rsidRPr="00854A65">
        <w:rPr>
          <w:rFonts w:cstheme="minorHAnsi"/>
        </w:rPr>
        <w:t xml:space="preserve">ee: </w:t>
      </w:r>
      <w:hyperlink r:id="rId69" w:history="1">
        <w:r w:rsidRPr="00854A65">
          <w:rPr>
            <w:rStyle w:val="Hyperlink"/>
            <w:color w:val="auto"/>
            <w:u w:val="none"/>
          </w:rPr>
          <w:t>http://bit.ly/1XEMyMQ</w:t>
        </w:r>
      </w:hyperlink>
      <w:r w:rsidRPr="00854A65">
        <w:rPr>
          <w:rStyle w:val="Hyperlink"/>
          <w:color w:val="auto"/>
          <w:u w:val="none"/>
        </w:rPr>
        <w:t>.</w:t>
      </w:r>
      <w:r w:rsidRPr="00854A65">
        <w:rPr>
          <w:rFonts w:cstheme="minorHAnsi"/>
        </w:rPr>
        <w:t xml:space="preserve"> </w:t>
      </w:r>
    </w:p>
  </w:footnote>
  <w:footnote w:id="269">
    <w:p w14:paraId="7B223B31" w14:textId="16FA1D0A" w:rsidR="00D82918" w:rsidRPr="00854A65" w:rsidRDefault="00D82918" w:rsidP="00BE71E3">
      <w:pPr>
        <w:pStyle w:val="FootnoteText"/>
      </w:pPr>
      <w:r w:rsidRPr="00854A65">
        <w:rPr>
          <w:rStyle w:val="FootnoteReference"/>
        </w:rPr>
        <w:footnoteRef/>
      </w:r>
      <w:r>
        <w:t xml:space="preserve"> </w:t>
      </w:r>
      <w:r w:rsidRPr="00854A65">
        <w:t xml:space="preserve">Consumers International, </w:t>
      </w:r>
      <w:r>
        <w:t xml:space="preserve">2015, </w:t>
      </w:r>
      <w:r w:rsidRPr="00854A65">
        <w:rPr>
          <w:i/>
        </w:rPr>
        <w:t>Stat</w:t>
      </w:r>
      <w:r>
        <w:rPr>
          <w:i/>
        </w:rPr>
        <w:t>e of Consumer Protection Survey</w:t>
      </w:r>
      <w:r w:rsidRPr="00854A65">
        <w:t xml:space="preserve"> </w:t>
      </w:r>
      <w:r w:rsidRPr="00854A65">
        <w:rPr>
          <w:i/>
          <w:iCs/>
        </w:rPr>
        <w:t>2014-15</w:t>
      </w:r>
      <w:r w:rsidRPr="00854A65">
        <w:t>.</w:t>
      </w:r>
    </w:p>
  </w:footnote>
  <w:footnote w:id="270">
    <w:p w14:paraId="6B45CB20" w14:textId="6CBCB0DD" w:rsidR="00D82918" w:rsidRPr="00854A65" w:rsidRDefault="00D82918" w:rsidP="00BE71E3">
      <w:pPr>
        <w:pStyle w:val="FootnoteText"/>
      </w:pPr>
      <w:r w:rsidRPr="00854A65">
        <w:rPr>
          <w:rStyle w:val="FootnoteReference"/>
        </w:rPr>
        <w:footnoteRef/>
      </w:r>
      <w:r>
        <w:t xml:space="preserve"> M</w:t>
      </w:r>
      <w:r w:rsidRPr="00854A65">
        <w:t xml:space="preserve"> Panzera, </w:t>
      </w:r>
      <w:r>
        <w:t>2013, Talking points regarding data s</w:t>
      </w:r>
      <w:r w:rsidRPr="00F411F4">
        <w:t>ecurity</w:t>
      </w:r>
      <w:r w:rsidRPr="00854A65">
        <w:rPr>
          <w:i/>
        </w:rPr>
        <w:t>,</w:t>
      </w:r>
      <w:r w:rsidRPr="00854A65">
        <w:t xml:space="preserve"> International Forum on Justice and Consumer Rights</w:t>
      </w:r>
      <w:r>
        <w:t xml:space="preserve"> (</w:t>
      </w:r>
      <w:r w:rsidRPr="00854A65">
        <w:t>Wuhan</w:t>
      </w:r>
      <w:r>
        <w:t>,</w:t>
      </w:r>
      <w:r w:rsidRPr="00854A65">
        <w:t xml:space="preserve"> China</w:t>
      </w:r>
      <w:r>
        <w:t>). The principles are</w:t>
      </w:r>
      <w:r w:rsidRPr="00854A65">
        <w:t xml:space="preserve">: </w:t>
      </w:r>
      <w:r w:rsidRPr="00854A65">
        <w:rPr>
          <w:rFonts w:cstheme="minorHAnsi"/>
        </w:rPr>
        <w:t>notice/awareness, choice/consent, access/pa</w:t>
      </w:r>
      <w:r>
        <w:rPr>
          <w:rFonts w:cstheme="minorHAnsi"/>
        </w:rPr>
        <w:t>rticipation, integrity/security and enforcement</w:t>
      </w:r>
      <w:r w:rsidRPr="00854A65">
        <w:rPr>
          <w:rFonts w:cstheme="minorHAnsi"/>
        </w:rPr>
        <w:t>/redress.</w:t>
      </w:r>
    </w:p>
  </w:footnote>
  <w:footnote w:id="271">
    <w:p w14:paraId="6F8E72FF" w14:textId="229843CE" w:rsidR="00D82918" w:rsidRPr="00854A65" w:rsidRDefault="00D82918" w:rsidP="007F2C21">
      <w:pPr>
        <w:widowControl w:val="0"/>
        <w:tabs>
          <w:tab w:val="left" w:pos="220"/>
          <w:tab w:val="left" w:pos="720"/>
        </w:tabs>
        <w:autoSpaceDE w:val="0"/>
        <w:autoSpaceDN w:val="0"/>
        <w:adjustRightInd w:val="0"/>
        <w:spacing w:after="0"/>
        <w:rPr>
          <w:rFonts w:ascii="Calibri" w:hAnsi="Calibri" w:cs="Times"/>
          <w:sz w:val="20"/>
          <w:szCs w:val="20"/>
        </w:rPr>
      </w:pPr>
      <w:r w:rsidRPr="00854A65">
        <w:rPr>
          <w:rStyle w:val="FootnoteReference"/>
          <w:sz w:val="20"/>
          <w:szCs w:val="20"/>
        </w:rPr>
        <w:footnoteRef/>
      </w:r>
      <w:r>
        <w:rPr>
          <w:sz w:val="20"/>
          <w:szCs w:val="20"/>
        </w:rPr>
        <w:t xml:space="preserve"> </w:t>
      </w:r>
      <w:r w:rsidRPr="00854A65">
        <w:rPr>
          <w:sz w:val="20"/>
          <w:szCs w:val="20"/>
        </w:rPr>
        <w:t>UNCTAD</w:t>
      </w:r>
      <w:r>
        <w:rPr>
          <w:sz w:val="20"/>
          <w:szCs w:val="20"/>
        </w:rPr>
        <w:t>,</w:t>
      </w:r>
      <w:r w:rsidRPr="00854A65">
        <w:rPr>
          <w:sz w:val="20"/>
          <w:szCs w:val="20"/>
        </w:rPr>
        <w:t xml:space="preserve"> 2016, </w:t>
      </w:r>
      <w:r w:rsidRPr="00F411F4">
        <w:rPr>
          <w:sz w:val="20"/>
          <w:szCs w:val="20"/>
        </w:rPr>
        <w:t>op. cit.</w:t>
      </w:r>
      <w:r w:rsidRPr="00854A65">
        <w:rPr>
          <w:i/>
          <w:sz w:val="20"/>
          <w:szCs w:val="20"/>
        </w:rPr>
        <w:t xml:space="preserve"> </w:t>
      </w:r>
      <w:r w:rsidRPr="00854A65">
        <w:rPr>
          <w:rFonts w:ascii="Calibri" w:hAnsi="Calibri" w:cs="Times"/>
          <w:sz w:val="20"/>
          <w:szCs w:val="20"/>
        </w:rPr>
        <w:t>The principles are chiefly drawn from the European Union Data Protection Directive, the OECD Privacy Guidelines and the Council</w:t>
      </w:r>
      <w:r>
        <w:rPr>
          <w:rFonts w:ascii="Calibri" w:hAnsi="Calibri" w:cs="Times"/>
          <w:sz w:val="20"/>
          <w:szCs w:val="20"/>
        </w:rPr>
        <w:t xml:space="preserve"> of Europe Convention 108. The “order” and “terminology”</w:t>
      </w:r>
      <w:r w:rsidRPr="00854A65">
        <w:rPr>
          <w:rFonts w:ascii="Calibri" w:hAnsi="Calibri" w:cs="Times"/>
          <w:sz w:val="20"/>
          <w:szCs w:val="20"/>
        </w:rPr>
        <w:t xml:space="preserve"> is a modified version of the work on </w:t>
      </w:r>
      <w:r>
        <w:rPr>
          <w:rFonts w:ascii="Calibri" w:hAnsi="Calibri" w:cs="Times"/>
          <w:sz w:val="20"/>
          <w:szCs w:val="20"/>
        </w:rPr>
        <w:t>this issue by Graham Greenleaf. See for example “</w:t>
      </w:r>
      <w:r w:rsidRPr="00854A65">
        <w:rPr>
          <w:rFonts w:ascii="Calibri" w:hAnsi="Calibri" w:cs="Times"/>
          <w:sz w:val="20"/>
          <w:szCs w:val="20"/>
        </w:rPr>
        <w:t>Standards by wh</w:t>
      </w:r>
      <w:r>
        <w:rPr>
          <w:rFonts w:ascii="Calibri" w:hAnsi="Calibri" w:cs="Times"/>
          <w:sz w:val="20"/>
          <w:szCs w:val="20"/>
        </w:rPr>
        <w:t>ich to assess data privacy laws”</w:t>
      </w:r>
      <w:r w:rsidRPr="00854A65">
        <w:rPr>
          <w:rFonts w:ascii="Calibri" w:hAnsi="Calibri" w:cs="Times"/>
          <w:sz w:val="20"/>
          <w:szCs w:val="20"/>
        </w:rPr>
        <w:t xml:space="preserve"> in </w:t>
      </w:r>
      <w:r>
        <w:rPr>
          <w:rFonts w:ascii="Calibri" w:hAnsi="Calibri" w:cs="Times"/>
          <w:sz w:val="20"/>
          <w:szCs w:val="20"/>
        </w:rPr>
        <w:t>G. Greenleaf, 2014,</w:t>
      </w:r>
      <w:r w:rsidRPr="00854A65">
        <w:rPr>
          <w:rFonts w:ascii="Calibri" w:hAnsi="Calibri" w:cs="Times"/>
          <w:sz w:val="20"/>
          <w:szCs w:val="20"/>
        </w:rPr>
        <w:t xml:space="preserve"> </w:t>
      </w:r>
      <w:r>
        <w:rPr>
          <w:rFonts w:ascii="Calibri" w:hAnsi="Calibri" w:cs="Times"/>
          <w:i/>
          <w:iCs/>
          <w:sz w:val="20"/>
          <w:szCs w:val="20"/>
        </w:rPr>
        <w:t>Asian Data Privacy Laws</w:t>
      </w:r>
      <w:r w:rsidRPr="00854A65">
        <w:rPr>
          <w:rFonts w:ascii="Calibri" w:hAnsi="Calibri" w:cs="Times"/>
          <w:i/>
          <w:iCs/>
          <w:sz w:val="20"/>
          <w:szCs w:val="20"/>
        </w:rPr>
        <w:t xml:space="preserve"> </w:t>
      </w:r>
      <w:r>
        <w:rPr>
          <w:rFonts w:ascii="Calibri" w:hAnsi="Calibri" w:cs="Times"/>
          <w:iCs/>
          <w:sz w:val="20"/>
          <w:szCs w:val="20"/>
        </w:rPr>
        <w:t>(</w:t>
      </w:r>
      <w:r w:rsidRPr="00854A65">
        <w:rPr>
          <w:rFonts w:ascii="Calibri" w:hAnsi="Calibri" w:cs="Times"/>
          <w:sz w:val="20"/>
          <w:szCs w:val="20"/>
        </w:rPr>
        <w:t>Oxford</w:t>
      </w:r>
      <w:r>
        <w:rPr>
          <w:rFonts w:ascii="Calibri" w:hAnsi="Calibri" w:cs="Times"/>
          <w:sz w:val="20"/>
          <w:szCs w:val="20"/>
        </w:rPr>
        <w:t>)</w:t>
      </w:r>
      <w:r w:rsidRPr="00854A65">
        <w:rPr>
          <w:rFonts w:ascii="Calibri" w:hAnsi="Calibri" w:cs="Times"/>
          <w:sz w:val="20"/>
          <w:szCs w:val="20"/>
        </w:rPr>
        <w:t xml:space="preserve">. </w:t>
      </w:r>
    </w:p>
  </w:footnote>
  <w:footnote w:id="272">
    <w:p w14:paraId="46DEA1E3" w14:textId="5A87F148" w:rsidR="00D82918" w:rsidRPr="00854A65" w:rsidRDefault="00D82918" w:rsidP="007F2C21">
      <w:pPr>
        <w:pStyle w:val="FootnoteText"/>
      </w:pPr>
      <w:r w:rsidRPr="00854A65">
        <w:rPr>
          <w:rStyle w:val="FootnoteReference"/>
        </w:rPr>
        <w:footnoteRef/>
      </w:r>
      <w:r>
        <w:t xml:space="preserve"> </w:t>
      </w:r>
      <w:hyperlink r:id="rId70" w:history="1">
        <w:r w:rsidRPr="00F3283D">
          <w:rPr>
            <w:rStyle w:val="Hyperlink"/>
          </w:rPr>
          <w:t>http://unctad.org/en/PublicationsLibrary/dtlstict2016d1_en.pdf</w:t>
        </w:r>
      </w:hyperlink>
      <w:r w:rsidRPr="00854A65">
        <w:t>.</w:t>
      </w:r>
      <w:r>
        <w:t xml:space="preserve"> </w:t>
      </w:r>
    </w:p>
  </w:footnote>
  <w:footnote w:id="273">
    <w:p w14:paraId="65F5680A" w14:textId="77777777" w:rsidR="00D82918" w:rsidRPr="00854A65" w:rsidRDefault="00D82918" w:rsidP="00BE71E3">
      <w:pPr>
        <w:pStyle w:val="FootnoteText"/>
      </w:pPr>
      <w:r w:rsidRPr="00854A65">
        <w:rPr>
          <w:rStyle w:val="FootnoteReference"/>
        </w:rPr>
        <w:footnoteRef/>
      </w:r>
      <w:r>
        <w:t xml:space="preserve"> </w:t>
      </w:r>
      <w:r w:rsidRPr="00854A65">
        <w:t xml:space="preserve">UNCTAD, 2016, </w:t>
      </w:r>
      <w:r w:rsidRPr="00F411F4">
        <w:t>op. cit.</w:t>
      </w:r>
    </w:p>
  </w:footnote>
  <w:footnote w:id="274">
    <w:p w14:paraId="12A53B07" w14:textId="4D2DAEE0" w:rsidR="00D82918" w:rsidRPr="00854A65" w:rsidRDefault="00D82918" w:rsidP="00B37EDD">
      <w:pPr>
        <w:spacing w:after="0"/>
        <w:rPr>
          <w:sz w:val="20"/>
          <w:szCs w:val="20"/>
        </w:rPr>
      </w:pPr>
      <w:r w:rsidRPr="00854A65">
        <w:rPr>
          <w:rStyle w:val="FootnoteReference"/>
          <w:sz w:val="20"/>
          <w:szCs w:val="20"/>
        </w:rPr>
        <w:footnoteRef/>
      </w:r>
      <w:r>
        <w:rPr>
          <w:sz w:val="20"/>
          <w:szCs w:val="20"/>
        </w:rPr>
        <w:t xml:space="preserve"> </w:t>
      </w:r>
      <w:r w:rsidRPr="00854A65">
        <w:rPr>
          <w:sz w:val="20"/>
          <w:szCs w:val="20"/>
        </w:rPr>
        <w:t xml:space="preserve">Article 29, Data Protection Working Party, 16/EN 238 Opinion 1/2016 on the EU-US Privacy Shield Draft Adequacy Decision, April 13 2016. </w:t>
      </w:r>
      <w:hyperlink r:id="rId71" w:history="1">
        <w:r w:rsidRPr="00854A65">
          <w:rPr>
            <w:rStyle w:val="Hyperlink"/>
            <w:color w:val="auto"/>
            <w:sz w:val="20"/>
            <w:szCs w:val="20"/>
            <w:u w:val="none"/>
          </w:rPr>
          <w:t>http://ec.europa.eu/justice/data-protection/index_en.htm</w:t>
        </w:r>
      </w:hyperlink>
      <w:r w:rsidRPr="00854A65">
        <w:rPr>
          <w:rStyle w:val="Hyperlink"/>
          <w:color w:val="auto"/>
          <w:sz w:val="20"/>
          <w:szCs w:val="20"/>
          <w:u w:val="none"/>
        </w:rPr>
        <w:t>.</w:t>
      </w:r>
      <w:r w:rsidRPr="00854A65">
        <w:rPr>
          <w:sz w:val="20"/>
          <w:szCs w:val="20"/>
        </w:rPr>
        <w:t xml:space="preserve"> </w:t>
      </w:r>
      <w:r>
        <w:rPr>
          <w:sz w:val="20"/>
          <w:szCs w:val="20"/>
        </w:rPr>
        <w:t xml:space="preserve"> </w:t>
      </w:r>
    </w:p>
  </w:footnote>
  <w:footnote w:id="275">
    <w:p w14:paraId="67D62487" w14:textId="149AABB1" w:rsidR="00D82918" w:rsidRPr="00854A65" w:rsidRDefault="00D82918" w:rsidP="00AC2C14">
      <w:pPr>
        <w:spacing w:after="0"/>
        <w:rPr>
          <w:sz w:val="20"/>
          <w:szCs w:val="20"/>
        </w:rPr>
      </w:pPr>
      <w:r w:rsidRPr="00854A65">
        <w:rPr>
          <w:rStyle w:val="FootnoteReference"/>
          <w:sz w:val="20"/>
          <w:szCs w:val="20"/>
        </w:rPr>
        <w:footnoteRef/>
      </w:r>
      <w:r>
        <w:rPr>
          <w:sz w:val="20"/>
          <w:szCs w:val="20"/>
        </w:rPr>
        <w:t xml:space="preserve"> </w:t>
      </w:r>
      <w:r w:rsidRPr="00854A65">
        <w:rPr>
          <w:sz w:val="20"/>
          <w:szCs w:val="20"/>
        </w:rPr>
        <w:t>Transatlantic Consumer Dialogue,</w:t>
      </w:r>
      <w:r>
        <w:rPr>
          <w:sz w:val="20"/>
          <w:szCs w:val="20"/>
        </w:rPr>
        <w:t xml:space="preserve"> 2016,</w:t>
      </w:r>
      <w:r w:rsidRPr="00854A65">
        <w:rPr>
          <w:sz w:val="20"/>
          <w:szCs w:val="20"/>
        </w:rPr>
        <w:t xml:space="preserve"> </w:t>
      </w:r>
      <w:r w:rsidRPr="00854A65">
        <w:rPr>
          <w:i/>
          <w:sz w:val="20"/>
          <w:szCs w:val="20"/>
        </w:rPr>
        <w:t>Resolution on th</w:t>
      </w:r>
      <w:r>
        <w:rPr>
          <w:i/>
          <w:sz w:val="20"/>
          <w:szCs w:val="20"/>
        </w:rPr>
        <w:t>e EU-US Privacy Shield Proposal</w:t>
      </w:r>
      <w:r w:rsidRPr="00854A65">
        <w:rPr>
          <w:i/>
          <w:sz w:val="20"/>
          <w:szCs w:val="20"/>
        </w:rPr>
        <w:t xml:space="preserve"> </w:t>
      </w:r>
      <w:r>
        <w:rPr>
          <w:sz w:val="20"/>
          <w:szCs w:val="20"/>
        </w:rPr>
        <w:t xml:space="preserve">(7 </w:t>
      </w:r>
      <w:r w:rsidRPr="00854A65">
        <w:rPr>
          <w:sz w:val="20"/>
          <w:szCs w:val="20"/>
        </w:rPr>
        <w:t>April</w:t>
      </w:r>
      <w:r>
        <w:rPr>
          <w:sz w:val="20"/>
          <w:szCs w:val="20"/>
        </w:rPr>
        <w:t>).</w:t>
      </w:r>
    </w:p>
  </w:footnote>
  <w:footnote w:id="276">
    <w:p w14:paraId="1D443699" w14:textId="77777777" w:rsidR="00D82918" w:rsidRPr="00854A65" w:rsidRDefault="00D82918" w:rsidP="00AC2C14">
      <w:pPr>
        <w:pStyle w:val="FootnoteText"/>
      </w:pPr>
      <w:r w:rsidRPr="00854A65">
        <w:rPr>
          <w:rStyle w:val="FootnoteReference"/>
        </w:rPr>
        <w:footnoteRef/>
      </w:r>
      <w:r w:rsidRPr="00854A65">
        <w:t xml:space="preserve"> UNCTAD, 2016, </w:t>
      </w:r>
      <w:r w:rsidRPr="00F411F4">
        <w:t>op. cit.</w:t>
      </w:r>
    </w:p>
  </w:footnote>
  <w:footnote w:id="277">
    <w:p w14:paraId="5CEF401B" w14:textId="2ED8DE28" w:rsidR="00D82918" w:rsidRPr="00854A65" w:rsidRDefault="00D82918" w:rsidP="00BE71E3">
      <w:pPr>
        <w:pStyle w:val="FootnoteText"/>
      </w:pPr>
      <w:r w:rsidRPr="00854A65">
        <w:rPr>
          <w:rStyle w:val="FootnoteReference"/>
        </w:rPr>
        <w:footnoteRef/>
      </w:r>
      <w:r>
        <w:t xml:space="preserve"> </w:t>
      </w:r>
      <w:r w:rsidRPr="00854A65">
        <w:t>The European Commission’s Special Eurobarometer 431 on Data Protection (2015), found that Europeans have widespread concerns about the consequences of their data being misused. More than two thirds of respondents who feel that they do not have complete control over their personal data say they are conce</w:t>
      </w:r>
      <w:r>
        <w:t>rned about this lack of control. See</w:t>
      </w:r>
      <w:r w:rsidRPr="00854A65">
        <w:t xml:space="preserve"> </w:t>
      </w:r>
      <w:hyperlink r:id="rId72" w:history="1">
        <w:r w:rsidRPr="00854A65">
          <w:rPr>
            <w:rStyle w:val="Hyperlink"/>
            <w:color w:val="auto"/>
            <w:u w:val="none"/>
          </w:rPr>
          <w:t>http://bit.ly/1HjvAiI</w:t>
        </w:r>
      </w:hyperlink>
      <w:r w:rsidRPr="00854A65">
        <w:t>.</w:t>
      </w:r>
      <w:r>
        <w:t xml:space="preserve"> </w:t>
      </w:r>
    </w:p>
  </w:footnote>
  <w:footnote w:id="278">
    <w:p w14:paraId="617B324F" w14:textId="060F2174" w:rsidR="00D82918" w:rsidRPr="00854A65" w:rsidRDefault="00D82918" w:rsidP="00BE71E3">
      <w:pPr>
        <w:pStyle w:val="FootnoteText"/>
      </w:pPr>
      <w:r w:rsidRPr="00854A65">
        <w:rPr>
          <w:rStyle w:val="FootnoteReference"/>
        </w:rPr>
        <w:footnoteRef/>
      </w:r>
      <w:r>
        <w:t xml:space="preserve"> </w:t>
      </w:r>
      <w:r w:rsidRPr="00854A65">
        <w:t xml:space="preserve">For more examples, see </w:t>
      </w:r>
      <w:r>
        <w:t xml:space="preserve">Citizens Advice, 2015, </w:t>
      </w:r>
      <w:r w:rsidRPr="00854A65">
        <w:rPr>
          <w:rFonts w:cstheme="minorHAnsi"/>
          <w:i/>
        </w:rPr>
        <w:t>Personal Data Empowerment: Time for a Fairer Data Deal?</w:t>
      </w:r>
      <w:r w:rsidRPr="00854A65">
        <w:rPr>
          <w:rFonts w:cstheme="minorHAnsi"/>
        </w:rPr>
        <w:t xml:space="preserve"> </w:t>
      </w:r>
      <w:r>
        <w:rPr>
          <w:rFonts w:cstheme="minorHAnsi"/>
        </w:rPr>
        <w:t>See</w:t>
      </w:r>
      <w:r w:rsidRPr="00854A65">
        <w:rPr>
          <w:rFonts w:cstheme="minorHAnsi"/>
        </w:rPr>
        <w:t xml:space="preserve"> </w:t>
      </w:r>
      <w:hyperlink r:id="rId73" w:history="1">
        <w:r w:rsidRPr="00854A65">
          <w:rPr>
            <w:rStyle w:val="Hyperlink"/>
            <w:color w:val="auto"/>
            <w:u w:val="none"/>
          </w:rPr>
          <w:t>http://bit.ly/1XtrIBG</w:t>
        </w:r>
      </w:hyperlink>
      <w:r w:rsidRPr="00854A65">
        <w:rPr>
          <w:rFonts w:cstheme="minorHAnsi"/>
        </w:rPr>
        <w:t>.</w:t>
      </w:r>
      <w:r>
        <w:rPr>
          <w:rFonts w:cstheme="minorHAnsi"/>
        </w:rPr>
        <w:t xml:space="preserve"> </w:t>
      </w:r>
    </w:p>
  </w:footnote>
  <w:footnote w:id="279">
    <w:p w14:paraId="4E45ED1F" w14:textId="3AEAFEAD" w:rsidR="00D82918" w:rsidRPr="00854A65" w:rsidRDefault="00D82918" w:rsidP="00B37EDD">
      <w:pPr>
        <w:pStyle w:val="FootnoteText"/>
        <w:rPr>
          <w:rFonts w:cstheme="minorHAnsi"/>
        </w:rPr>
      </w:pPr>
      <w:r w:rsidRPr="00854A65">
        <w:rPr>
          <w:rStyle w:val="FootnoteReference"/>
          <w:rFonts w:cstheme="minorHAnsi"/>
        </w:rPr>
        <w:footnoteRef/>
      </w:r>
      <w:r>
        <w:rPr>
          <w:rFonts w:cstheme="minorHAnsi"/>
          <w:i/>
        </w:rPr>
        <w:t xml:space="preserve"> </w:t>
      </w:r>
      <w:r>
        <w:t xml:space="preserve">Citizens Advice, 2015, </w:t>
      </w:r>
      <w:r w:rsidRPr="00854A65">
        <w:rPr>
          <w:rFonts w:cstheme="minorHAnsi"/>
          <w:i/>
        </w:rPr>
        <w:t>Personal Data Empowerment: Time for a Fairer Data Deal?</w:t>
      </w:r>
      <w:r>
        <w:rPr>
          <w:rFonts w:cstheme="minorHAnsi"/>
        </w:rPr>
        <w:t xml:space="preserve"> See</w:t>
      </w:r>
      <w:r w:rsidRPr="00854A65">
        <w:rPr>
          <w:rFonts w:cstheme="minorHAnsi"/>
        </w:rPr>
        <w:t xml:space="preserve"> </w:t>
      </w:r>
      <w:hyperlink r:id="rId74" w:history="1">
        <w:r w:rsidRPr="00854A65">
          <w:rPr>
            <w:rStyle w:val="Hyperlink"/>
            <w:color w:val="auto"/>
            <w:u w:val="none"/>
          </w:rPr>
          <w:t>http://bit.ly/1XtrIBG</w:t>
        </w:r>
      </w:hyperlink>
      <w:r w:rsidRPr="00854A65">
        <w:rPr>
          <w:rFonts w:cstheme="minorHAnsi"/>
        </w:rPr>
        <w:t>.</w:t>
      </w:r>
      <w:r>
        <w:rPr>
          <w:rFonts w:cstheme="minorHAnsi"/>
        </w:rPr>
        <w:t xml:space="preserve">  </w:t>
      </w:r>
    </w:p>
  </w:footnote>
  <w:footnote w:id="280">
    <w:p w14:paraId="6BA691BB" w14:textId="77DF4B3A" w:rsidR="00D82918" w:rsidRPr="00854A65" w:rsidRDefault="00D82918" w:rsidP="00BE71E3">
      <w:pPr>
        <w:pStyle w:val="PlainText"/>
        <w:rPr>
          <w:sz w:val="20"/>
          <w:szCs w:val="20"/>
        </w:rPr>
      </w:pPr>
      <w:r w:rsidRPr="00854A65">
        <w:rPr>
          <w:rStyle w:val="FootnoteReference"/>
          <w:sz w:val="20"/>
          <w:szCs w:val="20"/>
        </w:rPr>
        <w:footnoteRef/>
      </w:r>
      <w:r>
        <w:rPr>
          <w:sz w:val="20"/>
          <w:szCs w:val="20"/>
        </w:rPr>
        <w:t xml:space="preserve"> L</w:t>
      </w:r>
      <w:r w:rsidRPr="00854A65">
        <w:rPr>
          <w:sz w:val="20"/>
          <w:szCs w:val="20"/>
        </w:rPr>
        <w:t xml:space="preserve"> Coll,</w:t>
      </w:r>
      <w:r>
        <w:rPr>
          <w:sz w:val="20"/>
          <w:szCs w:val="20"/>
        </w:rPr>
        <w:t xml:space="preserve"> 2016,</w:t>
      </w:r>
      <w:r w:rsidRPr="00854A65">
        <w:rPr>
          <w:sz w:val="20"/>
          <w:szCs w:val="20"/>
        </w:rPr>
        <w:t xml:space="preserve"> </w:t>
      </w:r>
      <w:r>
        <w:rPr>
          <w:sz w:val="20"/>
          <w:szCs w:val="20"/>
        </w:rPr>
        <w:t>Cross-border e-commerce:</w:t>
      </w:r>
      <w:r w:rsidRPr="00F411F4">
        <w:rPr>
          <w:sz w:val="20"/>
          <w:szCs w:val="20"/>
        </w:rPr>
        <w:t xml:space="preserve"> building consumer trust in international data flows</w:t>
      </w:r>
      <w:r>
        <w:rPr>
          <w:sz w:val="20"/>
          <w:szCs w:val="20"/>
        </w:rPr>
        <w:t>, in UNCTAD,</w:t>
      </w:r>
      <w:r w:rsidRPr="00854A65">
        <w:rPr>
          <w:sz w:val="20"/>
          <w:szCs w:val="20"/>
        </w:rPr>
        <w:t xml:space="preserve"> </w:t>
      </w:r>
      <w:r>
        <w:rPr>
          <w:i/>
          <w:sz w:val="20"/>
          <w:szCs w:val="20"/>
        </w:rPr>
        <w:t>Data Protection Regulations and International Data Flows: Implications for Trade and D</w:t>
      </w:r>
      <w:r w:rsidRPr="00854A65">
        <w:rPr>
          <w:i/>
          <w:sz w:val="20"/>
          <w:szCs w:val="20"/>
        </w:rPr>
        <w:t>evelopment</w:t>
      </w:r>
      <w:r>
        <w:rPr>
          <w:sz w:val="20"/>
          <w:szCs w:val="20"/>
        </w:rPr>
        <w:t>, available at</w:t>
      </w:r>
      <w:r w:rsidRPr="00854A65">
        <w:rPr>
          <w:sz w:val="20"/>
          <w:szCs w:val="20"/>
        </w:rPr>
        <w:t xml:space="preserve"> </w:t>
      </w:r>
      <w:hyperlink r:id="rId75" w:history="1">
        <w:r w:rsidRPr="00854A65">
          <w:rPr>
            <w:rStyle w:val="Hyperlink"/>
            <w:sz w:val="20"/>
            <w:szCs w:val="20"/>
          </w:rPr>
          <w:t>http://unctad.org/en/PublicationsLibrary/dtlstict2016d1_en.pdf</w:t>
        </w:r>
      </w:hyperlink>
      <w:r w:rsidRPr="00854A65">
        <w:rPr>
          <w:sz w:val="20"/>
          <w:szCs w:val="20"/>
        </w:rPr>
        <w:t>.</w:t>
      </w:r>
    </w:p>
  </w:footnote>
  <w:footnote w:id="281">
    <w:p w14:paraId="70319A1B" w14:textId="0517AEDD" w:rsidR="00D82918" w:rsidRPr="00854A65" w:rsidRDefault="00D82918" w:rsidP="00BE71E3">
      <w:pPr>
        <w:pStyle w:val="FootnoteText"/>
      </w:pPr>
      <w:r w:rsidRPr="00854A65">
        <w:rPr>
          <w:rStyle w:val="FootnoteReference"/>
        </w:rPr>
        <w:footnoteRef/>
      </w:r>
      <w:r>
        <w:t xml:space="preserve"> </w:t>
      </w:r>
      <w:r w:rsidRPr="00854A65">
        <w:t xml:space="preserve">UNCTAD, 2016, </w:t>
      </w:r>
      <w:r w:rsidRPr="00F411F4">
        <w:t>op. cit.</w:t>
      </w:r>
    </w:p>
  </w:footnote>
  <w:footnote w:id="282">
    <w:p w14:paraId="39F202A8" w14:textId="77777777" w:rsidR="00D82918" w:rsidRPr="00854A65" w:rsidRDefault="00D82918" w:rsidP="00B37EDD">
      <w:pPr>
        <w:pStyle w:val="FootnoteText"/>
        <w:rPr>
          <w:i/>
        </w:rPr>
      </w:pPr>
      <w:r w:rsidRPr="00854A65">
        <w:rPr>
          <w:rStyle w:val="FootnoteReference"/>
        </w:rPr>
        <w:footnoteRef/>
      </w:r>
      <w:r>
        <w:t xml:space="preserve"> </w:t>
      </w:r>
      <w:r w:rsidRPr="00854A65">
        <w:t xml:space="preserve">UNCTAD, 2016, </w:t>
      </w:r>
      <w:r w:rsidRPr="00F411F4">
        <w:t>op. cit.</w:t>
      </w:r>
    </w:p>
  </w:footnote>
  <w:footnote w:id="283">
    <w:p w14:paraId="145CC2D2" w14:textId="2A0CEBE4" w:rsidR="00D82918" w:rsidRPr="00854A65" w:rsidRDefault="00D82918" w:rsidP="00BE71E3">
      <w:pPr>
        <w:pStyle w:val="FootnoteText"/>
        <w:rPr>
          <w:rFonts w:ascii="Calibri" w:hAnsi="Calibri" w:cs="Calibri"/>
        </w:rPr>
      </w:pPr>
      <w:r w:rsidRPr="00854A65">
        <w:rPr>
          <w:rStyle w:val="FootnoteReference"/>
          <w:rFonts w:ascii="Calibri" w:hAnsi="Calibri"/>
        </w:rPr>
        <w:footnoteRef/>
      </w:r>
      <w:r>
        <w:rPr>
          <w:rFonts w:ascii="Calibri" w:hAnsi="Calibri" w:cs="Calibri"/>
        </w:rPr>
        <w:t xml:space="preserve"> </w:t>
      </w:r>
      <w:r w:rsidRPr="00854A65">
        <w:rPr>
          <w:rFonts w:ascii="Calibri" w:hAnsi="Calibri" w:cs="Calibri"/>
        </w:rPr>
        <w:t xml:space="preserve">OECD, </w:t>
      </w:r>
      <w:r>
        <w:rPr>
          <w:rFonts w:ascii="Calibri" w:hAnsi="Calibri" w:cs="Calibri"/>
        </w:rPr>
        <w:t xml:space="preserve">2011, </w:t>
      </w:r>
      <w:r w:rsidRPr="00854A65">
        <w:rPr>
          <w:rFonts w:ascii="Calibri" w:hAnsi="Calibri" w:cs="Calibri"/>
          <w:i/>
        </w:rPr>
        <w:t>G20 High-Level Principles on Financial Consumer Protection</w:t>
      </w:r>
      <w:r w:rsidRPr="00854A65">
        <w:rPr>
          <w:rFonts w:ascii="Calibri" w:hAnsi="Calibri" w:cs="Calibri"/>
        </w:rPr>
        <w:t xml:space="preserve">; </w:t>
      </w:r>
      <w:r>
        <w:rPr>
          <w:rFonts w:ascii="Calibri" w:hAnsi="Calibri" w:cs="Calibri"/>
        </w:rPr>
        <w:t xml:space="preserve">World Bank, 2012, </w:t>
      </w:r>
      <w:r w:rsidRPr="00854A65">
        <w:rPr>
          <w:rFonts w:ascii="Calibri" w:hAnsi="Calibri" w:cs="Calibri"/>
          <w:i/>
        </w:rPr>
        <w:t>Good Practices for Financial Consumer Protection</w:t>
      </w:r>
      <w:r>
        <w:rPr>
          <w:rFonts w:ascii="Calibri" w:hAnsi="Calibri" w:cs="Calibri"/>
        </w:rPr>
        <w:t>;</w:t>
      </w:r>
      <w:r w:rsidRPr="00854A65">
        <w:rPr>
          <w:rFonts w:ascii="Calibri" w:hAnsi="Calibri" w:cs="Calibri"/>
        </w:rPr>
        <w:t xml:space="preserve"> G20 Financial Inclusion Experts Group</w:t>
      </w:r>
      <w:r>
        <w:rPr>
          <w:rFonts w:ascii="Calibri" w:hAnsi="Calibri" w:cs="Calibri"/>
        </w:rPr>
        <w:t xml:space="preserve">, </w:t>
      </w:r>
      <w:r w:rsidRPr="00854A65">
        <w:rPr>
          <w:rFonts w:ascii="Calibri" w:hAnsi="Calibri" w:cs="Calibri"/>
        </w:rPr>
        <w:t>Access throu</w:t>
      </w:r>
      <w:r>
        <w:rPr>
          <w:rFonts w:ascii="Calibri" w:hAnsi="Calibri" w:cs="Calibri"/>
        </w:rPr>
        <w:t>gh Innovation S</w:t>
      </w:r>
      <w:r w:rsidRPr="00854A65">
        <w:rPr>
          <w:rFonts w:ascii="Calibri" w:hAnsi="Calibri" w:cs="Calibri"/>
        </w:rPr>
        <w:t>ub-group</w:t>
      </w:r>
      <w:r>
        <w:rPr>
          <w:rFonts w:ascii="Calibri" w:hAnsi="Calibri" w:cs="Calibri"/>
        </w:rPr>
        <w:t>, 2010,</w:t>
      </w:r>
      <w:r w:rsidRPr="00854A65">
        <w:rPr>
          <w:rFonts w:ascii="Calibri" w:hAnsi="Calibri" w:cs="Calibri"/>
        </w:rPr>
        <w:t xml:space="preserve"> </w:t>
      </w:r>
      <w:r w:rsidRPr="00854A65">
        <w:rPr>
          <w:rFonts w:ascii="Calibri" w:hAnsi="Calibri" w:cs="Calibri"/>
          <w:i/>
        </w:rPr>
        <w:t>Innovative Financial Inclusion: Principles and Report</w:t>
      </w:r>
      <w:r>
        <w:rPr>
          <w:rFonts w:ascii="Calibri" w:hAnsi="Calibri" w:cs="Calibri"/>
          <w:i/>
        </w:rPr>
        <w:t>.</w:t>
      </w:r>
      <w:r w:rsidRPr="00854A65">
        <w:rPr>
          <w:rFonts w:ascii="Calibri" w:hAnsi="Calibri" w:cs="Calibri"/>
        </w:rPr>
        <w:t xml:space="preserve"> </w:t>
      </w:r>
    </w:p>
  </w:footnote>
  <w:footnote w:id="284">
    <w:p w14:paraId="45AAB952" w14:textId="491C9DEA"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I</w:t>
      </w:r>
      <w:r w:rsidRPr="00854A65">
        <w:rPr>
          <w:rFonts w:ascii="Calibri" w:hAnsi="Calibri" w:cs="Calibri"/>
        </w:rPr>
        <w:t xml:space="preserve"> Ramsay,</w:t>
      </w:r>
      <w:r>
        <w:rPr>
          <w:rFonts w:ascii="Calibri" w:hAnsi="Calibri" w:cs="Calibri"/>
        </w:rPr>
        <w:t xml:space="preserve"> 2016,</w:t>
      </w:r>
      <w:r w:rsidRPr="00854A65">
        <w:rPr>
          <w:rFonts w:ascii="Calibri" w:hAnsi="Calibri" w:cs="Calibri"/>
        </w:rPr>
        <w:t xml:space="preserve"> </w:t>
      </w:r>
      <w:r>
        <w:rPr>
          <w:rFonts w:ascii="Calibri" w:hAnsi="Calibri" w:cs="Calibri"/>
        </w:rPr>
        <w:t>Changing policy p</w:t>
      </w:r>
      <w:r w:rsidRPr="00F411F4">
        <w:rPr>
          <w:rFonts w:ascii="Calibri" w:hAnsi="Calibri" w:cs="Calibri"/>
        </w:rPr>
        <w:t xml:space="preserve">aradigms </w:t>
      </w:r>
      <w:r>
        <w:rPr>
          <w:rFonts w:ascii="Calibri" w:hAnsi="Calibri" w:cs="Calibri"/>
        </w:rPr>
        <w:t>of EU consumer credit and debt r</w:t>
      </w:r>
      <w:r w:rsidRPr="00F411F4">
        <w:rPr>
          <w:rFonts w:ascii="Calibri" w:hAnsi="Calibri" w:cs="Calibri"/>
        </w:rPr>
        <w:t>egulation</w:t>
      </w:r>
      <w:r w:rsidRPr="00854A65">
        <w:rPr>
          <w:rFonts w:ascii="Calibri" w:hAnsi="Calibri" w:cs="Calibri"/>
          <w:i/>
        </w:rPr>
        <w:t xml:space="preserve">, </w:t>
      </w:r>
      <w:r w:rsidRPr="00854A65">
        <w:rPr>
          <w:rFonts w:ascii="Calibri" w:hAnsi="Calibri" w:cs="Calibri"/>
          <w:iCs/>
        </w:rPr>
        <w:t xml:space="preserve">in </w:t>
      </w:r>
      <w:r>
        <w:rPr>
          <w:rFonts w:ascii="Calibri" w:hAnsi="Calibri" w:cs="Calibri"/>
        </w:rPr>
        <w:t>D Leczykiewicz and S</w:t>
      </w:r>
      <w:r w:rsidRPr="00854A65">
        <w:rPr>
          <w:rFonts w:ascii="Calibri" w:hAnsi="Calibri" w:cs="Calibri"/>
        </w:rPr>
        <w:t xml:space="preserve"> Weatherill</w:t>
      </w:r>
      <w:r>
        <w:rPr>
          <w:rFonts w:ascii="Calibri" w:hAnsi="Calibri" w:cs="Calibri"/>
        </w:rPr>
        <w:t xml:space="preserve"> (eds.),</w:t>
      </w:r>
      <w:r w:rsidRPr="00854A65">
        <w:rPr>
          <w:rFonts w:ascii="Calibri" w:hAnsi="Calibri" w:cs="Calibri"/>
          <w:i/>
        </w:rPr>
        <w:t xml:space="preserve"> The Image of the Consumer in EU Law</w:t>
      </w:r>
      <w:r>
        <w:rPr>
          <w:rFonts w:ascii="Calibri" w:hAnsi="Calibri" w:cs="Calibri"/>
          <w:i/>
        </w:rPr>
        <w:t xml:space="preserve"> </w:t>
      </w:r>
      <w:r>
        <w:rPr>
          <w:rFonts w:ascii="Calibri" w:hAnsi="Calibri" w:cs="Calibri"/>
        </w:rPr>
        <w:t>(</w:t>
      </w:r>
      <w:r w:rsidRPr="00854A65">
        <w:rPr>
          <w:rFonts w:ascii="Calibri" w:hAnsi="Calibri" w:cs="Calibri"/>
        </w:rPr>
        <w:t>Hart</w:t>
      </w:r>
      <w:r>
        <w:rPr>
          <w:rFonts w:ascii="Calibri" w:hAnsi="Calibri" w:cs="Calibri"/>
        </w:rPr>
        <w:t>)</w:t>
      </w:r>
      <w:r w:rsidRPr="00854A65">
        <w:rPr>
          <w:rFonts w:ascii="Calibri" w:hAnsi="Calibri" w:cs="Calibri"/>
        </w:rPr>
        <w:t>.</w:t>
      </w:r>
    </w:p>
  </w:footnote>
  <w:footnote w:id="285">
    <w:p w14:paraId="4194601F" w14:textId="5771283F" w:rsidR="00D82918" w:rsidRPr="00854A65" w:rsidRDefault="00D82918" w:rsidP="00BE71E3">
      <w:pPr>
        <w:pStyle w:val="NoSpacing"/>
        <w:jc w:val="both"/>
        <w:rPr>
          <w:rFonts w:ascii="Calibri" w:hAnsi="Calibri" w:cs="Calibri"/>
          <w:sz w:val="20"/>
          <w:szCs w:val="20"/>
        </w:rPr>
      </w:pPr>
      <w:r w:rsidRPr="00854A65">
        <w:rPr>
          <w:rStyle w:val="FootnoteReference"/>
          <w:rFonts w:cs="Calibri"/>
          <w:sz w:val="20"/>
          <w:szCs w:val="20"/>
        </w:rPr>
        <w:footnoteRef/>
      </w:r>
      <w:r>
        <w:rPr>
          <w:rFonts w:cs="Calibri"/>
          <w:sz w:val="20"/>
          <w:szCs w:val="20"/>
        </w:rPr>
        <w:t xml:space="preserve"> D</w:t>
      </w:r>
      <w:r w:rsidRPr="00854A65">
        <w:rPr>
          <w:rFonts w:cs="Calibri"/>
          <w:sz w:val="20"/>
          <w:szCs w:val="20"/>
        </w:rPr>
        <w:t xml:space="preserve"> Caplovitz,</w:t>
      </w:r>
      <w:r>
        <w:rPr>
          <w:rFonts w:cs="Calibri"/>
          <w:sz w:val="20"/>
          <w:szCs w:val="20"/>
        </w:rPr>
        <w:t xml:space="preserve"> 1963,</w:t>
      </w:r>
      <w:r w:rsidRPr="00854A65">
        <w:rPr>
          <w:rFonts w:cs="Calibri"/>
          <w:sz w:val="20"/>
          <w:szCs w:val="20"/>
        </w:rPr>
        <w:t xml:space="preserve"> </w:t>
      </w:r>
      <w:r>
        <w:rPr>
          <w:rFonts w:cs="Calibri"/>
          <w:i/>
          <w:sz w:val="20"/>
          <w:szCs w:val="20"/>
        </w:rPr>
        <w:t>The Poor Pay More</w:t>
      </w:r>
      <w:r w:rsidRPr="00854A65">
        <w:rPr>
          <w:rFonts w:cs="Calibri"/>
          <w:sz w:val="20"/>
          <w:szCs w:val="20"/>
        </w:rPr>
        <w:t xml:space="preserve"> </w:t>
      </w:r>
      <w:r>
        <w:rPr>
          <w:rFonts w:cs="Calibri"/>
          <w:sz w:val="20"/>
          <w:szCs w:val="20"/>
        </w:rPr>
        <w:t>(</w:t>
      </w:r>
      <w:r w:rsidRPr="00854A65">
        <w:rPr>
          <w:rFonts w:cs="Calibri"/>
          <w:sz w:val="20"/>
          <w:szCs w:val="20"/>
        </w:rPr>
        <w:t>New York</w:t>
      </w:r>
      <w:r>
        <w:rPr>
          <w:rFonts w:cs="Calibri"/>
          <w:sz w:val="20"/>
          <w:szCs w:val="20"/>
        </w:rPr>
        <w:t>)</w:t>
      </w:r>
      <w:r w:rsidRPr="00854A65">
        <w:rPr>
          <w:rFonts w:cs="Calibri"/>
          <w:sz w:val="20"/>
          <w:szCs w:val="20"/>
        </w:rPr>
        <w:t>.</w:t>
      </w:r>
    </w:p>
  </w:footnote>
  <w:footnote w:id="286">
    <w:p w14:paraId="74385D3A" w14:textId="0CC6B2FC"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rPr>
        <w:t xml:space="preserve"> R</w:t>
      </w:r>
      <w:r w:rsidRPr="00854A65">
        <w:rPr>
          <w:rFonts w:ascii="Calibri" w:hAnsi="Calibri"/>
        </w:rPr>
        <w:t xml:space="preserve"> Bates</w:t>
      </w:r>
      <w:r>
        <w:rPr>
          <w:rFonts w:ascii="Calibri" w:hAnsi="Calibri"/>
        </w:rPr>
        <w:t xml:space="preserve"> et al, 2008, </w:t>
      </w:r>
      <w:r w:rsidRPr="00854A65">
        <w:rPr>
          <w:rFonts w:ascii="Calibri" w:hAnsi="Calibri" w:cs="Calibri"/>
          <w:i/>
        </w:rPr>
        <w:t>Poor Choices: The Limits of Competitive Markets in the Provision of Essential S</w:t>
      </w:r>
      <w:r>
        <w:rPr>
          <w:rFonts w:ascii="Calibri" w:hAnsi="Calibri" w:cs="Calibri"/>
          <w:i/>
        </w:rPr>
        <w:t>ervices to Low Income Consumers</w:t>
      </w:r>
      <w:r w:rsidRPr="00854A65">
        <w:rPr>
          <w:rFonts w:ascii="Calibri" w:hAnsi="Calibri" w:cs="Calibri"/>
        </w:rPr>
        <w:t xml:space="preserve"> </w:t>
      </w:r>
      <w:r>
        <w:rPr>
          <w:rFonts w:ascii="Calibri" w:hAnsi="Calibri" w:cs="Calibri"/>
        </w:rPr>
        <w:t>(</w:t>
      </w:r>
      <w:r w:rsidRPr="00854A65">
        <w:rPr>
          <w:rFonts w:ascii="Calibri" w:hAnsi="Calibri" w:cs="Calibri"/>
        </w:rPr>
        <w:t>Energywatch</w:t>
      </w:r>
      <w:r>
        <w:rPr>
          <w:rFonts w:ascii="Calibri" w:hAnsi="Calibri" w:cs="Calibri"/>
        </w:rPr>
        <w:t>)</w:t>
      </w:r>
      <w:r w:rsidRPr="00854A65">
        <w:rPr>
          <w:rFonts w:ascii="Calibri" w:hAnsi="Calibri" w:cs="Calibri"/>
        </w:rPr>
        <w:t>.</w:t>
      </w:r>
    </w:p>
  </w:footnote>
  <w:footnote w:id="287">
    <w:p w14:paraId="315D5D5A" w14:textId="72009FDE" w:rsidR="00D82918" w:rsidRPr="00854A65" w:rsidRDefault="00D82918" w:rsidP="00BE71E3">
      <w:pPr>
        <w:pStyle w:val="NoSpacing"/>
        <w:rPr>
          <w:sz w:val="20"/>
          <w:szCs w:val="20"/>
        </w:rPr>
      </w:pPr>
      <w:r w:rsidRPr="00854A65">
        <w:rPr>
          <w:rStyle w:val="FootnoteReference"/>
          <w:rFonts w:ascii="Calibri" w:hAnsi="Calibri" w:cs="Calibri"/>
          <w:sz w:val="20"/>
          <w:szCs w:val="20"/>
        </w:rPr>
        <w:footnoteRef/>
      </w:r>
      <w:r>
        <w:rPr>
          <w:sz w:val="20"/>
          <w:szCs w:val="20"/>
        </w:rPr>
        <w:t xml:space="preserve"> R</w:t>
      </w:r>
      <w:r w:rsidRPr="00854A65">
        <w:rPr>
          <w:sz w:val="20"/>
          <w:szCs w:val="20"/>
        </w:rPr>
        <w:t xml:space="preserve"> Rajan, </w:t>
      </w:r>
      <w:r>
        <w:rPr>
          <w:sz w:val="20"/>
          <w:szCs w:val="20"/>
        </w:rPr>
        <w:t xml:space="preserve">2010, </w:t>
      </w:r>
      <w:r w:rsidRPr="00854A65">
        <w:rPr>
          <w:i/>
          <w:sz w:val="20"/>
          <w:szCs w:val="20"/>
        </w:rPr>
        <w:t>Fault Lines: How Hidden Fractures S</w:t>
      </w:r>
      <w:r>
        <w:rPr>
          <w:i/>
          <w:sz w:val="20"/>
          <w:szCs w:val="20"/>
        </w:rPr>
        <w:t>till Threaten the World Economy</w:t>
      </w:r>
      <w:r w:rsidRPr="00854A65">
        <w:rPr>
          <w:sz w:val="20"/>
          <w:szCs w:val="20"/>
        </w:rPr>
        <w:t xml:space="preserve"> </w:t>
      </w:r>
      <w:r>
        <w:rPr>
          <w:sz w:val="20"/>
          <w:szCs w:val="20"/>
        </w:rPr>
        <w:t>(</w:t>
      </w:r>
      <w:r w:rsidRPr="00854A65">
        <w:rPr>
          <w:sz w:val="20"/>
          <w:szCs w:val="20"/>
        </w:rPr>
        <w:t>Princeton</w:t>
      </w:r>
      <w:r>
        <w:rPr>
          <w:sz w:val="20"/>
          <w:szCs w:val="20"/>
        </w:rPr>
        <w:t>)</w:t>
      </w:r>
      <w:r w:rsidRPr="00854A65">
        <w:rPr>
          <w:sz w:val="20"/>
          <w:szCs w:val="20"/>
        </w:rPr>
        <w:t>.</w:t>
      </w:r>
    </w:p>
  </w:footnote>
  <w:footnote w:id="288">
    <w:p w14:paraId="6D9071E8" w14:textId="49407C1E" w:rsidR="00D82918" w:rsidRPr="00854A65" w:rsidRDefault="00D82918" w:rsidP="00E308AA">
      <w:pPr>
        <w:pStyle w:val="NoSpacing"/>
        <w:rPr>
          <w:sz w:val="20"/>
          <w:szCs w:val="20"/>
        </w:rPr>
      </w:pPr>
      <w:r w:rsidRPr="00854A65">
        <w:rPr>
          <w:rStyle w:val="FootnoteReference"/>
          <w:rFonts w:ascii="Calibri" w:hAnsi="Calibri" w:cs="Calibri"/>
          <w:sz w:val="20"/>
          <w:szCs w:val="20"/>
        </w:rPr>
        <w:footnoteRef/>
      </w:r>
      <w:r>
        <w:rPr>
          <w:i/>
          <w:sz w:val="20"/>
          <w:szCs w:val="20"/>
        </w:rPr>
        <w:t xml:space="preserve"> </w:t>
      </w:r>
      <w:r w:rsidRPr="00F411F4">
        <w:rPr>
          <w:i/>
          <w:sz w:val="20"/>
          <w:szCs w:val="20"/>
        </w:rPr>
        <w:t>The Global Urbanist</w:t>
      </w:r>
      <w:r>
        <w:rPr>
          <w:sz w:val="20"/>
          <w:szCs w:val="20"/>
        </w:rPr>
        <w:t>, 2010,</w:t>
      </w:r>
      <w:r w:rsidRPr="00854A65">
        <w:rPr>
          <w:i/>
          <w:sz w:val="20"/>
          <w:szCs w:val="20"/>
        </w:rPr>
        <w:t xml:space="preserve"> </w:t>
      </w:r>
      <w:r>
        <w:rPr>
          <w:sz w:val="20"/>
          <w:szCs w:val="20"/>
        </w:rPr>
        <w:t>Merry-go-round microfinance keeps slum residents f</w:t>
      </w:r>
      <w:r w:rsidRPr="00F411F4">
        <w:rPr>
          <w:sz w:val="20"/>
          <w:szCs w:val="20"/>
        </w:rPr>
        <w:t>ed in Kibera</w:t>
      </w:r>
      <w:r w:rsidRPr="00854A65">
        <w:rPr>
          <w:sz w:val="20"/>
          <w:szCs w:val="20"/>
        </w:rPr>
        <w:t xml:space="preserve"> </w:t>
      </w:r>
      <w:r>
        <w:rPr>
          <w:sz w:val="20"/>
          <w:szCs w:val="20"/>
        </w:rPr>
        <w:t xml:space="preserve">(13 </w:t>
      </w:r>
      <w:r w:rsidRPr="00854A65">
        <w:rPr>
          <w:sz w:val="20"/>
          <w:szCs w:val="20"/>
        </w:rPr>
        <w:t>April</w:t>
      </w:r>
      <w:r>
        <w:rPr>
          <w:sz w:val="20"/>
          <w:szCs w:val="20"/>
        </w:rPr>
        <w:t>);</w:t>
      </w:r>
      <w:r w:rsidRPr="00854A65">
        <w:rPr>
          <w:sz w:val="20"/>
          <w:szCs w:val="20"/>
        </w:rPr>
        <w:t xml:space="preserve"> </w:t>
      </w:r>
      <w:r w:rsidRPr="00F411F4">
        <w:rPr>
          <w:i/>
          <w:sz w:val="20"/>
          <w:szCs w:val="20"/>
        </w:rPr>
        <w:t>Kenya English News</w:t>
      </w:r>
      <w:r>
        <w:rPr>
          <w:sz w:val="20"/>
          <w:szCs w:val="20"/>
        </w:rPr>
        <w:t xml:space="preserve">, 2012, </w:t>
      </w:r>
      <w:r>
        <w:rPr>
          <w:i/>
          <w:sz w:val="20"/>
          <w:szCs w:val="20"/>
        </w:rPr>
        <w:t>Merry-go-rounds become powerful i</w:t>
      </w:r>
      <w:r w:rsidRPr="00854A65">
        <w:rPr>
          <w:i/>
          <w:sz w:val="20"/>
          <w:szCs w:val="20"/>
        </w:rPr>
        <w:t>n</w:t>
      </w:r>
      <w:r>
        <w:rPr>
          <w:i/>
          <w:sz w:val="20"/>
          <w:szCs w:val="20"/>
        </w:rPr>
        <w:t>vestment tools in Kenya</w:t>
      </w:r>
      <w:r>
        <w:rPr>
          <w:sz w:val="20"/>
          <w:szCs w:val="20"/>
        </w:rPr>
        <w:t>, (16</w:t>
      </w:r>
      <w:r w:rsidRPr="00854A65">
        <w:rPr>
          <w:sz w:val="20"/>
          <w:szCs w:val="20"/>
        </w:rPr>
        <w:t xml:space="preserve"> June</w:t>
      </w:r>
      <w:r>
        <w:rPr>
          <w:sz w:val="20"/>
          <w:szCs w:val="20"/>
        </w:rPr>
        <w:t xml:space="preserve">). </w:t>
      </w:r>
    </w:p>
  </w:footnote>
  <w:footnote w:id="289">
    <w:p w14:paraId="596ECA97" w14:textId="7BB1760E"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i/>
        </w:rPr>
        <w:t xml:space="preserve"> </w:t>
      </w:r>
      <w:r w:rsidRPr="00854A65">
        <w:rPr>
          <w:rFonts w:ascii="Calibri" w:hAnsi="Calibri" w:cs="Calibri"/>
        </w:rPr>
        <w:t>Financial Stability Board, 2011</w:t>
      </w:r>
      <w:r>
        <w:rPr>
          <w:rFonts w:ascii="Calibri" w:hAnsi="Calibri" w:cs="Calibri"/>
        </w:rPr>
        <w:t xml:space="preserve">, </w:t>
      </w:r>
      <w:r w:rsidRPr="00854A65">
        <w:rPr>
          <w:rFonts w:ascii="Calibri" w:hAnsi="Calibri" w:cs="Calibri"/>
          <w:i/>
        </w:rPr>
        <w:t xml:space="preserve">Consumer Finance Protection </w:t>
      </w:r>
      <w:r>
        <w:rPr>
          <w:rFonts w:ascii="Calibri" w:hAnsi="Calibri" w:cs="Calibri"/>
          <w:i/>
        </w:rPr>
        <w:t>with Particular Focus on Credit</w:t>
      </w:r>
      <w:r w:rsidRPr="00854A65">
        <w:rPr>
          <w:rFonts w:ascii="Calibri" w:hAnsi="Calibri" w:cs="Calibri"/>
        </w:rPr>
        <w:t xml:space="preserve">. </w:t>
      </w:r>
    </w:p>
  </w:footnote>
  <w:footnote w:id="290">
    <w:p w14:paraId="0A5EDFB2" w14:textId="4D090E4F"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i/>
        </w:rPr>
        <w:t xml:space="preserve"> </w:t>
      </w:r>
      <w:r>
        <w:rPr>
          <w:rFonts w:ascii="Calibri" w:hAnsi="Calibri" w:cs="Calibri"/>
        </w:rPr>
        <w:t>World Bank, 2014,</w:t>
      </w:r>
      <w:r w:rsidRPr="00854A65">
        <w:rPr>
          <w:rFonts w:ascii="Calibri" w:hAnsi="Calibri" w:cs="Calibri"/>
        </w:rPr>
        <w:t xml:space="preserve"> </w:t>
      </w:r>
      <w:r w:rsidRPr="00854A65">
        <w:rPr>
          <w:rFonts w:ascii="Calibri" w:hAnsi="Calibri" w:cs="Calibri"/>
          <w:i/>
        </w:rPr>
        <w:t>Global Survey on Consumer Protection and Financial Literacy: Oversight Frameworks</w:t>
      </w:r>
      <w:r>
        <w:rPr>
          <w:rFonts w:ascii="Calibri" w:hAnsi="Calibri" w:cs="Calibri"/>
          <w:i/>
        </w:rPr>
        <w:t xml:space="preserve"> and Practices in 114 Economies.</w:t>
      </w:r>
      <w:r w:rsidRPr="00854A65">
        <w:rPr>
          <w:rFonts w:ascii="Calibri" w:hAnsi="Calibri" w:cs="Calibri"/>
        </w:rPr>
        <w:t xml:space="preserve"> </w:t>
      </w:r>
    </w:p>
  </w:footnote>
  <w:footnote w:id="291">
    <w:p w14:paraId="74B86529" w14:textId="77777777" w:rsidR="00D82918" w:rsidRPr="00854A65" w:rsidRDefault="00D82918" w:rsidP="00BE71E3">
      <w:pPr>
        <w:pStyle w:val="FootnoteText"/>
      </w:pPr>
      <w:r w:rsidRPr="00854A65">
        <w:rPr>
          <w:rStyle w:val="FootnoteReference"/>
        </w:rPr>
        <w:footnoteRef/>
      </w:r>
      <w:r w:rsidRPr="00854A65">
        <w:t xml:space="preserve"> Compared to other areas of consumer protection such as client confidentiality and protection against deceptive advertising. </w:t>
      </w:r>
    </w:p>
  </w:footnote>
  <w:footnote w:id="292">
    <w:p w14:paraId="610DCA42" w14:textId="4EEACECF" w:rsidR="00D82918" w:rsidRPr="004F1235" w:rsidRDefault="00D82918" w:rsidP="00BE71E3">
      <w:pPr>
        <w:pStyle w:val="FootnoteText"/>
        <w:rPr>
          <w:rFonts w:ascii="Calibri" w:hAnsi="Calibri" w:cs="Calibri"/>
        </w:rPr>
      </w:pPr>
      <w:r w:rsidRPr="00854A65">
        <w:rPr>
          <w:rStyle w:val="FootnoteReference"/>
        </w:rPr>
        <w:footnoteRef/>
      </w:r>
      <w:r w:rsidRPr="00854A65">
        <w:t xml:space="preserve"> </w:t>
      </w:r>
      <w:r w:rsidRPr="00854A65">
        <w:rPr>
          <w:rFonts w:ascii="Calibri" w:hAnsi="Calibri" w:cs="Calibri"/>
        </w:rPr>
        <w:t>World Bank,</w:t>
      </w:r>
      <w:r>
        <w:rPr>
          <w:rFonts w:ascii="Calibri" w:hAnsi="Calibri" w:cs="Calibri"/>
        </w:rPr>
        <w:t xml:space="preserve"> 2012,</w:t>
      </w:r>
      <w:r w:rsidRPr="00854A65">
        <w:rPr>
          <w:rFonts w:ascii="Calibri" w:hAnsi="Calibri" w:cs="Calibri"/>
        </w:rPr>
        <w:t xml:space="preserve"> </w:t>
      </w:r>
      <w:r w:rsidRPr="00854A65">
        <w:rPr>
          <w:rFonts w:ascii="Calibri" w:hAnsi="Calibri" w:cs="Calibri"/>
          <w:i/>
        </w:rPr>
        <w:t>Good Pr</w:t>
      </w:r>
      <w:r>
        <w:rPr>
          <w:rFonts w:ascii="Calibri" w:hAnsi="Calibri" w:cs="Calibri"/>
          <w:i/>
        </w:rPr>
        <w:t>actices for Financial Consumer P</w:t>
      </w:r>
      <w:r w:rsidRPr="00854A65">
        <w:rPr>
          <w:rFonts w:ascii="Calibri" w:hAnsi="Calibri" w:cs="Calibri"/>
          <w:i/>
        </w:rPr>
        <w:t>rotection</w:t>
      </w:r>
      <w:r>
        <w:rPr>
          <w:rFonts w:ascii="Calibri" w:hAnsi="Calibri" w:cs="Calibri"/>
        </w:rPr>
        <w:t xml:space="preserve">.  </w:t>
      </w:r>
    </w:p>
  </w:footnote>
  <w:footnote w:id="293">
    <w:p w14:paraId="69152343" w14:textId="22CB7CE5"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sz w:val="20"/>
          <w:szCs w:val="20"/>
        </w:rPr>
        <w:t xml:space="preserve"> </w:t>
      </w:r>
      <w:r w:rsidRPr="00854A65">
        <w:rPr>
          <w:sz w:val="20"/>
          <w:szCs w:val="20"/>
        </w:rPr>
        <w:t xml:space="preserve">Office of Fair Trading, </w:t>
      </w:r>
      <w:r>
        <w:rPr>
          <w:sz w:val="20"/>
          <w:szCs w:val="20"/>
        </w:rPr>
        <w:t xml:space="preserve">2008, </w:t>
      </w:r>
      <w:r w:rsidRPr="00F411F4">
        <w:rPr>
          <w:i/>
          <w:sz w:val="20"/>
          <w:szCs w:val="20"/>
        </w:rPr>
        <w:t>Unfair Relationships: Enforcement Action Under Part 8 of the Enterprise Act 2002</w:t>
      </w:r>
      <w:r w:rsidRPr="00854A65">
        <w:rPr>
          <w:sz w:val="20"/>
          <w:szCs w:val="20"/>
        </w:rPr>
        <w:t xml:space="preserve">. </w:t>
      </w:r>
    </w:p>
  </w:footnote>
  <w:footnote w:id="294">
    <w:p w14:paraId="6AF6A0A5" w14:textId="717B6495" w:rsidR="00D82918" w:rsidRPr="00854A65" w:rsidRDefault="00D82918" w:rsidP="00BE71E3">
      <w:pPr>
        <w:pStyle w:val="FootnoteText"/>
      </w:pPr>
      <w:r w:rsidRPr="00854A65">
        <w:rPr>
          <w:rStyle w:val="FootnoteReference"/>
        </w:rPr>
        <w:footnoteRef/>
      </w:r>
      <w:r w:rsidRPr="00854A65">
        <w:t xml:space="preserve"> World Bank</w:t>
      </w:r>
      <w:r>
        <w:t>, 2012,</w:t>
      </w:r>
      <w:r w:rsidRPr="00854A65">
        <w:t xml:space="preserve"> </w:t>
      </w:r>
      <w:r w:rsidRPr="00F411F4">
        <w:t>op. cit.</w:t>
      </w:r>
    </w:p>
  </w:footnote>
  <w:footnote w:id="295">
    <w:p w14:paraId="127DDBF2" w14:textId="43358649"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sz w:val="20"/>
          <w:szCs w:val="20"/>
        </w:rPr>
        <w:t xml:space="preserve"> </w:t>
      </w:r>
      <w:r w:rsidRPr="00854A65">
        <w:rPr>
          <w:sz w:val="20"/>
          <w:szCs w:val="20"/>
        </w:rPr>
        <w:t>M</w:t>
      </w:r>
      <w:r>
        <w:rPr>
          <w:sz w:val="20"/>
          <w:szCs w:val="20"/>
        </w:rPr>
        <w:t xml:space="preserve"> </w:t>
      </w:r>
      <w:r w:rsidRPr="00854A65">
        <w:rPr>
          <w:sz w:val="20"/>
          <w:szCs w:val="20"/>
        </w:rPr>
        <w:t>Kuneva</w:t>
      </w:r>
      <w:r>
        <w:rPr>
          <w:sz w:val="20"/>
          <w:szCs w:val="20"/>
        </w:rPr>
        <w:t>, 2009,</w:t>
      </w:r>
      <w:r w:rsidRPr="00854A65">
        <w:rPr>
          <w:sz w:val="20"/>
          <w:szCs w:val="20"/>
        </w:rPr>
        <w:t xml:space="preserve"> </w:t>
      </w:r>
      <w:r>
        <w:rPr>
          <w:sz w:val="20"/>
          <w:szCs w:val="20"/>
        </w:rPr>
        <w:t>Restoring consumer trust in retail financial services,</w:t>
      </w:r>
      <w:r w:rsidRPr="00854A65">
        <w:rPr>
          <w:sz w:val="20"/>
          <w:szCs w:val="20"/>
        </w:rPr>
        <w:t xml:space="preserve"> DECO 35th Anniversary Seminar on Financial Ser</w:t>
      </w:r>
      <w:r>
        <w:rPr>
          <w:sz w:val="20"/>
          <w:szCs w:val="20"/>
        </w:rPr>
        <w:t>vices and the Consumer Interest</w:t>
      </w:r>
      <w:r w:rsidRPr="00854A65">
        <w:rPr>
          <w:sz w:val="20"/>
          <w:szCs w:val="20"/>
        </w:rPr>
        <w:t xml:space="preserve"> </w:t>
      </w:r>
      <w:r>
        <w:rPr>
          <w:sz w:val="20"/>
          <w:szCs w:val="20"/>
        </w:rPr>
        <w:t>(</w:t>
      </w:r>
      <w:r w:rsidRPr="00854A65">
        <w:rPr>
          <w:sz w:val="20"/>
          <w:szCs w:val="20"/>
        </w:rPr>
        <w:t xml:space="preserve">Lisbon, </w:t>
      </w:r>
      <w:r>
        <w:rPr>
          <w:sz w:val="20"/>
          <w:szCs w:val="20"/>
        </w:rPr>
        <w:t xml:space="preserve">27 </w:t>
      </w:r>
      <w:r w:rsidRPr="00854A65">
        <w:rPr>
          <w:sz w:val="20"/>
          <w:szCs w:val="20"/>
        </w:rPr>
        <w:t>April</w:t>
      </w:r>
      <w:r>
        <w:rPr>
          <w:sz w:val="20"/>
          <w:szCs w:val="20"/>
        </w:rPr>
        <w:t>)</w:t>
      </w:r>
      <w:r w:rsidRPr="00854A65">
        <w:rPr>
          <w:sz w:val="20"/>
          <w:szCs w:val="20"/>
        </w:rPr>
        <w:t>.</w:t>
      </w:r>
    </w:p>
  </w:footnote>
  <w:footnote w:id="296">
    <w:p w14:paraId="279FF453" w14:textId="0B3C7CF7" w:rsidR="00D82918" w:rsidRPr="007D0C5D" w:rsidRDefault="00D82918" w:rsidP="00F411F4">
      <w:pPr>
        <w:pStyle w:val="NoSpacing"/>
        <w:rPr>
          <w:i/>
          <w:sz w:val="20"/>
          <w:szCs w:val="20"/>
        </w:rPr>
      </w:pPr>
      <w:r w:rsidRPr="00854A65">
        <w:rPr>
          <w:rStyle w:val="FootnoteReference"/>
          <w:rFonts w:ascii="Calibri" w:hAnsi="Calibri" w:cs="Calibri"/>
          <w:sz w:val="20"/>
          <w:szCs w:val="20"/>
        </w:rPr>
        <w:footnoteRef/>
      </w:r>
      <w:r>
        <w:rPr>
          <w:sz w:val="20"/>
          <w:szCs w:val="20"/>
        </w:rPr>
        <w:t xml:space="preserve"> United Nations, 2009, </w:t>
      </w:r>
      <w:r w:rsidRPr="007D0C5D">
        <w:rPr>
          <w:i/>
          <w:sz w:val="20"/>
          <w:szCs w:val="20"/>
        </w:rPr>
        <w:t>Report of the Commission of Experts of the President of the United Nations General</w:t>
      </w:r>
    </w:p>
    <w:p w14:paraId="016B8C17" w14:textId="2FB4BC0C" w:rsidR="00D82918" w:rsidRPr="007D0C5D" w:rsidRDefault="00D82918" w:rsidP="007D0C5D">
      <w:pPr>
        <w:pStyle w:val="NoSpacing"/>
        <w:rPr>
          <w:sz w:val="20"/>
          <w:szCs w:val="20"/>
        </w:rPr>
      </w:pPr>
      <w:r w:rsidRPr="007D0C5D">
        <w:rPr>
          <w:i/>
          <w:sz w:val="20"/>
          <w:szCs w:val="20"/>
        </w:rPr>
        <w:t>Assembly on Reforms of the International Monetary</w:t>
      </w:r>
      <w:r>
        <w:rPr>
          <w:sz w:val="20"/>
          <w:szCs w:val="20"/>
        </w:rPr>
        <w:t xml:space="preserve"> </w:t>
      </w:r>
      <w:r w:rsidRPr="007D0C5D">
        <w:rPr>
          <w:i/>
          <w:sz w:val="20"/>
          <w:szCs w:val="20"/>
        </w:rPr>
        <w:t>and Financial System.</w:t>
      </w:r>
    </w:p>
  </w:footnote>
  <w:footnote w:id="297">
    <w:p w14:paraId="15E9F22D" w14:textId="33E21C8E"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sz w:val="20"/>
          <w:szCs w:val="20"/>
        </w:rPr>
        <w:t xml:space="preserve"> G</w:t>
      </w:r>
      <w:r w:rsidRPr="00854A65">
        <w:rPr>
          <w:sz w:val="20"/>
          <w:szCs w:val="20"/>
        </w:rPr>
        <w:t xml:space="preserve"> Tett, </w:t>
      </w:r>
      <w:r>
        <w:rPr>
          <w:sz w:val="20"/>
          <w:szCs w:val="20"/>
        </w:rPr>
        <w:t xml:space="preserve">2009, </w:t>
      </w:r>
      <w:r w:rsidRPr="007D0C5D">
        <w:rPr>
          <w:i/>
          <w:sz w:val="20"/>
          <w:szCs w:val="20"/>
        </w:rPr>
        <w:t>Fool’s Gold</w:t>
      </w:r>
      <w:r w:rsidRPr="00854A65">
        <w:rPr>
          <w:sz w:val="20"/>
          <w:szCs w:val="20"/>
        </w:rPr>
        <w:t xml:space="preserve">. </w:t>
      </w:r>
    </w:p>
  </w:footnote>
  <w:footnote w:id="298">
    <w:p w14:paraId="4AFC5515" w14:textId="77777777" w:rsidR="00D82918" w:rsidRPr="00854A65" w:rsidRDefault="00D82918" w:rsidP="00BE71E3">
      <w:pPr>
        <w:pStyle w:val="NoSpacing"/>
        <w:jc w:val="both"/>
        <w:rPr>
          <w:sz w:val="20"/>
          <w:szCs w:val="20"/>
        </w:rPr>
      </w:pPr>
      <w:r w:rsidRPr="00854A65">
        <w:rPr>
          <w:rStyle w:val="FootnoteReference"/>
          <w:rFonts w:ascii="Calibri" w:hAnsi="Calibri" w:cs="Calibri"/>
          <w:sz w:val="20"/>
          <w:szCs w:val="20"/>
        </w:rPr>
        <w:footnoteRef/>
      </w:r>
      <w:r>
        <w:rPr>
          <w:sz w:val="20"/>
          <w:szCs w:val="20"/>
        </w:rPr>
        <w:t xml:space="preserve"> </w:t>
      </w:r>
      <w:r w:rsidRPr="00854A65">
        <w:rPr>
          <w:sz w:val="20"/>
          <w:szCs w:val="20"/>
        </w:rPr>
        <w:t xml:space="preserve">World Bank, </w:t>
      </w:r>
      <w:r w:rsidRPr="00854A65">
        <w:rPr>
          <w:i/>
          <w:sz w:val="20"/>
          <w:szCs w:val="20"/>
        </w:rPr>
        <w:t>op. cit.,</w:t>
      </w:r>
      <w:r w:rsidRPr="00854A65">
        <w:rPr>
          <w:sz w:val="20"/>
          <w:szCs w:val="20"/>
        </w:rPr>
        <w:t xml:space="preserve"> 2012.</w:t>
      </w:r>
    </w:p>
  </w:footnote>
  <w:footnote w:id="299">
    <w:p w14:paraId="4D58D677" w14:textId="2E306ED9" w:rsidR="00D82918" w:rsidRPr="00854A65" w:rsidRDefault="00D82918" w:rsidP="00BE71E3">
      <w:pPr>
        <w:pStyle w:val="NoSpacing"/>
        <w:jc w:val="both"/>
        <w:rPr>
          <w:sz w:val="20"/>
          <w:szCs w:val="20"/>
        </w:rPr>
      </w:pPr>
      <w:r w:rsidRPr="00854A65">
        <w:rPr>
          <w:rStyle w:val="FootnoteReference"/>
          <w:rFonts w:ascii="Calibri" w:hAnsi="Calibri"/>
          <w:sz w:val="20"/>
          <w:szCs w:val="20"/>
        </w:rPr>
        <w:footnoteRef/>
      </w:r>
      <w:r>
        <w:rPr>
          <w:sz w:val="20"/>
          <w:szCs w:val="20"/>
        </w:rPr>
        <w:t xml:space="preserve"> </w:t>
      </w:r>
      <w:r w:rsidRPr="00854A65">
        <w:rPr>
          <w:sz w:val="20"/>
          <w:szCs w:val="20"/>
        </w:rPr>
        <w:t>E</w:t>
      </w:r>
      <w:r>
        <w:rPr>
          <w:sz w:val="20"/>
          <w:szCs w:val="20"/>
        </w:rPr>
        <w:t xml:space="preserve"> </w:t>
      </w:r>
      <w:r w:rsidRPr="00854A65">
        <w:rPr>
          <w:sz w:val="20"/>
          <w:szCs w:val="20"/>
        </w:rPr>
        <w:t xml:space="preserve">McNess, </w:t>
      </w:r>
      <w:r>
        <w:rPr>
          <w:sz w:val="20"/>
          <w:szCs w:val="20"/>
        </w:rPr>
        <w:t xml:space="preserve">2013, </w:t>
      </w:r>
      <w:r w:rsidRPr="007D0C5D">
        <w:rPr>
          <w:i/>
          <w:sz w:val="20"/>
          <w:szCs w:val="20"/>
        </w:rPr>
        <w:t>The Australian Responsible Lending Act: The Verdict is Cautiously Optimistic for the Consumer</w:t>
      </w:r>
      <w:r>
        <w:rPr>
          <w:sz w:val="20"/>
          <w:szCs w:val="20"/>
        </w:rPr>
        <w:t xml:space="preserve"> (Consumers International)</w:t>
      </w:r>
      <w:r w:rsidRPr="00854A65">
        <w:rPr>
          <w:sz w:val="20"/>
          <w:szCs w:val="20"/>
        </w:rPr>
        <w:t>.</w:t>
      </w:r>
    </w:p>
  </w:footnote>
  <w:footnote w:id="300">
    <w:p w14:paraId="64286E7E" w14:textId="21971402"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 xml:space="preserve">CI, </w:t>
      </w:r>
      <w:r>
        <w:rPr>
          <w:rFonts w:ascii="Calibri" w:hAnsi="Calibri" w:cs="Calibri"/>
        </w:rPr>
        <w:t xml:space="preserve">2012, </w:t>
      </w:r>
      <w:r w:rsidRPr="00854A65">
        <w:rPr>
          <w:rFonts w:ascii="Calibri" w:hAnsi="Calibri" w:cs="Calibri"/>
          <w:i/>
        </w:rPr>
        <w:t>The Remittances Game of Chance: Playing with Loaded Dice</w:t>
      </w:r>
      <w:r w:rsidRPr="00854A65">
        <w:rPr>
          <w:rFonts w:ascii="Calibri" w:hAnsi="Calibri" w:cs="Calibri"/>
        </w:rPr>
        <w:t xml:space="preserve">. </w:t>
      </w:r>
    </w:p>
  </w:footnote>
  <w:footnote w:id="301">
    <w:p w14:paraId="7E23BAC0" w14:textId="1C4C998A" w:rsidR="00D82918" w:rsidRPr="00854A65" w:rsidRDefault="00D82918" w:rsidP="00BE71E3">
      <w:pPr>
        <w:pStyle w:val="FootnoteText"/>
        <w:rPr>
          <w:rFonts w:ascii="Calibri" w:hAnsi="Calibri"/>
        </w:rPr>
      </w:pPr>
      <w:r w:rsidRPr="00854A65">
        <w:rPr>
          <w:rStyle w:val="FootnoteReference"/>
          <w:rFonts w:ascii="Calibri" w:hAnsi="Calibri"/>
        </w:rPr>
        <w:footnoteRef/>
      </w:r>
      <w:r>
        <w:rPr>
          <w:rFonts w:ascii="Calibri" w:hAnsi="Calibri"/>
        </w:rPr>
        <w:t xml:space="preserve"> </w:t>
      </w:r>
      <w:r w:rsidRPr="00854A65">
        <w:rPr>
          <w:rFonts w:ascii="Calibri" w:hAnsi="Calibri"/>
        </w:rPr>
        <w:t xml:space="preserve">World Bank, </w:t>
      </w:r>
      <w:r>
        <w:rPr>
          <w:rFonts w:ascii="Calibri" w:hAnsi="Calibri"/>
        </w:rPr>
        <w:t xml:space="preserve">2012, </w:t>
      </w:r>
      <w:r w:rsidRPr="007D0C5D">
        <w:rPr>
          <w:rFonts w:ascii="Calibri" w:hAnsi="Calibri"/>
          <w:i/>
        </w:rPr>
        <w:t>Conference on Consumer Protection and Financial Services</w:t>
      </w:r>
      <w:r w:rsidRPr="00854A65">
        <w:rPr>
          <w:rFonts w:ascii="Calibri" w:hAnsi="Calibri"/>
        </w:rPr>
        <w:t xml:space="preserve"> </w:t>
      </w:r>
      <w:r>
        <w:rPr>
          <w:rFonts w:ascii="Calibri" w:hAnsi="Calibri"/>
        </w:rPr>
        <w:t>(</w:t>
      </w:r>
      <w:r w:rsidRPr="00854A65">
        <w:rPr>
          <w:rFonts w:ascii="Calibri" w:hAnsi="Calibri"/>
        </w:rPr>
        <w:t>Kiev,</w:t>
      </w:r>
      <w:r>
        <w:rPr>
          <w:rFonts w:ascii="Calibri" w:hAnsi="Calibri"/>
        </w:rPr>
        <w:t xml:space="preserve"> 22</w:t>
      </w:r>
      <w:r w:rsidRPr="00854A65">
        <w:rPr>
          <w:rFonts w:ascii="Calibri" w:hAnsi="Calibri"/>
        </w:rPr>
        <w:t xml:space="preserve"> March</w:t>
      </w:r>
      <w:r>
        <w:rPr>
          <w:rFonts w:ascii="Calibri" w:hAnsi="Calibri"/>
        </w:rPr>
        <w:t>); World Bank, 2012,</w:t>
      </w:r>
      <w:r w:rsidRPr="00854A65">
        <w:rPr>
          <w:rFonts w:ascii="Calibri" w:hAnsi="Calibri"/>
        </w:rPr>
        <w:t xml:space="preserve"> </w:t>
      </w:r>
      <w:r w:rsidRPr="00854A65">
        <w:rPr>
          <w:rFonts w:ascii="Calibri" w:hAnsi="Calibri"/>
          <w:i/>
        </w:rPr>
        <w:t>Strategy for Financial Services Consumer Pr</w:t>
      </w:r>
      <w:r>
        <w:rPr>
          <w:rFonts w:ascii="Calibri" w:hAnsi="Calibri"/>
          <w:i/>
        </w:rPr>
        <w:t>otection and Financial Literacy</w:t>
      </w:r>
      <w:r w:rsidRPr="00854A65">
        <w:rPr>
          <w:rFonts w:ascii="Calibri" w:hAnsi="Calibri"/>
        </w:rPr>
        <w:t xml:space="preserve"> </w:t>
      </w:r>
      <w:r w:rsidRPr="00854A65">
        <w:rPr>
          <w:rFonts w:ascii="Calibri" w:hAnsi="Calibri"/>
          <w:i/>
        </w:rPr>
        <w:t>2012-17</w:t>
      </w:r>
      <w:r w:rsidRPr="00854A65">
        <w:rPr>
          <w:rFonts w:ascii="Calibri" w:hAnsi="Calibri"/>
        </w:rPr>
        <w:t>.</w:t>
      </w:r>
    </w:p>
  </w:footnote>
  <w:footnote w:id="302">
    <w:p w14:paraId="3BC055EE" w14:textId="7D45A8CF"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M</w:t>
      </w:r>
      <w:r w:rsidRPr="00854A65">
        <w:rPr>
          <w:rFonts w:ascii="Calibri" w:hAnsi="Calibri" w:cs="Calibri"/>
        </w:rPr>
        <w:t xml:space="preserve"> Bertrand</w:t>
      </w:r>
      <w:r>
        <w:rPr>
          <w:rFonts w:ascii="Calibri" w:hAnsi="Calibri" w:cs="Calibri"/>
        </w:rPr>
        <w:t xml:space="preserve"> et al, 2010, What’s advertising content worth? Evidence from a consumer credit marketing field e</w:t>
      </w:r>
      <w:r w:rsidRPr="007D0C5D">
        <w:rPr>
          <w:rFonts w:ascii="Calibri" w:hAnsi="Calibri" w:cs="Calibri"/>
        </w:rPr>
        <w:t>xperiment</w:t>
      </w:r>
      <w:r w:rsidRPr="00854A65">
        <w:rPr>
          <w:rFonts w:ascii="Calibri" w:hAnsi="Calibri" w:cs="Calibri"/>
          <w:i/>
        </w:rPr>
        <w:t>,</w:t>
      </w:r>
      <w:r w:rsidRPr="00854A65">
        <w:rPr>
          <w:rFonts w:ascii="Calibri" w:hAnsi="Calibri" w:cs="Calibri"/>
        </w:rPr>
        <w:t xml:space="preserve"> </w:t>
      </w:r>
      <w:r w:rsidRPr="007D0C5D">
        <w:rPr>
          <w:rFonts w:ascii="Calibri" w:hAnsi="Calibri" w:cs="Calibri"/>
          <w:i/>
          <w:iCs/>
        </w:rPr>
        <w:t>Quarterly Journal of Economics</w:t>
      </w:r>
      <w:r>
        <w:rPr>
          <w:rFonts w:ascii="Calibri" w:hAnsi="Calibri" w:cs="Calibri"/>
          <w:iCs/>
        </w:rPr>
        <w:t xml:space="preserve"> 125(1):</w:t>
      </w:r>
      <w:r w:rsidRPr="007D0C5D">
        <w:rPr>
          <w:rFonts w:ascii="Calibri" w:hAnsi="Calibri" w:cs="Calibri"/>
          <w:iCs/>
        </w:rPr>
        <w:t>263–306</w:t>
      </w:r>
      <w:r w:rsidRPr="00854A65">
        <w:rPr>
          <w:rFonts w:ascii="Calibri" w:hAnsi="Calibri" w:cs="Calibri"/>
        </w:rPr>
        <w:t>.</w:t>
      </w:r>
    </w:p>
  </w:footnote>
  <w:footnote w:id="303">
    <w:p w14:paraId="5CAD60CE" w14:textId="2D86EDA3" w:rsidR="00D82918" w:rsidRPr="00854A65" w:rsidRDefault="00D82918" w:rsidP="00BE71E3">
      <w:pPr>
        <w:pStyle w:val="FootnoteText"/>
        <w:rPr>
          <w:rFonts w:ascii="Calibri" w:hAnsi="Calibri" w:cs="Calibri"/>
          <w:lang w:val="fr-FR"/>
        </w:rPr>
      </w:pPr>
      <w:r w:rsidRPr="00854A65">
        <w:rPr>
          <w:rStyle w:val="FootnoteReference"/>
          <w:rFonts w:ascii="Calibri" w:hAnsi="Calibri" w:cs="Calibri"/>
        </w:rPr>
        <w:footnoteRef/>
      </w:r>
      <w:r>
        <w:rPr>
          <w:rFonts w:ascii="Calibri" w:hAnsi="Calibri" w:cs="Calibri"/>
          <w:lang w:val="fr-CH"/>
        </w:rPr>
        <w:t xml:space="preserve"> M </w:t>
      </w:r>
      <w:r w:rsidRPr="00854A65">
        <w:rPr>
          <w:rFonts w:ascii="Calibri" w:hAnsi="Calibri" w:cs="Calibri"/>
          <w:lang w:val="fr-CH"/>
        </w:rPr>
        <w:t>Bertran</w:t>
      </w:r>
      <w:r>
        <w:rPr>
          <w:rFonts w:ascii="Calibri" w:hAnsi="Calibri" w:cs="Calibri"/>
          <w:lang w:val="fr-FR"/>
        </w:rPr>
        <w:t>d et al</w:t>
      </w:r>
      <w:r w:rsidRPr="00854A65">
        <w:rPr>
          <w:rFonts w:ascii="Calibri" w:hAnsi="Calibri" w:cs="Calibri"/>
          <w:lang w:val="fr-FR"/>
        </w:rPr>
        <w:t xml:space="preserve">, </w:t>
      </w:r>
      <w:r>
        <w:rPr>
          <w:rFonts w:ascii="Calibri" w:hAnsi="Calibri" w:cs="Calibri"/>
          <w:lang w:val="fr-FR"/>
        </w:rPr>
        <w:t xml:space="preserve">2010, </w:t>
      </w:r>
      <w:r w:rsidRPr="007D0C5D">
        <w:rPr>
          <w:rFonts w:ascii="Calibri" w:hAnsi="Calibri" w:cs="Calibri"/>
          <w:lang w:val="fr-FR"/>
        </w:rPr>
        <w:t>op. cit.</w:t>
      </w:r>
    </w:p>
  </w:footnote>
  <w:footnote w:id="304">
    <w:p w14:paraId="02679468" w14:textId="77777777"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Credit Card Accountability and Disclosure Act, 2009.</w:t>
      </w:r>
    </w:p>
  </w:footnote>
  <w:footnote w:id="305">
    <w:p w14:paraId="5AB51DE4" w14:textId="3B073019" w:rsidR="00D82918" w:rsidRPr="00854A65" w:rsidRDefault="00D82918" w:rsidP="00BE71E3">
      <w:pPr>
        <w:pStyle w:val="FootnoteText"/>
        <w:rPr>
          <w:rFonts w:ascii="Calibri" w:hAnsi="Calibri"/>
        </w:rPr>
      </w:pPr>
      <w:r w:rsidRPr="00854A65">
        <w:rPr>
          <w:rStyle w:val="FootnoteReference"/>
          <w:rFonts w:ascii="Calibri" w:hAnsi="Calibri"/>
        </w:rPr>
        <w:footnoteRef/>
      </w:r>
      <w:r>
        <w:rPr>
          <w:rFonts w:ascii="Calibri" w:hAnsi="Calibri"/>
        </w:rPr>
        <w:t xml:space="preserve"> </w:t>
      </w:r>
      <w:r w:rsidRPr="00854A65">
        <w:rPr>
          <w:rFonts w:ascii="Calibri" w:hAnsi="Calibri"/>
        </w:rPr>
        <w:t>C</w:t>
      </w:r>
      <w:r>
        <w:rPr>
          <w:rFonts w:ascii="Calibri" w:hAnsi="Calibri"/>
        </w:rPr>
        <w:t xml:space="preserve">ompetition and </w:t>
      </w:r>
      <w:r w:rsidRPr="00854A65">
        <w:rPr>
          <w:rFonts w:ascii="Calibri" w:hAnsi="Calibri"/>
        </w:rPr>
        <w:t>M</w:t>
      </w:r>
      <w:r>
        <w:rPr>
          <w:rFonts w:ascii="Calibri" w:hAnsi="Calibri"/>
        </w:rPr>
        <w:t xml:space="preserve">arkets </w:t>
      </w:r>
      <w:r w:rsidRPr="00854A65">
        <w:rPr>
          <w:rFonts w:ascii="Calibri" w:hAnsi="Calibri"/>
        </w:rPr>
        <w:t>A</w:t>
      </w:r>
      <w:r>
        <w:rPr>
          <w:rFonts w:ascii="Calibri" w:hAnsi="Calibri"/>
        </w:rPr>
        <w:t>uthority</w:t>
      </w:r>
      <w:r w:rsidRPr="00854A65">
        <w:rPr>
          <w:rFonts w:ascii="Calibri" w:hAnsi="Calibri"/>
        </w:rPr>
        <w:t xml:space="preserve">, </w:t>
      </w:r>
      <w:r>
        <w:rPr>
          <w:rFonts w:ascii="Calibri" w:hAnsi="Calibri"/>
        </w:rPr>
        <w:t xml:space="preserve">2014, </w:t>
      </w:r>
      <w:r w:rsidRPr="00854A65">
        <w:rPr>
          <w:rFonts w:ascii="Calibri" w:hAnsi="Calibri"/>
          <w:i/>
        </w:rPr>
        <w:t>Payd</w:t>
      </w:r>
      <w:r>
        <w:rPr>
          <w:rFonts w:ascii="Calibri" w:hAnsi="Calibri"/>
          <w:i/>
        </w:rPr>
        <w:t>ay Lending Market Investigation:</w:t>
      </w:r>
      <w:r w:rsidRPr="00854A65">
        <w:rPr>
          <w:rFonts w:ascii="Calibri" w:hAnsi="Calibri"/>
        </w:rPr>
        <w:t xml:space="preserve"> </w:t>
      </w:r>
      <w:r w:rsidRPr="007D0C5D">
        <w:rPr>
          <w:rFonts w:ascii="Calibri" w:hAnsi="Calibri"/>
          <w:i/>
        </w:rPr>
        <w:t>Provisional Findings Report</w:t>
      </w:r>
      <w:r w:rsidRPr="00854A65">
        <w:rPr>
          <w:rFonts w:ascii="Calibri" w:hAnsi="Calibri"/>
        </w:rPr>
        <w:t xml:space="preserve">. </w:t>
      </w:r>
    </w:p>
  </w:footnote>
  <w:footnote w:id="306">
    <w:p w14:paraId="714891F0" w14:textId="2394AE00"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Which?</w:t>
      </w:r>
      <w:r>
        <w:rPr>
          <w:rFonts w:ascii="Calibri" w:hAnsi="Calibri" w:cs="Calibri"/>
        </w:rPr>
        <w:t>, 2014,</w:t>
      </w:r>
      <w:r w:rsidRPr="00854A65">
        <w:rPr>
          <w:rFonts w:ascii="Calibri" w:hAnsi="Calibri" w:cs="Calibri"/>
        </w:rPr>
        <w:t xml:space="preserve"> </w:t>
      </w:r>
      <w:r w:rsidRPr="00854A65">
        <w:rPr>
          <w:rFonts w:ascii="Calibri" w:hAnsi="Calibri" w:cs="Calibri"/>
          <w:i/>
        </w:rPr>
        <w:t>Cleaning Up Credit: Cleaning the Market from Unfair Practices and Toxic Products.</w:t>
      </w:r>
    </w:p>
  </w:footnote>
  <w:footnote w:id="307">
    <w:p w14:paraId="08139A6E" w14:textId="6E4C920C" w:rsidR="00D82918" w:rsidRPr="00854A65" w:rsidRDefault="00D82918" w:rsidP="00BE71E3">
      <w:pPr>
        <w:pStyle w:val="BodyText2"/>
        <w:rPr>
          <w:rFonts w:cstheme="minorHAnsi"/>
          <w:sz w:val="20"/>
          <w:lang w:val="en-US"/>
        </w:rPr>
      </w:pPr>
      <w:r w:rsidRPr="00D519E4">
        <w:rPr>
          <w:rStyle w:val="FootnoteReference"/>
          <w:rFonts w:asciiTheme="minorHAnsi" w:hAnsiTheme="minorHAnsi" w:cstheme="minorHAnsi"/>
          <w:color w:val="auto"/>
          <w:sz w:val="20"/>
        </w:rPr>
        <w:footnoteRef/>
      </w:r>
      <w:r w:rsidRPr="00854A65">
        <w:rPr>
          <w:rFonts w:asciiTheme="minorHAnsi" w:hAnsiTheme="minorHAnsi" w:cstheme="minorHAnsi"/>
          <w:sz w:val="20"/>
        </w:rPr>
        <w:t xml:space="preserve"> </w:t>
      </w:r>
      <w:r w:rsidRPr="00854A65">
        <w:rPr>
          <w:rFonts w:asciiTheme="minorHAnsi" w:hAnsiTheme="minorHAnsi" w:cstheme="minorHAnsi"/>
          <w:color w:val="auto"/>
          <w:sz w:val="20"/>
        </w:rPr>
        <w:t>D</w:t>
      </w:r>
      <w:r>
        <w:rPr>
          <w:rFonts w:asciiTheme="minorHAnsi" w:hAnsiTheme="minorHAnsi" w:cstheme="minorHAnsi"/>
          <w:color w:val="auto"/>
          <w:sz w:val="20"/>
        </w:rPr>
        <w:t xml:space="preserve"> </w:t>
      </w:r>
      <w:r w:rsidRPr="00854A65">
        <w:rPr>
          <w:rFonts w:asciiTheme="minorHAnsi" w:hAnsiTheme="minorHAnsi" w:cstheme="minorHAnsi"/>
          <w:color w:val="auto"/>
          <w:sz w:val="20"/>
        </w:rPr>
        <w:t xml:space="preserve">Lindley, </w:t>
      </w:r>
      <w:r>
        <w:rPr>
          <w:rFonts w:asciiTheme="minorHAnsi" w:hAnsiTheme="minorHAnsi" w:cstheme="minorHAnsi"/>
          <w:color w:val="auto"/>
          <w:sz w:val="20"/>
        </w:rPr>
        <w:t xml:space="preserve">2014, </w:t>
      </w:r>
      <w:r>
        <w:rPr>
          <w:rFonts w:asciiTheme="minorHAnsi" w:hAnsiTheme="minorHAnsi" w:cstheme="minorHAnsi"/>
          <w:i/>
          <w:color w:val="auto"/>
          <w:sz w:val="20"/>
        </w:rPr>
        <w:t>Risky Business: The Case for Reform of Sales Incentives Schemes in B</w:t>
      </w:r>
      <w:r w:rsidRPr="00854A65">
        <w:rPr>
          <w:rFonts w:asciiTheme="minorHAnsi" w:hAnsiTheme="minorHAnsi" w:cstheme="minorHAnsi"/>
          <w:i/>
          <w:color w:val="auto"/>
          <w:sz w:val="20"/>
        </w:rPr>
        <w:t>anks</w:t>
      </w:r>
      <w:r>
        <w:rPr>
          <w:rFonts w:asciiTheme="minorHAnsi" w:hAnsiTheme="minorHAnsi" w:cstheme="minorHAnsi"/>
          <w:i/>
          <w:color w:val="auto"/>
          <w:sz w:val="20"/>
        </w:rPr>
        <w:t xml:space="preserve"> </w:t>
      </w:r>
      <w:r>
        <w:rPr>
          <w:rFonts w:asciiTheme="minorHAnsi" w:hAnsiTheme="minorHAnsi" w:cstheme="minorHAnsi"/>
          <w:color w:val="auto"/>
          <w:sz w:val="20"/>
        </w:rPr>
        <w:t>(Consumers International).</w:t>
      </w:r>
    </w:p>
  </w:footnote>
  <w:footnote w:id="308">
    <w:p w14:paraId="73181359" w14:textId="200CD5B1" w:rsidR="00D82918" w:rsidRPr="00854A65" w:rsidRDefault="00D82918" w:rsidP="00E53637">
      <w:pPr>
        <w:pStyle w:val="FootnoteText"/>
        <w:jc w:val="left"/>
        <w:rPr>
          <w:lang w:val="en-US"/>
        </w:rPr>
      </w:pPr>
      <w:r w:rsidRPr="00854A65">
        <w:rPr>
          <w:rStyle w:val="FootnoteReference"/>
        </w:rPr>
        <w:footnoteRef/>
      </w:r>
      <w:r w:rsidRPr="00854A65">
        <w:rPr>
          <w:lang w:val="en-US"/>
        </w:rPr>
        <w:t xml:space="preserve"> </w:t>
      </w:r>
      <w:hyperlink r:id="rId76" w:history="1">
        <w:r w:rsidRPr="00F3283D">
          <w:rPr>
            <w:rStyle w:val="Hyperlink"/>
            <w:rFonts w:ascii="Calibri" w:hAnsi="Calibri"/>
            <w:lang w:val="en-US"/>
          </w:rPr>
          <w:t>http://www.thisismoney.co.uk/money/news/article-3181723/PPI-bill-soars-27bn-scandal-costs-banks-1-000-family-Britain.html</w:t>
        </w:r>
      </w:hyperlink>
      <w:r>
        <w:rPr>
          <w:rFonts w:ascii="Calibri" w:hAnsi="Calibri"/>
          <w:lang w:val="en-US"/>
        </w:rPr>
        <w:t xml:space="preserve"> </w:t>
      </w:r>
    </w:p>
  </w:footnote>
  <w:footnote w:id="309">
    <w:p w14:paraId="7DAB2FAB" w14:textId="7534E3BC" w:rsidR="00D82918" w:rsidRPr="00854A65" w:rsidRDefault="00D82918" w:rsidP="00BE71E3">
      <w:pPr>
        <w:pStyle w:val="FootnoteText"/>
        <w:rPr>
          <w:rFonts w:ascii="Calibri" w:hAnsi="Calibri"/>
        </w:rPr>
      </w:pPr>
      <w:r w:rsidRPr="00854A65">
        <w:rPr>
          <w:rStyle w:val="FootnoteReference"/>
          <w:rFonts w:ascii="Calibri" w:hAnsi="Calibri" w:cs="Calibri"/>
        </w:rPr>
        <w:footnoteRef/>
      </w:r>
      <w:r>
        <w:rPr>
          <w:rFonts w:ascii="Calibri" w:hAnsi="Calibri" w:cs="Calibri"/>
        </w:rPr>
        <w:t xml:space="preserve"> OECD/</w:t>
      </w:r>
      <w:r w:rsidRPr="00854A65">
        <w:rPr>
          <w:rFonts w:ascii="Calibri" w:hAnsi="Calibri" w:cs="Calibri"/>
        </w:rPr>
        <w:t>G20,</w:t>
      </w:r>
      <w:r>
        <w:rPr>
          <w:rFonts w:ascii="Calibri" w:hAnsi="Calibri" w:cs="Calibri"/>
        </w:rPr>
        <w:t xml:space="preserve"> 2011,</w:t>
      </w:r>
      <w:r w:rsidRPr="00854A65">
        <w:rPr>
          <w:rFonts w:ascii="Calibri" w:hAnsi="Calibri" w:cs="Calibri"/>
        </w:rPr>
        <w:t xml:space="preserve"> </w:t>
      </w:r>
      <w:r>
        <w:rPr>
          <w:rFonts w:ascii="Calibri" w:hAnsi="Calibri" w:cs="Calibri"/>
          <w:i/>
        </w:rPr>
        <w:t>High-l</w:t>
      </w:r>
      <w:r w:rsidRPr="00854A65">
        <w:rPr>
          <w:rFonts w:ascii="Calibri" w:hAnsi="Calibri" w:cs="Calibri"/>
          <w:i/>
        </w:rPr>
        <w:t>evel Principles on Financial Consumer Protection</w:t>
      </w:r>
      <w:r>
        <w:rPr>
          <w:rFonts w:ascii="Calibri" w:hAnsi="Calibri" w:cs="Calibri"/>
          <w:i/>
        </w:rPr>
        <w:t>.</w:t>
      </w:r>
    </w:p>
  </w:footnote>
  <w:footnote w:id="310">
    <w:p w14:paraId="2B50BA85" w14:textId="77777777" w:rsidR="00D82918" w:rsidRPr="00854A65" w:rsidRDefault="00D82918" w:rsidP="00BE71E3">
      <w:pPr>
        <w:pStyle w:val="FootnoteText"/>
        <w:rPr>
          <w:rFonts w:ascii="Calibri" w:hAnsi="Calibri"/>
          <w:i/>
        </w:rPr>
      </w:pPr>
      <w:r w:rsidRPr="00854A65">
        <w:rPr>
          <w:rStyle w:val="FootnoteReference"/>
          <w:rFonts w:ascii="Calibri" w:hAnsi="Calibri"/>
        </w:rPr>
        <w:footnoteRef/>
      </w:r>
      <w:r>
        <w:rPr>
          <w:rFonts w:ascii="Calibri" w:hAnsi="Calibri"/>
        </w:rPr>
        <w:t xml:space="preserve"> </w:t>
      </w:r>
      <w:r w:rsidRPr="00854A65">
        <w:rPr>
          <w:rFonts w:ascii="Calibri" w:hAnsi="Calibri"/>
        </w:rPr>
        <w:t xml:space="preserve">Financial Stability Board, </w:t>
      </w:r>
      <w:r w:rsidRPr="007D0C5D">
        <w:rPr>
          <w:rFonts w:ascii="Calibri" w:hAnsi="Calibri"/>
        </w:rPr>
        <w:t>op. cit.</w:t>
      </w:r>
    </w:p>
  </w:footnote>
  <w:footnote w:id="311">
    <w:p w14:paraId="53103C7C" w14:textId="18AEB5FA"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A</w:t>
      </w:r>
      <w:r w:rsidRPr="00854A65">
        <w:rPr>
          <w:rFonts w:ascii="Calibri" w:hAnsi="Calibri" w:cs="Calibri"/>
        </w:rPr>
        <w:t xml:space="preserve"> Angelousi </w:t>
      </w:r>
      <w:r>
        <w:rPr>
          <w:rFonts w:ascii="Calibri" w:hAnsi="Calibri" w:cs="Calibri"/>
        </w:rPr>
        <w:t xml:space="preserve">et al, 2013, </w:t>
      </w:r>
      <w:r w:rsidRPr="00854A65">
        <w:rPr>
          <w:rFonts w:ascii="Calibri" w:hAnsi="Calibri" w:cs="Calibri"/>
          <w:i/>
        </w:rPr>
        <w:t>A Constitutional Right to Debt Relief: The Greek Approach to Alleviating Over-</w:t>
      </w:r>
      <w:r>
        <w:rPr>
          <w:rFonts w:ascii="Calibri" w:hAnsi="Calibri" w:cs="Calibri"/>
          <w:i/>
        </w:rPr>
        <w:t>Indebtedness</w:t>
      </w:r>
      <w:r w:rsidRPr="00854A65">
        <w:rPr>
          <w:rFonts w:ascii="Calibri" w:hAnsi="Calibri" w:cs="Calibri"/>
        </w:rPr>
        <w:t xml:space="preserve"> </w:t>
      </w:r>
      <w:r>
        <w:rPr>
          <w:rFonts w:ascii="Calibri" w:hAnsi="Calibri" w:cs="Calibri"/>
        </w:rPr>
        <w:t>(</w:t>
      </w:r>
      <w:r w:rsidRPr="00854A65">
        <w:rPr>
          <w:rFonts w:ascii="Calibri" w:hAnsi="Calibri" w:cs="Calibri"/>
        </w:rPr>
        <w:t>New INKA</w:t>
      </w:r>
      <w:r>
        <w:rPr>
          <w:rFonts w:ascii="Calibri" w:hAnsi="Calibri" w:cs="Calibri"/>
        </w:rPr>
        <w:t>)</w:t>
      </w:r>
      <w:r w:rsidRPr="00854A65">
        <w:rPr>
          <w:rFonts w:ascii="Calibri" w:hAnsi="Calibri" w:cs="Calibri"/>
        </w:rPr>
        <w:t xml:space="preserve">. </w:t>
      </w:r>
    </w:p>
  </w:footnote>
  <w:footnote w:id="312">
    <w:p w14:paraId="30ED356B" w14:textId="726D4FF2" w:rsidR="00D82918" w:rsidRPr="00854A65" w:rsidRDefault="00D82918" w:rsidP="00BE71E3">
      <w:pPr>
        <w:pStyle w:val="FootnoteText"/>
        <w:rPr>
          <w:rFonts w:ascii="Calibri" w:hAnsi="Calibri"/>
        </w:rPr>
      </w:pPr>
      <w:r w:rsidRPr="00854A65">
        <w:rPr>
          <w:rStyle w:val="FootnoteReference"/>
          <w:rFonts w:ascii="Calibri" w:hAnsi="Calibri"/>
        </w:rPr>
        <w:footnoteRef/>
      </w:r>
      <w:r>
        <w:rPr>
          <w:rFonts w:ascii="Calibri" w:hAnsi="Calibri" w:cs="Calibri"/>
        </w:rPr>
        <w:t xml:space="preserve"> </w:t>
      </w:r>
      <w:r w:rsidRPr="00854A65">
        <w:rPr>
          <w:rFonts w:ascii="Calibri" w:hAnsi="Calibri" w:cs="Calibri"/>
        </w:rPr>
        <w:t>E Warren,</w:t>
      </w:r>
      <w:r>
        <w:rPr>
          <w:rFonts w:ascii="Calibri" w:hAnsi="Calibri" w:cs="Calibri"/>
        </w:rPr>
        <w:t xml:space="preserve"> 2007,</w:t>
      </w:r>
      <w:r w:rsidRPr="00854A65">
        <w:rPr>
          <w:rFonts w:ascii="Calibri" w:hAnsi="Calibri" w:cs="Calibri"/>
        </w:rPr>
        <w:t xml:space="preserve"> </w:t>
      </w:r>
      <w:r w:rsidRPr="007D0C5D">
        <w:rPr>
          <w:rFonts w:ascii="Calibri" w:hAnsi="Calibri" w:cs="Calibri"/>
        </w:rPr>
        <w:t>Unsafe at any rate,</w:t>
      </w:r>
      <w:r w:rsidRPr="00854A65">
        <w:rPr>
          <w:rFonts w:ascii="Calibri" w:hAnsi="Calibri" w:cs="Calibri"/>
        </w:rPr>
        <w:t xml:space="preserve"> </w:t>
      </w:r>
      <w:r w:rsidRPr="007D0C5D">
        <w:rPr>
          <w:rFonts w:ascii="Calibri" w:hAnsi="Calibri" w:cs="Calibri"/>
          <w:i/>
          <w:iCs/>
        </w:rPr>
        <w:t>Democracy</w:t>
      </w:r>
      <w:r w:rsidRPr="00854A65">
        <w:rPr>
          <w:rFonts w:ascii="Calibri" w:hAnsi="Calibri" w:cs="Calibri"/>
        </w:rPr>
        <w:t>.</w:t>
      </w:r>
    </w:p>
  </w:footnote>
  <w:footnote w:id="313">
    <w:p w14:paraId="17271195" w14:textId="4FDB6AD3" w:rsidR="00D82918" w:rsidRPr="00854A65" w:rsidRDefault="00D82918" w:rsidP="00BE71E3">
      <w:pPr>
        <w:pStyle w:val="FootnoteText"/>
        <w:rPr>
          <w:rFonts w:ascii="Calibri" w:hAnsi="Calibri"/>
        </w:rPr>
      </w:pPr>
      <w:r w:rsidRPr="00854A65">
        <w:rPr>
          <w:rStyle w:val="FootnoteReference"/>
          <w:rFonts w:ascii="Calibri" w:hAnsi="Calibri"/>
        </w:rPr>
        <w:footnoteRef/>
      </w:r>
      <w:r>
        <w:rPr>
          <w:rFonts w:ascii="Calibri" w:hAnsi="Calibri"/>
        </w:rPr>
        <w:t xml:space="preserve"> I </w:t>
      </w:r>
      <w:r w:rsidRPr="00854A65">
        <w:rPr>
          <w:rFonts w:ascii="Calibri" w:hAnsi="Calibri"/>
        </w:rPr>
        <w:t xml:space="preserve">Ramsay, </w:t>
      </w:r>
      <w:r w:rsidRPr="007D0C5D">
        <w:rPr>
          <w:rFonts w:ascii="Calibri" w:hAnsi="Calibri"/>
        </w:rPr>
        <w:t>op. cit.</w:t>
      </w:r>
    </w:p>
  </w:footnote>
  <w:footnote w:id="314">
    <w:p w14:paraId="50DA2E16" w14:textId="4F2C4B48" w:rsidR="00D82918" w:rsidRPr="00854A65" w:rsidRDefault="00D82918" w:rsidP="00BE71E3">
      <w:pPr>
        <w:pStyle w:val="FootnoteText"/>
        <w:rPr>
          <w:rFonts w:ascii="Calibri" w:hAnsi="Calibri"/>
        </w:rPr>
      </w:pPr>
      <w:r w:rsidRPr="00854A65">
        <w:rPr>
          <w:rStyle w:val="FootnoteReference"/>
          <w:rFonts w:ascii="Calibri" w:hAnsi="Calibri"/>
        </w:rPr>
        <w:footnoteRef/>
      </w:r>
      <w:r w:rsidRPr="00854A65">
        <w:rPr>
          <w:rFonts w:ascii="Calibri" w:hAnsi="Calibri"/>
        </w:rPr>
        <w:t xml:space="preserve"> </w:t>
      </w:r>
      <w:r>
        <w:rPr>
          <w:rFonts w:ascii="Calibri" w:hAnsi="Calibri"/>
        </w:rPr>
        <w:t xml:space="preserve">J </w:t>
      </w:r>
      <w:r w:rsidRPr="00854A65">
        <w:rPr>
          <w:rFonts w:ascii="Calibri" w:hAnsi="Calibri"/>
        </w:rPr>
        <w:t xml:space="preserve">Stiglitz, United Nations, </w:t>
      </w:r>
      <w:r w:rsidRPr="007D0C5D">
        <w:rPr>
          <w:rFonts w:ascii="Calibri" w:hAnsi="Calibri"/>
        </w:rPr>
        <w:t>op. cit.</w:t>
      </w:r>
      <w:r w:rsidRPr="00854A65">
        <w:rPr>
          <w:rFonts w:ascii="Calibri" w:hAnsi="Calibri"/>
        </w:rPr>
        <w:t xml:space="preserve"> </w:t>
      </w:r>
    </w:p>
  </w:footnote>
  <w:footnote w:id="315">
    <w:p w14:paraId="5D26DB3B" w14:textId="223DAA0C" w:rsidR="00D82918" w:rsidRPr="00854A65" w:rsidRDefault="00D82918" w:rsidP="00BE71E3">
      <w:pPr>
        <w:pStyle w:val="FootnoteText"/>
      </w:pPr>
      <w:r w:rsidRPr="00854A65">
        <w:rPr>
          <w:rStyle w:val="FootnoteReference"/>
        </w:rPr>
        <w:footnoteRef/>
      </w:r>
      <w:r>
        <w:t xml:space="preserve"> </w:t>
      </w:r>
      <w:r w:rsidRPr="00854A65">
        <w:t xml:space="preserve">Eurostat, </w:t>
      </w:r>
      <w:r>
        <w:t xml:space="preserve">2007, </w:t>
      </w:r>
      <w:r>
        <w:rPr>
          <w:i/>
        </w:rPr>
        <w:t>Consumers in Europe:</w:t>
      </w:r>
      <w:r w:rsidRPr="00854A65">
        <w:rPr>
          <w:i/>
        </w:rPr>
        <w:t xml:space="preserve"> Facts and Figures on Services of General Interest</w:t>
      </w:r>
      <w:r w:rsidRPr="00854A65">
        <w:t xml:space="preserve">. </w:t>
      </w:r>
    </w:p>
  </w:footnote>
  <w:footnote w:id="316">
    <w:p w14:paraId="36B54D16" w14:textId="0A873C58" w:rsidR="00D82918" w:rsidRPr="00854A65" w:rsidRDefault="00D82918" w:rsidP="00BE71E3">
      <w:pPr>
        <w:pStyle w:val="FootnoteText"/>
      </w:pPr>
      <w:r w:rsidRPr="00854A65">
        <w:rPr>
          <w:rStyle w:val="FootnoteReference"/>
        </w:rPr>
        <w:footnoteRef/>
      </w:r>
      <w:r>
        <w:rPr>
          <w:lang w:val="nl-NL"/>
        </w:rPr>
        <w:t xml:space="preserve"> A</w:t>
      </w:r>
      <w:r w:rsidRPr="00854A65">
        <w:rPr>
          <w:lang w:val="nl-NL"/>
        </w:rPr>
        <w:t xml:space="preserve"> Eberhard, </w:t>
      </w:r>
      <w:r>
        <w:rPr>
          <w:lang w:val="nl-NL"/>
        </w:rPr>
        <w:t xml:space="preserve">2007, </w:t>
      </w:r>
      <w:r w:rsidRPr="00854A65">
        <w:rPr>
          <w:i/>
          <w:lang w:val="nl-NL"/>
        </w:rPr>
        <w:t>Infrastructure Regulation in Developing Countries: An Exploration of Hybrid and Transitional Models,</w:t>
      </w:r>
      <w:r w:rsidRPr="00854A65">
        <w:rPr>
          <w:lang w:val="nl-NL"/>
        </w:rPr>
        <w:t xml:space="preserve"> </w:t>
      </w:r>
      <w:r>
        <w:t>PPIAF Working Paper</w:t>
      </w:r>
      <w:r w:rsidRPr="00854A65">
        <w:t>.</w:t>
      </w:r>
    </w:p>
  </w:footnote>
  <w:footnote w:id="317">
    <w:p w14:paraId="645B18FC" w14:textId="3D608D7F" w:rsidR="00D82918" w:rsidRPr="00854A65" w:rsidRDefault="00D82918" w:rsidP="00BE71E3">
      <w:pPr>
        <w:pStyle w:val="FootnoteText"/>
      </w:pPr>
      <w:r w:rsidRPr="00854A65">
        <w:rPr>
          <w:rStyle w:val="FootnoteReference"/>
        </w:rPr>
        <w:footnoteRef/>
      </w:r>
      <w:r>
        <w:t xml:space="preserve"> PS Juuti and TS</w:t>
      </w:r>
      <w:r w:rsidRPr="00854A65">
        <w:t xml:space="preserve"> Katko,</w:t>
      </w:r>
      <w:r>
        <w:t xml:space="preserve"> 2005,</w:t>
      </w:r>
      <w:r w:rsidRPr="00854A65">
        <w:t xml:space="preserve"> </w:t>
      </w:r>
      <w:r w:rsidRPr="00854A65">
        <w:rPr>
          <w:i/>
        </w:rPr>
        <w:t xml:space="preserve">Water, Time and European Cities: </w:t>
      </w:r>
      <w:r>
        <w:rPr>
          <w:i/>
        </w:rPr>
        <w:t>History Matters for the Futures</w:t>
      </w:r>
      <w:r w:rsidRPr="00854A65">
        <w:t xml:space="preserve"> </w:t>
      </w:r>
      <w:r>
        <w:t>(</w:t>
      </w:r>
      <w:r w:rsidRPr="00854A65">
        <w:t>Watertime</w:t>
      </w:r>
      <w:r>
        <w:t>).</w:t>
      </w:r>
      <w:r w:rsidRPr="00854A65">
        <w:t xml:space="preserve"> See also</w:t>
      </w:r>
      <w:r>
        <w:t>,</w:t>
      </w:r>
      <w:r w:rsidRPr="00854A65">
        <w:t xml:space="preserve"> by </w:t>
      </w:r>
      <w:r>
        <w:t>the same authors, 2004,</w:t>
      </w:r>
      <w:r w:rsidRPr="00854A65">
        <w:t xml:space="preserve"> </w:t>
      </w:r>
      <w:r w:rsidRPr="00854A65">
        <w:rPr>
          <w:i/>
        </w:rPr>
        <w:t>From a Few to All: Long Term Development of Water and En</w:t>
      </w:r>
      <w:r>
        <w:rPr>
          <w:i/>
        </w:rPr>
        <w:t>vironmental Services in Finland</w:t>
      </w:r>
      <w:r w:rsidRPr="00854A65">
        <w:t>.</w:t>
      </w:r>
    </w:p>
  </w:footnote>
  <w:footnote w:id="318">
    <w:p w14:paraId="15DA6D24" w14:textId="77777777" w:rsidR="00D82918" w:rsidRPr="00854A65" w:rsidRDefault="00D82918" w:rsidP="00BE71E3">
      <w:pPr>
        <w:pStyle w:val="FootnoteText"/>
      </w:pPr>
      <w:r w:rsidRPr="00854A65">
        <w:rPr>
          <w:rStyle w:val="FootnoteReference"/>
        </w:rPr>
        <w:footnoteRef/>
      </w:r>
      <w:r w:rsidRPr="00854A65">
        <w:t xml:space="preserve"> Under the name of Veolia.</w:t>
      </w:r>
    </w:p>
  </w:footnote>
  <w:footnote w:id="319">
    <w:p w14:paraId="7799BFA3" w14:textId="3D3742EE" w:rsidR="00D82918" w:rsidRPr="00854A65" w:rsidRDefault="00D82918" w:rsidP="00BE71E3">
      <w:pPr>
        <w:pStyle w:val="FootnoteText"/>
        <w:rPr>
          <w:rFonts w:ascii="Calibri" w:hAnsi="Calibri" w:cs="Calibri"/>
          <w:lang w:val="fr-FR"/>
        </w:rPr>
      </w:pPr>
      <w:r w:rsidRPr="00854A65">
        <w:rPr>
          <w:rStyle w:val="FootnoteReference"/>
          <w:rFonts w:cs="Calibri"/>
        </w:rPr>
        <w:footnoteRef/>
      </w:r>
      <w:r>
        <w:rPr>
          <w:rFonts w:cs="Calibri"/>
          <w:lang w:val="fr-FR"/>
        </w:rPr>
        <w:t xml:space="preserve"> S Trémolet and D</w:t>
      </w:r>
      <w:r w:rsidRPr="00854A65">
        <w:rPr>
          <w:rFonts w:cs="Calibri"/>
          <w:lang w:val="fr-FR"/>
        </w:rPr>
        <w:t xml:space="preserve"> Binder, </w:t>
      </w:r>
      <w:r>
        <w:rPr>
          <w:rFonts w:cs="Calibri"/>
          <w:lang w:val="fr-FR"/>
        </w:rPr>
        <w:t xml:space="preserve">2010, </w:t>
      </w:r>
      <w:r w:rsidRPr="00854A65">
        <w:rPr>
          <w:rFonts w:cs="Calibri"/>
          <w:i/>
          <w:lang w:val="fr-FR"/>
        </w:rPr>
        <w:t>La régulation des services d’eau et d’assainissement</w:t>
      </w:r>
      <w:r>
        <w:rPr>
          <w:rFonts w:cs="Calibri"/>
          <w:i/>
          <w:lang w:val="fr-FR"/>
        </w:rPr>
        <w:t xml:space="preserve"> dans les pays en développement</w:t>
      </w:r>
      <w:r w:rsidRPr="00854A65">
        <w:rPr>
          <w:rFonts w:cs="Calibri"/>
          <w:lang w:val="fr-FR"/>
        </w:rPr>
        <w:t xml:space="preserve"> </w:t>
      </w:r>
      <w:r>
        <w:rPr>
          <w:rFonts w:cs="Calibri"/>
          <w:lang w:val="fr-FR"/>
        </w:rPr>
        <w:t>(</w:t>
      </w:r>
      <w:r w:rsidRPr="00854A65">
        <w:rPr>
          <w:rFonts w:cs="Calibri"/>
          <w:lang w:val="fr-FR"/>
        </w:rPr>
        <w:t>AFD</w:t>
      </w:r>
      <w:r>
        <w:rPr>
          <w:rFonts w:cs="Calibri"/>
          <w:lang w:val="fr-FR"/>
        </w:rPr>
        <w:t>)</w:t>
      </w:r>
      <w:r w:rsidRPr="00854A65">
        <w:rPr>
          <w:rFonts w:cs="Calibri"/>
          <w:lang w:val="fr-FR"/>
        </w:rPr>
        <w:t>.</w:t>
      </w:r>
    </w:p>
  </w:footnote>
  <w:footnote w:id="320">
    <w:p w14:paraId="6059CDF1" w14:textId="2B68A72D" w:rsidR="00D82918" w:rsidRPr="00854A65" w:rsidRDefault="00D82918" w:rsidP="00BE71E3">
      <w:pPr>
        <w:pStyle w:val="FootnoteText"/>
      </w:pPr>
      <w:r w:rsidRPr="00854A65">
        <w:rPr>
          <w:rStyle w:val="FootnoteReference"/>
        </w:rPr>
        <w:footnoteRef/>
      </w:r>
      <w:r>
        <w:t xml:space="preserve"> </w:t>
      </w:r>
      <w:r w:rsidRPr="00854A65">
        <w:t xml:space="preserve">OECD, </w:t>
      </w:r>
      <w:r>
        <w:t xml:space="preserve">2008, </w:t>
      </w:r>
      <w:r w:rsidRPr="00854A65">
        <w:rPr>
          <w:i/>
        </w:rPr>
        <w:t>Financing and Pricing Water: The Roles of Government Policies, the Private Sector and Civil Society,</w:t>
      </w:r>
      <w:r>
        <w:t xml:space="preserve"> ENV/EPOC/GF/SD</w:t>
      </w:r>
      <w:r w:rsidRPr="00854A65">
        <w:t xml:space="preserve"> 2008.</w:t>
      </w:r>
    </w:p>
  </w:footnote>
  <w:footnote w:id="321">
    <w:p w14:paraId="703E8EF5" w14:textId="09FE8E56" w:rsidR="00D82918" w:rsidRPr="00854A65" w:rsidRDefault="00D82918" w:rsidP="00BE71E3">
      <w:pPr>
        <w:pStyle w:val="FootnoteText"/>
      </w:pPr>
      <w:r w:rsidRPr="00854A65">
        <w:rPr>
          <w:rStyle w:val="FootnoteReference"/>
        </w:rPr>
        <w:footnoteRef/>
      </w:r>
      <w:r w:rsidRPr="00854A65">
        <w:rPr>
          <w:rFonts w:cs="Calibri"/>
        </w:rPr>
        <w:t xml:space="preserve"> </w:t>
      </w:r>
      <w:r w:rsidRPr="00854A65">
        <w:t xml:space="preserve">OECD, </w:t>
      </w:r>
      <w:r>
        <w:t xml:space="preserve">2008, </w:t>
      </w:r>
      <w:r w:rsidRPr="004C6A3D">
        <w:t>op. cit.</w:t>
      </w:r>
      <w:r>
        <w:rPr>
          <w:i/>
        </w:rPr>
        <w:t xml:space="preserve"> </w:t>
      </w:r>
    </w:p>
  </w:footnote>
  <w:footnote w:id="322">
    <w:p w14:paraId="2AFF493D" w14:textId="42FBF83D" w:rsidR="00D82918" w:rsidRPr="00854A65" w:rsidRDefault="00D82918" w:rsidP="00BE71E3">
      <w:pPr>
        <w:pStyle w:val="FootnoteText"/>
      </w:pPr>
      <w:r w:rsidRPr="00854A65">
        <w:rPr>
          <w:rStyle w:val="FootnoteReference"/>
        </w:rPr>
        <w:footnoteRef/>
      </w:r>
      <w:r w:rsidRPr="00854A65">
        <w:rPr>
          <w:rFonts w:cs="Calibri"/>
        </w:rPr>
        <w:t xml:space="preserve"> </w:t>
      </w:r>
      <w:r>
        <w:t>P</w:t>
      </w:r>
      <w:r w:rsidRPr="00854A65">
        <w:t xml:space="preserve"> Marin,</w:t>
      </w:r>
      <w:r>
        <w:t xml:space="preserve"> 2009,</w:t>
      </w:r>
      <w:r w:rsidRPr="00854A65">
        <w:t xml:space="preserve"> </w:t>
      </w:r>
      <w:r w:rsidRPr="00854A65">
        <w:rPr>
          <w:i/>
        </w:rPr>
        <w:t>Public-Private Partnerships for Urban Water Utilities: A Review of Expe</w:t>
      </w:r>
      <w:r>
        <w:rPr>
          <w:i/>
        </w:rPr>
        <w:t>riences in Developing Countries</w:t>
      </w:r>
      <w:r w:rsidRPr="00854A65">
        <w:rPr>
          <w:i/>
        </w:rPr>
        <w:t xml:space="preserve"> </w:t>
      </w:r>
      <w:r>
        <w:t>(</w:t>
      </w:r>
      <w:r w:rsidRPr="00854A65">
        <w:t>World Bank</w:t>
      </w:r>
      <w:r>
        <w:t>)</w:t>
      </w:r>
      <w:r w:rsidRPr="00854A65">
        <w:t>.</w:t>
      </w:r>
    </w:p>
  </w:footnote>
  <w:footnote w:id="323">
    <w:p w14:paraId="1EA962EF" w14:textId="351200C7" w:rsidR="00D82918" w:rsidRPr="00854A65" w:rsidRDefault="00D82918" w:rsidP="00BE71E3">
      <w:pPr>
        <w:pStyle w:val="FootnoteText"/>
      </w:pPr>
      <w:r w:rsidRPr="00854A65">
        <w:rPr>
          <w:rStyle w:val="FootnoteReference"/>
        </w:rPr>
        <w:footnoteRef/>
      </w:r>
      <w:r>
        <w:t xml:space="preserve"> P Marin and AK</w:t>
      </w:r>
      <w:r w:rsidRPr="00854A65">
        <w:t xml:space="preserve"> Izaguirre,</w:t>
      </w:r>
      <w:r>
        <w:t xml:space="preserve"> 2006,</w:t>
      </w:r>
      <w:r w:rsidRPr="00854A65">
        <w:t xml:space="preserve"> </w:t>
      </w:r>
      <w:r w:rsidRPr="00854A65">
        <w:rPr>
          <w:i/>
        </w:rPr>
        <w:t>Private Participation in Water, Toward a New Generation of Projects</w:t>
      </w:r>
      <w:r w:rsidRPr="00854A65">
        <w:rPr>
          <w:i/>
          <w:iCs/>
        </w:rPr>
        <w:t>?</w:t>
      </w:r>
      <w:r w:rsidRPr="00854A65">
        <w:t xml:space="preserve"> </w:t>
      </w:r>
      <w:r>
        <w:t>(PPIAF/</w:t>
      </w:r>
      <w:r w:rsidRPr="00854A65">
        <w:t>World Bank</w:t>
      </w:r>
      <w:r>
        <w:t>)</w:t>
      </w:r>
      <w:r w:rsidRPr="00854A65">
        <w:t>.</w:t>
      </w:r>
    </w:p>
  </w:footnote>
  <w:footnote w:id="324">
    <w:p w14:paraId="63452005" w14:textId="69CA92B5" w:rsidR="00D82918" w:rsidRPr="00854A65" w:rsidRDefault="00D82918" w:rsidP="00BE71E3">
      <w:pPr>
        <w:pStyle w:val="FootnoteText"/>
      </w:pPr>
      <w:r w:rsidRPr="00854A65">
        <w:rPr>
          <w:rStyle w:val="FootnoteReference"/>
        </w:rPr>
        <w:footnoteRef/>
      </w:r>
      <w:r w:rsidRPr="00854A65">
        <w:t xml:space="preserve"> Marin and Izaguirre, </w:t>
      </w:r>
      <w:r w:rsidRPr="004C6A3D">
        <w:t>op. cit.</w:t>
      </w:r>
    </w:p>
  </w:footnote>
  <w:footnote w:id="325">
    <w:p w14:paraId="6DEA5EAB" w14:textId="1E71704F" w:rsidR="00D82918" w:rsidRPr="00854A65" w:rsidRDefault="00D82918" w:rsidP="00BE71E3">
      <w:pPr>
        <w:pStyle w:val="FootnoteText"/>
      </w:pPr>
      <w:r w:rsidRPr="00854A65">
        <w:rPr>
          <w:rStyle w:val="FootnoteReference"/>
        </w:rPr>
        <w:footnoteRef/>
      </w:r>
      <w:r>
        <w:t xml:space="preserve"> J</w:t>
      </w:r>
      <w:r w:rsidRPr="00854A65">
        <w:t xml:space="preserve"> Guasch, </w:t>
      </w:r>
      <w:r>
        <w:t xml:space="preserve">2004, </w:t>
      </w:r>
      <w:r w:rsidRPr="00854A65">
        <w:rPr>
          <w:i/>
        </w:rPr>
        <w:t>Granting and Renegotia</w:t>
      </w:r>
      <w:r>
        <w:rPr>
          <w:i/>
        </w:rPr>
        <w:t>ting Infrastructure Concessions</w:t>
      </w:r>
      <w:r w:rsidRPr="00854A65">
        <w:rPr>
          <w:i/>
        </w:rPr>
        <w:t xml:space="preserve"> </w:t>
      </w:r>
      <w:r>
        <w:t>(</w:t>
      </w:r>
      <w:r w:rsidRPr="00854A65">
        <w:t>World Bank Institute</w:t>
      </w:r>
      <w:r>
        <w:t>)</w:t>
      </w:r>
      <w:r w:rsidRPr="00854A65">
        <w:t>.</w:t>
      </w:r>
    </w:p>
  </w:footnote>
  <w:footnote w:id="326">
    <w:p w14:paraId="533EB3D1" w14:textId="026C25FB" w:rsidR="00D82918" w:rsidRPr="00854A65" w:rsidRDefault="00D82918" w:rsidP="00BE71E3">
      <w:pPr>
        <w:pStyle w:val="FootnoteText"/>
      </w:pPr>
      <w:r w:rsidRPr="00854A65">
        <w:rPr>
          <w:rStyle w:val="FootnoteReference"/>
        </w:rPr>
        <w:footnoteRef/>
      </w:r>
      <w:r w:rsidRPr="00854A65">
        <w:t xml:space="preserve"> </w:t>
      </w:r>
      <w:r>
        <w:t xml:space="preserve">P </w:t>
      </w:r>
      <w:r w:rsidRPr="00854A65">
        <w:t xml:space="preserve">Marin, </w:t>
      </w:r>
      <w:r w:rsidRPr="004C6A3D">
        <w:t>op. cit.</w:t>
      </w:r>
    </w:p>
  </w:footnote>
  <w:footnote w:id="327">
    <w:p w14:paraId="27852FC5" w14:textId="500E9E1C" w:rsidR="00D82918" w:rsidRPr="00854A65" w:rsidRDefault="00D82918" w:rsidP="00BE71E3">
      <w:pPr>
        <w:pStyle w:val="FootnoteText"/>
      </w:pPr>
      <w:r w:rsidRPr="00854A65">
        <w:rPr>
          <w:rStyle w:val="FootnoteReference"/>
        </w:rPr>
        <w:footnoteRef/>
      </w:r>
      <w:r w:rsidRPr="00854A65">
        <w:rPr>
          <w:i/>
        </w:rPr>
        <w:t xml:space="preserve"> </w:t>
      </w:r>
      <w:r w:rsidRPr="00854A65">
        <w:t xml:space="preserve">Global Water Intelligence, </w:t>
      </w:r>
      <w:r>
        <w:t xml:space="preserve">2004, </w:t>
      </w:r>
      <w:r>
        <w:rPr>
          <w:i/>
        </w:rPr>
        <w:t>Tariffs: Halfway There</w:t>
      </w:r>
      <w:r w:rsidRPr="00854A65">
        <w:rPr>
          <w:i/>
        </w:rPr>
        <w:t xml:space="preserve"> </w:t>
      </w:r>
      <w:r>
        <w:t>(</w:t>
      </w:r>
      <w:r w:rsidRPr="00854A65">
        <w:t>Oxford</w:t>
      </w:r>
      <w:r>
        <w:t>)</w:t>
      </w:r>
      <w:r w:rsidRPr="00854A65">
        <w:t>.</w:t>
      </w:r>
    </w:p>
  </w:footnote>
  <w:footnote w:id="328">
    <w:p w14:paraId="3B86600C" w14:textId="30925FEC" w:rsidR="00D82918" w:rsidRPr="00854A65" w:rsidRDefault="00D82918" w:rsidP="00BE71E3">
      <w:pPr>
        <w:pStyle w:val="FootnoteText"/>
      </w:pPr>
      <w:r w:rsidRPr="00854A65">
        <w:rPr>
          <w:rStyle w:val="FootnoteReference"/>
        </w:rPr>
        <w:footnoteRef/>
      </w:r>
      <w:r>
        <w:t xml:space="preserve"> K</w:t>
      </w:r>
      <w:r w:rsidRPr="00854A65">
        <w:t xml:space="preserve"> Komives</w:t>
      </w:r>
      <w:r>
        <w:t xml:space="preserve"> et al, 2005, </w:t>
      </w:r>
      <w:r w:rsidRPr="004C6A3D">
        <w:rPr>
          <w:i/>
        </w:rPr>
        <w:t>Water,</w:t>
      </w:r>
      <w:r w:rsidRPr="00854A65">
        <w:t xml:space="preserve"> </w:t>
      </w:r>
      <w:r w:rsidRPr="00854A65">
        <w:rPr>
          <w:i/>
          <w:iCs/>
        </w:rPr>
        <w:t>Electricity and the Poor: Who Benefits from Utility Subsidies?</w:t>
      </w:r>
      <w:r>
        <w:rPr>
          <w:i/>
          <w:iCs/>
        </w:rPr>
        <w:t xml:space="preserve"> </w:t>
      </w:r>
      <w:r>
        <w:rPr>
          <w:iCs/>
        </w:rPr>
        <w:t>(</w:t>
      </w:r>
      <w:r w:rsidRPr="00854A65">
        <w:t>World Bank</w:t>
      </w:r>
      <w:r>
        <w:t>)</w:t>
      </w:r>
      <w:r w:rsidRPr="00854A65">
        <w:t xml:space="preserve">. </w:t>
      </w:r>
    </w:p>
  </w:footnote>
  <w:footnote w:id="329">
    <w:p w14:paraId="2D1F9124" w14:textId="49F6F85B" w:rsidR="00D82918" w:rsidRPr="00854A65" w:rsidRDefault="00D82918" w:rsidP="00BE71E3">
      <w:pPr>
        <w:pStyle w:val="FootnoteText"/>
      </w:pPr>
      <w:r w:rsidRPr="00854A65">
        <w:rPr>
          <w:rStyle w:val="FootnoteReference"/>
        </w:rPr>
        <w:footnoteRef/>
      </w:r>
      <w:r>
        <w:t xml:space="preserve"> D Mitlin and D</w:t>
      </w:r>
      <w:r w:rsidRPr="00854A65">
        <w:t xml:space="preserve"> Satterthwaite, </w:t>
      </w:r>
      <w:r>
        <w:t xml:space="preserve">2013, </w:t>
      </w:r>
      <w:r w:rsidRPr="00854A65">
        <w:rPr>
          <w:i/>
        </w:rPr>
        <w:t>Urban Poverty in the Global South</w:t>
      </w:r>
      <w:r w:rsidRPr="00854A65">
        <w:t>.</w:t>
      </w:r>
    </w:p>
  </w:footnote>
  <w:footnote w:id="330">
    <w:p w14:paraId="2F0FD152" w14:textId="31F41398" w:rsidR="00D82918" w:rsidRPr="00854A65" w:rsidRDefault="00D82918" w:rsidP="00BE71E3">
      <w:pPr>
        <w:pStyle w:val="FootnoteText"/>
        <w:rPr>
          <w:rFonts w:cs="Calibri"/>
        </w:rPr>
      </w:pPr>
      <w:r w:rsidRPr="00854A65">
        <w:rPr>
          <w:rStyle w:val="FootnoteReference"/>
          <w:rFonts w:cs="Calibri"/>
        </w:rPr>
        <w:footnoteRef/>
      </w:r>
      <w:r>
        <w:rPr>
          <w:rFonts w:cs="Calibri"/>
        </w:rPr>
        <w:t xml:space="preserve"> M</w:t>
      </w:r>
      <w:r w:rsidRPr="00854A65">
        <w:rPr>
          <w:rFonts w:cs="Calibri"/>
        </w:rPr>
        <w:t xml:space="preserve"> Kariuki</w:t>
      </w:r>
      <w:r>
        <w:rPr>
          <w:rFonts w:cs="Calibri"/>
        </w:rPr>
        <w:t xml:space="preserve"> et al, 2006, </w:t>
      </w:r>
      <w:r w:rsidRPr="00854A65">
        <w:rPr>
          <w:rFonts w:cs="Calibri"/>
          <w:i/>
        </w:rPr>
        <w:t>Reaching Unserved Communitie</w:t>
      </w:r>
      <w:r>
        <w:rPr>
          <w:rFonts w:cs="Calibri"/>
          <w:i/>
        </w:rPr>
        <w:t>s in Africa with Basic Services</w:t>
      </w:r>
      <w:r w:rsidRPr="00854A65">
        <w:rPr>
          <w:rFonts w:cs="Calibri"/>
        </w:rPr>
        <w:t xml:space="preserve"> </w:t>
      </w:r>
      <w:r>
        <w:rPr>
          <w:rFonts w:cs="Calibri"/>
        </w:rPr>
        <w:t>(</w:t>
      </w:r>
      <w:r w:rsidRPr="00854A65">
        <w:rPr>
          <w:rFonts w:cs="Calibri"/>
        </w:rPr>
        <w:t>PPIAF</w:t>
      </w:r>
      <w:r>
        <w:rPr>
          <w:rFonts w:cs="Calibri"/>
        </w:rPr>
        <w:t>)</w:t>
      </w:r>
      <w:r w:rsidRPr="00854A65">
        <w:rPr>
          <w:rFonts w:cs="Calibri"/>
        </w:rPr>
        <w:t>.</w:t>
      </w:r>
    </w:p>
  </w:footnote>
  <w:footnote w:id="331">
    <w:p w14:paraId="0CDDF5F5" w14:textId="52002F7D" w:rsidR="00D82918" w:rsidRPr="00854A65" w:rsidRDefault="00D82918" w:rsidP="00BE71E3">
      <w:pPr>
        <w:pStyle w:val="FootnoteText"/>
        <w:rPr>
          <w:rFonts w:cs="Calibri"/>
        </w:rPr>
      </w:pPr>
      <w:r w:rsidRPr="00854A65">
        <w:rPr>
          <w:rStyle w:val="FootnoteReference"/>
          <w:rFonts w:cs="Calibri"/>
        </w:rPr>
        <w:footnoteRef/>
      </w:r>
      <w:r>
        <w:rPr>
          <w:rFonts w:cs="Calibri"/>
        </w:rPr>
        <w:t xml:space="preserve"> B</w:t>
      </w:r>
      <w:r w:rsidRPr="00854A65">
        <w:rPr>
          <w:rFonts w:cs="Calibri"/>
        </w:rPr>
        <w:t xml:space="preserve"> Dardenne, </w:t>
      </w:r>
      <w:r>
        <w:rPr>
          <w:rFonts w:cs="Calibri"/>
        </w:rPr>
        <w:t xml:space="preserve">2006, </w:t>
      </w:r>
      <w:r w:rsidRPr="00854A65">
        <w:rPr>
          <w:rFonts w:cs="Calibri"/>
          <w:i/>
          <w:iCs/>
        </w:rPr>
        <w:t>The Role of the Private Sector in Peri-Urban or Rural Water</w:t>
      </w:r>
      <w:r>
        <w:rPr>
          <w:rFonts w:cs="Calibri"/>
          <w:i/>
          <w:iCs/>
        </w:rPr>
        <w:t xml:space="preserve"> Services in Emerging Countries </w:t>
      </w:r>
      <w:r>
        <w:rPr>
          <w:rFonts w:cs="Calibri"/>
          <w:iCs/>
        </w:rPr>
        <w:t>(</w:t>
      </w:r>
      <w:r w:rsidRPr="00854A65">
        <w:rPr>
          <w:rFonts w:cs="Calibri"/>
        </w:rPr>
        <w:t>Paris</w:t>
      </w:r>
      <w:r>
        <w:rPr>
          <w:rFonts w:cs="Calibri"/>
        </w:rPr>
        <w:t>,</w:t>
      </w:r>
      <w:r w:rsidRPr="00854A65">
        <w:rPr>
          <w:rFonts w:cs="Calibri"/>
        </w:rPr>
        <w:t xml:space="preserve"> OECD</w:t>
      </w:r>
      <w:r>
        <w:rPr>
          <w:rFonts w:cs="Calibri"/>
        </w:rPr>
        <w:t>)</w:t>
      </w:r>
      <w:r w:rsidRPr="00854A65">
        <w:rPr>
          <w:rFonts w:cs="Calibri"/>
        </w:rPr>
        <w:t>.</w:t>
      </w:r>
    </w:p>
  </w:footnote>
  <w:footnote w:id="332">
    <w:p w14:paraId="3A317033" w14:textId="5D56BD0C" w:rsidR="00D82918" w:rsidRPr="00854A65" w:rsidRDefault="00D82918" w:rsidP="00BE71E3">
      <w:pPr>
        <w:pStyle w:val="FootnoteText"/>
        <w:rPr>
          <w:rFonts w:cs="Calibri"/>
        </w:rPr>
      </w:pPr>
      <w:r w:rsidRPr="00854A65">
        <w:rPr>
          <w:rStyle w:val="FootnoteReference"/>
          <w:rFonts w:cs="Calibri"/>
        </w:rPr>
        <w:footnoteRef/>
      </w:r>
      <w:r>
        <w:rPr>
          <w:rFonts w:cs="Calibri"/>
        </w:rPr>
        <w:t xml:space="preserve"> H</w:t>
      </w:r>
      <w:r w:rsidRPr="00854A65">
        <w:rPr>
          <w:rFonts w:cs="Calibri"/>
        </w:rPr>
        <w:t xml:space="preserve"> Smets,</w:t>
      </w:r>
      <w:r>
        <w:rPr>
          <w:rFonts w:cs="Calibri"/>
        </w:rPr>
        <w:t xml:space="preserve"> 2009,</w:t>
      </w:r>
      <w:r w:rsidRPr="00854A65">
        <w:rPr>
          <w:rFonts w:cs="Calibri"/>
        </w:rPr>
        <w:t xml:space="preserve"> </w:t>
      </w:r>
      <w:r w:rsidRPr="00854A65">
        <w:rPr>
          <w:rFonts w:cs="Calibri"/>
          <w:i/>
        </w:rPr>
        <w:t>Access to Drinking Water at Affordable Prices in D</w:t>
      </w:r>
      <w:r>
        <w:rPr>
          <w:rFonts w:cs="Calibri"/>
          <w:i/>
        </w:rPr>
        <w:t>eveloping Countries</w:t>
      </w:r>
      <w:r w:rsidRPr="00854A65">
        <w:rPr>
          <w:rFonts w:cs="Calibri"/>
        </w:rPr>
        <w:t xml:space="preserve"> </w:t>
      </w:r>
      <w:r>
        <w:rPr>
          <w:rFonts w:cs="Calibri"/>
        </w:rPr>
        <w:t>(</w:t>
      </w:r>
      <w:r>
        <w:rPr>
          <w:rFonts w:cs="Calibri"/>
          <w:iCs/>
        </w:rPr>
        <w:t>Options Mediteranné</w:t>
      </w:r>
      <w:r w:rsidRPr="00854A65">
        <w:rPr>
          <w:rFonts w:cs="Calibri"/>
          <w:iCs/>
        </w:rPr>
        <w:t>es</w:t>
      </w:r>
      <w:r>
        <w:rPr>
          <w:rFonts w:cs="Calibri"/>
          <w:iCs/>
        </w:rPr>
        <w:t>);</w:t>
      </w:r>
      <w:r w:rsidRPr="00854A65">
        <w:rPr>
          <w:rFonts w:cs="Calibri"/>
        </w:rPr>
        <w:t xml:space="preserve"> </w:t>
      </w:r>
      <w:r>
        <w:rPr>
          <w:rFonts w:cs="Calibri"/>
        </w:rPr>
        <w:t>M Fay and M</w:t>
      </w:r>
      <w:r w:rsidRPr="00854A65">
        <w:rPr>
          <w:rFonts w:cs="Calibri"/>
        </w:rPr>
        <w:t xml:space="preserve"> Morrison,</w:t>
      </w:r>
      <w:r>
        <w:rPr>
          <w:rFonts w:cs="Calibri"/>
        </w:rPr>
        <w:t xml:space="preserve"> 2007,</w:t>
      </w:r>
      <w:r w:rsidRPr="00854A65">
        <w:rPr>
          <w:rFonts w:cs="Calibri"/>
        </w:rPr>
        <w:t xml:space="preserve"> </w:t>
      </w:r>
      <w:r w:rsidRPr="00854A65">
        <w:rPr>
          <w:rFonts w:cs="Calibri"/>
          <w:i/>
        </w:rPr>
        <w:t xml:space="preserve">Infrastructure in </w:t>
      </w:r>
      <w:r>
        <w:rPr>
          <w:rFonts w:cs="Calibri"/>
          <w:i/>
        </w:rPr>
        <w:t>Latin America and the Caribbean</w:t>
      </w:r>
      <w:r w:rsidRPr="00854A65">
        <w:rPr>
          <w:rFonts w:cs="Calibri"/>
        </w:rPr>
        <w:t xml:space="preserve"> </w:t>
      </w:r>
      <w:r>
        <w:rPr>
          <w:rFonts w:cs="Calibri"/>
        </w:rPr>
        <w:t>(</w:t>
      </w:r>
      <w:r w:rsidRPr="00854A65">
        <w:rPr>
          <w:rFonts w:cs="Calibri"/>
        </w:rPr>
        <w:t>World Bank/PPIAF</w:t>
      </w:r>
      <w:r>
        <w:rPr>
          <w:rFonts w:cs="Calibri"/>
        </w:rPr>
        <w:t>)</w:t>
      </w:r>
      <w:r w:rsidRPr="00854A65">
        <w:rPr>
          <w:rFonts w:cs="Calibri"/>
        </w:rPr>
        <w:t xml:space="preserve">. </w:t>
      </w:r>
    </w:p>
  </w:footnote>
  <w:footnote w:id="333">
    <w:p w14:paraId="15AA3736" w14:textId="0B6036EC" w:rsidR="00D82918" w:rsidRPr="00854A65" w:rsidRDefault="00D82918" w:rsidP="00BE71E3">
      <w:pPr>
        <w:pStyle w:val="FootnoteText"/>
        <w:rPr>
          <w:rFonts w:cs="Calibri"/>
        </w:rPr>
      </w:pPr>
      <w:r w:rsidRPr="00854A65">
        <w:rPr>
          <w:rStyle w:val="FootnoteReference"/>
          <w:rFonts w:cs="Calibri"/>
        </w:rPr>
        <w:footnoteRef/>
      </w:r>
      <w:r>
        <w:rPr>
          <w:rFonts w:cs="Calibri"/>
        </w:rPr>
        <w:t xml:space="preserve"> SG Bannerjee and E</w:t>
      </w:r>
      <w:r w:rsidRPr="00854A65">
        <w:rPr>
          <w:rFonts w:cs="Calibri"/>
        </w:rPr>
        <w:t xml:space="preserve"> Morella,</w:t>
      </w:r>
      <w:r>
        <w:rPr>
          <w:rFonts w:cs="Calibri"/>
        </w:rPr>
        <w:t xml:space="preserve"> 2011,</w:t>
      </w:r>
      <w:r w:rsidRPr="00854A65">
        <w:rPr>
          <w:rFonts w:cs="Calibri"/>
        </w:rPr>
        <w:t xml:space="preserve"> </w:t>
      </w:r>
      <w:r w:rsidRPr="00854A65">
        <w:rPr>
          <w:rFonts w:cs="Calibri"/>
          <w:i/>
        </w:rPr>
        <w:t>Africa’s Water and Sanitation Infrastructure: Access, Affordability and Alternatives</w:t>
      </w:r>
      <w:r w:rsidRPr="00854A65">
        <w:rPr>
          <w:rFonts w:cs="Calibri"/>
        </w:rPr>
        <w:t xml:space="preserve"> </w:t>
      </w:r>
      <w:r>
        <w:rPr>
          <w:rFonts w:cs="Calibri"/>
        </w:rPr>
        <w:t>(</w:t>
      </w:r>
      <w:r w:rsidRPr="00854A65">
        <w:rPr>
          <w:rFonts w:cs="Calibri"/>
        </w:rPr>
        <w:t>World Bank</w:t>
      </w:r>
      <w:r>
        <w:rPr>
          <w:rFonts w:cs="Calibri"/>
        </w:rPr>
        <w:t>)</w:t>
      </w:r>
      <w:r w:rsidRPr="00854A65">
        <w:rPr>
          <w:rFonts w:cs="Calibri"/>
        </w:rPr>
        <w:t>.</w:t>
      </w:r>
    </w:p>
  </w:footnote>
  <w:footnote w:id="334">
    <w:p w14:paraId="3E14CE8F" w14:textId="04F19215" w:rsidR="00D82918" w:rsidRPr="00854A65" w:rsidRDefault="00D82918" w:rsidP="00BE71E3">
      <w:pPr>
        <w:pStyle w:val="FootnoteText"/>
      </w:pPr>
      <w:r w:rsidRPr="00854A65">
        <w:rPr>
          <w:rStyle w:val="FootnoteReference"/>
        </w:rPr>
        <w:footnoteRef/>
      </w:r>
      <w:r>
        <w:rPr>
          <w:rFonts w:cs="Calibri"/>
        </w:rPr>
        <w:t xml:space="preserve"> V Foster and C. Bricen</w:t>
      </w:r>
      <w:r w:rsidRPr="00854A65">
        <w:rPr>
          <w:rFonts w:cs="Calibri"/>
        </w:rPr>
        <w:t>o-Garmendia,</w:t>
      </w:r>
      <w:r>
        <w:rPr>
          <w:rFonts w:cs="Calibri"/>
        </w:rPr>
        <w:t xml:space="preserve"> 2010,</w:t>
      </w:r>
      <w:r w:rsidRPr="00854A65">
        <w:rPr>
          <w:rFonts w:cs="Calibri"/>
        </w:rPr>
        <w:t xml:space="preserve"> </w:t>
      </w:r>
      <w:r w:rsidRPr="00854A65">
        <w:rPr>
          <w:rFonts w:cs="Calibri"/>
          <w:i/>
        </w:rPr>
        <w:t>Africa’s Infrastructure: A Time for Transform</w:t>
      </w:r>
      <w:r>
        <w:rPr>
          <w:rFonts w:cs="Calibri"/>
          <w:i/>
        </w:rPr>
        <w:t>ation, Summary of Main Findings</w:t>
      </w:r>
      <w:r>
        <w:rPr>
          <w:rFonts w:cs="Calibri"/>
        </w:rPr>
        <w:t xml:space="preserve"> (World Bank)</w:t>
      </w:r>
      <w:r w:rsidRPr="00854A65">
        <w:rPr>
          <w:rFonts w:cs="Calibri"/>
        </w:rPr>
        <w:t>.</w:t>
      </w:r>
    </w:p>
  </w:footnote>
  <w:footnote w:id="335">
    <w:p w14:paraId="3F4529C7" w14:textId="1A717646" w:rsidR="00D82918" w:rsidRPr="00D82918" w:rsidRDefault="00D82918" w:rsidP="00BE71E3">
      <w:pPr>
        <w:pStyle w:val="FootnoteText"/>
        <w:rPr>
          <w:rFonts w:cs="Calibri"/>
        </w:rPr>
      </w:pPr>
      <w:r w:rsidRPr="00854A65">
        <w:rPr>
          <w:rStyle w:val="FootnoteReference"/>
          <w:rFonts w:cs="Calibri"/>
        </w:rPr>
        <w:footnoteRef/>
      </w:r>
      <w:r w:rsidRPr="00D82918">
        <w:rPr>
          <w:rFonts w:cs="Calibri"/>
        </w:rPr>
        <w:t xml:space="preserve"> </w:t>
      </w:r>
      <w:r>
        <w:rPr>
          <w:rFonts w:cs="Calibri"/>
        </w:rPr>
        <w:t>V Foster and C. Bricen</w:t>
      </w:r>
      <w:r w:rsidRPr="00854A65">
        <w:rPr>
          <w:rFonts w:cs="Calibri"/>
        </w:rPr>
        <w:t>o-Garmendia,</w:t>
      </w:r>
      <w:r>
        <w:rPr>
          <w:rFonts w:cs="Calibri"/>
        </w:rPr>
        <w:t xml:space="preserve"> </w:t>
      </w:r>
      <w:r w:rsidRPr="00D82918">
        <w:rPr>
          <w:rFonts w:cs="Calibri"/>
        </w:rPr>
        <w:t>op. cit.</w:t>
      </w:r>
    </w:p>
  </w:footnote>
  <w:footnote w:id="336">
    <w:p w14:paraId="5B608B5C" w14:textId="347887BF" w:rsidR="00D82918" w:rsidRPr="00854A65" w:rsidRDefault="00D82918" w:rsidP="00BE71E3">
      <w:pPr>
        <w:pStyle w:val="FootnoteText"/>
        <w:rPr>
          <w:rFonts w:cs="Calibri"/>
        </w:rPr>
      </w:pPr>
      <w:r w:rsidRPr="00854A65">
        <w:rPr>
          <w:rStyle w:val="FootnoteReference"/>
          <w:rFonts w:cs="Calibri"/>
        </w:rPr>
        <w:footnoteRef/>
      </w:r>
      <w:r>
        <w:rPr>
          <w:rFonts w:cs="Calibri"/>
        </w:rPr>
        <w:t xml:space="preserve"> </w:t>
      </w:r>
      <w:r w:rsidRPr="00854A65">
        <w:rPr>
          <w:rFonts w:cs="Calibri"/>
        </w:rPr>
        <w:t>For th</w:t>
      </w:r>
      <w:r>
        <w:rPr>
          <w:rFonts w:cs="Calibri"/>
        </w:rPr>
        <w:t>e most thorough analysis, see K Komives</w:t>
      </w:r>
      <w:r w:rsidRPr="00854A65">
        <w:rPr>
          <w:rFonts w:cs="Calibri"/>
        </w:rPr>
        <w:t xml:space="preserve"> </w:t>
      </w:r>
      <w:r w:rsidRPr="004C6A3D">
        <w:rPr>
          <w:rFonts w:cs="Calibri"/>
        </w:rPr>
        <w:t>et al</w:t>
      </w:r>
      <w:r w:rsidRPr="00854A65">
        <w:rPr>
          <w:rFonts w:cs="Calibri"/>
          <w:i/>
        </w:rPr>
        <w:t>,</w:t>
      </w:r>
      <w:r>
        <w:rPr>
          <w:rFonts w:cs="Calibri"/>
          <w:i/>
        </w:rPr>
        <w:t xml:space="preserve"> </w:t>
      </w:r>
      <w:r w:rsidRPr="004C6A3D">
        <w:rPr>
          <w:rFonts w:cs="Calibri"/>
        </w:rPr>
        <w:t>op. cit.</w:t>
      </w:r>
      <w:r w:rsidRPr="00854A65">
        <w:rPr>
          <w:rFonts w:cs="Calibri"/>
        </w:rPr>
        <w:t xml:space="preserve"> </w:t>
      </w:r>
    </w:p>
  </w:footnote>
  <w:footnote w:id="337">
    <w:p w14:paraId="21CF40FC" w14:textId="594E34FB" w:rsidR="00D82918" w:rsidRPr="00854A65" w:rsidRDefault="00D82918" w:rsidP="00BE71E3">
      <w:pPr>
        <w:pStyle w:val="FootnoteText"/>
        <w:rPr>
          <w:rFonts w:ascii="Calibri" w:hAnsi="Calibri" w:cs="Calibri"/>
        </w:rPr>
      </w:pPr>
      <w:r w:rsidRPr="00854A65">
        <w:rPr>
          <w:rStyle w:val="FootnoteReference"/>
          <w:rFonts w:cs="Calibri"/>
        </w:rPr>
        <w:footnoteRef/>
      </w:r>
      <w:r>
        <w:rPr>
          <w:rFonts w:cs="Calibri"/>
          <w:i/>
        </w:rPr>
        <w:t xml:space="preserve"> </w:t>
      </w:r>
      <w:r w:rsidRPr="00854A65">
        <w:rPr>
          <w:rFonts w:cs="Calibri"/>
        </w:rPr>
        <w:t>World Bank</w:t>
      </w:r>
      <w:r>
        <w:rPr>
          <w:rFonts w:cs="Calibri"/>
        </w:rPr>
        <w:t>, 2015,</w:t>
      </w:r>
      <w:r w:rsidRPr="00854A65">
        <w:rPr>
          <w:rFonts w:cs="Calibri"/>
          <w:i/>
        </w:rPr>
        <w:t xml:space="preserve"> </w:t>
      </w:r>
      <w:r>
        <w:rPr>
          <w:rFonts w:cs="Calibri"/>
          <w:i/>
        </w:rPr>
        <w:t xml:space="preserve">Global </w:t>
      </w:r>
      <w:r w:rsidRPr="00B3610B">
        <w:rPr>
          <w:rFonts w:cs="Calibri"/>
          <w:i/>
        </w:rPr>
        <w:t>Monitoring Report</w:t>
      </w:r>
      <w:r>
        <w:rPr>
          <w:rFonts w:cs="Calibri"/>
          <w:i/>
        </w:rPr>
        <w:t xml:space="preserve"> 2014</w:t>
      </w:r>
      <w:r>
        <w:rPr>
          <w:rFonts w:cstheme="minorHAnsi"/>
          <w:i/>
        </w:rPr>
        <w:t>‒</w:t>
      </w:r>
      <w:r w:rsidRPr="00B3610B">
        <w:rPr>
          <w:rFonts w:cs="Calibri"/>
          <w:i/>
        </w:rPr>
        <w:t>15</w:t>
      </w:r>
      <w:r w:rsidRPr="00854A65">
        <w:rPr>
          <w:rFonts w:cs="Calibri"/>
        </w:rPr>
        <w:t>.</w:t>
      </w:r>
    </w:p>
  </w:footnote>
  <w:footnote w:id="338">
    <w:p w14:paraId="26FCC0FD" w14:textId="2E49C77A"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A Cojocaru and C</w:t>
      </w:r>
      <w:r w:rsidRPr="00854A65">
        <w:rPr>
          <w:rFonts w:ascii="Calibri" w:hAnsi="Calibri" w:cs="Calibri"/>
        </w:rPr>
        <w:t xml:space="preserve"> Ruggeri Laderchi, </w:t>
      </w:r>
      <w:r>
        <w:rPr>
          <w:rFonts w:ascii="Calibri" w:hAnsi="Calibri" w:cs="Calibri"/>
        </w:rPr>
        <w:t xml:space="preserve">2012, </w:t>
      </w:r>
      <w:r w:rsidRPr="00854A65">
        <w:rPr>
          <w:rFonts w:ascii="Calibri" w:hAnsi="Calibri" w:cs="Calibri"/>
          <w:i/>
          <w:iCs/>
        </w:rPr>
        <w:t>Balancing Act: Cutting Subs</w:t>
      </w:r>
      <w:r>
        <w:rPr>
          <w:rFonts w:ascii="Calibri" w:hAnsi="Calibri" w:cs="Calibri"/>
          <w:i/>
          <w:iCs/>
        </w:rPr>
        <w:t>idies, Protecting Affordability</w:t>
      </w:r>
      <w:r w:rsidRPr="00854A65">
        <w:rPr>
          <w:rFonts w:ascii="Calibri" w:hAnsi="Calibri" w:cs="Calibri"/>
          <w:i/>
          <w:iCs/>
        </w:rPr>
        <w:t xml:space="preserve"> and Investing in the Energy Sector in </w:t>
      </w:r>
      <w:r>
        <w:rPr>
          <w:rFonts w:ascii="Calibri" w:hAnsi="Calibri" w:cs="Calibri"/>
          <w:i/>
          <w:iCs/>
        </w:rPr>
        <w:t>Eastern Europe and Central Asia</w:t>
      </w:r>
      <w:r w:rsidRPr="00854A65">
        <w:rPr>
          <w:rFonts w:ascii="Calibri" w:hAnsi="Calibri" w:cs="Calibri"/>
          <w:i/>
          <w:iCs/>
        </w:rPr>
        <w:t xml:space="preserve"> </w:t>
      </w:r>
      <w:r>
        <w:rPr>
          <w:rFonts w:ascii="Calibri" w:hAnsi="Calibri" w:cs="Calibri"/>
          <w:iCs/>
        </w:rPr>
        <w:t>(</w:t>
      </w:r>
      <w:r w:rsidRPr="00854A65">
        <w:rPr>
          <w:rFonts w:ascii="Calibri" w:hAnsi="Calibri" w:cs="Calibri"/>
        </w:rPr>
        <w:t>World Bank</w:t>
      </w:r>
      <w:r>
        <w:rPr>
          <w:rFonts w:ascii="Calibri" w:hAnsi="Calibri" w:cs="Calibri"/>
        </w:rPr>
        <w:t>)</w:t>
      </w:r>
      <w:r w:rsidRPr="00854A65">
        <w:rPr>
          <w:rFonts w:ascii="Calibri" w:hAnsi="Calibri" w:cs="Calibri"/>
        </w:rPr>
        <w:t>.</w:t>
      </w:r>
    </w:p>
  </w:footnote>
  <w:footnote w:id="339">
    <w:p w14:paraId="498481A7" w14:textId="135BD259" w:rsidR="00D82918" w:rsidRPr="00854A65" w:rsidRDefault="00D82918" w:rsidP="00BE71E3">
      <w:pPr>
        <w:pStyle w:val="FootnoteText"/>
        <w:rPr>
          <w:rFonts w:ascii="Calibri" w:hAnsi="Calibri"/>
          <w:lang w:val="fr-CH"/>
        </w:rPr>
      </w:pPr>
      <w:r w:rsidRPr="00854A65">
        <w:rPr>
          <w:rStyle w:val="FootnoteReference"/>
          <w:rFonts w:ascii="Calibri" w:hAnsi="Calibri"/>
        </w:rPr>
        <w:footnoteRef/>
      </w:r>
      <w:r>
        <w:rPr>
          <w:rFonts w:ascii="Calibri" w:hAnsi="Calibri"/>
          <w:lang w:val="fr-CH"/>
        </w:rPr>
        <w:t xml:space="preserve"> K </w:t>
      </w:r>
      <w:r w:rsidRPr="00854A65">
        <w:rPr>
          <w:rFonts w:ascii="Calibri" w:hAnsi="Calibri"/>
          <w:lang w:val="fr-CH"/>
        </w:rPr>
        <w:t xml:space="preserve">Komives </w:t>
      </w:r>
      <w:r w:rsidRPr="00B3610B">
        <w:rPr>
          <w:rFonts w:ascii="Calibri" w:hAnsi="Calibri"/>
          <w:lang w:val="fr-CH"/>
        </w:rPr>
        <w:t>et al, op. cit.</w:t>
      </w:r>
    </w:p>
  </w:footnote>
  <w:footnote w:id="340">
    <w:p w14:paraId="7B6EB20A" w14:textId="1792FC9B"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w:t>
      </w:r>
      <w:r w:rsidRPr="00854A65">
        <w:rPr>
          <w:rFonts w:ascii="Calibri" w:hAnsi="Calibri" w:cs="Calibri"/>
        </w:rPr>
        <w:t xml:space="preserve">See analysis for Hong Kong (China) Consumer Council, </w:t>
      </w:r>
      <w:r>
        <w:rPr>
          <w:rFonts w:ascii="Calibri" w:hAnsi="Calibri" w:cs="Calibri"/>
        </w:rPr>
        <w:t xml:space="preserve">2014, </w:t>
      </w:r>
      <w:r w:rsidRPr="00854A65">
        <w:rPr>
          <w:rFonts w:ascii="Calibri" w:hAnsi="Calibri" w:cs="Calibri"/>
          <w:i/>
        </w:rPr>
        <w:t>Searching for New Directions: A Study of HK Electricity Market</w:t>
      </w:r>
      <w:r w:rsidRPr="00854A65">
        <w:rPr>
          <w:rFonts w:ascii="Calibri" w:hAnsi="Calibri" w:cs="Calibri"/>
        </w:rPr>
        <w:t xml:space="preserve">. </w:t>
      </w:r>
    </w:p>
  </w:footnote>
  <w:footnote w:id="341">
    <w:p w14:paraId="60B129AF" w14:textId="63DBA3E7" w:rsidR="00D82918" w:rsidRPr="00854A65" w:rsidRDefault="00D82918" w:rsidP="009A50E2">
      <w:pPr>
        <w:pStyle w:val="BodyText"/>
        <w:jc w:val="left"/>
        <w:rPr>
          <w:rFonts w:cstheme="minorHAnsi"/>
          <w:sz w:val="20"/>
          <w:lang w:val="en-US"/>
        </w:rPr>
      </w:pPr>
      <w:r w:rsidRPr="00854A65">
        <w:rPr>
          <w:rStyle w:val="FootnoteReference"/>
          <w:rFonts w:asciiTheme="minorHAnsi" w:hAnsiTheme="minorHAnsi" w:cstheme="minorHAnsi"/>
          <w:sz w:val="20"/>
        </w:rPr>
        <w:footnoteRef/>
      </w:r>
      <w:r w:rsidRPr="00854A65">
        <w:rPr>
          <w:rFonts w:asciiTheme="minorHAnsi" w:hAnsiTheme="minorHAnsi" w:cstheme="minorHAnsi"/>
          <w:sz w:val="20"/>
        </w:rPr>
        <w:t xml:space="preserve"> UNDP, </w:t>
      </w:r>
      <w:r>
        <w:rPr>
          <w:rFonts w:asciiTheme="minorHAnsi" w:hAnsiTheme="minorHAnsi" w:cstheme="minorHAnsi"/>
          <w:sz w:val="20"/>
        </w:rPr>
        <w:t xml:space="preserve">2015, </w:t>
      </w:r>
      <w:r w:rsidRPr="00854A65">
        <w:rPr>
          <w:rFonts w:asciiTheme="minorHAnsi" w:hAnsiTheme="minorHAnsi" w:cstheme="minorHAnsi"/>
          <w:i/>
          <w:sz w:val="20"/>
        </w:rPr>
        <w:t>Millenniu</w:t>
      </w:r>
      <w:r>
        <w:rPr>
          <w:rFonts w:asciiTheme="minorHAnsi" w:hAnsiTheme="minorHAnsi" w:cstheme="minorHAnsi"/>
          <w:i/>
          <w:sz w:val="20"/>
        </w:rPr>
        <w:t>m Development Goals report</w:t>
      </w:r>
      <w:r w:rsidRPr="00B3610B">
        <w:rPr>
          <w:rFonts w:asciiTheme="minorHAnsi" w:hAnsiTheme="minorHAnsi" w:cstheme="minorHAnsi"/>
          <w:sz w:val="20"/>
        </w:rPr>
        <w:t>,</w:t>
      </w:r>
      <w:r>
        <w:rPr>
          <w:rFonts w:asciiTheme="minorHAnsi" w:hAnsiTheme="minorHAnsi" w:cstheme="minorHAnsi"/>
          <w:i/>
          <w:sz w:val="20"/>
        </w:rPr>
        <w:t xml:space="preserve"> </w:t>
      </w:r>
      <w:r>
        <w:rPr>
          <w:rFonts w:asciiTheme="minorHAnsi" w:hAnsiTheme="minorHAnsi" w:cstheme="minorHAnsi"/>
          <w:sz w:val="20"/>
        </w:rPr>
        <w:t>available at</w:t>
      </w:r>
      <w:r w:rsidRPr="00854A65">
        <w:rPr>
          <w:rFonts w:asciiTheme="minorHAnsi" w:hAnsiTheme="minorHAnsi" w:cstheme="minorHAnsi"/>
          <w:sz w:val="20"/>
        </w:rPr>
        <w:t xml:space="preserve"> </w:t>
      </w:r>
      <w:hyperlink r:id="rId77" w:history="1">
        <w:r w:rsidRPr="00854A65">
          <w:rPr>
            <w:rStyle w:val="Hyperlink"/>
            <w:rFonts w:asciiTheme="minorHAnsi" w:hAnsiTheme="minorHAnsi" w:cstheme="minorHAnsi"/>
            <w:sz w:val="20"/>
          </w:rPr>
          <w:t>http://www.undp.org/content/undp/en/home/librarypage/mdg/the-millennium-development-goals-report-2015.html</w:t>
        </w:r>
      </w:hyperlink>
      <w:r>
        <w:rPr>
          <w:rStyle w:val="Hyperlink"/>
          <w:rFonts w:asciiTheme="minorHAnsi" w:hAnsiTheme="minorHAnsi" w:cstheme="minorHAnsi"/>
          <w:sz w:val="20"/>
        </w:rPr>
        <w:t>.</w:t>
      </w:r>
    </w:p>
  </w:footnote>
  <w:footnote w:id="342">
    <w:p w14:paraId="14F16FFD" w14:textId="3C369D91" w:rsidR="00D82918" w:rsidRPr="00854A65" w:rsidRDefault="00D82918" w:rsidP="00BE71E3">
      <w:pPr>
        <w:pStyle w:val="FootnoteText"/>
      </w:pPr>
      <w:r w:rsidRPr="00854A65">
        <w:rPr>
          <w:rStyle w:val="FootnoteReference"/>
        </w:rPr>
        <w:footnoteRef/>
      </w:r>
      <w:r w:rsidRPr="00854A65">
        <w:t xml:space="preserve"> UNDP</w:t>
      </w:r>
      <w:r>
        <w:t>, 2015,</w:t>
      </w:r>
      <w:r w:rsidRPr="00854A65">
        <w:t xml:space="preserve"> </w:t>
      </w:r>
      <w:r w:rsidRPr="00B3610B">
        <w:rPr>
          <w:i/>
        </w:rPr>
        <w:t>MDG report</w:t>
      </w:r>
      <w:r>
        <w:t>,</w:t>
      </w:r>
      <w:r w:rsidRPr="00854A65">
        <w:t xml:space="preserve"> </w:t>
      </w:r>
      <w:r w:rsidRPr="00B3610B">
        <w:t>op. cit.</w:t>
      </w:r>
    </w:p>
  </w:footnote>
  <w:footnote w:id="343">
    <w:p w14:paraId="0D620645" w14:textId="7F7CCBC7" w:rsidR="00D82918" w:rsidRPr="00854A65" w:rsidRDefault="00D82918" w:rsidP="00BE71E3">
      <w:pPr>
        <w:pStyle w:val="FootnoteText"/>
      </w:pPr>
      <w:r w:rsidRPr="00854A65">
        <w:rPr>
          <w:rStyle w:val="FootnoteReference"/>
        </w:rPr>
        <w:footnoteRef/>
      </w:r>
      <w:r w:rsidRPr="00854A65">
        <w:t xml:space="preserve"> UNDP</w:t>
      </w:r>
      <w:r>
        <w:t>, 2015,</w:t>
      </w:r>
      <w:r w:rsidRPr="00854A65">
        <w:t xml:space="preserve"> </w:t>
      </w:r>
      <w:r w:rsidRPr="00B3610B">
        <w:rPr>
          <w:i/>
        </w:rPr>
        <w:t>MDG report</w:t>
      </w:r>
      <w:r>
        <w:t xml:space="preserve">, </w:t>
      </w:r>
      <w:r w:rsidRPr="00B3610B">
        <w:t>op. cit.</w:t>
      </w:r>
    </w:p>
  </w:footnote>
  <w:footnote w:id="344">
    <w:p w14:paraId="049731E1" w14:textId="6EB17211" w:rsidR="00D82918" w:rsidRPr="00854A65" w:rsidRDefault="00D82918" w:rsidP="00BE71E3">
      <w:pPr>
        <w:pStyle w:val="FootnoteText"/>
        <w:rPr>
          <w:rFonts w:ascii="Calibri" w:hAnsi="Calibri" w:cs="Calibri"/>
        </w:rPr>
      </w:pPr>
      <w:r w:rsidRPr="00854A65">
        <w:rPr>
          <w:rStyle w:val="FootnoteReference"/>
          <w:rFonts w:ascii="Calibri" w:hAnsi="Calibri" w:cs="Calibri"/>
        </w:rPr>
        <w:footnoteRef/>
      </w:r>
      <w:r>
        <w:rPr>
          <w:rFonts w:ascii="Calibri" w:hAnsi="Calibri" w:cs="Calibri"/>
        </w:rPr>
        <w:t xml:space="preserve"> R</w:t>
      </w:r>
      <w:r w:rsidRPr="00854A65">
        <w:rPr>
          <w:rFonts w:ascii="Calibri" w:hAnsi="Calibri" w:cs="Calibri"/>
        </w:rPr>
        <w:t xml:space="preserve"> Simpson,</w:t>
      </w:r>
      <w:r>
        <w:rPr>
          <w:rFonts w:ascii="Calibri" w:hAnsi="Calibri" w:cs="Calibri"/>
        </w:rPr>
        <w:t xml:space="preserve"> 2007,</w:t>
      </w:r>
      <w:r w:rsidRPr="00854A65">
        <w:rPr>
          <w:rFonts w:ascii="Calibri" w:hAnsi="Calibri" w:cs="Calibri"/>
        </w:rPr>
        <w:t xml:space="preserve"> </w:t>
      </w:r>
      <w:r w:rsidRPr="00854A65">
        <w:rPr>
          <w:rFonts w:ascii="Calibri" w:hAnsi="Calibri" w:cs="Calibri"/>
          <w:i/>
        </w:rPr>
        <w:t>The ISO Draft Standard for Water and Waste Water Services</w:t>
      </w:r>
      <w:r>
        <w:rPr>
          <w:rFonts w:ascii="Calibri" w:hAnsi="Calibri" w:cs="Calibri"/>
        </w:rPr>
        <w:t xml:space="preserve"> (Kampala, Uganda,</w:t>
      </w:r>
      <w:r w:rsidRPr="00854A65">
        <w:rPr>
          <w:rFonts w:ascii="Calibri" w:hAnsi="Calibri" w:cs="Calibri"/>
        </w:rPr>
        <w:t xml:space="preserve"> World Bank Institute</w:t>
      </w:r>
      <w:r>
        <w:rPr>
          <w:rFonts w:ascii="Calibri" w:hAnsi="Calibri" w:cs="Calibri"/>
        </w:rPr>
        <w:t>)</w:t>
      </w:r>
      <w:r w:rsidRPr="00854A65">
        <w:rPr>
          <w:rFonts w:ascii="Calibri" w:hAnsi="Calibri" w:cs="Calibri"/>
        </w:rPr>
        <w:t xml:space="preserve">. </w:t>
      </w:r>
    </w:p>
  </w:footnote>
  <w:footnote w:id="345">
    <w:p w14:paraId="376129AE" w14:textId="0C35FC05" w:rsidR="00D82918" w:rsidRPr="00854A65" w:rsidRDefault="00D82918" w:rsidP="00BE71E3">
      <w:pPr>
        <w:pStyle w:val="FootnoteText"/>
        <w:rPr>
          <w:lang w:val="fr-CH"/>
        </w:rPr>
      </w:pPr>
      <w:r w:rsidRPr="00854A65">
        <w:rPr>
          <w:rStyle w:val="FootnoteReference"/>
        </w:rPr>
        <w:footnoteRef/>
      </w:r>
      <w:r>
        <w:rPr>
          <w:lang w:val="fr-CH"/>
        </w:rPr>
        <w:t xml:space="preserve"> </w:t>
      </w:r>
      <w:r w:rsidRPr="00854A65">
        <w:rPr>
          <w:lang w:val="fr-CH"/>
        </w:rPr>
        <w:t>AICD, 2011</w:t>
      </w:r>
      <w:r>
        <w:rPr>
          <w:lang w:val="fr-CH"/>
        </w:rPr>
        <w:t xml:space="preserve">, </w:t>
      </w:r>
      <w:r w:rsidRPr="00B3610B">
        <w:rPr>
          <w:lang w:val="fr-CH"/>
        </w:rPr>
        <w:t>op. cit</w:t>
      </w:r>
      <w:r w:rsidRPr="00854A65">
        <w:rPr>
          <w:lang w:val="fr-CH"/>
        </w:rPr>
        <w:t>.</w:t>
      </w:r>
    </w:p>
  </w:footnote>
  <w:footnote w:id="346">
    <w:p w14:paraId="2588C0BE" w14:textId="35B973DA" w:rsidR="00D82918" w:rsidRPr="00D82918" w:rsidRDefault="00D82918" w:rsidP="00BE71E3">
      <w:pPr>
        <w:pStyle w:val="FootnoteText"/>
        <w:rPr>
          <w:lang w:val="fr-CH"/>
        </w:rPr>
      </w:pPr>
      <w:r w:rsidRPr="00854A65">
        <w:rPr>
          <w:rStyle w:val="FootnoteReference"/>
        </w:rPr>
        <w:footnoteRef/>
      </w:r>
      <w:r>
        <w:rPr>
          <w:lang w:val="fr-FR"/>
        </w:rPr>
        <w:t xml:space="preserve"> </w:t>
      </w:r>
      <w:r w:rsidRPr="00854A65">
        <w:rPr>
          <w:lang w:val="fr-FR"/>
        </w:rPr>
        <w:t xml:space="preserve">Agence Senegalaise d’electrification, </w:t>
      </w:r>
      <w:r>
        <w:rPr>
          <w:lang w:val="fr-FR"/>
        </w:rPr>
        <w:t xml:space="preserve">2010, </w:t>
      </w:r>
      <w:r w:rsidRPr="00854A65">
        <w:rPr>
          <w:i/>
          <w:lang w:val="fr-FR"/>
        </w:rPr>
        <w:t>Etude du plan d’electrification de la concession de Matam-Ranerou-Bakel</w:t>
      </w:r>
      <w:r w:rsidRPr="00D82918">
        <w:rPr>
          <w:lang w:val="fr-CH"/>
        </w:rPr>
        <w:t>.</w:t>
      </w:r>
    </w:p>
  </w:footnote>
  <w:footnote w:id="347">
    <w:p w14:paraId="0A570C46" w14:textId="7C6D2034" w:rsidR="00D82918" w:rsidRPr="00854A65" w:rsidRDefault="00D82918" w:rsidP="00B02777">
      <w:pPr>
        <w:pStyle w:val="FootnoteText"/>
      </w:pPr>
      <w:r w:rsidRPr="00854A65">
        <w:rPr>
          <w:rStyle w:val="FootnoteReference"/>
        </w:rPr>
        <w:footnoteRef/>
      </w:r>
      <w:r>
        <w:t xml:space="preserve"> M</w:t>
      </w:r>
      <w:r w:rsidRPr="00854A65">
        <w:t xml:space="preserve"> van Ginneken </w:t>
      </w:r>
      <w:r w:rsidRPr="00B3610B">
        <w:t>et al</w:t>
      </w:r>
      <w:r w:rsidRPr="00854A65">
        <w:rPr>
          <w:rFonts w:cstheme="majorHAnsi"/>
        </w:rPr>
        <w:t>,</w:t>
      </w:r>
      <w:r>
        <w:rPr>
          <w:rFonts w:cstheme="majorHAnsi"/>
        </w:rPr>
        <w:t xml:space="preserve"> 2008,</w:t>
      </w:r>
      <w:r w:rsidRPr="00854A65">
        <w:t xml:space="preserve"> </w:t>
      </w:r>
      <w:r w:rsidRPr="00854A65">
        <w:rPr>
          <w:i/>
        </w:rPr>
        <w:t xml:space="preserve">Ways to Improve Water Services by Making Utilities </w:t>
      </w:r>
      <w:r>
        <w:rPr>
          <w:i/>
        </w:rPr>
        <w:t>More Accountable to Their Users</w:t>
      </w:r>
      <w:r w:rsidRPr="00854A65">
        <w:t xml:space="preserve"> </w:t>
      </w:r>
      <w:r>
        <w:t>(</w:t>
      </w:r>
      <w:r w:rsidRPr="00854A65">
        <w:t>World Bank</w:t>
      </w:r>
      <w:r>
        <w:t>)</w:t>
      </w:r>
      <w:r w:rsidRPr="00854A65">
        <w:t xml:space="preserve">. </w:t>
      </w:r>
    </w:p>
  </w:footnote>
  <w:footnote w:id="348">
    <w:p w14:paraId="487E8556" w14:textId="36406A1B" w:rsidR="00D82918" w:rsidRPr="00854A65" w:rsidRDefault="00D82918" w:rsidP="00BE71E3">
      <w:pPr>
        <w:pStyle w:val="FootnoteText"/>
      </w:pPr>
      <w:r w:rsidRPr="00854A65">
        <w:rPr>
          <w:rStyle w:val="FootnoteReference"/>
        </w:rPr>
        <w:footnoteRef/>
      </w:r>
      <w:r>
        <w:t xml:space="preserve"> E Sonn Chan</w:t>
      </w:r>
      <w:r w:rsidRPr="00854A65">
        <w:t xml:space="preserve"> </w:t>
      </w:r>
      <w:r w:rsidRPr="00B3610B">
        <w:t>et al,</w:t>
      </w:r>
      <w:r w:rsidRPr="00854A65">
        <w:t xml:space="preserve"> </w:t>
      </w:r>
      <w:r>
        <w:t xml:space="preserve">2010, </w:t>
      </w:r>
      <w:r w:rsidRPr="00854A65">
        <w:rPr>
          <w:i/>
        </w:rPr>
        <w:t>Sharing the Reform Process: Learning from the Ph</w:t>
      </w:r>
      <w:r>
        <w:rPr>
          <w:i/>
        </w:rPr>
        <w:t>nom Penh Water Supply Authority</w:t>
      </w:r>
      <w:r w:rsidRPr="00854A65">
        <w:rPr>
          <w:i/>
        </w:rPr>
        <w:t xml:space="preserve"> </w:t>
      </w:r>
      <w:r>
        <w:t>(</w:t>
      </w:r>
      <w:r w:rsidRPr="00854A65">
        <w:t>Mekong Water Dialogues</w:t>
      </w:r>
      <w:r>
        <w:t>)</w:t>
      </w:r>
      <w:r w:rsidRPr="00854A65">
        <w:t>.</w:t>
      </w:r>
    </w:p>
  </w:footnote>
  <w:footnote w:id="349">
    <w:p w14:paraId="38CE1F04" w14:textId="7C1397B9" w:rsidR="00D82918" w:rsidRPr="00854A65" w:rsidRDefault="00D82918" w:rsidP="00BE71E3">
      <w:pPr>
        <w:pStyle w:val="FootnoteText"/>
      </w:pPr>
      <w:r w:rsidRPr="00854A65">
        <w:rPr>
          <w:rStyle w:val="FootnoteReference"/>
        </w:rPr>
        <w:footnoteRef/>
      </w:r>
      <w:r w:rsidRPr="00854A65">
        <w:t xml:space="preserve"> </w:t>
      </w:r>
      <w:r>
        <w:rPr>
          <w:rFonts w:ascii="Calibri" w:hAnsi="Calibri" w:cs="Arial"/>
        </w:rPr>
        <w:t>J</w:t>
      </w:r>
      <w:r w:rsidRPr="00854A65">
        <w:rPr>
          <w:rFonts w:ascii="Calibri" w:hAnsi="Calibri" w:cs="Arial"/>
        </w:rPr>
        <w:t xml:space="preserve"> Hills</w:t>
      </w:r>
      <w:r>
        <w:rPr>
          <w:rFonts w:ascii="Calibri" w:hAnsi="Calibri" w:cs="Arial"/>
        </w:rPr>
        <w:t>, 2012,</w:t>
      </w:r>
      <w:r w:rsidRPr="00854A65">
        <w:rPr>
          <w:rFonts w:ascii="Calibri" w:hAnsi="Calibri" w:cs="Arial"/>
        </w:rPr>
        <w:t xml:space="preserve"> </w:t>
      </w:r>
      <w:r w:rsidRPr="00854A65">
        <w:rPr>
          <w:rFonts w:ascii="Calibri" w:hAnsi="Calibri" w:cs="Arial"/>
          <w:i/>
        </w:rPr>
        <w:t>Getti</w:t>
      </w:r>
      <w:r>
        <w:rPr>
          <w:rFonts w:ascii="Calibri" w:hAnsi="Calibri" w:cs="Arial"/>
          <w:i/>
        </w:rPr>
        <w:t xml:space="preserve">ng the Measure of Fuel Poverty: </w:t>
      </w:r>
      <w:r w:rsidRPr="00B3610B">
        <w:rPr>
          <w:rFonts w:ascii="Calibri" w:hAnsi="Calibri" w:cs="Arial"/>
          <w:i/>
        </w:rPr>
        <w:t>F</w:t>
      </w:r>
      <w:r>
        <w:rPr>
          <w:rFonts w:ascii="Calibri" w:hAnsi="Calibri" w:cs="Arial"/>
          <w:i/>
        </w:rPr>
        <w:t>inal R</w:t>
      </w:r>
      <w:r w:rsidRPr="00B3610B">
        <w:rPr>
          <w:rFonts w:ascii="Calibri" w:hAnsi="Calibri" w:cs="Arial"/>
          <w:i/>
        </w:rPr>
        <w:t>eport of</w:t>
      </w:r>
      <w:r>
        <w:rPr>
          <w:rFonts w:ascii="Calibri" w:hAnsi="Calibri" w:cs="Arial"/>
          <w:i/>
        </w:rPr>
        <w:t xml:space="preserve"> the Fuel Poverty R</w:t>
      </w:r>
      <w:r w:rsidRPr="00B3610B">
        <w:rPr>
          <w:rFonts w:ascii="Calibri" w:hAnsi="Calibri" w:cs="Arial"/>
          <w:i/>
        </w:rPr>
        <w:t>eview</w:t>
      </w:r>
      <w:r>
        <w:rPr>
          <w:rFonts w:ascii="Calibri" w:hAnsi="Calibri" w:cs="Arial"/>
          <w:i/>
        </w:rPr>
        <w:t xml:space="preserve"> </w:t>
      </w:r>
      <w:r>
        <w:rPr>
          <w:rFonts w:ascii="Calibri" w:hAnsi="Calibri" w:cs="Arial"/>
        </w:rPr>
        <w:t>(</w:t>
      </w:r>
      <w:r w:rsidRPr="00854A65">
        <w:rPr>
          <w:rFonts w:ascii="Calibri" w:hAnsi="Calibri" w:cs="Arial"/>
        </w:rPr>
        <w:t>London School of Economics</w:t>
      </w:r>
      <w:r>
        <w:rPr>
          <w:rFonts w:ascii="Calibri" w:hAnsi="Calibri" w:cs="Arial"/>
        </w:rPr>
        <w:t>)</w:t>
      </w:r>
      <w:r w:rsidRPr="00854A65">
        <w:rPr>
          <w:rFonts w:ascii="Calibri" w:hAnsi="Calibri" w:cs="Arial"/>
        </w:rPr>
        <w:t xml:space="preserve">.  </w:t>
      </w:r>
    </w:p>
  </w:footnote>
  <w:footnote w:id="350">
    <w:p w14:paraId="5688B012" w14:textId="77777777" w:rsidR="00D82918" w:rsidRPr="00854A65" w:rsidRDefault="00D82918" w:rsidP="00BE71E3">
      <w:pPr>
        <w:pStyle w:val="FootnoteText"/>
        <w:rPr>
          <w:i/>
        </w:rPr>
      </w:pPr>
      <w:r w:rsidRPr="00854A65">
        <w:rPr>
          <w:rStyle w:val="FootnoteReference"/>
        </w:rPr>
        <w:footnoteRef/>
      </w:r>
      <w:r>
        <w:t xml:space="preserve"> </w:t>
      </w:r>
      <w:r w:rsidRPr="00854A65">
        <w:t xml:space="preserve">AICD, </w:t>
      </w:r>
      <w:r w:rsidRPr="00B3610B">
        <w:t>op. cit.</w:t>
      </w:r>
    </w:p>
  </w:footnote>
  <w:footnote w:id="351">
    <w:p w14:paraId="54D797A7" w14:textId="0A99E09B" w:rsidR="00D82918" w:rsidRPr="00854A65" w:rsidRDefault="00D82918" w:rsidP="00BE71E3">
      <w:pPr>
        <w:pStyle w:val="FootnoteText"/>
        <w:rPr>
          <w:rFonts w:ascii="Calibri" w:hAnsi="Calibri" w:cstheme="majorHAnsi"/>
          <w:iCs/>
        </w:rPr>
      </w:pPr>
      <w:r w:rsidRPr="00854A65">
        <w:rPr>
          <w:rStyle w:val="FootnoteReference"/>
          <w:rFonts w:ascii="Calibri" w:hAnsi="Calibri" w:cstheme="majorHAnsi"/>
        </w:rPr>
        <w:footnoteRef/>
      </w:r>
      <w:r>
        <w:rPr>
          <w:rFonts w:ascii="Calibri" w:hAnsi="Calibri"/>
        </w:rPr>
        <w:t xml:space="preserve"> EC, 2011, </w:t>
      </w:r>
      <w:r w:rsidRPr="00854A65">
        <w:rPr>
          <w:rFonts w:ascii="Calibri" w:hAnsi="Calibri"/>
          <w:i/>
        </w:rPr>
        <w:t>Report on Progress in Creating the Internal Gas and Electricity Market</w:t>
      </w:r>
      <w:r>
        <w:rPr>
          <w:rFonts w:ascii="Calibri" w:hAnsi="Calibri"/>
          <w:i/>
        </w:rPr>
        <w:t xml:space="preserve"> </w:t>
      </w:r>
      <w:r>
        <w:rPr>
          <w:rFonts w:ascii="Calibri" w:hAnsi="Calibri"/>
        </w:rPr>
        <w:t>(9 June)</w:t>
      </w:r>
      <w:r w:rsidRPr="00854A65">
        <w:rPr>
          <w:rFonts w:ascii="Calibri" w:hAnsi="Calibri"/>
        </w:rPr>
        <w:t>.</w:t>
      </w:r>
    </w:p>
  </w:footnote>
  <w:footnote w:id="352">
    <w:p w14:paraId="6DE1B7D5" w14:textId="3BE1E74F" w:rsidR="00D82918" w:rsidRPr="00854A65" w:rsidRDefault="00D82918" w:rsidP="00BE71E3">
      <w:pPr>
        <w:pStyle w:val="FootnoteText"/>
        <w:rPr>
          <w:rFonts w:cstheme="minorHAnsi"/>
        </w:rPr>
      </w:pPr>
      <w:r w:rsidRPr="00854A65">
        <w:rPr>
          <w:rStyle w:val="FootnoteReference"/>
          <w:rFonts w:cstheme="minorHAnsi"/>
        </w:rPr>
        <w:footnoteRef/>
      </w:r>
      <w:r w:rsidRPr="00854A65">
        <w:rPr>
          <w:rFonts w:cstheme="minorHAnsi"/>
        </w:rPr>
        <w:t xml:space="preserve"> Power United Kingdom, </w:t>
      </w:r>
      <w:r>
        <w:rPr>
          <w:rFonts w:cstheme="minorHAnsi"/>
        </w:rPr>
        <w:t xml:space="preserve">2002, </w:t>
      </w:r>
      <w:r>
        <w:rPr>
          <w:rFonts w:cstheme="minorHAnsi"/>
          <w:i/>
          <w:iCs/>
        </w:rPr>
        <w:t>Prices Fall for Some but Stay the Same for O</w:t>
      </w:r>
      <w:r w:rsidRPr="00854A65">
        <w:rPr>
          <w:rFonts w:cstheme="minorHAnsi"/>
          <w:i/>
          <w:iCs/>
        </w:rPr>
        <w:t xml:space="preserve">thers. </w:t>
      </w:r>
    </w:p>
  </w:footnote>
  <w:footnote w:id="353">
    <w:p w14:paraId="0756623D" w14:textId="2DFCC17C" w:rsidR="00D82918" w:rsidRPr="00854A65" w:rsidRDefault="00D82918" w:rsidP="00BE71E3">
      <w:pPr>
        <w:pStyle w:val="FootnoteText"/>
        <w:rPr>
          <w:rFonts w:ascii="Calibri" w:hAnsi="Calibri"/>
        </w:rPr>
      </w:pPr>
      <w:r w:rsidRPr="00854A65">
        <w:rPr>
          <w:rStyle w:val="FootnoteReference"/>
          <w:rFonts w:ascii="Calibri" w:hAnsi="Calibri"/>
        </w:rPr>
        <w:footnoteRef/>
      </w:r>
      <w:r>
        <w:rPr>
          <w:rFonts w:ascii="Calibri" w:hAnsi="Calibri"/>
        </w:rPr>
        <w:t xml:space="preserve"> S</w:t>
      </w:r>
      <w:r w:rsidRPr="00854A65">
        <w:rPr>
          <w:rFonts w:ascii="Calibri" w:hAnsi="Calibri"/>
        </w:rPr>
        <w:t xml:space="preserve"> Thomas, </w:t>
      </w:r>
      <w:r>
        <w:rPr>
          <w:rFonts w:ascii="Calibri" w:hAnsi="Calibri"/>
        </w:rPr>
        <w:t xml:space="preserve">2006, </w:t>
      </w:r>
      <w:r>
        <w:rPr>
          <w:rFonts w:ascii="Calibri" w:hAnsi="Calibri"/>
          <w:iCs/>
        </w:rPr>
        <w:t>The grin of the Cheshire c</w:t>
      </w:r>
      <w:r w:rsidRPr="000569E3">
        <w:rPr>
          <w:rFonts w:ascii="Calibri" w:hAnsi="Calibri"/>
          <w:iCs/>
        </w:rPr>
        <w:t>at</w:t>
      </w:r>
      <w:r w:rsidRPr="00854A65">
        <w:rPr>
          <w:rFonts w:ascii="Calibri" w:hAnsi="Calibri"/>
          <w:i/>
          <w:iCs/>
        </w:rPr>
        <w:t xml:space="preserve">, </w:t>
      </w:r>
      <w:r w:rsidRPr="000569E3">
        <w:rPr>
          <w:rFonts w:ascii="Calibri" w:hAnsi="Calibri"/>
          <w:i/>
        </w:rPr>
        <w:t>Energy Policy</w:t>
      </w:r>
      <w:r w:rsidRPr="000569E3">
        <w:rPr>
          <w:rFonts w:ascii="Calibri" w:hAnsi="Calibri"/>
        </w:rPr>
        <w:t xml:space="preserve"> </w:t>
      </w:r>
      <w:r>
        <w:rPr>
          <w:rFonts w:ascii="Calibri" w:hAnsi="Calibri"/>
        </w:rPr>
        <w:t>34(</w:t>
      </w:r>
      <w:r w:rsidRPr="000569E3">
        <w:rPr>
          <w:rFonts w:ascii="Calibri" w:hAnsi="Calibri"/>
        </w:rPr>
        <w:t>15</w:t>
      </w:r>
      <w:r>
        <w:rPr>
          <w:rFonts w:ascii="Calibri" w:hAnsi="Calibri"/>
        </w:rPr>
        <w:t>): 1974</w:t>
      </w:r>
      <w:r>
        <w:rPr>
          <w:rFonts w:ascii="Calibri" w:hAnsi="Calibri" w:cs="Calibri"/>
        </w:rPr>
        <w:t>‒</w:t>
      </w:r>
      <w:r w:rsidRPr="000569E3">
        <w:rPr>
          <w:rFonts w:ascii="Calibri" w:hAnsi="Calibri"/>
        </w:rPr>
        <w:t>1983</w:t>
      </w:r>
      <w:r>
        <w:rPr>
          <w:rFonts w:ascii="Calibri" w:hAnsi="Calibri"/>
        </w:rPr>
        <w:t>.</w:t>
      </w:r>
    </w:p>
  </w:footnote>
  <w:footnote w:id="354">
    <w:p w14:paraId="58A0FB13" w14:textId="099D1208" w:rsidR="00D82918" w:rsidRPr="00854A65" w:rsidRDefault="00D82918" w:rsidP="00BE71E3">
      <w:pPr>
        <w:pStyle w:val="Default"/>
        <w:jc w:val="both"/>
        <w:rPr>
          <w:rFonts w:ascii="Calibri" w:hAnsi="Calibri"/>
          <w:color w:val="auto"/>
          <w:sz w:val="20"/>
          <w:szCs w:val="20"/>
        </w:rPr>
      </w:pPr>
      <w:r w:rsidRPr="00854A65">
        <w:rPr>
          <w:rStyle w:val="FootnoteReference"/>
          <w:rFonts w:ascii="Calibri" w:hAnsi="Calibri"/>
          <w:color w:val="auto"/>
          <w:sz w:val="20"/>
          <w:szCs w:val="20"/>
        </w:rPr>
        <w:footnoteRef/>
      </w:r>
      <w:r>
        <w:rPr>
          <w:rFonts w:ascii="Calibri" w:hAnsi="Calibri"/>
          <w:color w:val="auto"/>
          <w:sz w:val="20"/>
          <w:szCs w:val="20"/>
        </w:rPr>
        <w:t xml:space="preserve"> PPIAF, 2012,</w:t>
      </w:r>
      <w:r w:rsidRPr="00854A65">
        <w:rPr>
          <w:rFonts w:ascii="Calibri" w:hAnsi="Calibri"/>
          <w:color w:val="auto"/>
          <w:sz w:val="20"/>
          <w:szCs w:val="20"/>
        </w:rPr>
        <w:t xml:space="preserve"> </w:t>
      </w:r>
      <w:r w:rsidRPr="00854A65">
        <w:rPr>
          <w:rFonts w:ascii="Calibri" w:hAnsi="Calibri"/>
          <w:i/>
          <w:color w:val="auto"/>
          <w:sz w:val="20"/>
          <w:szCs w:val="20"/>
        </w:rPr>
        <w:t>Lessons Learned: Small-Scale Service Providers have a Contribution to Make</w:t>
      </w:r>
      <w:r w:rsidRPr="00854A65">
        <w:rPr>
          <w:rFonts w:ascii="Calibri" w:hAnsi="Calibri"/>
          <w:color w:val="auto"/>
          <w:sz w:val="20"/>
          <w:szCs w:val="20"/>
        </w:rPr>
        <w:t>.</w:t>
      </w:r>
    </w:p>
  </w:footnote>
  <w:footnote w:id="355">
    <w:p w14:paraId="32CCE2A4" w14:textId="77777777" w:rsidR="00D82918" w:rsidRPr="00854A65" w:rsidRDefault="00D82918" w:rsidP="00BE71E3">
      <w:pPr>
        <w:pStyle w:val="FootnoteText"/>
      </w:pPr>
      <w:r w:rsidRPr="00854A65">
        <w:rPr>
          <w:rStyle w:val="FootnoteReference"/>
        </w:rPr>
        <w:footnoteRef/>
      </w:r>
      <w:r>
        <w:t xml:space="preserve"> Art 11.1 refers to “</w:t>
      </w:r>
      <w:r w:rsidRPr="00854A65">
        <w:t xml:space="preserve">the right of everyone to an adequate standard of </w:t>
      </w:r>
      <w:r>
        <w:t>living, including adequate food”. Article 11.2 refers to “</w:t>
      </w:r>
      <w:r w:rsidRPr="00854A65">
        <w:t>the fundamental right to freedom from hunger and malnutrition</w:t>
      </w:r>
      <w:r>
        <w:t>”.</w:t>
      </w:r>
      <w:r w:rsidRPr="00854A65">
        <w:t xml:space="preserve"> </w:t>
      </w:r>
    </w:p>
  </w:footnote>
  <w:footnote w:id="356">
    <w:p w14:paraId="791F8624" w14:textId="0DAF745C" w:rsidR="00D82918" w:rsidRPr="00854A65" w:rsidRDefault="00D82918" w:rsidP="00BE71E3">
      <w:pPr>
        <w:pStyle w:val="FootnoteText"/>
      </w:pPr>
      <w:r w:rsidRPr="00854A65">
        <w:rPr>
          <w:rStyle w:val="FootnoteReference"/>
        </w:rPr>
        <w:footnoteRef/>
      </w:r>
      <w:r w:rsidRPr="00854A65">
        <w:t xml:space="preserve"> UN Office of the</w:t>
      </w:r>
      <w:r>
        <w:t xml:space="preserve"> High Commission on Human Right, 1999, </w:t>
      </w:r>
      <w:r>
        <w:rPr>
          <w:i/>
        </w:rPr>
        <w:t>Right to Adequate Food,</w:t>
      </w:r>
      <w:r w:rsidRPr="00854A65">
        <w:t xml:space="preserve"> UN doc.E/C.12/1999/5.12</w:t>
      </w:r>
      <w:r>
        <w:t>.</w:t>
      </w:r>
      <w:r w:rsidRPr="00854A65">
        <w:t xml:space="preserve"> </w:t>
      </w:r>
    </w:p>
  </w:footnote>
  <w:footnote w:id="357">
    <w:p w14:paraId="496A07BE" w14:textId="169DBAFF" w:rsidR="00D82918" w:rsidRPr="00854A65" w:rsidRDefault="00D82918" w:rsidP="00BE71E3">
      <w:pPr>
        <w:pStyle w:val="FootnoteText"/>
        <w:rPr>
          <w:rFonts w:ascii="Calibri" w:hAnsi="Calibri"/>
        </w:rPr>
      </w:pPr>
      <w:r w:rsidRPr="00854A65">
        <w:rPr>
          <w:rStyle w:val="FootnoteReference"/>
          <w:rFonts w:ascii="Calibri" w:hAnsi="Calibri"/>
        </w:rPr>
        <w:footnoteRef/>
      </w:r>
      <w:r>
        <w:rPr>
          <w:rFonts w:ascii="Calibri" w:hAnsi="Calibri"/>
        </w:rPr>
        <w:t xml:space="preserve"> </w:t>
      </w:r>
      <w:hyperlink r:id="rId78" w:history="1">
        <w:r w:rsidRPr="00F3283D">
          <w:rPr>
            <w:rStyle w:val="Hyperlink"/>
            <w:rFonts w:ascii="Calibri" w:hAnsi="Calibri"/>
          </w:rPr>
          <w:t>http://www.un.org/millenniumgoals/2015_MDG_Report/pdf/MDG%202015%20rev%20(July%201).pdf</w:t>
        </w:r>
      </w:hyperlink>
      <w:r w:rsidRPr="00854A65">
        <w:rPr>
          <w:rFonts w:ascii="Calibri" w:hAnsi="Calibri"/>
        </w:rPr>
        <w:t>.</w:t>
      </w:r>
      <w:r>
        <w:rPr>
          <w:rFonts w:ascii="Calibri" w:hAnsi="Calibri"/>
        </w:rPr>
        <w:t xml:space="preserve"> </w:t>
      </w:r>
    </w:p>
  </w:footnote>
  <w:footnote w:id="358">
    <w:p w14:paraId="03B7D6D3" w14:textId="7FF40434" w:rsidR="00D82918" w:rsidRPr="00854A65" w:rsidRDefault="00D82918" w:rsidP="00BE71E3">
      <w:pPr>
        <w:pStyle w:val="NoSpacing"/>
        <w:rPr>
          <w:sz w:val="20"/>
          <w:szCs w:val="20"/>
        </w:rPr>
      </w:pPr>
      <w:r w:rsidRPr="00854A65">
        <w:rPr>
          <w:rStyle w:val="FootnoteReference"/>
          <w:rFonts w:ascii="Calibri" w:hAnsi="Calibri"/>
          <w:sz w:val="20"/>
          <w:szCs w:val="20"/>
        </w:rPr>
        <w:footnoteRef/>
      </w:r>
      <w:r>
        <w:rPr>
          <w:sz w:val="20"/>
          <w:szCs w:val="20"/>
        </w:rPr>
        <w:t xml:space="preserve"> </w:t>
      </w:r>
      <w:r w:rsidRPr="00854A65">
        <w:rPr>
          <w:sz w:val="20"/>
          <w:szCs w:val="20"/>
        </w:rPr>
        <w:t>E</w:t>
      </w:r>
      <w:r>
        <w:rPr>
          <w:sz w:val="20"/>
          <w:szCs w:val="20"/>
        </w:rPr>
        <w:t xml:space="preserve"> </w:t>
      </w:r>
      <w:r w:rsidRPr="00854A65">
        <w:rPr>
          <w:sz w:val="20"/>
          <w:szCs w:val="20"/>
        </w:rPr>
        <w:t xml:space="preserve">Donaldson, </w:t>
      </w:r>
      <w:r>
        <w:rPr>
          <w:sz w:val="20"/>
          <w:szCs w:val="20"/>
        </w:rPr>
        <w:t xml:space="preserve">2015, </w:t>
      </w:r>
      <w:r w:rsidRPr="00854A65">
        <w:rPr>
          <w:i/>
          <w:sz w:val="20"/>
          <w:szCs w:val="20"/>
        </w:rPr>
        <w:t>Advocating for Sugar Sweetened Beverage Taxation: A Case Study of Mexico</w:t>
      </w:r>
      <w:r w:rsidRPr="00854A65">
        <w:rPr>
          <w:sz w:val="20"/>
          <w:szCs w:val="20"/>
        </w:rPr>
        <w:t xml:space="preserve"> </w:t>
      </w:r>
      <w:r>
        <w:rPr>
          <w:sz w:val="20"/>
          <w:szCs w:val="20"/>
        </w:rPr>
        <w:t>(</w:t>
      </w:r>
      <w:r w:rsidRPr="00854A65">
        <w:rPr>
          <w:sz w:val="20"/>
          <w:szCs w:val="20"/>
        </w:rPr>
        <w:t>Johns Hopkins</w:t>
      </w:r>
      <w:r>
        <w:rPr>
          <w:sz w:val="20"/>
          <w:szCs w:val="20"/>
        </w:rPr>
        <w:t>)</w:t>
      </w:r>
      <w:r w:rsidRPr="00854A65">
        <w:rPr>
          <w:sz w:val="20"/>
          <w:szCs w:val="20"/>
        </w:rPr>
        <w:t>.</w:t>
      </w:r>
    </w:p>
  </w:footnote>
  <w:footnote w:id="359">
    <w:p w14:paraId="3EB9051D" w14:textId="4910A04D" w:rsidR="00D82918" w:rsidRPr="00854A65" w:rsidRDefault="00D82918" w:rsidP="00BE71E3">
      <w:pPr>
        <w:pStyle w:val="NoSpacing"/>
        <w:rPr>
          <w:sz w:val="20"/>
          <w:szCs w:val="20"/>
        </w:rPr>
      </w:pPr>
      <w:r w:rsidRPr="00854A65">
        <w:rPr>
          <w:rStyle w:val="FootnoteReference"/>
          <w:rFonts w:ascii="Calibri" w:hAnsi="Calibri"/>
          <w:sz w:val="20"/>
          <w:szCs w:val="20"/>
        </w:rPr>
        <w:footnoteRef/>
      </w:r>
      <w:r>
        <w:rPr>
          <w:sz w:val="20"/>
          <w:szCs w:val="20"/>
        </w:rPr>
        <w:t xml:space="preserve"> </w:t>
      </w:r>
      <w:r w:rsidRPr="00854A65">
        <w:rPr>
          <w:sz w:val="20"/>
          <w:szCs w:val="20"/>
        </w:rPr>
        <w:t xml:space="preserve">Obese people are defined for these purposes as “inhabitants with excessive weight presenting health risks because </w:t>
      </w:r>
      <w:r>
        <w:rPr>
          <w:sz w:val="20"/>
          <w:szCs w:val="20"/>
        </w:rPr>
        <w:t>of high proportions of body fat</w:t>
      </w:r>
      <w:r w:rsidRPr="00854A65">
        <w:rPr>
          <w:sz w:val="20"/>
          <w:szCs w:val="20"/>
        </w:rPr>
        <w:t>”</w:t>
      </w:r>
      <w:r>
        <w:rPr>
          <w:sz w:val="20"/>
          <w:szCs w:val="20"/>
        </w:rPr>
        <w:t>,</w:t>
      </w:r>
      <w:r w:rsidRPr="00854A65">
        <w:rPr>
          <w:sz w:val="20"/>
          <w:szCs w:val="20"/>
        </w:rPr>
        <w:t xml:space="preserve"> OECD Health Facts, 2012.</w:t>
      </w:r>
    </w:p>
  </w:footnote>
  <w:footnote w:id="360">
    <w:p w14:paraId="5B0606AB" w14:textId="46C608D7" w:rsidR="00D82918" w:rsidRPr="00854A65" w:rsidRDefault="00D82918" w:rsidP="00BE71E3">
      <w:pPr>
        <w:pStyle w:val="NoSpacing"/>
        <w:rPr>
          <w:sz w:val="20"/>
          <w:szCs w:val="20"/>
        </w:rPr>
      </w:pPr>
      <w:r w:rsidRPr="00854A65">
        <w:rPr>
          <w:rStyle w:val="FootnoteReference"/>
          <w:rFonts w:ascii="Calibri" w:hAnsi="Calibri"/>
          <w:sz w:val="20"/>
          <w:szCs w:val="20"/>
        </w:rPr>
        <w:footnoteRef/>
      </w:r>
      <w:r>
        <w:rPr>
          <w:sz w:val="20"/>
          <w:szCs w:val="20"/>
        </w:rPr>
        <w:t xml:space="preserve"> </w:t>
      </w:r>
      <w:r w:rsidRPr="00854A65">
        <w:rPr>
          <w:sz w:val="20"/>
          <w:szCs w:val="20"/>
        </w:rPr>
        <w:t xml:space="preserve">World Obesity, </w:t>
      </w:r>
      <w:r>
        <w:rPr>
          <w:sz w:val="20"/>
          <w:szCs w:val="20"/>
        </w:rPr>
        <w:t xml:space="preserve">2014, </w:t>
      </w:r>
      <w:r w:rsidRPr="00854A65">
        <w:rPr>
          <w:i/>
          <w:sz w:val="20"/>
          <w:szCs w:val="20"/>
        </w:rPr>
        <w:t>Recommendations Towards a Global Convention to Protect and Promote Healthy Diets</w:t>
      </w:r>
      <w:r w:rsidRPr="00854A65">
        <w:rPr>
          <w:sz w:val="20"/>
          <w:szCs w:val="20"/>
        </w:rPr>
        <w:t xml:space="preserve"> </w:t>
      </w:r>
      <w:r>
        <w:rPr>
          <w:sz w:val="20"/>
          <w:szCs w:val="20"/>
        </w:rPr>
        <w:t>(</w:t>
      </w:r>
      <w:r w:rsidRPr="00854A65">
        <w:rPr>
          <w:sz w:val="20"/>
          <w:szCs w:val="20"/>
        </w:rPr>
        <w:t>World Obesity/CI</w:t>
      </w:r>
      <w:r>
        <w:rPr>
          <w:sz w:val="20"/>
          <w:szCs w:val="20"/>
        </w:rPr>
        <w:t>)</w:t>
      </w:r>
      <w:r w:rsidRPr="00854A65">
        <w:rPr>
          <w:sz w:val="20"/>
          <w:szCs w:val="20"/>
        </w:rPr>
        <w:t>.</w:t>
      </w:r>
    </w:p>
  </w:footnote>
  <w:footnote w:id="361">
    <w:p w14:paraId="113AC5DC" w14:textId="5DCD5844" w:rsidR="00D82918" w:rsidRPr="00854A65" w:rsidRDefault="00D82918" w:rsidP="00BE71E3">
      <w:pPr>
        <w:pStyle w:val="NoSpacing"/>
        <w:rPr>
          <w:sz w:val="20"/>
          <w:szCs w:val="20"/>
        </w:rPr>
      </w:pPr>
      <w:r w:rsidRPr="00854A65">
        <w:rPr>
          <w:rStyle w:val="FootnoteReference"/>
          <w:rFonts w:ascii="Calibri" w:hAnsi="Calibri"/>
          <w:sz w:val="20"/>
          <w:szCs w:val="20"/>
        </w:rPr>
        <w:footnoteRef/>
      </w:r>
      <w:r>
        <w:rPr>
          <w:sz w:val="20"/>
          <w:szCs w:val="20"/>
        </w:rPr>
        <w:t xml:space="preserve"> </w:t>
      </w:r>
      <w:r w:rsidRPr="00854A65">
        <w:rPr>
          <w:sz w:val="20"/>
          <w:szCs w:val="20"/>
        </w:rPr>
        <w:t xml:space="preserve">WHO, </w:t>
      </w:r>
      <w:r>
        <w:rPr>
          <w:sz w:val="20"/>
          <w:szCs w:val="20"/>
        </w:rPr>
        <w:t xml:space="preserve">2010, </w:t>
      </w:r>
      <w:r w:rsidRPr="00854A65">
        <w:rPr>
          <w:i/>
          <w:iCs/>
          <w:sz w:val="20"/>
          <w:szCs w:val="20"/>
        </w:rPr>
        <w:t>Set</w:t>
      </w:r>
      <w:r w:rsidRPr="00854A65">
        <w:rPr>
          <w:i/>
          <w:sz w:val="20"/>
          <w:szCs w:val="20"/>
        </w:rPr>
        <w:t xml:space="preserve"> of Recommendations on the Marketing of Food and Non-Alcoholic Beverages to </w:t>
      </w:r>
      <w:r w:rsidRPr="00854A65">
        <w:rPr>
          <w:i/>
          <w:iCs/>
          <w:sz w:val="20"/>
          <w:szCs w:val="20"/>
        </w:rPr>
        <w:t>Children</w:t>
      </w:r>
      <w:r>
        <w:rPr>
          <w:sz w:val="20"/>
          <w:szCs w:val="20"/>
        </w:rPr>
        <w:t>, endorsed by WHO member states at the sixty-t</w:t>
      </w:r>
      <w:r w:rsidRPr="00854A65">
        <w:rPr>
          <w:sz w:val="20"/>
          <w:szCs w:val="20"/>
        </w:rPr>
        <w:t>hird World Health Assembly, resolution WHA63.14.</w:t>
      </w:r>
    </w:p>
  </w:footnote>
  <w:footnote w:id="362">
    <w:p w14:paraId="16C54671" w14:textId="18258ADC" w:rsidR="00D82918" w:rsidRPr="00854A65" w:rsidRDefault="00D82918" w:rsidP="00BE71E3">
      <w:pPr>
        <w:pStyle w:val="NoSpacing"/>
        <w:rPr>
          <w:sz w:val="20"/>
          <w:szCs w:val="20"/>
        </w:rPr>
      </w:pPr>
      <w:r w:rsidRPr="00854A65">
        <w:rPr>
          <w:rStyle w:val="FootnoteReference"/>
          <w:rFonts w:ascii="Calibri" w:hAnsi="Calibri"/>
          <w:sz w:val="20"/>
          <w:szCs w:val="20"/>
        </w:rPr>
        <w:footnoteRef/>
      </w:r>
      <w:r>
        <w:rPr>
          <w:sz w:val="20"/>
          <w:szCs w:val="20"/>
        </w:rPr>
        <w:t xml:space="preserve"> </w:t>
      </w:r>
      <w:r w:rsidRPr="00854A65">
        <w:rPr>
          <w:sz w:val="20"/>
          <w:szCs w:val="20"/>
        </w:rPr>
        <w:t xml:space="preserve">World Obesity, </w:t>
      </w:r>
      <w:r w:rsidRPr="000569E3">
        <w:rPr>
          <w:sz w:val="20"/>
          <w:szCs w:val="20"/>
        </w:rPr>
        <w:t>op. cit.</w:t>
      </w:r>
    </w:p>
  </w:footnote>
  <w:footnote w:id="363">
    <w:p w14:paraId="292C1566" w14:textId="11DAEEF3" w:rsidR="00D82918" w:rsidRPr="00854A65" w:rsidRDefault="00D82918" w:rsidP="00BE71E3">
      <w:pPr>
        <w:pStyle w:val="FootnoteText"/>
        <w:rPr>
          <w:rFonts w:cstheme="minorHAnsi"/>
        </w:rPr>
      </w:pPr>
      <w:r w:rsidRPr="00854A65">
        <w:rPr>
          <w:rStyle w:val="FootnoteReference"/>
          <w:rFonts w:cstheme="minorHAnsi"/>
        </w:rPr>
        <w:footnoteRef/>
      </w:r>
      <w:r w:rsidRPr="00854A65">
        <w:rPr>
          <w:rFonts w:cstheme="minorHAnsi"/>
        </w:rPr>
        <w:t xml:space="preserve"> www.statistica .com; WHO</w:t>
      </w:r>
      <w:r>
        <w:rPr>
          <w:rFonts w:cstheme="minorHAnsi"/>
        </w:rPr>
        <w:t>,</w:t>
      </w:r>
      <w:r w:rsidRPr="00854A65">
        <w:rPr>
          <w:rFonts w:cstheme="minorHAnsi"/>
        </w:rPr>
        <w:t xml:space="preserve"> </w:t>
      </w:r>
      <w:r>
        <w:rPr>
          <w:rFonts w:cstheme="minorHAnsi"/>
          <w:i/>
        </w:rPr>
        <w:t>About WHO:</w:t>
      </w:r>
      <w:r w:rsidRPr="00854A65">
        <w:rPr>
          <w:rFonts w:cstheme="minorHAnsi"/>
        </w:rPr>
        <w:t xml:space="preserve"> </w:t>
      </w:r>
      <w:r>
        <w:rPr>
          <w:rFonts w:cstheme="minorHAnsi"/>
          <w:i/>
        </w:rPr>
        <w:t>WHO Programme B</w:t>
      </w:r>
      <w:r w:rsidRPr="00854A65">
        <w:rPr>
          <w:rFonts w:cstheme="minorHAnsi"/>
          <w:i/>
        </w:rPr>
        <w:t>udget 2016-17.</w:t>
      </w:r>
      <w:r w:rsidRPr="00854A65">
        <w:rPr>
          <w:rFonts w:cstheme="minorHAnsi"/>
        </w:rPr>
        <w:t xml:space="preserve">  </w:t>
      </w:r>
    </w:p>
  </w:footnote>
  <w:footnote w:id="364">
    <w:p w14:paraId="1B3DB450" w14:textId="5A6BB17E" w:rsidR="00D82918" w:rsidRPr="00854A65" w:rsidRDefault="00D82918" w:rsidP="00BE71E3">
      <w:pPr>
        <w:pStyle w:val="NoSpacing"/>
        <w:rPr>
          <w:i/>
          <w:sz w:val="20"/>
          <w:szCs w:val="20"/>
        </w:rPr>
      </w:pPr>
      <w:r w:rsidRPr="00854A65">
        <w:rPr>
          <w:rStyle w:val="FootnoteReference"/>
          <w:rFonts w:ascii="Calibri" w:hAnsi="Calibri"/>
          <w:sz w:val="20"/>
          <w:szCs w:val="20"/>
        </w:rPr>
        <w:footnoteRef/>
      </w:r>
      <w:r>
        <w:rPr>
          <w:sz w:val="20"/>
          <w:szCs w:val="20"/>
        </w:rPr>
        <w:t xml:space="preserve"> E. </w:t>
      </w:r>
      <w:r w:rsidRPr="00854A65">
        <w:rPr>
          <w:sz w:val="20"/>
          <w:szCs w:val="20"/>
        </w:rPr>
        <w:t xml:space="preserve">Donaldson, </w:t>
      </w:r>
      <w:r w:rsidRPr="000569E3">
        <w:rPr>
          <w:sz w:val="20"/>
          <w:szCs w:val="20"/>
        </w:rPr>
        <w:t>op. cit.</w:t>
      </w:r>
    </w:p>
  </w:footnote>
  <w:footnote w:id="365">
    <w:p w14:paraId="293B14C4" w14:textId="65C6F843" w:rsidR="00D82918" w:rsidRPr="00854A65" w:rsidRDefault="00D82918" w:rsidP="00BE71E3">
      <w:pPr>
        <w:pStyle w:val="FootnoteText"/>
        <w:rPr>
          <w:rFonts w:ascii="Calibri" w:hAnsi="Calibri"/>
        </w:rPr>
      </w:pPr>
      <w:r w:rsidRPr="00854A65">
        <w:rPr>
          <w:rStyle w:val="FootnoteReference"/>
          <w:rFonts w:ascii="Calibri" w:hAnsi="Calibri"/>
        </w:rPr>
        <w:footnoteRef/>
      </w:r>
      <w:r>
        <w:rPr>
          <w:rFonts w:ascii="Calibri" w:hAnsi="Calibri"/>
        </w:rPr>
        <w:t xml:space="preserve"> </w:t>
      </w:r>
      <w:r w:rsidRPr="00854A65">
        <w:rPr>
          <w:rFonts w:ascii="Calibri" w:hAnsi="Calibri"/>
        </w:rPr>
        <w:t xml:space="preserve">WHO, </w:t>
      </w:r>
      <w:r>
        <w:rPr>
          <w:rFonts w:ascii="Calibri" w:hAnsi="Calibri"/>
        </w:rPr>
        <w:t xml:space="preserve">2013, </w:t>
      </w:r>
      <w:r w:rsidRPr="00854A65">
        <w:rPr>
          <w:rFonts w:ascii="Calibri" w:hAnsi="Calibri"/>
          <w:i/>
        </w:rPr>
        <w:t>Diarrhoeal Diseases</w:t>
      </w:r>
      <w:r>
        <w:rPr>
          <w:rFonts w:ascii="Calibri" w:hAnsi="Calibri"/>
        </w:rPr>
        <w:t>, fact s</w:t>
      </w:r>
      <w:r w:rsidRPr="00854A65">
        <w:rPr>
          <w:rFonts w:ascii="Calibri" w:hAnsi="Calibri"/>
        </w:rPr>
        <w:t>heet no. 330.</w:t>
      </w:r>
    </w:p>
  </w:footnote>
  <w:footnote w:id="366">
    <w:p w14:paraId="232ACCE6" w14:textId="34DF4306" w:rsidR="00D82918" w:rsidRPr="00854A65" w:rsidRDefault="00D82918" w:rsidP="00BE71E3">
      <w:pPr>
        <w:pStyle w:val="NoSpacing"/>
        <w:rPr>
          <w:sz w:val="20"/>
          <w:szCs w:val="20"/>
        </w:rPr>
      </w:pPr>
      <w:r w:rsidRPr="00854A65">
        <w:rPr>
          <w:rStyle w:val="FootnoteReference"/>
          <w:rFonts w:ascii="Calibri" w:hAnsi="Calibri"/>
          <w:sz w:val="20"/>
          <w:szCs w:val="20"/>
        </w:rPr>
        <w:footnoteRef/>
      </w:r>
      <w:r>
        <w:t xml:space="preserve"> </w:t>
      </w:r>
      <w:hyperlink r:id="rId79" w:history="1">
        <w:r w:rsidRPr="00854A65">
          <w:rPr>
            <w:rStyle w:val="Hyperlink"/>
            <w:rFonts w:ascii="Calibri" w:hAnsi="Calibri"/>
            <w:color w:val="auto"/>
            <w:sz w:val="20"/>
            <w:szCs w:val="20"/>
            <w:u w:val="none"/>
            <w:lang w:val="en-GB"/>
          </w:rPr>
          <w:t>http://www.justlabelit.org/right-to-know-center/labeling-around-the-world/2016</w:t>
        </w:r>
      </w:hyperlink>
      <w:r>
        <w:rPr>
          <w:rStyle w:val="Hyperlink"/>
          <w:rFonts w:ascii="Calibri" w:hAnsi="Calibri"/>
          <w:color w:val="auto"/>
          <w:sz w:val="20"/>
          <w:szCs w:val="20"/>
          <w:u w:val="none"/>
          <w:lang w:val="en-GB"/>
        </w:rPr>
        <w:t xml:space="preserve">. </w:t>
      </w:r>
      <w:r w:rsidRPr="00854A65">
        <w:rPr>
          <w:sz w:val="20"/>
          <w:szCs w:val="20"/>
        </w:rPr>
        <w:t>List derived from d</w:t>
      </w:r>
      <w:r>
        <w:rPr>
          <w:sz w:val="20"/>
          <w:szCs w:val="20"/>
        </w:rPr>
        <w:t>ata gathered by the Centre for Food S</w:t>
      </w:r>
      <w:r w:rsidRPr="00854A65">
        <w:rPr>
          <w:sz w:val="20"/>
          <w:szCs w:val="20"/>
        </w:rPr>
        <w:t xml:space="preserve">afety.  </w:t>
      </w:r>
    </w:p>
  </w:footnote>
  <w:footnote w:id="367">
    <w:p w14:paraId="3C0362E8" w14:textId="416295BD" w:rsidR="00D82918" w:rsidRPr="00854A65" w:rsidRDefault="00D82918" w:rsidP="00BE71E3">
      <w:pPr>
        <w:pStyle w:val="NoSpacing"/>
        <w:rPr>
          <w:sz w:val="20"/>
          <w:szCs w:val="20"/>
        </w:rPr>
      </w:pPr>
      <w:r w:rsidRPr="00854A65">
        <w:rPr>
          <w:rStyle w:val="FootnoteReference"/>
          <w:rFonts w:ascii="Calibri" w:hAnsi="Calibri"/>
          <w:sz w:val="20"/>
          <w:szCs w:val="20"/>
        </w:rPr>
        <w:footnoteRef/>
      </w:r>
      <w:r>
        <w:t xml:space="preserve"> </w:t>
      </w:r>
      <w:hyperlink r:id="rId80" w:history="1">
        <w:r w:rsidRPr="00854A65">
          <w:rPr>
            <w:rStyle w:val="Hyperlink"/>
            <w:rFonts w:ascii="Calibri" w:hAnsi="Calibri"/>
            <w:color w:val="auto"/>
            <w:sz w:val="20"/>
            <w:szCs w:val="20"/>
            <w:u w:val="none"/>
            <w:lang w:val="en-GB"/>
          </w:rPr>
          <w:t>http://naturalrevolution.org/list-countries-banned-genetically-modified-food/2016</w:t>
        </w:r>
      </w:hyperlink>
      <w:r>
        <w:rPr>
          <w:rStyle w:val="Hyperlink"/>
          <w:rFonts w:ascii="Calibri" w:hAnsi="Calibri"/>
          <w:color w:val="auto"/>
          <w:sz w:val="20"/>
          <w:szCs w:val="20"/>
          <w:u w:val="none"/>
          <w:lang w:val="en-GB"/>
        </w:rPr>
        <w:t xml:space="preserve">; </w:t>
      </w:r>
    </w:p>
    <w:p w14:paraId="68F61F77" w14:textId="79455688" w:rsidR="00D82918" w:rsidRPr="00854A65" w:rsidRDefault="00FB5819" w:rsidP="00BE71E3">
      <w:pPr>
        <w:pStyle w:val="NoSpacing"/>
        <w:rPr>
          <w:sz w:val="20"/>
          <w:szCs w:val="20"/>
        </w:rPr>
      </w:pPr>
      <w:hyperlink r:id="rId81" w:anchor=".V0GsgiMrLZu" w:history="1">
        <w:r w:rsidR="00D82918" w:rsidRPr="00F3283D">
          <w:rPr>
            <w:rStyle w:val="Hyperlink"/>
            <w:sz w:val="20"/>
            <w:szCs w:val="20"/>
          </w:rPr>
          <w:t>http://sustainablepulse.com/2015/10/22/gm-crops-now-banned-in-36-countries-worldwide-sustainable-pulse-research/#.V0GsgiMrLZu</w:t>
        </w:r>
      </w:hyperlink>
      <w:r w:rsidR="00D82918">
        <w:rPr>
          <w:sz w:val="20"/>
          <w:szCs w:val="20"/>
        </w:rPr>
        <w:t xml:space="preserve"> </w:t>
      </w:r>
    </w:p>
  </w:footnote>
  <w:footnote w:id="368">
    <w:p w14:paraId="4522197B" w14:textId="7EA8EF00" w:rsidR="00D82918" w:rsidRPr="00854A65" w:rsidRDefault="00D82918" w:rsidP="00BE71E3">
      <w:pPr>
        <w:pStyle w:val="NoSpacing"/>
        <w:rPr>
          <w:sz w:val="20"/>
          <w:szCs w:val="20"/>
        </w:rPr>
      </w:pPr>
      <w:r w:rsidRPr="00854A65">
        <w:rPr>
          <w:rStyle w:val="FootnoteReference"/>
          <w:rFonts w:ascii="Calibri" w:hAnsi="Calibri"/>
          <w:sz w:val="20"/>
          <w:szCs w:val="20"/>
        </w:rPr>
        <w:footnoteRef/>
      </w:r>
      <w:r>
        <w:t xml:space="preserve"> </w:t>
      </w:r>
      <w:hyperlink r:id="rId82" w:history="1">
        <w:r w:rsidRPr="00854A65">
          <w:rPr>
            <w:rStyle w:val="Hyperlink"/>
            <w:rFonts w:ascii="Calibri" w:hAnsi="Calibri"/>
            <w:color w:val="auto"/>
            <w:sz w:val="20"/>
            <w:szCs w:val="20"/>
            <w:u w:val="none"/>
            <w:lang w:val="en-GB"/>
          </w:rPr>
          <w:t>http://www.genewatch.org/sub-532326</w:t>
        </w:r>
      </w:hyperlink>
      <w:r>
        <w:rPr>
          <w:sz w:val="20"/>
          <w:szCs w:val="20"/>
        </w:rPr>
        <w:t xml:space="preserve">. </w:t>
      </w:r>
    </w:p>
  </w:footnote>
  <w:footnote w:id="369">
    <w:p w14:paraId="48386A2F" w14:textId="3B51A7C3" w:rsidR="00D82918" w:rsidRPr="00854A65" w:rsidRDefault="00D82918" w:rsidP="00BE71E3">
      <w:pPr>
        <w:pStyle w:val="NoSpacing"/>
        <w:rPr>
          <w:rFonts w:cs="Calibri"/>
          <w:sz w:val="20"/>
          <w:szCs w:val="20"/>
        </w:rPr>
      </w:pPr>
      <w:r w:rsidRPr="00854A65">
        <w:rPr>
          <w:rStyle w:val="FootnoteReference"/>
          <w:rFonts w:ascii="Calibri" w:hAnsi="Calibri" w:cs="Calibri"/>
          <w:sz w:val="20"/>
          <w:szCs w:val="20"/>
        </w:rPr>
        <w:footnoteRef/>
      </w:r>
      <w:r>
        <w:rPr>
          <w:rFonts w:cs="Calibri"/>
          <w:sz w:val="20"/>
          <w:szCs w:val="20"/>
        </w:rPr>
        <w:t xml:space="preserve"> </w:t>
      </w:r>
      <w:r w:rsidRPr="00854A65">
        <w:rPr>
          <w:rFonts w:cs="Calibri"/>
          <w:sz w:val="20"/>
          <w:szCs w:val="20"/>
        </w:rPr>
        <w:t>T</w:t>
      </w:r>
      <w:r w:rsidRPr="000569E3">
        <w:rPr>
          <w:rFonts w:cs="Calibri"/>
          <w:i/>
          <w:sz w:val="20"/>
          <w:szCs w:val="20"/>
        </w:rPr>
        <w:t>he Economist</w:t>
      </w:r>
      <w:r w:rsidRPr="00854A65">
        <w:rPr>
          <w:rFonts w:cs="Calibri"/>
          <w:sz w:val="20"/>
          <w:szCs w:val="20"/>
        </w:rPr>
        <w:t xml:space="preserve">, 2012, </w:t>
      </w:r>
      <w:r w:rsidRPr="000569E3">
        <w:rPr>
          <w:rFonts w:cs="Calibri"/>
          <w:iCs/>
          <w:sz w:val="20"/>
          <w:szCs w:val="20"/>
        </w:rPr>
        <w:t>Food</w:t>
      </w:r>
      <w:r>
        <w:rPr>
          <w:rFonts w:cs="Calibri"/>
          <w:iCs/>
          <w:sz w:val="20"/>
          <w:szCs w:val="20"/>
        </w:rPr>
        <w:t xml:space="preserve"> For t</w:t>
      </w:r>
      <w:r w:rsidRPr="000569E3">
        <w:rPr>
          <w:rFonts w:cs="Calibri"/>
          <w:iCs/>
          <w:sz w:val="20"/>
          <w:szCs w:val="20"/>
        </w:rPr>
        <w:t>hought</w:t>
      </w:r>
      <w:r>
        <w:rPr>
          <w:rFonts w:cs="Calibri"/>
          <w:iCs/>
          <w:sz w:val="20"/>
          <w:szCs w:val="20"/>
        </w:rPr>
        <w:t xml:space="preserve">, </w:t>
      </w:r>
      <w:r>
        <w:rPr>
          <w:rFonts w:cs="Calibri"/>
          <w:sz w:val="20"/>
          <w:szCs w:val="20"/>
        </w:rPr>
        <w:t>a</w:t>
      </w:r>
      <w:r w:rsidRPr="00854A65">
        <w:rPr>
          <w:rFonts w:cs="Calibri"/>
          <w:sz w:val="20"/>
          <w:szCs w:val="20"/>
        </w:rPr>
        <w:t xml:space="preserve">vailable at: </w:t>
      </w:r>
      <w:hyperlink r:id="rId83" w:history="1">
        <w:r w:rsidRPr="00854A65">
          <w:rPr>
            <w:rStyle w:val="Hyperlink"/>
            <w:rFonts w:ascii="Calibri" w:hAnsi="Calibri"/>
            <w:color w:val="auto"/>
            <w:sz w:val="20"/>
            <w:szCs w:val="20"/>
            <w:u w:val="none"/>
          </w:rPr>
          <w:t>http://www.economist.com/news/special-report/21568064-food-companies-play-ambivalent-part-fight-against-flab-food-thought</w:t>
        </w:r>
      </w:hyperlink>
      <w:r>
        <w:rPr>
          <w:rStyle w:val="Hyperlink"/>
          <w:rFonts w:ascii="Calibri" w:hAnsi="Calibri"/>
          <w:color w:val="auto"/>
          <w:sz w:val="20"/>
          <w:szCs w:val="20"/>
          <w:u w:val="none"/>
        </w:rPr>
        <w:t>;</w:t>
      </w:r>
    </w:p>
    <w:p w14:paraId="532AB17C" w14:textId="037831AC" w:rsidR="00D82918" w:rsidRPr="001721F9" w:rsidRDefault="00D82918" w:rsidP="001721F9">
      <w:pPr>
        <w:pStyle w:val="NoSpacing"/>
        <w:rPr>
          <w:rFonts w:cs="Calibri"/>
          <w:sz w:val="20"/>
          <w:szCs w:val="20"/>
        </w:rPr>
      </w:pPr>
      <w:r>
        <w:rPr>
          <w:rFonts w:cs="Calibri"/>
          <w:sz w:val="20"/>
          <w:szCs w:val="20"/>
        </w:rPr>
        <w:t>R Moodie</w:t>
      </w:r>
      <w:r w:rsidRPr="00854A65">
        <w:rPr>
          <w:rFonts w:cs="Calibri"/>
          <w:sz w:val="20"/>
          <w:szCs w:val="20"/>
        </w:rPr>
        <w:t xml:space="preserve"> </w:t>
      </w:r>
      <w:r w:rsidRPr="000569E3">
        <w:rPr>
          <w:sz w:val="20"/>
          <w:szCs w:val="20"/>
        </w:rPr>
        <w:t>et al</w:t>
      </w:r>
      <w:r w:rsidRPr="00854A65">
        <w:rPr>
          <w:i/>
          <w:sz w:val="20"/>
          <w:szCs w:val="20"/>
        </w:rPr>
        <w:t>,</w:t>
      </w:r>
      <w:r w:rsidRPr="00854A65">
        <w:rPr>
          <w:rFonts w:cs="Calibri"/>
          <w:sz w:val="20"/>
          <w:szCs w:val="20"/>
        </w:rPr>
        <w:t xml:space="preserve"> </w:t>
      </w:r>
      <w:r>
        <w:rPr>
          <w:rFonts w:cs="Calibri"/>
          <w:sz w:val="20"/>
          <w:szCs w:val="20"/>
        </w:rPr>
        <w:t xml:space="preserve">2013, </w:t>
      </w:r>
      <w:r>
        <w:rPr>
          <w:rFonts w:cs="Calibri"/>
          <w:iCs/>
          <w:sz w:val="20"/>
          <w:szCs w:val="20"/>
        </w:rPr>
        <w:t>Profits and pandemics: Prevention of harmful effects of tobacco, alcohol and ultra-processed food and drink i</w:t>
      </w:r>
      <w:r w:rsidRPr="000569E3">
        <w:rPr>
          <w:rFonts w:cs="Calibri"/>
          <w:iCs/>
          <w:sz w:val="20"/>
          <w:szCs w:val="20"/>
        </w:rPr>
        <w:t>ndustries</w:t>
      </w:r>
      <w:r>
        <w:rPr>
          <w:rFonts w:cs="Calibri"/>
          <w:sz w:val="20"/>
          <w:szCs w:val="20"/>
        </w:rPr>
        <w:t>,</w:t>
      </w:r>
      <w:r w:rsidRPr="00854A65">
        <w:rPr>
          <w:rFonts w:cs="Calibri"/>
          <w:sz w:val="20"/>
          <w:szCs w:val="20"/>
        </w:rPr>
        <w:t xml:space="preserve"> </w:t>
      </w:r>
      <w:r w:rsidRPr="000569E3">
        <w:rPr>
          <w:rFonts w:cs="Calibri"/>
          <w:i/>
          <w:sz w:val="20"/>
          <w:szCs w:val="20"/>
        </w:rPr>
        <w:t>The Lancet</w:t>
      </w:r>
      <w:r>
        <w:rPr>
          <w:rFonts w:cs="Calibri"/>
          <w:sz w:val="20"/>
          <w:szCs w:val="20"/>
        </w:rPr>
        <w:t xml:space="preserve"> 381:9867; D Stuckler</w:t>
      </w:r>
      <w:r w:rsidRPr="00854A65">
        <w:rPr>
          <w:rFonts w:cs="Calibri"/>
          <w:sz w:val="20"/>
          <w:szCs w:val="20"/>
        </w:rPr>
        <w:t xml:space="preserve"> </w:t>
      </w:r>
      <w:r w:rsidRPr="000569E3">
        <w:rPr>
          <w:sz w:val="20"/>
          <w:szCs w:val="20"/>
        </w:rPr>
        <w:t>et al,</w:t>
      </w:r>
      <w:r w:rsidRPr="000569E3">
        <w:rPr>
          <w:rFonts w:cs="Calibri"/>
          <w:sz w:val="20"/>
          <w:szCs w:val="20"/>
        </w:rPr>
        <w:t xml:space="preserve"> </w:t>
      </w:r>
      <w:r>
        <w:rPr>
          <w:rFonts w:cs="Calibri"/>
          <w:sz w:val="20"/>
          <w:szCs w:val="20"/>
        </w:rPr>
        <w:t xml:space="preserve">2012, </w:t>
      </w:r>
      <w:r>
        <w:rPr>
          <w:rFonts w:cs="Calibri"/>
          <w:iCs/>
          <w:sz w:val="20"/>
          <w:szCs w:val="20"/>
        </w:rPr>
        <w:t>Manufacturing e</w:t>
      </w:r>
      <w:r w:rsidRPr="000569E3">
        <w:rPr>
          <w:rFonts w:cs="Calibri"/>
          <w:iCs/>
          <w:sz w:val="20"/>
          <w:szCs w:val="20"/>
        </w:rPr>
        <w:t>pidemics:</w:t>
      </w:r>
      <w:r>
        <w:rPr>
          <w:rFonts w:cs="Calibri"/>
          <w:iCs/>
          <w:sz w:val="20"/>
          <w:szCs w:val="20"/>
        </w:rPr>
        <w:t xml:space="preserve"> The role of global producers in increased consumption of unhealthy commodities including processed foods, alcohol and t</w:t>
      </w:r>
      <w:r w:rsidRPr="000569E3">
        <w:rPr>
          <w:rFonts w:cs="Calibri"/>
          <w:iCs/>
          <w:sz w:val="20"/>
          <w:szCs w:val="20"/>
        </w:rPr>
        <w:t>obacco,</w:t>
      </w:r>
      <w:r w:rsidRPr="00854A65">
        <w:rPr>
          <w:rFonts w:cs="Calibri"/>
          <w:sz w:val="20"/>
          <w:szCs w:val="20"/>
        </w:rPr>
        <w:t xml:space="preserve"> </w:t>
      </w:r>
      <w:r w:rsidRPr="000569E3">
        <w:rPr>
          <w:rFonts w:cs="Calibri"/>
          <w:i/>
          <w:sz w:val="20"/>
          <w:szCs w:val="20"/>
        </w:rPr>
        <w:t>PLoS Medicine</w:t>
      </w:r>
      <w:r w:rsidRPr="00854A65">
        <w:rPr>
          <w:rFonts w:cs="Calibri"/>
          <w:i/>
          <w:iCs/>
          <w:sz w:val="20"/>
          <w:szCs w:val="20"/>
        </w:rPr>
        <w:t xml:space="preserve"> </w:t>
      </w:r>
      <w:r>
        <w:rPr>
          <w:rFonts w:cs="Calibri"/>
          <w:sz w:val="20"/>
          <w:szCs w:val="20"/>
        </w:rPr>
        <w:t>9(6):</w:t>
      </w:r>
      <w:r w:rsidRPr="00854A65">
        <w:rPr>
          <w:rFonts w:cs="Calibri"/>
          <w:sz w:val="20"/>
          <w:szCs w:val="20"/>
        </w:rPr>
        <w:t>e1001235</w:t>
      </w:r>
      <w:r>
        <w:rPr>
          <w:rFonts w:cs="Calibri"/>
          <w:sz w:val="20"/>
          <w:szCs w:val="20"/>
        </w:rPr>
        <w:t xml:space="preserve">; </w:t>
      </w:r>
      <w:r w:rsidRPr="00854A65">
        <w:rPr>
          <w:rFonts w:cs="Calibri"/>
          <w:sz w:val="20"/>
          <w:szCs w:val="20"/>
        </w:rPr>
        <w:t xml:space="preserve">Consumers International, </w:t>
      </w:r>
      <w:r>
        <w:rPr>
          <w:rFonts w:cs="Calibri"/>
          <w:sz w:val="20"/>
          <w:szCs w:val="20"/>
        </w:rPr>
        <w:t xml:space="preserve">2015, </w:t>
      </w:r>
      <w:r w:rsidRPr="00854A65">
        <w:rPr>
          <w:rFonts w:cs="Calibri"/>
          <w:i/>
          <w:iCs/>
          <w:sz w:val="20"/>
          <w:szCs w:val="20"/>
        </w:rPr>
        <w:t>Nutrition</w:t>
      </w:r>
      <w:r>
        <w:rPr>
          <w:rFonts w:cs="Calibri"/>
          <w:i/>
          <w:iCs/>
          <w:sz w:val="20"/>
          <w:szCs w:val="20"/>
        </w:rPr>
        <w:t xml:space="preserve"> Labeling on Pre-Packaged Foods.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137F" w14:textId="77777777" w:rsidR="00D82918" w:rsidRDefault="00D82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EBB"/>
    <w:multiLevelType w:val="hybridMultilevel"/>
    <w:tmpl w:val="50564DF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E7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2403B"/>
    <w:multiLevelType w:val="hybridMultilevel"/>
    <w:tmpl w:val="FBE05A18"/>
    <w:lvl w:ilvl="0" w:tplc="A3B0407A">
      <w:start w:val="1"/>
      <w:numFmt w:val="decimal"/>
      <w:lvlText w:val="%1)"/>
      <w:lvlJc w:val="left"/>
      <w:pPr>
        <w:ind w:left="2865" w:hanging="360"/>
      </w:pPr>
      <w:rPr>
        <w:rFonts w:hint="default"/>
      </w:rPr>
    </w:lvl>
    <w:lvl w:ilvl="1" w:tplc="08090019" w:tentative="1">
      <w:start w:val="1"/>
      <w:numFmt w:val="lowerLetter"/>
      <w:lvlText w:val="%2."/>
      <w:lvlJc w:val="left"/>
      <w:pPr>
        <w:ind w:left="3585" w:hanging="360"/>
      </w:pPr>
    </w:lvl>
    <w:lvl w:ilvl="2" w:tplc="0809001B" w:tentative="1">
      <w:start w:val="1"/>
      <w:numFmt w:val="lowerRoman"/>
      <w:lvlText w:val="%3."/>
      <w:lvlJc w:val="right"/>
      <w:pPr>
        <w:ind w:left="4305" w:hanging="180"/>
      </w:pPr>
    </w:lvl>
    <w:lvl w:ilvl="3" w:tplc="0809000F" w:tentative="1">
      <w:start w:val="1"/>
      <w:numFmt w:val="decimal"/>
      <w:lvlText w:val="%4."/>
      <w:lvlJc w:val="left"/>
      <w:pPr>
        <w:ind w:left="5025" w:hanging="360"/>
      </w:pPr>
    </w:lvl>
    <w:lvl w:ilvl="4" w:tplc="08090019" w:tentative="1">
      <w:start w:val="1"/>
      <w:numFmt w:val="lowerLetter"/>
      <w:lvlText w:val="%5."/>
      <w:lvlJc w:val="left"/>
      <w:pPr>
        <w:ind w:left="5745" w:hanging="360"/>
      </w:pPr>
    </w:lvl>
    <w:lvl w:ilvl="5" w:tplc="0809001B" w:tentative="1">
      <w:start w:val="1"/>
      <w:numFmt w:val="lowerRoman"/>
      <w:lvlText w:val="%6."/>
      <w:lvlJc w:val="right"/>
      <w:pPr>
        <w:ind w:left="6465" w:hanging="180"/>
      </w:pPr>
    </w:lvl>
    <w:lvl w:ilvl="6" w:tplc="0809000F" w:tentative="1">
      <w:start w:val="1"/>
      <w:numFmt w:val="decimal"/>
      <w:lvlText w:val="%7."/>
      <w:lvlJc w:val="left"/>
      <w:pPr>
        <w:ind w:left="7185" w:hanging="360"/>
      </w:pPr>
    </w:lvl>
    <w:lvl w:ilvl="7" w:tplc="08090019" w:tentative="1">
      <w:start w:val="1"/>
      <w:numFmt w:val="lowerLetter"/>
      <w:lvlText w:val="%8."/>
      <w:lvlJc w:val="left"/>
      <w:pPr>
        <w:ind w:left="7905" w:hanging="360"/>
      </w:pPr>
    </w:lvl>
    <w:lvl w:ilvl="8" w:tplc="0809001B" w:tentative="1">
      <w:start w:val="1"/>
      <w:numFmt w:val="lowerRoman"/>
      <w:lvlText w:val="%9."/>
      <w:lvlJc w:val="right"/>
      <w:pPr>
        <w:ind w:left="8625" w:hanging="180"/>
      </w:pPr>
    </w:lvl>
  </w:abstractNum>
  <w:abstractNum w:abstractNumId="3" w15:restartNumberingAfterBreak="0">
    <w:nsid w:val="038B1487"/>
    <w:multiLevelType w:val="multilevel"/>
    <w:tmpl w:val="C614A28A"/>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520"/>
        </w:tabs>
        <w:ind w:left="252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4" w15:restartNumberingAfterBreak="0">
    <w:nsid w:val="05AE0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290D28"/>
    <w:multiLevelType w:val="hybridMultilevel"/>
    <w:tmpl w:val="C7326A42"/>
    <w:lvl w:ilvl="0" w:tplc="08090017">
      <w:start w:val="1"/>
      <w:numFmt w:val="lowerLetter"/>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 w15:restartNumberingAfterBreak="0">
    <w:nsid w:val="06AA681A"/>
    <w:multiLevelType w:val="hybridMultilevel"/>
    <w:tmpl w:val="FB4298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2C28AC"/>
    <w:multiLevelType w:val="hybridMultilevel"/>
    <w:tmpl w:val="E4FAD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8636540"/>
    <w:multiLevelType w:val="hybridMultilevel"/>
    <w:tmpl w:val="45EA82C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A1354E"/>
    <w:multiLevelType w:val="hybridMultilevel"/>
    <w:tmpl w:val="5ED6CAAA"/>
    <w:lvl w:ilvl="0" w:tplc="0409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08BB0DFE"/>
    <w:multiLevelType w:val="hybridMultilevel"/>
    <w:tmpl w:val="6E089FEC"/>
    <w:lvl w:ilvl="0" w:tplc="0DDE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035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A7745D"/>
    <w:multiLevelType w:val="multilevel"/>
    <w:tmpl w:val="D39E095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825F16"/>
    <w:multiLevelType w:val="hybridMultilevel"/>
    <w:tmpl w:val="C5DC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381DA5"/>
    <w:multiLevelType w:val="hybridMultilevel"/>
    <w:tmpl w:val="E9EA7B5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B8D6456"/>
    <w:multiLevelType w:val="hybridMultilevel"/>
    <w:tmpl w:val="F7CCE91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1926F3"/>
    <w:multiLevelType w:val="hybridMultilevel"/>
    <w:tmpl w:val="FB6C0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6C078C"/>
    <w:multiLevelType w:val="hybridMultilevel"/>
    <w:tmpl w:val="8F64934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04B526E"/>
    <w:multiLevelType w:val="hybridMultilevel"/>
    <w:tmpl w:val="269C9F6E"/>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12C83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77FB7"/>
    <w:multiLevelType w:val="hybridMultilevel"/>
    <w:tmpl w:val="9A08D3CC"/>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4DE32F9"/>
    <w:multiLevelType w:val="hybridMultilevel"/>
    <w:tmpl w:val="5E5A2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4FA75CC"/>
    <w:multiLevelType w:val="hybridMultilevel"/>
    <w:tmpl w:val="D618FB3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15593292"/>
    <w:multiLevelType w:val="hybridMultilevel"/>
    <w:tmpl w:val="86202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5F500B2"/>
    <w:multiLevelType w:val="hybridMultilevel"/>
    <w:tmpl w:val="B442B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6BD7E9F"/>
    <w:multiLevelType w:val="hybridMultilevel"/>
    <w:tmpl w:val="F816292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ED1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A3D5F54"/>
    <w:multiLevelType w:val="hybridMultilevel"/>
    <w:tmpl w:val="567A1CB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B141065"/>
    <w:multiLevelType w:val="hybridMultilevel"/>
    <w:tmpl w:val="4516F0B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CA5206E"/>
    <w:multiLevelType w:val="hybridMultilevel"/>
    <w:tmpl w:val="8A16078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D841A71"/>
    <w:multiLevelType w:val="hybridMultilevel"/>
    <w:tmpl w:val="4FBA1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1503F7E"/>
    <w:multiLevelType w:val="hybridMultilevel"/>
    <w:tmpl w:val="0ED0C5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A13CA6"/>
    <w:multiLevelType w:val="hybridMultilevel"/>
    <w:tmpl w:val="C0F28C0C"/>
    <w:lvl w:ilvl="0" w:tplc="29EA462A">
      <w:start w:val="1"/>
      <w:numFmt w:val="lowerLetter"/>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8C0870"/>
    <w:multiLevelType w:val="hybridMultilevel"/>
    <w:tmpl w:val="76342564"/>
    <w:lvl w:ilvl="0" w:tplc="305EF688">
      <w:start w:val="1"/>
      <w:numFmt w:val="decimal"/>
      <w:lvlText w:val="%1)"/>
      <w:lvlJc w:val="left"/>
      <w:pPr>
        <w:ind w:left="3154" w:hanging="360"/>
      </w:pPr>
      <w:rPr>
        <w:rFonts w:hint="default"/>
      </w:rPr>
    </w:lvl>
    <w:lvl w:ilvl="1" w:tplc="08090019" w:tentative="1">
      <w:start w:val="1"/>
      <w:numFmt w:val="lowerLetter"/>
      <w:lvlText w:val="%2."/>
      <w:lvlJc w:val="left"/>
      <w:pPr>
        <w:ind w:left="3874" w:hanging="360"/>
      </w:pPr>
    </w:lvl>
    <w:lvl w:ilvl="2" w:tplc="0809001B" w:tentative="1">
      <w:start w:val="1"/>
      <w:numFmt w:val="lowerRoman"/>
      <w:lvlText w:val="%3."/>
      <w:lvlJc w:val="right"/>
      <w:pPr>
        <w:ind w:left="4594" w:hanging="180"/>
      </w:pPr>
    </w:lvl>
    <w:lvl w:ilvl="3" w:tplc="0809000F" w:tentative="1">
      <w:start w:val="1"/>
      <w:numFmt w:val="decimal"/>
      <w:lvlText w:val="%4."/>
      <w:lvlJc w:val="left"/>
      <w:pPr>
        <w:ind w:left="5314" w:hanging="360"/>
      </w:pPr>
    </w:lvl>
    <w:lvl w:ilvl="4" w:tplc="08090019" w:tentative="1">
      <w:start w:val="1"/>
      <w:numFmt w:val="lowerLetter"/>
      <w:lvlText w:val="%5."/>
      <w:lvlJc w:val="left"/>
      <w:pPr>
        <w:ind w:left="6034" w:hanging="360"/>
      </w:pPr>
    </w:lvl>
    <w:lvl w:ilvl="5" w:tplc="0809001B" w:tentative="1">
      <w:start w:val="1"/>
      <w:numFmt w:val="lowerRoman"/>
      <w:lvlText w:val="%6."/>
      <w:lvlJc w:val="right"/>
      <w:pPr>
        <w:ind w:left="6754" w:hanging="180"/>
      </w:pPr>
    </w:lvl>
    <w:lvl w:ilvl="6" w:tplc="0809000F" w:tentative="1">
      <w:start w:val="1"/>
      <w:numFmt w:val="decimal"/>
      <w:lvlText w:val="%7."/>
      <w:lvlJc w:val="left"/>
      <w:pPr>
        <w:ind w:left="7474" w:hanging="360"/>
      </w:pPr>
    </w:lvl>
    <w:lvl w:ilvl="7" w:tplc="08090019" w:tentative="1">
      <w:start w:val="1"/>
      <w:numFmt w:val="lowerLetter"/>
      <w:lvlText w:val="%8."/>
      <w:lvlJc w:val="left"/>
      <w:pPr>
        <w:ind w:left="8194" w:hanging="360"/>
      </w:pPr>
    </w:lvl>
    <w:lvl w:ilvl="8" w:tplc="0809001B" w:tentative="1">
      <w:start w:val="1"/>
      <w:numFmt w:val="lowerRoman"/>
      <w:lvlText w:val="%9."/>
      <w:lvlJc w:val="right"/>
      <w:pPr>
        <w:ind w:left="8914" w:hanging="180"/>
      </w:pPr>
    </w:lvl>
  </w:abstractNum>
  <w:abstractNum w:abstractNumId="34" w15:restartNumberingAfterBreak="0">
    <w:nsid w:val="26C8082C"/>
    <w:multiLevelType w:val="hybridMultilevel"/>
    <w:tmpl w:val="616E29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8172A63"/>
    <w:multiLevelType w:val="hybridMultilevel"/>
    <w:tmpl w:val="9C26E656"/>
    <w:lvl w:ilvl="0" w:tplc="04090001">
      <w:start w:val="1"/>
      <w:numFmt w:val="bullet"/>
      <w:lvlText w:val=""/>
      <w:lvlJc w:val="left"/>
      <w:pPr>
        <w:tabs>
          <w:tab w:val="num" w:pos="2355"/>
        </w:tabs>
        <w:ind w:left="2355" w:hanging="360"/>
      </w:pPr>
      <w:rPr>
        <w:rFonts w:ascii="Symbol" w:hAnsi="Symbol" w:hint="default"/>
      </w:rPr>
    </w:lvl>
    <w:lvl w:ilvl="1" w:tplc="040C0003">
      <w:start w:val="1"/>
      <w:numFmt w:val="bullet"/>
      <w:lvlText w:val="o"/>
      <w:lvlJc w:val="left"/>
      <w:pPr>
        <w:ind w:left="3435" w:hanging="360"/>
      </w:pPr>
      <w:rPr>
        <w:rFonts w:ascii="Courier New" w:hAnsi="Courier New" w:cs="Courier New" w:hint="default"/>
      </w:rPr>
    </w:lvl>
    <w:lvl w:ilvl="2" w:tplc="040C0005" w:tentative="1">
      <w:start w:val="1"/>
      <w:numFmt w:val="bullet"/>
      <w:lvlText w:val=""/>
      <w:lvlJc w:val="left"/>
      <w:pPr>
        <w:ind w:left="4155" w:hanging="360"/>
      </w:pPr>
      <w:rPr>
        <w:rFonts w:ascii="Wingdings" w:hAnsi="Wingdings" w:hint="default"/>
      </w:rPr>
    </w:lvl>
    <w:lvl w:ilvl="3" w:tplc="040C0001" w:tentative="1">
      <w:start w:val="1"/>
      <w:numFmt w:val="bullet"/>
      <w:lvlText w:val=""/>
      <w:lvlJc w:val="left"/>
      <w:pPr>
        <w:ind w:left="4875" w:hanging="360"/>
      </w:pPr>
      <w:rPr>
        <w:rFonts w:ascii="Symbol" w:hAnsi="Symbol" w:hint="default"/>
      </w:rPr>
    </w:lvl>
    <w:lvl w:ilvl="4" w:tplc="040C0003" w:tentative="1">
      <w:start w:val="1"/>
      <w:numFmt w:val="bullet"/>
      <w:lvlText w:val="o"/>
      <w:lvlJc w:val="left"/>
      <w:pPr>
        <w:ind w:left="5595" w:hanging="360"/>
      </w:pPr>
      <w:rPr>
        <w:rFonts w:ascii="Courier New" w:hAnsi="Courier New" w:cs="Courier New" w:hint="default"/>
      </w:rPr>
    </w:lvl>
    <w:lvl w:ilvl="5" w:tplc="040C0005" w:tentative="1">
      <w:start w:val="1"/>
      <w:numFmt w:val="bullet"/>
      <w:lvlText w:val=""/>
      <w:lvlJc w:val="left"/>
      <w:pPr>
        <w:ind w:left="6315" w:hanging="360"/>
      </w:pPr>
      <w:rPr>
        <w:rFonts w:ascii="Wingdings" w:hAnsi="Wingdings" w:hint="default"/>
      </w:rPr>
    </w:lvl>
    <w:lvl w:ilvl="6" w:tplc="040C0001" w:tentative="1">
      <w:start w:val="1"/>
      <w:numFmt w:val="bullet"/>
      <w:lvlText w:val=""/>
      <w:lvlJc w:val="left"/>
      <w:pPr>
        <w:ind w:left="7035" w:hanging="360"/>
      </w:pPr>
      <w:rPr>
        <w:rFonts w:ascii="Symbol" w:hAnsi="Symbol" w:hint="default"/>
      </w:rPr>
    </w:lvl>
    <w:lvl w:ilvl="7" w:tplc="040C0003" w:tentative="1">
      <w:start w:val="1"/>
      <w:numFmt w:val="bullet"/>
      <w:lvlText w:val="o"/>
      <w:lvlJc w:val="left"/>
      <w:pPr>
        <w:ind w:left="7755" w:hanging="360"/>
      </w:pPr>
      <w:rPr>
        <w:rFonts w:ascii="Courier New" w:hAnsi="Courier New" w:cs="Courier New" w:hint="default"/>
      </w:rPr>
    </w:lvl>
    <w:lvl w:ilvl="8" w:tplc="040C0005" w:tentative="1">
      <w:start w:val="1"/>
      <w:numFmt w:val="bullet"/>
      <w:lvlText w:val=""/>
      <w:lvlJc w:val="left"/>
      <w:pPr>
        <w:ind w:left="8475" w:hanging="360"/>
      </w:pPr>
      <w:rPr>
        <w:rFonts w:ascii="Wingdings" w:hAnsi="Wingdings" w:hint="default"/>
      </w:rPr>
    </w:lvl>
  </w:abstractNum>
  <w:abstractNum w:abstractNumId="36" w15:restartNumberingAfterBreak="0">
    <w:nsid w:val="28A617C5"/>
    <w:multiLevelType w:val="hybridMultilevel"/>
    <w:tmpl w:val="50AE969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9B00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FAD46A4"/>
    <w:multiLevelType w:val="hybridMultilevel"/>
    <w:tmpl w:val="9E0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16692D"/>
    <w:multiLevelType w:val="hybridMultilevel"/>
    <w:tmpl w:val="43708BC0"/>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3164779A"/>
    <w:multiLevelType w:val="hybridMultilevel"/>
    <w:tmpl w:val="2E468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2EF3EDD"/>
    <w:multiLevelType w:val="hybridMultilevel"/>
    <w:tmpl w:val="DECE2114"/>
    <w:lvl w:ilvl="0" w:tplc="0DDE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3197465"/>
    <w:multiLevelType w:val="hybridMultilevel"/>
    <w:tmpl w:val="3E5E2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4AA1E57"/>
    <w:multiLevelType w:val="hybridMultilevel"/>
    <w:tmpl w:val="401A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2E20D4"/>
    <w:multiLevelType w:val="singleLevel"/>
    <w:tmpl w:val="A9280E96"/>
    <w:lvl w:ilvl="0">
      <w:start w:val="1"/>
      <w:numFmt w:val="lowerLetter"/>
      <w:lvlText w:val="%1)"/>
      <w:lvlJc w:val="left"/>
      <w:pPr>
        <w:tabs>
          <w:tab w:val="num" w:pos="720"/>
        </w:tabs>
        <w:ind w:left="720" w:hanging="720"/>
      </w:pPr>
      <w:rPr>
        <w:rFonts w:asciiTheme="minorHAnsi" w:eastAsiaTheme="minorHAnsi" w:hAnsiTheme="minorHAnsi" w:cstheme="minorHAnsi"/>
      </w:rPr>
    </w:lvl>
  </w:abstractNum>
  <w:abstractNum w:abstractNumId="45" w15:restartNumberingAfterBreak="0">
    <w:nsid w:val="37421E6D"/>
    <w:multiLevelType w:val="hybridMultilevel"/>
    <w:tmpl w:val="0B562F3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B6C6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C082CE6"/>
    <w:multiLevelType w:val="multilevel"/>
    <w:tmpl w:val="83886E8C"/>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8" w15:restartNumberingAfterBreak="0">
    <w:nsid w:val="3C507882"/>
    <w:multiLevelType w:val="hybridMultilevel"/>
    <w:tmpl w:val="DCCE4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1634503"/>
    <w:multiLevelType w:val="multilevel"/>
    <w:tmpl w:val="AB16EDF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44301EF4"/>
    <w:multiLevelType w:val="hybridMultilevel"/>
    <w:tmpl w:val="3BC8B2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15:restartNumberingAfterBreak="0">
    <w:nsid w:val="458D0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9BC76FF"/>
    <w:multiLevelType w:val="hybridMultilevel"/>
    <w:tmpl w:val="C65064B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15:restartNumberingAfterBreak="0">
    <w:nsid w:val="4B6F1749"/>
    <w:multiLevelType w:val="hybridMultilevel"/>
    <w:tmpl w:val="DBFE4A22"/>
    <w:lvl w:ilvl="0" w:tplc="04090017">
      <w:start w:val="1"/>
      <w:numFmt w:val="lowerLetter"/>
      <w:lvlText w:val="%1)"/>
      <w:lvlJc w:val="left"/>
      <w:pPr>
        <w:ind w:left="2715" w:hanging="360"/>
      </w:pPr>
    </w:lvl>
    <w:lvl w:ilvl="1" w:tplc="040C0019" w:tentative="1">
      <w:start w:val="1"/>
      <w:numFmt w:val="lowerLetter"/>
      <w:lvlText w:val="%2."/>
      <w:lvlJc w:val="left"/>
      <w:pPr>
        <w:ind w:left="3435" w:hanging="360"/>
      </w:pPr>
    </w:lvl>
    <w:lvl w:ilvl="2" w:tplc="040C001B" w:tentative="1">
      <w:start w:val="1"/>
      <w:numFmt w:val="lowerRoman"/>
      <w:lvlText w:val="%3."/>
      <w:lvlJc w:val="right"/>
      <w:pPr>
        <w:ind w:left="4155" w:hanging="180"/>
      </w:pPr>
    </w:lvl>
    <w:lvl w:ilvl="3" w:tplc="040C000F" w:tentative="1">
      <w:start w:val="1"/>
      <w:numFmt w:val="decimal"/>
      <w:lvlText w:val="%4."/>
      <w:lvlJc w:val="left"/>
      <w:pPr>
        <w:ind w:left="4875" w:hanging="360"/>
      </w:pPr>
    </w:lvl>
    <w:lvl w:ilvl="4" w:tplc="040C0019" w:tentative="1">
      <w:start w:val="1"/>
      <w:numFmt w:val="lowerLetter"/>
      <w:lvlText w:val="%5."/>
      <w:lvlJc w:val="left"/>
      <w:pPr>
        <w:ind w:left="5595" w:hanging="360"/>
      </w:pPr>
    </w:lvl>
    <w:lvl w:ilvl="5" w:tplc="040C001B" w:tentative="1">
      <w:start w:val="1"/>
      <w:numFmt w:val="lowerRoman"/>
      <w:lvlText w:val="%6."/>
      <w:lvlJc w:val="right"/>
      <w:pPr>
        <w:ind w:left="6315" w:hanging="180"/>
      </w:pPr>
    </w:lvl>
    <w:lvl w:ilvl="6" w:tplc="040C000F" w:tentative="1">
      <w:start w:val="1"/>
      <w:numFmt w:val="decimal"/>
      <w:lvlText w:val="%7."/>
      <w:lvlJc w:val="left"/>
      <w:pPr>
        <w:ind w:left="7035" w:hanging="360"/>
      </w:pPr>
    </w:lvl>
    <w:lvl w:ilvl="7" w:tplc="040C0019" w:tentative="1">
      <w:start w:val="1"/>
      <w:numFmt w:val="lowerLetter"/>
      <w:lvlText w:val="%8."/>
      <w:lvlJc w:val="left"/>
      <w:pPr>
        <w:ind w:left="7755" w:hanging="360"/>
      </w:pPr>
    </w:lvl>
    <w:lvl w:ilvl="8" w:tplc="040C001B" w:tentative="1">
      <w:start w:val="1"/>
      <w:numFmt w:val="lowerRoman"/>
      <w:lvlText w:val="%9."/>
      <w:lvlJc w:val="right"/>
      <w:pPr>
        <w:ind w:left="8475" w:hanging="180"/>
      </w:pPr>
    </w:lvl>
  </w:abstractNum>
  <w:abstractNum w:abstractNumId="54" w15:restartNumberingAfterBreak="0">
    <w:nsid w:val="4C274BE1"/>
    <w:multiLevelType w:val="hybridMultilevel"/>
    <w:tmpl w:val="80F235F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4C90639C"/>
    <w:multiLevelType w:val="hybridMultilevel"/>
    <w:tmpl w:val="5CAC92F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CE10B71"/>
    <w:multiLevelType w:val="hybridMultilevel"/>
    <w:tmpl w:val="4738B1B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D167AD7"/>
    <w:multiLevelType w:val="hybridMultilevel"/>
    <w:tmpl w:val="DFAC50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D573D31"/>
    <w:multiLevelType w:val="multilevel"/>
    <w:tmpl w:val="A662A9AC"/>
    <w:lvl w:ilvl="0">
      <w:start w:val="1"/>
      <w:numFmt w:val="bullet"/>
      <w:lvlText w:val=""/>
      <w:lvlJc w:val="left"/>
      <w:pPr>
        <w:ind w:left="1462" w:hanging="360"/>
      </w:pPr>
      <w:rPr>
        <w:rFonts w:ascii="Symbol" w:hAnsi="Symbol" w:cs="Symbol" w:hint="default"/>
      </w:rPr>
    </w:lvl>
    <w:lvl w:ilvl="1">
      <w:start w:val="1"/>
      <w:numFmt w:val="bullet"/>
      <w:lvlText w:val="o"/>
      <w:lvlJc w:val="left"/>
      <w:pPr>
        <w:ind w:left="2182" w:hanging="360"/>
      </w:pPr>
      <w:rPr>
        <w:rFonts w:ascii="Courier New" w:hAnsi="Courier New" w:cs="Courier New" w:hint="default"/>
      </w:rPr>
    </w:lvl>
    <w:lvl w:ilvl="2">
      <w:start w:val="1"/>
      <w:numFmt w:val="bullet"/>
      <w:lvlText w:val=""/>
      <w:lvlJc w:val="left"/>
      <w:pPr>
        <w:ind w:left="2902" w:hanging="360"/>
      </w:pPr>
      <w:rPr>
        <w:rFonts w:ascii="Wingdings" w:hAnsi="Wingdings" w:cs="Wingdings" w:hint="default"/>
      </w:rPr>
    </w:lvl>
    <w:lvl w:ilvl="3">
      <w:start w:val="1"/>
      <w:numFmt w:val="bullet"/>
      <w:lvlText w:val=""/>
      <w:lvlJc w:val="left"/>
      <w:pPr>
        <w:ind w:left="3622" w:hanging="360"/>
      </w:pPr>
      <w:rPr>
        <w:rFonts w:ascii="Symbol" w:hAnsi="Symbol" w:cs="Symbol" w:hint="default"/>
      </w:rPr>
    </w:lvl>
    <w:lvl w:ilvl="4">
      <w:start w:val="1"/>
      <w:numFmt w:val="bullet"/>
      <w:lvlText w:val="o"/>
      <w:lvlJc w:val="left"/>
      <w:pPr>
        <w:ind w:left="4342" w:hanging="360"/>
      </w:pPr>
      <w:rPr>
        <w:rFonts w:ascii="Courier New" w:hAnsi="Courier New" w:cs="Courier New" w:hint="default"/>
      </w:rPr>
    </w:lvl>
    <w:lvl w:ilvl="5">
      <w:start w:val="1"/>
      <w:numFmt w:val="bullet"/>
      <w:lvlText w:val=""/>
      <w:lvlJc w:val="left"/>
      <w:pPr>
        <w:ind w:left="5062" w:hanging="360"/>
      </w:pPr>
      <w:rPr>
        <w:rFonts w:ascii="Wingdings" w:hAnsi="Wingdings" w:cs="Wingdings" w:hint="default"/>
      </w:rPr>
    </w:lvl>
    <w:lvl w:ilvl="6">
      <w:start w:val="1"/>
      <w:numFmt w:val="bullet"/>
      <w:lvlText w:val=""/>
      <w:lvlJc w:val="left"/>
      <w:pPr>
        <w:ind w:left="5782" w:hanging="360"/>
      </w:pPr>
      <w:rPr>
        <w:rFonts w:ascii="Symbol" w:hAnsi="Symbol" w:cs="Symbol" w:hint="default"/>
      </w:rPr>
    </w:lvl>
    <w:lvl w:ilvl="7">
      <w:start w:val="1"/>
      <w:numFmt w:val="bullet"/>
      <w:lvlText w:val="o"/>
      <w:lvlJc w:val="left"/>
      <w:pPr>
        <w:ind w:left="6502" w:hanging="360"/>
      </w:pPr>
      <w:rPr>
        <w:rFonts w:ascii="Courier New" w:hAnsi="Courier New" w:cs="Courier New" w:hint="default"/>
      </w:rPr>
    </w:lvl>
    <w:lvl w:ilvl="8">
      <w:start w:val="1"/>
      <w:numFmt w:val="bullet"/>
      <w:lvlText w:val=""/>
      <w:lvlJc w:val="left"/>
      <w:pPr>
        <w:ind w:left="7222" w:hanging="360"/>
      </w:pPr>
      <w:rPr>
        <w:rFonts w:ascii="Wingdings" w:hAnsi="Wingdings" w:cs="Wingdings" w:hint="default"/>
      </w:rPr>
    </w:lvl>
  </w:abstractNum>
  <w:abstractNum w:abstractNumId="59" w15:restartNumberingAfterBreak="0">
    <w:nsid w:val="4EA555BC"/>
    <w:multiLevelType w:val="multilevel"/>
    <w:tmpl w:val="C614A28A"/>
    <w:lvl w:ilvl="0">
      <w:start w:val="1"/>
      <w:numFmt w:val="bullet"/>
      <w:lvlText w:val=""/>
      <w:lvlJc w:val="left"/>
      <w:pPr>
        <w:tabs>
          <w:tab w:val="num" w:pos="786"/>
        </w:tabs>
        <w:ind w:left="786" w:hanging="360"/>
      </w:pPr>
      <w:rPr>
        <w:rFonts w:ascii="Symbol" w:hAnsi="Symbol" w:cs="Symbol" w:hint="default"/>
      </w:rPr>
    </w:lvl>
    <w:lvl w:ilvl="1">
      <w:start w:val="1"/>
      <w:numFmt w:val="bullet"/>
      <w:lvlText w:val=""/>
      <w:lvlJc w:val="left"/>
      <w:pPr>
        <w:tabs>
          <w:tab w:val="num" w:pos="1506"/>
        </w:tabs>
        <w:ind w:left="1506" w:hanging="360"/>
      </w:pPr>
      <w:rPr>
        <w:rFonts w:ascii="Symbol" w:hAnsi="Symbol" w:hint="default"/>
      </w:r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60" w15:restartNumberingAfterBreak="0">
    <w:nsid w:val="52E67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40F7BB1"/>
    <w:multiLevelType w:val="hybridMultilevel"/>
    <w:tmpl w:val="303A828C"/>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473053E"/>
    <w:multiLevelType w:val="hybridMultilevel"/>
    <w:tmpl w:val="BE5EB166"/>
    <w:lvl w:ilvl="0" w:tplc="C8922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54EA657C"/>
    <w:multiLevelType w:val="hybridMultilevel"/>
    <w:tmpl w:val="307EBD1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15:restartNumberingAfterBreak="0">
    <w:nsid w:val="551C6A7F"/>
    <w:multiLevelType w:val="hybridMultilevel"/>
    <w:tmpl w:val="C0D06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6553DDB"/>
    <w:multiLevelType w:val="hybridMultilevel"/>
    <w:tmpl w:val="8374972C"/>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66951BD"/>
    <w:multiLevelType w:val="hybridMultilevel"/>
    <w:tmpl w:val="ECB2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8C5A3B"/>
    <w:multiLevelType w:val="hybridMultilevel"/>
    <w:tmpl w:val="BACCC1AC"/>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8" w15:restartNumberingAfterBreak="0">
    <w:nsid w:val="591C5B12"/>
    <w:multiLevelType w:val="hybridMultilevel"/>
    <w:tmpl w:val="2006ED5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EF51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F88362A"/>
    <w:multiLevelType w:val="hybridMultilevel"/>
    <w:tmpl w:val="E882401E"/>
    <w:lvl w:ilvl="0" w:tplc="352A03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60FD1171"/>
    <w:multiLevelType w:val="hybridMultilevel"/>
    <w:tmpl w:val="AA6448D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24968BE"/>
    <w:multiLevelType w:val="hybridMultilevel"/>
    <w:tmpl w:val="FF5AB93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3" w15:restartNumberingAfterBreak="0">
    <w:nsid w:val="64433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6A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988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AB560D1"/>
    <w:multiLevelType w:val="hybridMultilevel"/>
    <w:tmpl w:val="1F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D1F7F31"/>
    <w:multiLevelType w:val="hybridMultilevel"/>
    <w:tmpl w:val="7E005EB2"/>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8" w15:restartNumberingAfterBreak="0">
    <w:nsid w:val="6D466399"/>
    <w:multiLevelType w:val="hybridMultilevel"/>
    <w:tmpl w:val="51DCE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DDB4223"/>
    <w:multiLevelType w:val="hybridMultilevel"/>
    <w:tmpl w:val="06704DD4"/>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0" w15:restartNumberingAfterBreak="0">
    <w:nsid w:val="6E1F6B43"/>
    <w:multiLevelType w:val="hybridMultilevel"/>
    <w:tmpl w:val="8B62AC5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E2012A6"/>
    <w:multiLevelType w:val="hybridMultilevel"/>
    <w:tmpl w:val="1C6A9244"/>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2" w15:restartNumberingAfterBreak="0">
    <w:nsid w:val="6EB726E5"/>
    <w:multiLevelType w:val="hybridMultilevel"/>
    <w:tmpl w:val="56EE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C17F8B"/>
    <w:multiLevelType w:val="hybridMultilevel"/>
    <w:tmpl w:val="B7584C6A"/>
    <w:lvl w:ilvl="0" w:tplc="0409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84" w15:restartNumberingAfterBreak="0">
    <w:nsid w:val="71A22F08"/>
    <w:multiLevelType w:val="multilevel"/>
    <w:tmpl w:val="F148F7BA"/>
    <w:lvl w:ilvl="0">
      <w:start w:val="1"/>
      <w:numFmt w:val="lowerLetter"/>
      <w:lvlText w:val="%1)"/>
      <w:lvlJc w:val="left"/>
      <w:pPr>
        <w:tabs>
          <w:tab w:val="num" w:pos="720"/>
        </w:tabs>
        <w:ind w:left="720" w:hanging="720"/>
      </w:pPr>
      <w:rPr>
        <w:rFonts w:ascii="Calibri" w:eastAsia="Times New Roman"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2EF03EE"/>
    <w:multiLevelType w:val="hybridMultilevel"/>
    <w:tmpl w:val="EEC46E94"/>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47A3A8E"/>
    <w:multiLevelType w:val="hybridMultilevel"/>
    <w:tmpl w:val="2FFE9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4C75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4EF51B9"/>
    <w:multiLevelType w:val="multilevel"/>
    <w:tmpl w:val="ED2AFA8E"/>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58B2B49"/>
    <w:multiLevelType w:val="hybridMultilevel"/>
    <w:tmpl w:val="2E26B5F4"/>
    <w:lvl w:ilvl="0" w:tplc="E856D0AC">
      <w:start w:val="1"/>
      <w:numFmt w:val="lowerLetter"/>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647702"/>
    <w:multiLevelType w:val="multilevel"/>
    <w:tmpl w:val="C614A28A"/>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520"/>
        </w:tabs>
        <w:ind w:left="252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91" w15:restartNumberingAfterBreak="0">
    <w:nsid w:val="780A6973"/>
    <w:multiLevelType w:val="hybridMultilevel"/>
    <w:tmpl w:val="46DCF7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2" w15:restartNumberingAfterBreak="0">
    <w:nsid w:val="7A3A432C"/>
    <w:multiLevelType w:val="hybridMultilevel"/>
    <w:tmpl w:val="2E96A1B2"/>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7A3F07AE"/>
    <w:multiLevelType w:val="hybridMultilevel"/>
    <w:tmpl w:val="01D24780"/>
    <w:lvl w:ilvl="0" w:tplc="08090001">
      <w:start w:val="1"/>
      <w:numFmt w:val="bullet"/>
      <w:lvlText w:val=""/>
      <w:lvlJc w:val="left"/>
      <w:pPr>
        <w:ind w:left="720" w:hanging="360"/>
      </w:pPr>
      <w:rPr>
        <w:rFonts w:ascii="Symbol" w:hAnsi="Symbol" w:hint="default"/>
      </w:rPr>
    </w:lvl>
    <w:lvl w:ilvl="1" w:tplc="89BA297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7D5A1C"/>
    <w:multiLevelType w:val="hybridMultilevel"/>
    <w:tmpl w:val="68D8AE96"/>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5" w15:restartNumberingAfterBreak="0">
    <w:nsid w:val="7A851AD2"/>
    <w:multiLevelType w:val="hybridMultilevel"/>
    <w:tmpl w:val="5E4CE90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B4C6A5D"/>
    <w:multiLevelType w:val="hybridMultilevel"/>
    <w:tmpl w:val="B038EF82"/>
    <w:lvl w:ilvl="0" w:tplc="1696E5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7BA546BF"/>
    <w:multiLevelType w:val="hybridMultilevel"/>
    <w:tmpl w:val="3E5A91D0"/>
    <w:lvl w:ilvl="0" w:tplc="04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8" w15:restartNumberingAfterBreak="0">
    <w:nsid w:val="7C675B56"/>
    <w:multiLevelType w:val="hybridMultilevel"/>
    <w:tmpl w:val="96D2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DF320FE"/>
    <w:multiLevelType w:val="multilevel"/>
    <w:tmpl w:val="C614A28A"/>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520"/>
        </w:tabs>
        <w:ind w:left="252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0" w15:restartNumberingAfterBreak="0">
    <w:nsid w:val="7E665B49"/>
    <w:multiLevelType w:val="hybridMultilevel"/>
    <w:tmpl w:val="954C279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ECE6766"/>
    <w:multiLevelType w:val="hybridMultilevel"/>
    <w:tmpl w:val="E72066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59"/>
  </w:num>
  <w:num w:numId="4">
    <w:abstractNumId w:val="58"/>
  </w:num>
  <w:num w:numId="5">
    <w:abstractNumId w:val="90"/>
  </w:num>
  <w:num w:numId="6">
    <w:abstractNumId w:val="99"/>
  </w:num>
  <w:num w:numId="7">
    <w:abstractNumId w:val="3"/>
  </w:num>
  <w:num w:numId="8">
    <w:abstractNumId w:val="84"/>
  </w:num>
  <w:num w:numId="9">
    <w:abstractNumId w:val="31"/>
  </w:num>
  <w:num w:numId="10">
    <w:abstractNumId w:val="78"/>
  </w:num>
  <w:num w:numId="11">
    <w:abstractNumId w:val="23"/>
  </w:num>
  <w:num w:numId="12">
    <w:abstractNumId w:val="49"/>
  </w:num>
  <w:num w:numId="13">
    <w:abstractNumId w:val="12"/>
  </w:num>
  <w:num w:numId="14">
    <w:abstractNumId w:val="47"/>
  </w:num>
  <w:num w:numId="15">
    <w:abstractNumId w:val="64"/>
  </w:num>
  <w:num w:numId="16">
    <w:abstractNumId w:val="11"/>
  </w:num>
  <w:num w:numId="17">
    <w:abstractNumId w:val="87"/>
  </w:num>
  <w:num w:numId="18">
    <w:abstractNumId w:val="19"/>
  </w:num>
  <w:num w:numId="19">
    <w:abstractNumId w:val="26"/>
  </w:num>
  <w:num w:numId="20">
    <w:abstractNumId w:val="69"/>
  </w:num>
  <w:num w:numId="21">
    <w:abstractNumId w:val="4"/>
  </w:num>
  <w:num w:numId="22">
    <w:abstractNumId w:val="74"/>
  </w:num>
  <w:num w:numId="23">
    <w:abstractNumId w:val="1"/>
  </w:num>
  <w:num w:numId="24">
    <w:abstractNumId w:val="51"/>
  </w:num>
  <w:num w:numId="25">
    <w:abstractNumId w:val="73"/>
  </w:num>
  <w:num w:numId="26">
    <w:abstractNumId w:val="46"/>
  </w:num>
  <w:num w:numId="27">
    <w:abstractNumId w:val="42"/>
  </w:num>
  <w:num w:numId="28">
    <w:abstractNumId w:val="60"/>
  </w:num>
  <w:num w:numId="29">
    <w:abstractNumId w:val="44"/>
  </w:num>
  <w:num w:numId="30">
    <w:abstractNumId w:val="86"/>
  </w:num>
  <w:num w:numId="31">
    <w:abstractNumId w:val="6"/>
  </w:num>
  <w:num w:numId="32">
    <w:abstractNumId w:val="2"/>
  </w:num>
  <w:num w:numId="33">
    <w:abstractNumId w:val="70"/>
  </w:num>
  <w:num w:numId="34">
    <w:abstractNumId w:val="33"/>
  </w:num>
  <w:num w:numId="35">
    <w:abstractNumId w:val="96"/>
  </w:num>
  <w:num w:numId="36">
    <w:abstractNumId w:val="62"/>
  </w:num>
  <w:num w:numId="37">
    <w:abstractNumId w:val="85"/>
  </w:num>
  <w:num w:numId="38">
    <w:abstractNumId w:val="65"/>
  </w:num>
  <w:num w:numId="39">
    <w:abstractNumId w:val="52"/>
  </w:num>
  <w:num w:numId="40">
    <w:abstractNumId w:val="9"/>
  </w:num>
  <w:num w:numId="41">
    <w:abstractNumId w:val="63"/>
  </w:num>
  <w:num w:numId="42">
    <w:abstractNumId w:val="18"/>
  </w:num>
  <w:num w:numId="43">
    <w:abstractNumId w:val="72"/>
  </w:num>
  <w:num w:numId="44">
    <w:abstractNumId w:val="83"/>
  </w:num>
  <w:num w:numId="45">
    <w:abstractNumId w:val="35"/>
  </w:num>
  <w:num w:numId="46">
    <w:abstractNumId w:val="54"/>
  </w:num>
  <w:num w:numId="47">
    <w:abstractNumId w:val="79"/>
  </w:num>
  <w:num w:numId="48">
    <w:abstractNumId w:val="22"/>
  </w:num>
  <w:num w:numId="49">
    <w:abstractNumId w:val="81"/>
  </w:num>
  <w:num w:numId="50">
    <w:abstractNumId w:val="53"/>
  </w:num>
  <w:num w:numId="51">
    <w:abstractNumId w:val="24"/>
  </w:num>
  <w:num w:numId="52">
    <w:abstractNumId w:val="67"/>
  </w:num>
  <w:num w:numId="53">
    <w:abstractNumId w:val="15"/>
  </w:num>
  <w:num w:numId="54">
    <w:abstractNumId w:val="77"/>
  </w:num>
  <w:num w:numId="55">
    <w:abstractNumId w:val="50"/>
  </w:num>
  <w:num w:numId="56">
    <w:abstractNumId w:val="39"/>
  </w:num>
  <w:num w:numId="57">
    <w:abstractNumId w:val="91"/>
  </w:num>
  <w:num w:numId="58">
    <w:abstractNumId w:val="37"/>
  </w:num>
  <w:num w:numId="59">
    <w:abstractNumId w:val="61"/>
  </w:num>
  <w:num w:numId="60">
    <w:abstractNumId w:val="101"/>
  </w:num>
  <w:num w:numId="61">
    <w:abstractNumId w:val="82"/>
  </w:num>
  <w:num w:numId="62">
    <w:abstractNumId w:val="16"/>
  </w:num>
  <w:num w:numId="63">
    <w:abstractNumId w:val="98"/>
  </w:num>
  <w:num w:numId="64">
    <w:abstractNumId w:val="40"/>
  </w:num>
  <w:num w:numId="65">
    <w:abstractNumId w:val="30"/>
  </w:num>
  <w:num w:numId="66">
    <w:abstractNumId w:val="75"/>
  </w:num>
  <w:num w:numId="67">
    <w:abstractNumId w:val="17"/>
  </w:num>
  <w:num w:numId="68">
    <w:abstractNumId w:val="34"/>
  </w:num>
  <w:num w:numId="69">
    <w:abstractNumId w:val="29"/>
  </w:num>
  <w:num w:numId="70">
    <w:abstractNumId w:val="57"/>
  </w:num>
  <w:num w:numId="71">
    <w:abstractNumId w:val="55"/>
  </w:num>
  <w:num w:numId="72">
    <w:abstractNumId w:val="56"/>
  </w:num>
  <w:num w:numId="73">
    <w:abstractNumId w:val="36"/>
  </w:num>
  <w:num w:numId="74">
    <w:abstractNumId w:val="71"/>
  </w:num>
  <w:num w:numId="75">
    <w:abstractNumId w:val="25"/>
  </w:num>
  <w:num w:numId="76">
    <w:abstractNumId w:val="45"/>
  </w:num>
  <w:num w:numId="77">
    <w:abstractNumId w:val="95"/>
  </w:num>
  <w:num w:numId="78">
    <w:abstractNumId w:val="100"/>
  </w:num>
  <w:num w:numId="79">
    <w:abstractNumId w:val="14"/>
  </w:num>
  <w:num w:numId="80">
    <w:abstractNumId w:val="89"/>
  </w:num>
  <w:num w:numId="81">
    <w:abstractNumId w:val="32"/>
  </w:num>
  <w:num w:numId="82">
    <w:abstractNumId w:val="8"/>
  </w:num>
  <w:num w:numId="83">
    <w:abstractNumId w:val="80"/>
  </w:num>
  <w:num w:numId="84">
    <w:abstractNumId w:val="94"/>
  </w:num>
  <w:num w:numId="85">
    <w:abstractNumId w:val="92"/>
  </w:num>
  <w:num w:numId="86">
    <w:abstractNumId w:val="27"/>
  </w:num>
  <w:num w:numId="87">
    <w:abstractNumId w:val="28"/>
  </w:num>
  <w:num w:numId="88">
    <w:abstractNumId w:val="0"/>
  </w:num>
  <w:num w:numId="89">
    <w:abstractNumId w:val="68"/>
  </w:num>
  <w:num w:numId="90">
    <w:abstractNumId w:val="97"/>
  </w:num>
  <w:num w:numId="91">
    <w:abstractNumId w:val="38"/>
  </w:num>
  <w:num w:numId="92">
    <w:abstractNumId w:val="5"/>
  </w:num>
  <w:num w:numId="93">
    <w:abstractNumId w:val="7"/>
  </w:num>
  <w:num w:numId="94">
    <w:abstractNumId w:val="41"/>
  </w:num>
  <w:num w:numId="95">
    <w:abstractNumId w:val="20"/>
  </w:num>
  <w:num w:numId="96">
    <w:abstractNumId w:val="93"/>
  </w:num>
  <w:num w:numId="97">
    <w:abstractNumId w:val="43"/>
  </w:num>
  <w:num w:numId="98">
    <w:abstractNumId w:val="66"/>
  </w:num>
  <w:num w:numId="99">
    <w:abstractNumId w:val="76"/>
  </w:num>
  <w:num w:numId="100">
    <w:abstractNumId w:val="48"/>
  </w:num>
  <w:num w:numId="101">
    <w:abstractNumId w:val="13"/>
  </w:num>
  <w:num w:numId="102">
    <w:abstractNumId w:val="8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29"/>
    <w:rsid w:val="000032A8"/>
    <w:rsid w:val="00005275"/>
    <w:rsid w:val="00006949"/>
    <w:rsid w:val="00007A5E"/>
    <w:rsid w:val="000116DD"/>
    <w:rsid w:val="0001176D"/>
    <w:rsid w:val="00011CC1"/>
    <w:rsid w:val="000157DD"/>
    <w:rsid w:val="00016F4E"/>
    <w:rsid w:val="00021706"/>
    <w:rsid w:val="0002442A"/>
    <w:rsid w:val="00024C62"/>
    <w:rsid w:val="00025031"/>
    <w:rsid w:val="000326CC"/>
    <w:rsid w:val="000337E5"/>
    <w:rsid w:val="0003380A"/>
    <w:rsid w:val="00033A60"/>
    <w:rsid w:val="00034911"/>
    <w:rsid w:val="00040F4B"/>
    <w:rsid w:val="00043017"/>
    <w:rsid w:val="00046FEE"/>
    <w:rsid w:val="000539A1"/>
    <w:rsid w:val="000545A7"/>
    <w:rsid w:val="000569E3"/>
    <w:rsid w:val="00060116"/>
    <w:rsid w:val="00061B8C"/>
    <w:rsid w:val="00061E48"/>
    <w:rsid w:val="000630E8"/>
    <w:rsid w:val="00064BD6"/>
    <w:rsid w:val="00071FDC"/>
    <w:rsid w:val="00073835"/>
    <w:rsid w:val="00075E7C"/>
    <w:rsid w:val="00076EE8"/>
    <w:rsid w:val="000811F5"/>
    <w:rsid w:val="00082BFB"/>
    <w:rsid w:val="000831DA"/>
    <w:rsid w:val="00083792"/>
    <w:rsid w:val="000842FD"/>
    <w:rsid w:val="000843A2"/>
    <w:rsid w:val="00084B7A"/>
    <w:rsid w:val="00086650"/>
    <w:rsid w:val="0009026B"/>
    <w:rsid w:val="00092421"/>
    <w:rsid w:val="000965C0"/>
    <w:rsid w:val="000A13C0"/>
    <w:rsid w:val="000A15AC"/>
    <w:rsid w:val="000A3FF2"/>
    <w:rsid w:val="000A4057"/>
    <w:rsid w:val="000A4D1E"/>
    <w:rsid w:val="000A76FF"/>
    <w:rsid w:val="000B134A"/>
    <w:rsid w:val="000B1BC8"/>
    <w:rsid w:val="000B5C18"/>
    <w:rsid w:val="000B6B3E"/>
    <w:rsid w:val="000C3368"/>
    <w:rsid w:val="000C7F4C"/>
    <w:rsid w:val="000D0A8C"/>
    <w:rsid w:val="000D0E2E"/>
    <w:rsid w:val="000D4531"/>
    <w:rsid w:val="000D6D18"/>
    <w:rsid w:val="000E580C"/>
    <w:rsid w:val="000E59BF"/>
    <w:rsid w:val="000E5AB4"/>
    <w:rsid w:val="000E7911"/>
    <w:rsid w:val="000F174A"/>
    <w:rsid w:val="000F4BFB"/>
    <w:rsid w:val="000F70FC"/>
    <w:rsid w:val="00103B40"/>
    <w:rsid w:val="00106A59"/>
    <w:rsid w:val="00106F57"/>
    <w:rsid w:val="00111093"/>
    <w:rsid w:val="001142AA"/>
    <w:rsid w:val="00130BED"/>
    <w:rsid w:val="00130E93"/>
    <w:rsid w:val="0013505E"/>
    <w:rsid w:val="00136BFE"/>
    <w:rsid w:val="00140C62"/>
    <w:rsid w:val="00146C49"/>
    <w:rsid w:val="0015189A"/>
    <w:rsid w:val="00162167"/>
    <w:rsid w:val="001631CA"/>
    <w:rsid w:val="00166798"/>
    <w:rsid w:val="00166D1A"/>
    <w:rsid w:val="0017079B"/>
    <w:rsid w:val="00171343"/>
    <w:rsid w:val="00171EF2"/>
    <w:rsid w:val="001721F9"/>
    <w:rsid w:val="001766D9"/>
    <w:rsid w:val="0017692C"/>
    <w:rsid w:val="0017760A"/>
    <w:rsid w:val="00177ABB"/>
    <w:rsid w:val="0018054D"/>
    <w:rsid w:val="001814DF"/>
    <w:rsid w:val="0018216F"/>
    <w:rsid w:val="001847D8"/>
    <w:rsid w:val="001872E7"/>
    <w:rsid w:val="00191737"/>
    <w:rsid w:val="00192F52"/>
    <w:rsid w:val="00193720"/>
    <w:rsid w:val="0019394D"/>
    <w:rsid w:val="001A0359"/>
    <w:rsid w:val="001A2960"/>
    <w:rsid w:val="001A29C6"/>
    <w:rsid w:val="001A4FD3"/>
    <w:rsid w:val="001A51FB"/>
    <w:rsid w:val="001B05E9"/>
    <w:rsid w:val="001B0F6D"/>
    <w:rsid w:val="001B1AC1"/>
    <w:rsid w:val="001B23E4"/>
    <w:rsid w:val="001B3369"/>
    <w:rsid w:val="001B755B"/>
    <w:rsid w:val="001C07F3"/>
    <w:rsid w:val="001C5CB4"/>
    <w:rsid w:val="001C602D"/>
    <w:rsid w:val="001C7019"/>
    <w:rsid w:val="001D3A50"/>
    <w:rsid w:val="001D4218"/>
    <w:rsid w:val="001D520F"/>
    <w:rsid w:val="001D7CE0"/>
    <w:rsid w:val="001E7C00"/>
    <w:rsid w:val="001F11BA"/>
    <w:rsid w:val="001F2DF6"/>
    <w:rsid w:val="001F2FEE"/>
    <w:rsid w:val="001F38EB"/>
    <w:rsid w:val="001F51A8"/>
    <w:rsid w:val="002034C3"/>
    <w:rsid w:val="00205F0D"/>
    <w:rsid w:val="00213C1A"/>
    <w:rsid w:val="002149EA"/>
    <w:rsid w:val="002165FF"/>
    <w:rsid w:val="002168C6"/>
    <w:rsid w:val="00217AA1"/>
    <w:rsid w:val="00221002"/>
    <w:rsid w:val="002218BB"/>
    <w:rsid w:val="0022302A"/>
    <w:rsid w:val="002341B6"/>
    <w:rsid w:val="00237E89"/>
    <w:rsid w:val="00243547"/>
    <w:rsid w:val="00245A7E"/>
    <w:rsid w:val="002473E9"/>
    <w:rsid w:val="002477F0"/>
    <w:rsid w:val="00256D18"/>
    <w:rsid w:val="0026205A"/>
    <w:rsid w:val="0026780F"/>
    <w:rsid w:val="00276167"/>
    <w:rsid w:val="00277191"/>
    <w:rsid w:val="00277408"/>
    <w:rsid w:val="00282072"/>
    <w:rsid w:val="0028299E"/>
    <w:rsid w:val="0028499C"/>
    <w:rsid w:val="00291489"/>
    <w:rsid w:val="00292FCD"/>
    <w:rsid w:val="002958AE"/>
    <w:rsid w:val="002A0D84"/>
    <w:rsid w:val="002A169E"/>
    <w:rsid w:val="002A16E2"/>
    <w:rsid w:val="002A1B2B"/>
    <w:rsid w:val="002A2B25"/>
    <w:rsid w:val="002A2C99"/>
    <w:rsid w:val="002A3BAC"/>
    <w:rsid w:val="002A79F3"/>
    <w:rsid w:val="002B0BE5"/>
    <w:rsid w:val="002B3F50"/>
    <w:rsid w:val="002B41BC"/>
    <w:rsid w:val="002C1F09"/>
    <w:rsid w:val="002C38E2"/>
    <w:rsid w:val="002C56F7"/>
    <w:rsid w:val="002C591B"/>
    <w:rsid w:val="002C5C58"/>
    <w:rsid w:val="002D021E"/>
    <w:rsid w:val="002D0FA0"/>
    <w:rsid w:val="002D16AF"/>
    <w:rsid w:val="002D3793"/>
    <w:rsid w:val="002D402E"/>
    <w:rsid w:val="002D41F2"/>
    <w:rsid w:val="002D4538"/>
    <w:rsid w:val="002D603B"/>
    <w:rsid w:val="002D7366"/>
    <w:rsid w:val="002E3A29"/>
    <w:rsid w:val="002E4F65"/>
    <w:rsid w:val="002E652F"/>
    <w:rsid w:val="002F18F5"/>
    <w:rsid w:val="002F1DB7"/>
    <w:rsid w:val="002F289A"/>
    <w:rsid w:val="003006E0"/>
    <w:rsid w:val="00300B92"/>
    <w:rsid w:val="00301C1F"/>
    <w:rsid w:val="00301D5B"/>
    <w:rsid w:val="003021A1"/>
    <w:rsid w:val="00302626"/>
    <w:rsid w:val="00305917"/>
    <w:rsid w:val="003068EE"/>
    <w:rsid w:val="00316C94"/>
    <w:rsid w:val="00316EC0"/>
    <w:rsid w:val="00323952"/>
    <w:rsid w:val="00324D22"/>
    <w:rsid w:val="00324EA2"/>
    <w:rsid w:val="00325FB3"/>
    <w:rsid w:val="0033009F"/>
    <w:rsid w:val="00334218"/>
    <w:rsid w:val="00334532"/>
    <w:rsid w:val="003352D0"/>
    <w:rsid w:val="00343064"/>
    <w:rsid w:val="00344556"/>
    <w:rsid w:val="00351850"/>
    <w:rsid w:val="00351947"/>
    <w:rsid w:val="003567A8"/>
    <w:rsid w:val="00360C5B"/>
    <w:rsid w:val="00360DED"/>
    <w:rsid w:val="00361252"/>
    <w:rsid w:val="0036216A"/>
    <w:rsid w:val="003651D4"/>
    <w:rsid w:val="00366194"/>
    <w:rsid w:val="003672A3"/>
    <w:rsid w:val="00374528"/>
    <w:rsid w:val="0038043A"/>
    <w:rsid w:val="00380EE7"/>
    <w:rsid w:val="00381716"/>
    <w:rsid w:val="00386314"/>
    <w:rsid w:val="0038662A"/>
    <w:rsid w:val="00387A04"/>
    <w:rsid w:val="003949C3"/>
    <w:rsid w:val="0039555A"/>
    <w:rsid w:val="00396A50"/>
    <w:rsid w:val="00396C14"/>
    <w:rsid w:val="003A25E1"/>
    <w:rsid w:val="003A64D2"/>
    <w:rsid w:val="003B0370"/>
    <w:rsid w:val="003B1097"/>
    <w:rsid w:val="003B142B"/>
    <w:rsid w:val="003B151E"/>
    <w:rsid w:val="003B24CB"/>
    <w:rsid w:val="003B306D"/>
    <w:rsid w:val="003B3A61"/>
    <w:rsid w:val="003B455A"/>
    <w:rsid w:val="003B4BBB"/>
    <w:rsid w:val="003C0BCE"/>
    <w:rsid w:val="003C1381"/>
    <w:rsid w:val="003C3DBA"/>
    <w:rsid w:val="003C76E3"/>
    <w:rsid w:val="003D036B"/>
    <w:rsid w:val="003D12C8"/>
    <w:rsid w:val="003D3D80"/>
    <w:rsid w:val="003D4933"/>
    <w:rsid w:val="003D5D81"/>
    <w:rsid w:val="003E07CE"/>
    <w:rsid w:val="003E0ABF"/>
    <w:rsid w:val="003E3BA1"/>
    <w:rsid w:val="003E47E8"/>
    <w:rsid w:val="003E5664"/>
    <w:rsid w:val="003E7DC6"/>
    <w:rsid w:val="003F08AB"/>
    <w:rsid w:val="003F0F22"/>
    <w:rsid w:val="003F2A36"/>
    <w:rsid w:val="003F4813"/>
    <w:rsid w:val="003F4B7F"/>
    <w:rsid w:val="003F56CC"/>
    <w:rsid w:val="003F63A0"/>
    <w:rsid w:val="0040065C"/>
    <w:rsid w:val="004016F4"/>
    <w:rsid w:val="004020AA"/>
    <w:rsid w:val="00402CBC"/>
    <w:rsid w:val="004104CE"/>
    <w:rsid w:val="004116B0"/>
    <w:rsid w:val="004132F9"/>
    <w:rsid w:val="00416757"/>
    <w:rsid w:val="0042071C"/>
    <w:rsid w:val="004218D1"/>
    <w:rsid w:val="00421E24"/>
    <w:rsid w:val="004240DC"/>
    <w:rsid w:val="00424AAD"/>
    <w:rsid w:val="00426BC0"/>
    <w:rsid w:val="00427CC7"/>
    <w:rsid w:val="00430994"/>
    <w:rsid w:val="0043124A"/>
    <w:rsid w:val="00431F5E"/>
    <w:rsid w:val="00434389"/>
    <w:rsid w:val="00440881"/>
    <w:rsid w:val="00443667"/>
    <w:rsid w:val="00446251"/>
    <w:rsid w:val="0045001E"/>
    <w:rsid w:val="00450253"/>
    <w:rsid w:val="004504EF"/>
    <w:rsid w:val="0045112B"/>
    <w:rsid w:val="0045300E"/>
    <w:rsid w:val="00455A75"/>
    <w:rsid w:val="00461879"/>
    <w:rsid w:val="0046352F"/>
    <w:rsid w:val="0046696C"/>
    <w:rsid w:val="004737C5"/>
    <w:rsid w:val="004749F9"/>
    <w:rsid w:val="00475112"/>
    <w:rsid w:val="00475DDD"/>
    <w:rsid w:val="004811EE"/>
    <w:rsid w:val="00482575"/>
    <w:rsid w:val="00483367"/>
    <w:rsid w:val="00484284"/>
    <w:rsid w:val="00485405"/>
    <w:rsid w:val="00485F72"/>
    <w:rsid w:val="004866E5"/>
    <w:rsid w:val="00490B4F"/>
    <w:rsid w:val="00491028"/>
    <w:rsid w:val="00491279"/>
    <w:rsid w:val="00492109"/>
    <w:rsid w:val="00495556"/>
    <w:rsid w:val="00496C12"/>
    <w:rsid w:val="004A581F"/>
    <w:rsid w:val="004A631E"/>
    <w:rsid w:val="004A78BD"/>
    <w:rsid w:val="004A7A02"/>
    <w:rsid w:val="004B0DAC"/>
    <w:rsid w:val="004B1DCC"/>
    <w:rsid w:val="004B22BB"/>
    <w:rsid w:val="004B388A"/>
    <w:rsid w:val="004B3DFE"/>
    <w:rsid w:val="004B51E3"/>
    <w:rsid w:val="004B71DA"/>
    <w:rsid w:val="004C1206"/>
    <w:rsid w:val="004C19CA"/>
    <w:rsid w:val="004C29AD"/>
    <w:rsid w:val="004C39F1"/>
    <w:rsid w:val="004C6A3D"/>
    <w:rsid w:val="004C7673"/>
    <w:rsid w:val="004D4961"/>
    <w:rsid w:val="004D4F29"/>
    <w:rsid w:val="004D505A"/>
    <w:rsid w:val="004D53FF"/>
    <w:rsid w:val="004E3671"/>
    <w:rsid w:val="004E6B68"/>
    <w:rsid w:val="004F0DA1"/>
    <w:rsid w:val="004F1235"/>
    <w:rsid w:val="004F128A"/>
    <w:rsid w:val="004F224D"/>
    <w:rsid w:val="004F5671"/>
    <w:rsid w:val="004F6068"/>
    <w:rsid w:val="004F6F7F"/>
    <w:rsid w:val="004F744B"/>
    <w:rsid w:val="0050344A"/>
    <w:rsid w:val="00504E56"/>
    <w:rsid w:val="005053D7"/>
    <w:rsid w:val="0050628C"/>
    <w:rsid w:val="00507023"/>
    <w:rsid w:val="00512047"/>
    <w:rsid w:val="005144B4"/>
    <w:rsid w:val="005204FA"/>
    <w:rsid w:val="00522C2A"/>
    <w:rsid w:val="0052609A"/>
    <w:rsid w:val="00533960"/>
    <w:rsid w:val="00541A41"/>
    <w:rsid w:val="00541B1D"/>
    <w:rsid w:val="00541DB3"/>
    <w:rsid w:val="00546EB3"/>
    <w:rsid w:val="0054783C"/>
    <w:rsid w:val="00551880"/>
    <w:rsid w:val="00551DD1"/>
    <w:rsid w:val="00553149"/>
    <w:rsid w:val="00553F92"/>
    <w:rsid w:val="00555140"/>
    <w:rsid w:val="00555C1D"/>
    <w:rsid w:val="00560EB1"/>
    <w:rsid w:val="005646D1"/>
    <w:rsid w:val="005646D5"/>
    <w:rsid w:val="00564D37"/>
    <w:rsid w:val="00564D5C"/>
    <w:rsid w:val="00570703"/>
    <w:rsid w:val="0057071B"/>
    <w:rsid w:val="00571C67"/>
    <w:rsid w:val="00571FE8"/>
    <w:rsid w:val="00573A97"/>
    <w:rsid w:val="00574175"/>
    <w:rsid w:val="005742B8"/>
    <w:rsid w:val="00574639"/>
    <w:rsid w:val="00574C6C"/>
    <w:rsid w:val="00576657"/>
    <w:rsid w:val="00576EAD"/>
    <w:rsid w:val="0058225F"/>
    <w:rsid w:val="00583FC6"/>
    <w:rsid w:val="00585EF5"/>
    <w:rsid w:val="00587033"/>
    <w:rsid w:val="00590F34"/>
    <w:rsid w:val="0059491D"/>
    <w:rsid w:val="005956C3"/>
    <w:rsid w:val="005A0A11"/>
    <w:rsid w:val="005A1978"/>
    <w:rsid w:val="005A2086"/>
    <w:rsid w:val="005A2332"/>
    <w:rsid w:val="005A6C15"/>
    <w:rsid w:val="005A71E5"/>
    <w:rsid w:val="005B1F15"/>
    <w:rsid w:val="005B2021"/>
    <w:rsid w:val="005B3150"/>
    <w:rsid w:val="005B3F23"/>
    <w:rsid w:val="005B4E96"/>
    <w:rsid w:val="005B50DF"/>
    <w:rsid w:val="005B6DC6"/>
    <w:rsid w:val="005C3056"/>
    <w:rsid w:val="005C44AC"/>
    <w:rsid w:val="005C50CF"/>
    <w:rsid w:val="005C6EC2"/>
    <w:rsid w:val="005D1DC5"/>
    <w:rsid w:val="005D4240"/>
    <w:rsid w:val="005D6ECF"/>
    <w:rsid w:val="005E0C7E"/>
    <w:rsid w:val="005E3F54"/>
    <w:rsid w:val="005E5308"/>
    <w:rsid w:val="005E60E3"/>
    <w:rsid w:val="005F0003"/>
    <w:rsid w:val="005F126D"/>
    <w:rsid w:val="005F1C44"/>
    <w:rsid w:val="005F786A"/>
    <w:rsid w:val="006016E1"/>
    <w:rsid w:val="0060220B"/>
    <w:rsid w:val="00603928"/>
    <w:rsid w:val="00603A6F"/>
    <w:rsid w:val="006040B8"/>
    <w:rsid w:val="0060510B"/>
    <w:rsid w:val="00605A75"/>
    <w:rsid w:val="00607228"/>
    <w:rsid w:val="00615BCD"/>
    <w:rsid w:val="00615E27"/>
    <w:rsid w:val="00616B64"/>
    <w:rsid w:val="00624F7A"/>
    <w:rsid w:val="006303B8"/>
    <w:rsid w:val="00630632"/>
    <w:rsid w:val="006332EC"/>
    <w:rsid w:val="0063347D"/>
    <w:rsid w:val="00633B73"/>
    <w:rsid w:val="00634BC1"/>
    <w:rsid w:val="00634BC3"/>
    <w:rsid w:val="0063599C"/>
    <w:rsid w:val="0063728C"/>
    <w:rsid w:val="0064578D"/>
    <w:rsid w:val="006458B6"/>
    <w:rsid w:val="00647814"/>
    <w:rsid w:val="006508EA"/>
    <w:rsid w:val="00650928"/>
    <w:rsid w:val="00650963"/>
    <w:rsid w:val="006515E1"/>
    <w:rsid w:val="0065326A"/>
    <w:rsid w:val="006543BE"/>
    <w:rsid w:val="00656B79"/>
    <w:rsid w:val="00663516"/>
    <w:rsid w:val="00667581"/>
    <w:rsid w:val="00670D81"/>
    <w:rsid w:val="00671A56"/>
    <w:rsid w:val="00674419"/>
    <w:rsid w:val="00680F04"/>
    <w:rsid w:val="00681017"/>
    <w:rsid w:val="006825D1"/>
    <w:rsid w:val="0069056E"/>
    <w:rsid w:val="00690B31"/>
    <w:rsid w:val="00691428"/>
    <w:rsid w:val="00691D42"/>
    <w:rsid w:val="00694EF0"/>
    <w:rsid w:val="006A1835"/>
    <w:rsid w:val="006A1EC7"/>
    <w:rsid w:val="006A257E"/>
    <w:rsid w:val="006A32BA"/>
    <w:rsid w:val="006A5496"/>
    <w:rsid w:val="006B04C9"/>
    <w:rsid w:val="006B26FA"/>
    <w:rsid w:val="006C072D"/>
    <w:rsid w:val="006C14E7"/>
    <w:rsid w:val="006C2701"/>
    <w:rsid w:val="006C3C38"/>
    <w:rsid w:val="006C4D56"/>
    <w:rsid w:val="006D081A"/>
    <w:rsid w:val="006D3BE8"/>
    <w:rsid w:val="006D4CE1"/>
    <w:rsid w:val="006D4F37"/>
    <w:rsid w:val="006D523F"/>
    <w:rsid w:val="006E059D"/>
    <w:rsid w:val="006E097C"/>
    <w:rsid w:val="006E1731"/>
    <w:rsid w:val="006E1F46"/>
    <w:rsid w:val="006F03F2"/>
    <w:rsid w:val="006F0B01"/>
    <w:rsid w:val="006F5019"/>
    <w:rsid w:val="006F506A"/>
    <w:rsid w:val="007007BF"/>
    <w:rsid w:val="00701417"/>
    <w:rsid w:val="00704F3D"/>
    <w:rsid w:val="00704F51"/>
    <w:rsid w:val="007051F6"/>
    <w:rsid w:val="007067D3"/>
    <w:rsid w:val="00710B62"/>
    <w:rsid w:val="00712A2A"/>
    <w:rsid w:val="00712A62"/>
    <w:rsid w:val="00713F12"/>
    <w:rsid w:val="0071486B"/>
    <w:rsid w:val="00716ECF"/>
    <w:rsid w:val="00716F26"/>
    <w:rsid w:val="007201EC"/>
    <w:rsid w:val="007211F5"/>
    <w:rsid w:val="00723DD3"/>
    <w:rsid w:val="007305CC"/>
    <w:rsid w:val="0073310C"/>
    <w:rsid w:val="007342B2"/>
    <w:rsid w:val="00734CE6"/>
    <w:rsid w:val="007352F7"/>
    <w:rsid w:val="007367D7"/>
    <w:rsid w:val="00745583"/>
    <w:rsid w:val="00745D29"/>
    <w:rsid w:val="007506D4"/>
    <w:rsid w:val="00752BFF"/>
    <w:rsid w:val="00753C1B"/>
    <w:rsid w:val="00756572"/>
    <w:rsid w:val="00760B61"/>
    <w:rsid w:val="0076638D"/>
    <w:rsid w:val="00766BEF"/>
    <w:rsid w:val="00766F81"/>
    <w:rsid w:val="007672E8"/>
    <w:rsid w:val="00767597"/>
    <w:rsid w:val="007748EC"/>
    <w:rsid w:val="00775159"/>
    <w:rsid w:val="00775893"/>
    <w:rsid w:val="00777BF6"/>
    <w:rsid w:val="007838EC"/>
    <w:rsid w:val="007863B7"/>
    <w:rsid w:val="00787884"/>
    <w:rsid w:val="00793DDB"/>
    <w:rsid w:val="007979C8"/>
    <w:rsid w:val="00797ADE"/>
    <w:rsid w:val="007A093A"/>
    <w:rsid w:val="007A3677"/>
    <w:rsid w:val="007A448C"/>
    <w:rsid w:val="007A74E2"/>
    <w:rsid w:val="007A792C"/>
    <w:rsid w:val="007B0C52"/>
    <w:rsid w:val="007B24A1"/>
    <w:rsid w:val="007B716C"/>
    <w:rsid w:val="007C0790"/>
    <w:rsid w:val="007C46A6"/>
    <w:rsid w:val="007C62F5"/>
    <w:rsid w:val="007C7433"/>
    <w:rsid w:val="007D0BC7"/>
    <w:rsid w:val="007D0C5D"/>
    <w:rsid w:val="007D1CDD"/>
    <w:rsid w:val="007D4C4E"/>
    <w:rsid w:val="007E23F3"/>
    <w:rsid w:val="007E3933"/>
    <w:rsid w:val="007E3AB9"/>
    <w:rsid w:val="007F0A4A"/>
    <w:rsid w:val="007F14A5"/>
    <w:rsid w:val="007F2C21"/>
    <w:rsid w:val="007F3A1D"/>
    <w:rsid w:val="007F5461"/>
    <w:rsid w:val="007F5FC7"/>
    <w:rsid w:val="0081156F"/>
    <w:rsid w:val="00812BEB"/>
    <w:rsid w:val="00813572"/>
    <w:rsid w:val="0082637A"/>
    <w:rsid w:val="008305B9"/>
    <w:rsid w:val="0083094E"/>
    <w:rsid w:val="008309FB"/>
    <w:rsid w:val="00830E23"/>
    <w:rsid w:val="008327AC"/>
    <w:rsid w:val="00832E4D"/>
    <w:rsid w:val="00837A52"/>
    <w:rsid w:val="00843222"/>
    <w:rsid w:val="00844AD0"/>
    <w:rsid w:val="008463A9"/>
    <w:rsid w:val="0084791E"/>
    <w:rsid w:val="00847EC8"/>
    <w:rsid w:val="008544EC"/>
    <w:rsid w:val="00854A65"/>
    <w:rsid w:val="00857811"/>
    <w:rsid w:val="00857BE9"/>
    <w:rsid w:val="00862C8B"/>
    <w:rsid w:val="00863F72"/>
    <w:rsid w:val="0086403B"/>
    <w:rsid w:val="008714E9"/>
    <w:rsid w:val="0087405E"/>
    <w:rsid w:val="00874A28"/>
    <w:rsid w:val="00877225"/>
    <w:rsid w:val="008772C3"/>
    <w:rsid w:val="008779A7"/>
    <w:rsid w:val="00880B98"/>
    <w:rsid w:val="00880BCD"/>
    <w:rsid w:val="00882196"/>
    <w:rsid w:val="008842EC"/>
    <w:rsid w:val="008848B8"/>
    <w:rsid w:val="00886FF9"/>
    <w:rsid w:val="008871F5"/>
    <w:rsid w:val="008872DB"/>
    <w:rsid w:val="0088738B"/>
    <w:rsid w:val="00893068"/>
    <w:rsid w:val="0089331F"/>
    <w:rsid w:val="0089332A"/>
    <w:rsid w:val="00895257"/>
    <w:rsid w:val="008960A0"/>
    <w:rsid w:val="008A3FF1"/>
    <w:rsid w:val="008A6514"/>
    <w:rsid w:val="008A67A1"/>
    <w:rsid w:val="008A7112"/>
    <w:rsid w:val="008B0E75"/>
    <w:rsid w:val="008B1E20"/>
    <w:rsid w:val="008B263E"/>
    <w:rsid w:val="008B2688"/>
    <w:rsid w:val="008B52EA"/>
    <w:rsid w:val="008C0EA4"/>
    <w:rsid w:val="008C1FEB"/>
    <w:rsid w:val="008C2088"/>
    <w:rsid w:val="008D3617"/>
    <w:rsid w:val="008D4F77"/>
    <w:rsid w:val="008D5378"/>
    <w:rsid w:val="008D5F1B"/>
    <w:rsid w:val="008D6A93"/>
    <w:rsid w:val="008D7331"/>
    <w:rsid w:val="008E1BB3"/>
    <w:rsid w:val="008E28EC"/>
    <w:rsid w:val="008E2EB0"/>
    <w:rsid w:val="008E447B"/>
    <w:rsid w:val="008E5861"/>
    <w:rsid w:val="008E5F50"/>
    <w:rsid w:val="008E65F4"/>
    <w:rsid w:val="008E6AD5"/>
    <w:rsid w:val="008F022D"/>
    <w:rsid w:val="008F160B"/>
    <w:rsid w:val="008F1C6B"/>
    <w:rsid w:val="008F2BEF"/>
    <w:rsid w:val="008F4AD6"/>
    <w:rsid w:val="008F7007"/>
    <w:rsid w:val="009019E7"/>
    <w:rsid w:val="00903B7A"/>
    <w:rsid w:val="00904461"/>
    <w:rsid w:val="00904A24"/>
    <w:rsid w:val="00904CD2"/>
    <w:rsid w:val="00905B68"/>
    <w:rsid w:val="00906333"/>
    <w:rsid w:val="00910845"/>
    <w:rsid w:val="00910AAA"/>
    <w:rsid w:val="009112FD"/>
    <w:rsid w:val="00916019"/>
    <w:rsid w:val="00916B5A"/>
    <w:rsid w:val="00917476"/>
    <w:rsid w:val="00920091"/>
    <w:rsid w:val="0092034B"/>
    <w:rsid w:val="00921F21"/>
    <w:rsid w:val="00922010"/>
    <w:rsid w:val="00923728"/>
    <w:rsid w:val="0092433B"/>
    <w:rsid w:val="00924883"/>
    <w:rsid w:val="0092553A"/>
    <w:rsid w:val="00925643"/>
    <w:rsid w:val="00930375"/>
    <w:rsid w:val="00930EB4"/>
    <w:rsid w:val="009331A3"/>
    <w:rsid w:val="009424C5"/>
    <w:rsid w:val="00944932"/>
    <w:rsid w:val="00945220"/>
    <w:rsid w:val="0094779B"/>
    <w:rsid w:val="00950515"/>
    <w:rsid w:val="00950D18"/>
    <w:rsid w:val="00953F7D"/>
    <w:rsid w:val="009540A6"/>
    <w:rsid w:val="00954915"/>
    <w:rsid w:val="00954C26"/>
    <w:rsid w:val="00956019"/>
    <w:rsid w:val="00956EBB"/>
    <w:rsid w:val="009632E6"/>
    <w:rsid w:val="0096333A"/>
    <w:rsid w:val="0096334F"/>
    <w:rsid w:val="00963B19"/>
    <w:rsid w:val="0096790D"/>
    <w:rsid w:val="00967D59"/>
    <w:rsid w:val="009728BC"/>
    <w:rsid w:val="00973B3B"/>
    <w:rsid w:val="00973FBF"/>
    <w:rsid w:val="009771AD"/>
    <w:rsid w:val="00977F97"/>
    <w:rsid w:val="00981AAF"/>
    <w:rsid w:val="00983C4B"/>
    <w:rsid w:val="00991F55"/>
    <w:rsid w:val="009934B2"/>
    <w:rsid w:val="00993E03"/>
    <w:rsid w:val="00994CF3"/>
    <w:rsid w:val="009A182F"/>
    <w:rsid w:val="009A244E"/>
    <w:rsid w:val="009A50E2"/>
    <w:rsid w:val="009A66FA"/>
    <w:rsid w:val="009A7DD3"/>
    <w:rsid w:val="009B45C9"/>
    <w:rsid w:val="009B5CAD"/>
    <w:rsid w:val="009B5EA1"/>
    <w:rsid w:val="009C0A68"/>
    <w:rsid w:val="009C1A1B"/>
    <w:rsid w:val="009C5828"/>
    <w:rsid w:val="009C78CB"/>
    <w:rsid w:val="009D1BE4"/>
    <w:rsid w:val="009D1E7A"/>
    <w:rsid w:val="009E18A8"/>
    <w:rsid w:val="009E1E0B"/>
    <w:rsid w:val="009E1FE7"/>
    <w:rsid w:val="009E7A46"/>
    <w:rsid w:val="009F01F6"/>
    <w:rsid w:val="009F1A6B"/>
    <w:rsid w:val="009F2A18"/>
    <w:rsid w:val="009F5A0D"/>
    <w:rsid w:val="009F610E"/>
    <w:rsid w:val="009F6208"/>
    <w:rsid w:val="009F6213"/>
    <w:rsid w:val="009F7AEF"/>
    <w:rsid w:val="009F7BFD"/>
    <w:rsid w:val="009F7D32"/>
    <w:rsid w:val="00A037AC"/>
    <w:rsid w:val="00A144EC"/>
    <w:rsid w:val="00A14A52"/>
    <w:rsid w:val="00A17AAF"/>
    <w:rsid w:val="00A21018"/>
    <w:rsid w:val="00A214C1"/>
    <w:rsid w:val="00A2240B"/>
    <w:rsid w:val="00A23FED"/>
    <w:rsid w:val="00A25F11"/>
    <w:rsid w:val="00A31115"/>
    <w:rsid w:val="00A3120C"/>
    <w:rsid w:val="00A3143F"/>
    <w:rsid w:val="00A31901"/>
    <w:rsid w:val="00A322F1"/>
    <w:rsid w:val="00A37516"/>
    <w:rsid w:val="00A3756E"/>
    <w:rsid w:val="00A37F80"/>
    <w:rsid w:val="00A40AB7"/>
    <w:rsid w:val="00A4542D"/>
    <w:rsid w:val="00A46E5C"/>
    <w:rsid w:val="00A52D27"/>
    <w:rsid w:val="00A53269"/>
    <w:rsid w:val="00A577C4"/>
    <w:rsid w:val="00A57DAC"/>
    <w:rsid w:val="00A63174"/>
    <w:rsid w:val="00A703BE"/>
    <w:rsid w:val="00A71789"/>
    <w:rsid w:val="00A718F6"/>
    <w:rsid w:val="00A7242F"/>
    <w:rsid w:val="00A761CE"/>
    <w:rsid w:val="00A80360"/>
    <w:rsid w:val="00A80CAC"/>
    <w:rsid w:val="00A83695"/>
    <w:rsid w:val="00A8616A"/>
    <w:rsid w:val="00A8689C"/>
    <w:rsid w:val="00A86BBE"/>
    <w:rsid w:val="00A93308"/>
    <w:rsid w:val="00A95B2B"/>
    <w:rsid w:val="00A96172"/>
    <w:rsid w:val="00AA0FF6"/>
    <w:rsid w:val="00AA2423"/>
    <w:rsid w:val="00AA27AF"/>
    <w:rsid w:val="00AA2A83"/>
    <w:rsid w:val="00AA78A1"/>
    <w:rsid w:val="00AB0760"/>
    <w:rsid w:val="00AB2007"/>
    <w:rsid w:val="00AB42B5"/>
    <w:rsid w:val="00AB6A94"/>
    <w:rsid w:val="00AC004D"/>
    <w:rsid w:val="00AC2C14"/>
    <w:rsid w:val="00AC4C75"/>
    <w:rsid w:val="00AC68E1"/>
    <w:rsid w:val="00AD2B89"/>
    <w:rsid w:val="00AD2E19"/>
    <w:rsid w:val="00AD2FA6"/>
    <w:rsid w:val="00AD32CB"/>
    <w:rsid w:val="00AD72D5"/>
    <w:rsid w:val="00AD7D46"/>
    <w:rsid w:val="00AE020C"/>
    <w:rsid w:val="00AE2519"/>
    <w:rsid w:val="00AE2786"/>
    <w:rsid w:val="00AE5B1C"/>
    <w:rsid w:val="00AE5F47"/>
    <w:rsid w:val="00AE69D5"/>
    <w:rsid w:val="00AE7665"/>
    <w:rsid w:val="00AE7D9A"/>
    <w:rsid w:val="00AF1448"/>
    <w:rsid w:val="00AF1D95"/>
    <w:rsid w:val="00AF43E6"/>
    <w:rsid w:val="00AF4438"/>
    <w:rsid w:val="00AF7B45"/>
    <w:rsid w:val="00B00583"/>
    <w:rsid w:val="00B010A6"/>
    <w:rsid w:val="00B02777"/>
    <w:rsid w:val="00B05A08"/>
    <w:rsid w:val="00B05EFA"/>
    <w:rsid w:val="00B07C85"/>
    <w:rsid w:val="00B1100F"/>
    <w:rsid w:val="00B15C21"/>
    <w:rsid w:val="00B17FF3"/>
    <w:rsid w:val="00B20E5D"/>
    <w:rsid w:val="00B23890"/>
    <w:rsid w:val="00B25A17"/>
    <w:rsid w:val="00B26DD7"/>
    <w:rsid w:val="00B30AD2"/>
    <w:rsid w:val="00B30F95"/>
    <w:rsid w:val="00B333C0"/>
    <w:rsid w:val="00B34899"/>
    <w:rsid w:val="00B3610B"/>
    <w:rsid w:val="00B3711F"/>
    <w:rsid w:val="00B3745A"/>
    <w:rsid w:val="00B37EDD"/>
    <w:rsid w:val="00B40BB0"/>
    <w:rsid w:val="00B469B4"/>
    <w:rsid w:val="00B512CB"/>
    <w:rsid w:val="00B521EC"/>
    <w:rsid w:val="00B52C07"/>
    <w:rsid w:val="00B6142C"/>
    <w:rsid w:val="00B61FBE"/>
    <w:rsid w:val="00B626C4"/>
    <w:rsid w:val="00B63899"/>
    <w:rsid w:val="00B67F51"/>
    <w:rsid w:val="00B71535"/>
    <w:rsid w:val="00B71621"/>
    <w:rsid w:val="00B7489A"/>
    <w:rsid w:val="00B74B19"/>
    <w:rsid w:val="00B77F9E"/>
    <w:rsid w:val="00B82059"/>
    <w:rsid w:val="00B82AD8"/>
    <w:rsid w:val="00B86378"/>
    <w:rsid w:val="00B87BB0"/>
    <w:rsid w:val="00B90265"/>
    <w:rsid w:val="00B90846"/>
    <w:rsid w:val="00B923B5"/>
    <w:rsid w:val="00BA42C8"/>
    <w:rsid w:val="00BA4385"/>
    <w:rsid w:val="00BA4776"/>
    <w:rsid w:val="00BB0891"/>
    <w:rsid w:val="00BB0960"/>
    <w:rsid w:val="00BB2934"/>
    <w:rsid w:val="00BB2D3B"/>
    <w:rsid w:val="00BB68C6"/>
    <w:rsid w:val="00BB69AD"/>
    <w:rsid w:val="00BC0E50"/>
    <w:rsid w:val="00BC1EB7"/>
    <w:rsid w:val="00BC22B5"/>
    <w:rsid w:val="00BC4948"/>
    <w:rsid w:val="00BC78F5"/>
    <w:rsid w:val="00BD2919"/>
    <w:rsid w:val="00BD47D0"/>
    <w:rsid w:val="00BD667C"/>
    <w:rsid w:val="00BD68BF"/>
    <w:rsid w:val="00BE12E4"/>
    <w:rsid w:val="00BE159B"/>
    <w:rsid w:val="00BE71E3"/>
    <w:rsid w:val="00BF1FA2"/>
    <w:rsid w:val="00BF4A59"/>
    <w:rsid w:val="00BF5195"/>
    <w:rsid w:val="00BF6C6D"/>
    <w:rsid w:val="00BF6CD9"/>
    <w:rsid w:val="00BF77E5"/>
    <w:rsid w:val="00C0001E"/>
    <w:rsid w:val="00C00DB3"/>
    <w:rsid w:val="00C031E3"/>
    <w:rsid w:val="00C0433A"/>
    <w:rsid w:val="00C04DC9"/>
    <w:rsid w:val="00C11F19"/>
    <w:rsid w:val="00C12841"/>
    <w:rsid w:val="00C1423B"/>
    <w:rsid w:val="00C155A5"/>
    <w:rsid w:val="00C17137"/>
    <w:rsid w:val="00C209A6"/>
    <w:rsid w:val="00C216DD"/>
    <w:rsid w:val="00C33DE9"/>
    <w:rsid w:val="00C34E5F"/>
    <w:rsid w:val="00C36EAA"/>
    <w:rsid w:val="00C417A2"/>
    <w:rsid w:val="00C52067"/>
    <w:rsid w:val="00C531D7"/>
    <w:rsid w:val="00C55ADF"/>
    <w:rsid w:val="00C66A7D"/>
    <w:rsid w:val="00C66C77"/>
    <w:rsid w:val="00C71DCD"/>
    <w:rsid w:val="00C82197"/>
    <w:rsid w:val="00C83322"/>
    <w:rsid w:val="00C83B72"/>
    <w:rsid w:val="00C843B2"/>
    <w:rsid w:val="00C92F44"/>
    <w:rsid w:val="00C93583"/>
    <w:rsid w:val="00C94876"/>
    <w:rsid w:val="00C94BF9"/>
    <w:rsid w:val="00C95983"/>
    <w:rsid w:val="00C9662F"/>
    <w:rsid w:val="00C97B1A"/>
    <w:rsid w:val="00CA2594"/>
    <w:rsid w:val="00CA326C"/>
    <w:rsid w:val="00CA3921"/>
    <w:rsid w:val="00CA4713"/>
    <w:rsid w:val="00CA4936"/>
    <w:rsid w:val="00CA6880"/>
    <w:rsid w:val="00CB1955"/>
    <w:rsid w:val="00CB23BB"/>
    <w:rsid w:val="00CB262F"/>
    <w:rsid w:val="00CB26B4"/>
    <w:rsid w:val="00CB53B6"/>
    <w:rsid w:val="00CB5771"/>
    <w:rsid w:val="00CB61FE"/>
    <w:rsid w:val="00CC3DA2"/>
    <w:rsid w:val="00CC4D52"/>
    <w:rsid w:val="00CC6C9C"/>
    <w:rsid w:val="00CD20EA"/>
    <w:rsid w:val="00CD4396"/>
    <w:rsid w:val="00CE1D23"/>
    <w:rsid w:val="00CE2781"/>
    <w:rsid w:val="00CE3061"/>
    <w:rsid w:val="00CE46F3"/>
    <w:rsid w:val="00CE4DFC"/>
    <w:rsid w:val="00CE79AB"/>
    <w:rsid w:val="00CF69CA"/>
    <w:rsid w:val="00CF7FD2"/>
    <w:rsid w:val="00D00C30"/>
    <w:rsid w:val="00D0250B"/>
    <w:rsid w:val="00D0362F"/>
    <w:rsid w:val="00D110CD"/>
    <w:rsid w:val="00D113A8"/>
    <w:rsid w:val="00D116DC"/>
    <w:rsid w:val="00D12BCD"/>
    <w:rsid w:val="00D16E8C"/>
    <w:rsid w:val="00D17D39"/>
    <w:rsid w:val="00D20612"/>
    <w:rsid w:val="00D20C2F"/>
    <w:rsid w:val="00D21110"/>
    <w:rsid w:val="00D21F73"/>
    <w:rsid w:val="00D22AD4"/>
    <w:rsid w:val="00D23F2A"/>
    <w:rsid w:val="00D24003"/>
    <w:rsid w:val="00D24A21"/>
    <w:rsid w:val="00D24ECA"/>
    <w:rsid w:val="00D24F1E"/>
    <w:rsid w:val="00D25AC5"/>
    <w:rsid w:val="00D27634"/>
    <w:rsid w:val="00D31F0E"/>
    <w:rsid w:val="00D3365F"/>
    <w:rsid w:val="00D33D49"/>
    <w:rsid w:val="00D37F7C"/>
    <w:rsid w:val="00D44956"/>
    <w:rsid w:val="00D45F0A"/>
    <w:rsid w:val="00D511CB"/>
    <w:rsid w:val="00D519E4"/>
    <w:rsid w:val="00D54E13"/>
    <w:rsid w:val="00D56CEC"/>
    <w:rsid w:val="00D57B9F"/>
    <w:rsid w:val="00D6208C"/>
    <w:rsid w:val="00D7351E"/>
    <w:rsid w:val="00D7552B"/>
    <w:rsid w:val="00D82918"/>
    <w:rsid w:val="00D83497"/>
    <w:rsid w:val="00D8547F"/>
    <w:rsid w:val="00D85BE7"/>
    <w:rsid w:val="00D86A43"/>
    <w:rsid w:val="00D8791F"/>
    <w:rsid w:val="00D9279F"/>
    <w:rsid w:val="00DA2C60"/>
    <w:rsid w:val="00DA2E73"/>
    <w:rsid w:val="00DA3605"/>
    <w:rsid w:val="00DA3B83"/>
    <w:rsid w:val="00DA6403"/>
    <w:rsid w:val="00DA690A"/>
    <w:rsid w:val="00DB1BE0"/>
    <w:rsid w:val="00DB1D24"/>
    <w:rsid w:val="00DB1EED"/>
    <w:rsid w:val="00DB4298"/>
    <w:rsid w:val="00DB4CBF"/>
    <w:rsid w:val="00DB5010"/>
    <w:rsid w:val="00DB57F7"/>
    <w:rsid w:val="00DC3326"/>
    <w:rsid w:val="00DC4F79"/>
    <w:rsid w:val="00DC6159"/>
    <w:rsid w:val="00DD0B80"/>
    <w:rsid w:val="00DD2A1B"/>
    <w:rsid w:val="00DD303D"/>
    <w:rsid w:val="00DD3158"/>
    <w:rsid w:val="00DD4461"/>
    <w:rsid w:val="00DD4CCD"/>
    <w:rsid w:val="00DD5AC1"/>
    <w:rsid w:val="00DE0229"/>
    <w:rsid w:val="00DE1676"/>
    <w:rsid w:val="00DE2552"/>
    <w:rsid w:val="00DE3959"/>
    <w:rsid w:val="00DE6BD3"/>
    <w:rsid w:val="00DF12A8"/>
    <w:rsid w:val="00DF55CB"/>
    <w:rsid w:val="00DF6D1B"/>
    <w:rsid w:val="00E01483"/>
    <w:rsid w:val="00E017B7"/>
    <w:rsid w:val="00E0503E"/>
    <w:rsid w:val="00E05D04"/>
    <w:rsid w:val="00E07C0D"/>
    <w:rsid w:val="00E151A2"/>
    <w:rsid w:val="00E17E32"/>
    <w:rsid w:val="00E21697"/>
    <w:rsid w:val="00E21A80"/>
    <w:rsid w:val="00E245C3"/>
    <w:rsid w:val="00E260EA"/>
    <w:rsid w:val="00E308AA"/>
    <w:rsid w:val="00E30997"/>
    <w:rsid w:val="00E313E9"/>
    <w:rsid w:val="00E31936"/>
    <w:rsid w:val="00E32308"/>
    <w:rsid w:val="00E325D4"/>
    <w:rsid w:val="00E32CFF"/>
    <w:rsid w:val="00E361EF"/>
    <w:rsid w:val="00E42ACB"/>
    <w:rsid w:val="00E46EC9"/>
    <w:rsid w:val="00E50A61"/>
    <w:rsid w:val="00E5233B"/>
    <w:rsid w:val="00E53637"/>
    <w:rsid w:val="00E54133"/>
    <w:rsid w:val="00E550DD"/>
    <w:rsid w:val="00E568EF"/>
    <w:rsid w:val="00E57E83"/>
    <w:rsid w:val="00E60214"/>
    <w:rsid w:val="00E61507"/>
    <w:rsid w:val="00E61861"/>
    <w:rsid w:val="00E64F4A"/>
    <w:rsid w:val="00E65B00"/>
    <w:rsid w:val="00E66F5D"/>
    <w:rsid w:val="00E72D3F"/>
    <w:rsid w:val="00E73805"/>
    <w:rsid w:val="00E73993"/>
    <w:rsid w:val="00E75DCC"/>
    <w:rsid w:val="00E81112"/>
    <w:rsid w:val="00E8216F"/>
    <w:rsid w:val="00E82FE8"/>
    <w:rsid w:val="00E84949"/>
    <w:rsid w:val="00E85A44"/>
    <w:rsid w:val="00E86077"/>
    <w:rsid w:val="00E86393"/>
    <w:rsid w:val="00E87503"/>
    <w:rsid w:val="00E8784A"/>
    <w:rsid w:val="00E87D60"/>
    <w:rsid w:val="00E907EE"/>
    <w:rsid w:val="00E9277D"/>
    <w:rsid w:val="00E94ABB"/>
    <w:rsid w:val="00E96349"/>
    <w:rsid w:val="00E979C5"/>
    <w:rsid w:val="00EA15E5"/>
    <w:rsid w:val="00EA1E21"/>
    <w:rsid w:val="00EA60DA"/>
    <w:rsid w:val="00EB0556"/>
    <w:rsid w:val="00EB154F"/>
    <w:rsid w:val="00EB2022"/>
    <w:rsid w:val="00EC2A63"/>
    <w:rsid w:val="00EC6A16"/>
    <w:rsid w:val="00EC78B4"/>
    <w:rsid w:val="00ED1768"/>
    <w:rsid w:val="00ED1DDB"/>
    <w:rsid w:val="00ED1FC7"/>
    <w:rsid w:val="00ED4EFA"/>
    <w:rsid w:val="00ED5674"/>
    <w:rsid w:val="00ED5CD5"/>
    <w:rsid w:val="00ED7E48"/>
    <w:rsid w:val="00EE084F"/>
    <w:rsid w:val="00EE64EF"/>
    <w:rsid w:val="00EE64F4"/>
    <w:rsid w:val="00EE65E3"/>
    <w:rsid w:val="00EE72A7"/>
    <w:rsid w:val="00EF1E1C"/>
    <w:rsid w:val="00EF5E26"/>
    <w:rsid w:val="00EF6AF1"/>
    <w:rsid w:val="00F00266"/>
    <w:rsid w:val="00F006B6"/>
    <w:rsid w:val="00F13550"/>
    <w:rsid w:val="00F209DD"/>
    <w:rsid w:val="00F2223E"/>
    <w:rsid w:val="00F234CE"/>
    <w:rsid w:val="00F23A95"/>
    <w:rsid w:val="00F26FEB"/>
    <w:rsid w:val="00F301B5"/>
    <w:rsid w:val="00F30A57"/>
    <w:rsid w:val="00F31DC9"/>
    <w:rsid w:val="00F35386"/>
    <w:rsid w:val="00F363D4"/>
    <w:rsid w:val="00F3773C"/>
    <w:rsid w:val="00F37A69"/>
    <w:rsid w:val="00F40AA2"/>
    <w:rsid w:val="00F411F4"/>
    <w:rsid w:val="00F44415"/>
    <w:rsid w:val="00F44EB7"/>
    <w:rsid w:val="00F4613B"/>
    <w:rsid w:val="00F506AF"/>
    <w:rsid w:val="00F51E43"/>
    <w:rsid w:val="00F52913"/>
    <w:rsid w:val="00F54AA8"/>
    <w:rsid w:val="00F55890"/>
    <w:rsid w:val="00F65612"/>
    <w:rsid w:val="00F66385"/>
    <w:rsid w:val="00F70C4D"/>
    <w:rsid w:val="00F71C15"/>
    <w:rsid w:val="00F73B7D"/>
    <w:rsid w:val="00F75E1D"/>
    <w:rsid w:val="00F76FB3"/>
    <w:rsid w:val="00F81831"/>
    <w:rsid w:val="00F81903"/>
    <w:rsid w:val="00F8741E"/>
    <w:rsid w:val="00F9116A"/>
    <w:rsid w:val="00F93722"/>
    <w:rsid w:val="00F95347"/>
    <w:rsid w:val="00F9617F"/>
    <w:rsid w:val="00F97A3C"/>
    <w:rsid w:val="00FA05E2"/>
    <w:rsid w:val="00FA1A36"/>
    <w:rsid w:val="00FB1C9E"/>
    <w:rsid w:val="00FB232E"/>
    <w:rsid w:val="00FB3353"/>
    <w:rsid w:val="00FB548D"/>
    <w:rsid w:val="00FB5819"/>
    <w:rsid w:val="00FB6AF0"/>
    <w:rsid w:val="00FB6B7A"/>
    <w:rsid w:val="00FC1C77"/>
    <w:rsid w:val="00FC2E5C"/>
    <w:rsid w:val="00FC2F14"/>
    <w:rsid w:val="00FC5A29"/>
    <w:rsid w:val="00FC610A"/>
    <w:rsid w:val="00FC6186"/>
    <w:rsid w:val="00FC7B35"/>
    <w:rsid w:val="00FD1D43"/>
    <w:rsid w:val="00FD1DAD"/>
    <w:rsid w:val="00FD2DDA"/>
    <w:rsid w:val="00FD4ACC"/>
    <w:rsid w:val="00FE0023"/>
    <w:rsid w:val="00FE131E"/>
    <w:rsid w:val="00FE2E9D"/>
    <w:rsid w:val="00FE3280"/>
    <w:rsid w:val="00FE551F"/>
    <w:rsid w:val="00FE77EA"/>
    <w:rsid w:val="00FF30D1"/>
    <w:rsid w:val="00FF39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28BEDC"/>
  <w15:docId w15:val="{B606369A-0B82-4B67-B0D4-1A0B6F2A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01F6"/>
    <w:pPr>
      <w:spacing w:line="240" w:lineRule="auto"/>
      <w:jc w:val="both"/>
    </w:pPr>
    <w:rPr>
      <w:lang w:val="en-GB"/>
    </w:rPr>
  </w:style>
  <w:style w:type="paragraph" w:styleId="Heading1">
    <w:name w:val="heading 1"/>
    <w:basedOn w:val="Normal"/>
    <w:next w:val="Normal"/>
    <w:link w:val="Heading1Char"/>
    <w:qFormat/>
    <w:rsid w:val="00EB0556"/>
    <w:pPr>
      <w:keepNext/>
      <w:spacing w:after="0"/>
      <w:jc w:val="center"/>
      <w:outlineLvl w:val="0"/>
    </w:pPr>
    <w:rPr>
      <w:rFonts w:asciiTheme="majorHAnsi" w:eastAsia="Times New Roman" w:hAnsiTheme="majorHAnsi" w:cs="Times New Roman"/>
      <w:b/>
      <w:bCs/>
      <w:caps/>
      <w:sz w:val="24"/>
      <w:szCs w:val="20"/>
    </w:rPr>
  </w:style>
  <w:style w:type="paragraph" w:styleId="Heading2">
    <w:name w:val="heading 2"/>
    <w:basedOn w:val="Normal"/>
    <w:next w:val="Normal"/>
    <w:link w:val="Heading2Char"/>
    <w:uiPriority w:val="9"/>
    <w:unhideWhenUsed/>
    <w:qFormat/>
    <w:rsid w:val="00EB0556"/>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EB0556"/>
    <w:pPr>
      <w:keepNext/>
      <w:keepLines/>
      <w:suppressAutoHyphens/>
      <w:spacing w:before="200" w:after="0" w:line="256" w:lineRule="auto"/>
      <w:outlineLvl w:val="2"/>
    </w:pPr>
    <w:rPr>
      <w:rFonts w:eastAsiaTheme="majorEastAsia" w:cstheme="majorBidi"/>
      <w:b/>
      <w:bCs/>
      <w:color w:val="5B9BD5" w:themeColor="accent1"/>
    </w:rPr>
  </w:style>
  <w:style w:type="paragraph" w:styleId="Heading4">
    <w:name w:val="heading 4"/>
    <w:basedOn w:val="Normal"/>
    <w:next w:val="Normal"/>
    <w:link w:val="Heading4Char"/>
    <w:unhideWhenUsed/>
    <w:qFormat/>
    <w:rsid w:val="009F01F6"/>
    <w:pPr>
      <w:keepNext/>
      <w:keepLines/>
      <w:spacing w:before="200" w:after="0"/>
      <w:outlineLvl w:val="3"/>
    </w:pPr>
    <w:rPr>
      <w:rFonts w:eastAsiaTheme="majorEastAsia" w:cstheme="majorBidi"/>
      <w:b/>
      <w:bCs/>
      <w:i/>
      <w:iCs/>
      <w:color w:val="5B9BD5" w:themeColor="accent1"/>
    </w:rPr>
  </w:style>
  <w:style w:type="paragraph" w:styleId="Heading8">
    <w:name w:val="heading 8"/>
    <w:basedOn w:val="Normal"/>
    <w:next w:val="Normal"/>
    <w:link w:val="Heading8Char"/>
    <w:uiPriority w:val="9"/>
    <w:unhideWhenUsed/>
    <w:qFormat/>
    <w:rsid w:val="006905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556"/>
    <w:rPr>
      <w:rFonts w:asciiTheme="majorHAnsi" w:eastAsia="Times New Roman" w:hAnsiTheme="majorHAnsi" w:cs="Times New Roman"/>
      <w:b/>
      <w:bCs/>
      <w:caps/>
      <w:sz w:val="24"/>
      <w:szCs w:val="20"/>
    </w:rPr>
  </w:style>
  <w:style w:type="character" w:customStyle="1" w:styleId="Heading2Char">
    <w:name w:val="Heading 2 Char"/>
    <w:basedOn w:val="DefaultParagraphFont"/>
    <w:link w:val="Heading2"/>
    <w:uiPriority w:val="9"/>
    <w:rsid w:val="00EB0556"/>
    <w:rPr>
      <w:rFonts w:eastAsiaTheme="majorEastAsia" w:cstheme="majorBidi"/>
      <w:b/>
      <w:bCs/>
      <w:color w:val="5B9BD5" w:themeColor="accent1"/>
      <w:sz w:val="26"/>
      <w:szCs w:val="26"/>
    </w:rPr>
  </w:style>
  <w:style w:type="paragraph" w:styleId="BodyText">
    <w:name w:val="Body Text"/>
    <w:basedOn w:val="Normal"/>
    <w:link w:val="BodyTextChar"/>
    <w:rsid w:val="00193720"/>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93720"/>
    <w:rPr>
      <w:rFonts w:ascii="Times New Roman" w:eastAsia="Times New Roman" w:hAnsi="Times New Roman" w:cs="Times New Roman"/>
      <w:sz w:val="24"/>
      <w:szCs w:val="20"/>
    </w:rPr>
  </w:style>
  <w:style w:type="paragraph" w:styleId="BodyTextIndent">
    <w:name w:val="Body Text Indent"/>
    <w:basedOn w:val="Normal"/>
    <w:link w:val="BodyTextIndentChar"/>
    <w:rsid w:val="00193720"/>
    <w:pPr>
      <w:spacing w:after="0"/>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93720"/>
    <w:rPr>
      <w:rFonts w:ascii="Times New Roman" w:eastAsia="Times New Roman" w:hAnsi="Times New Roman" w:cs="Times New Roman"/>
      <w:sz w:val="24"/>
      <w:szCs w:val="20"/>
    </w:rPr>
  </w:style>
  <w:style w:type="paragraph" w:styleId="Footer">
    <w:name w:val="footer"/>
    <w:basedOn w:val="Normal"/>
    <w:link w:val="FooterChar"/>
    <w:uiPriority w:val="99"/>
    <w:rsid w:val="00193720"/>
    <w:pPr>
      <w:tabs>
        <w:tab w:val="center" w:pos="4320"/>
        <w:tab w:val="right" w:pos="8640"/>
      </w:tabs>
      <w:spacing w:after="0"/>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93720"/>
    <w:rPr>
      <w:rFonts w:ascii="Times New Roman" w:eastAsia="Times New Roman" w:hAnsi="Times New Roman" w:cs="Times New Roman"/>
      <w:szCs w:val="20"/>
    </w:rPr>
  </w:style>
  <w:style w:type="character" w:styleId="EndnoteReference">
    <w:name w:val="endnote reference"/>
    <w:uiPriority w:val="99"/>
    <w:semiHidden/>
    <w:rsid w:val="00193720"/>
    <w:rPr>
      <w:vertAlign w:val="superscript"/>
    </w:rPr>
  </w:style>
  <w:style w:type="paragraph" w:styleId="BodyText3">
    <w:name w:val="Body Text 3"/>
    <w:basedOn w:val="Normal"/>
    <w:link w:val="BodyText3Char"/>
    <w:uiPriority w:val="99"/>
    <w:rsid w:val="00193720"/>
    <w:pPr>
      <w:spacing w:after="0"/>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193720"/>
    <w:rPr>
      <w:rFonts w:ascii="Times New Roman" w:eastAsia="Times New Roman" w:hAnsi="Times New Roman" w:cs="Times New Roman"/>
      <w:szCs w:val="20"/>
    </w:rPr>
  </w:style>
  <w:style w:type="paragraph" w:styleId="BodyText2">
    <w:name w:val="Body Text 2"/>
    <w:basedOn w:val="Normal"/>
    <w:link w:val="BodyText2Char"/>
    <w:rsid w:val="00193720"/>
    <w:pPr>
      <w:tabs>
        <w:tab w:val="left" w:pos="4111"/>
      </w:tabs>
      <w:spacing w:after="0"/>
    </w:pPr>
    <w:rPr>
      <w:rFonts w:ascii="Times New Roman" w:eastAsia="Times New Roman" w:hAnsi="Times New Roman" w:cs="Times New Roman"/>
      <w:color w:val="0000FF"/>
      <w:szCs w:val="20"/>
    </w:rPr>
  </w:style>
  <w:style w:type="character" w:customStyle="1" w:styleId="BodyText2Char">
    <w:name w:val="Body Text 2 Char"/>
    <w:basedOn w:val="DefaultParagraphFont"/>
    <w:link w:val="BodyText2"/>
    <w:rsid w:val="00193720"/>
    <w:rPr>
      <w:rFonts w:ascii="Times New Roman" w:eastAsia="Times New Roman" w:hAnsi="Times New Roman" w:cs="Times New Roman"/>
      <w:color w:val="0000FF"/>
      <w:szCs w:val="20"/>
      <w:lang w:val="en-GB"/>
    </w:rPr>
  </w:style>
  <w:style w:type="character" w:customStyle="1" w:styleId="Heading8Char">
    <w:name w:val="Heading 8 Char"/>
    <w:basedOn w:val="DefaultParagraphFont"/>
    <w:link w:val="Heading8"/>
    <w:uiPriority w:val="9"/>
    <w:rsid w:val="0069056E"/>
    <w:rPr>
      <w:rFonts w:asciiTheme="majorHAnsi" w:eastAsiaTheme="majorEastAsia" w:hAnsiTheme="majorHAnsi" w:cstheme="majorBidi"/>
      <w:color w:val="404040" w:themeColor="text1" w:themeTint="BF"/>
      <w:sz w:val="20"/>
      <w:szCs w:val="20"/>
    </w:rPr>
  </w:style>
  <w:style w:type="paragraph" w:customStyle="1" w:styleId="DefinitionTerm">
    <w:name w:val="Definition Term"/>
    <w:basedOn w:val="Normal"/>
    <w:next w:val="Normal"/>
    <w:rsid w:val="0069056E"/>
    <w:pPr>
      <w:spacing w:after="0"/>
    </w:pPr>
    <w:rPr>
      <w:rFonts w:ascii="Times New Roman" w:eastAsia="Times New Roman" w:hAnsi="Times New Roman" w:cs="Times New Roman"/>
      <w:snapToGrid w:val="0"/>
      <w:sz w:val="24"/>
      <w:szCs w:val="20"/>
    </w:rPr>
  </w:style>
  <w:style w:type="character" w:styleId="Hyperlink">
    <w:name w:val="Hyperlink"/>
    <w:uiPriority w:val="99"/>
    <w:rsid w:val="0069056E"/>
    <w:rPr>
      <w:color w:val="0000FF"/>
      <w:u w:val="single"/>
    </w:rPr>
  </w:style>
  <w:style w:type="paragraph" w:styleId="EndnoteText">
    <w:name w:val="endnote text"/>
    <w:basedOn w:val="Normal"/>
    <w:link w:val="EndnoteTextChar"/>
    <w:uiPriority w:val="99"/>
    <w:rsid w:val="0069056E"/>
    <w:pPr>
      <w:spacing w:after="0"/>
    </w:pPr>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69056E"/>
    <w:rPr>
      <w:rFonts w:ascii="Times New Roman" w:eastAsia="Times New Roman" w:hAnsi="Times New Roman" w:cs="Times New Roman"/>
      <w:szCs w:val="20"/>
    </w:rPr>
  </w:style>
  <w:style w:type="paragraph" w:customStyle="1" w:styleId="H5">
    <w:name w:val="H5"/>
    <w:basedOn w:val="Normal"/>
    <w:next w:val="Normal"/>
    <w:rsid w:val="0069056E"/>
    <w:pPr>
      <w:keepNext/>
      <w:spacing w:before="100" w:after="100"/>
      <w:outlineLvl w:val="5"/>
    </w:pPr>
    <w:rPr>
      <w:rFonts w:ascii="Times New Roman" w:eastAsia="Times New Roman" w:hAnsi="Times New Roman" w:cs="Times New Roman"/>
      <w:b/>
      <w:snapToGrid w:val="0"/>
      <w:szCs w:val="20"/>
    </w:rPr>
  </w:style>
  <w:style w:type="paragraph" w:styleId="ListParagraph">
    <w:name w:val="List Paragraph"/>
    <w:basedOn w:val="Normal"/>
    <w:qFormat/>
    <w:rsid w:val="00555C1D"/>
    <w:pPr>
      <w:ind w:left="720"/>
      <w:contextualSpacing/>
    </w:pPr>
  </w:style>
  <w:style w:type="paragraph" w:styleId="FootnoteText">
    <w:name w:val="footnote text"/>
    <w:aliases w:val="ft,Footnote Text Char1,Footnote Text Char Char,ft Char,Footnotetext,ftx,Footnotetext1,Footnotetext2,ftx1,Footnotetext3,ftx2,Footnotetext4,ftx3,Footnotetext5,ftx4,Footnotetext6,Footnotetext7,Footnotetext8,ftx5,Footnotetext11,Footnotetext21"/>
    <w:basedOn w:val="Normal"/>
    <w:link w:val="FootnoteTextChar"/>
    <w:uiPriority w:val="99"/>
    <w:unhideWhenUsed/>
    <w:rsid w:val="00B61FBE"/>
    <w:pPr>
      <w:spacing w:after="0"/>
    </w:pPr>
    <w:rPr>
      <w:sz w:val="20"/>
      <w:szCs w:val="20"/>
    </w:rPr>
  </w:style>
  <w:style w:type="character" w:customStyle="1" w:styleId="FootnoteTextChar">
    <w:name w:val="Footnote Text Char"/>
    <w:aliases w:val="ft Char1,Footnote Text Char1 Char,Footnote Text Char Char Char,ft Char Char,Footnotetext Char,ftx Char,Footnotetext1 Char,Footnotetext2 Char,ftx1 Char,Footnotetext3 Char,ftx2 Char,Footnotetext4 Char,ftx3 Char,Footnotetext5 Char"/>
    <w:basedOn w:val="DefaultParagraphFont"/>
    <w:link w:val="FootnoteText"/>
    <w:uiPriority w:val="99"/>
    <w:rsid w:val="00B61FBE"/>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basedOn w:val="DefaultParagraphFont"/>
    <w:unhideWhenUsed/>
    <w:rsid w:val="00B61FBE"/>
    <w:rPr>
      <w:vertAlign w:val="superscript"/>
    </w:rPr>
  </w:style>
  <w:style w:type="paragraph" w:styleId="Header">
    <w:name w:val="header"/>
    <w:basedOn w:val="Normal"/>
    <w:link w:val="HeaderChar"/>
    <w:uiPriority w:val="99"/>
    <w:unhideWhenUsed/>
    <w:rsid w:val="00D33D49"/>
    <w:pPr>
      <w:tabs>
        <w:tab w:val="center" w:pos="4513"/>
        <w:tab w:val="right" w:pos="9026"/>
      </w:tabs>
      <w:spacing w:after="0"/>
    </w:pPr>
  </w:style>
  <w:style w:type="character" w:customStyle="1" w:styleId="HeaderChar">
    <w:name w:val="Header Char"/>
    <w:basedOn w:val="DefaultParagraphFont"/>
    <w:link w:val="Header"/>
    <w:uiPriority w:val="99"/>
    <w:rsid w:val="00D33D49"/>
  </w:style>
  <w:style w:type="paragraph" w:customStyle="1" w:styleId="CM1">
    <w:name w:val="CM1"/>
    <w:basedOn w:val="Normal"/>
    <w:next w:val="Normal"/>
    <w:uiPriority w:val="99"/>
    <w:rsid w:val="004B51E3"/>
    <w:pPr>
      <w:autoSpaceDE w:val="0"/>
      <w:autoSpaceDN w:val="0"/>
      <w:adjustRightInd w:val="0"/>
      <w:spacing w:after="0"/>
    </w:pPr>
    <w:rPr>
      <w:rFonts w:ascii="EUAlbertina" w:eastAsia="Times New Roman" w:hAnsi="EUAlbertina" w:cs="Times New Roman"/>
      <w:sz w:val="24"/>
      <w:szCs w:val="24"/>
      <w:lang w:eastAsia="en-GB"/>
    </w:rPr>
  </w:style>
  <w:style w:type="character" w:styleId="CommentReference">
    <w:name w:val="annotation reference"/>
    <w:basedOn w:val="DefaultParagraphFont"/>
    <w:uiPriority w:val="99"/>
    <w:semiHidden/>
    <w:unhideWhenUsed/>
    <w:rsid w:val="0054783C"/>
    <w:rPr>
      <w:sz w:val="16"/>
      <w:szCs w:val="16"/>
    </w:rPr>
  </w:style>
  <w:style w:type="paragraph" w:styleId="CommentText">
    <w:name w:val="annotation text"/>
    <w:basedOn w:val="Normal"/>
    <w:link w:val="CommentTextChar"/>
    <w:uiPriority w:val="99"/>
    <w:unhideWhenUsed/>
    <w:rsid w:val="0054783C"/>
    <w:rPr>
      <w:sz w:val="20"/>
      <w:szCs w:val="20"/>
    </w:rPr>
  </w:style>
  <w:style w:type="character" w:customStyle="1" w:styleId="CommentTextChar">
    <w:name w:val="Comment Text Char"/>
    <w:basedOn w:val="DefaultParagraphFont"/>
    <w:link w:val="CommentText"/>
    <w:uiPriority w:val="99"/>
    <w:rsid w:val="0054783C"/>
    <w:rPr>
      <w:sz w:val="20"/>
      <w:szCs w:val="20"/>
    </w:rPr>
  </w:style>
  <w:style w:type="paragraph" w:styleId="BalloonText">
    <w:name w:val="Balloon Text"/>
    <w:basedOn w:val="Normal"/>
    <w:link w:val="BalloonTextChar"/>
    <w:uiPriority w:val="99"/>
    <w:semiHidden/>
    <w:unhideWhenUsed/>
    <w:rsid w:val="005478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3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783C"/>
    <w:rPr>
      <w:b/>
      <w:bCs/>
    </w:rPr>
  </w:style>
  <w:style w:type="character" w:customStyle="1" w:styleId="CommentSubjectChar">
    <w:name w:val="Comment Subject Char"/>
    <w:basedOn w:val="CommentTextChar"/>
    <w:link w:val="CommentSubject"/>
    <w:uiPriority w:val="99"/>
    <w:semiHidden/>
    <w:rsid w:val="0054783C"/>
    <w:rPr>
      <w:b/>
      <w:bCs/>
      <w:sz w:val="20"/>
      <w:szCs w:val="20"/>
    </w:rPr>
  </w:style>
  <w:style w:type="table" w:styleId="TableGrid">
    <w:name w:val="Table Grid"/>
    <w:basedOn w:val="TableNormal"/>
    <w:uiPriority w:val="39"/>
    <w:rsid w:val="009D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D520F"/>
    <w:pPr>
      <w:keepLines/>
      <w:spacing w:before="480" w:line="276" w:lineRule="auto"/>
      <w:jc w:val="left"/>
      <w:outlineLvl w:val="9"/>
    </w:pPr>
    <w:rPr>
      <w:rFonts w:eastAsiaTheme="majorEastAsia" w:cstheme="majorBidi"/>
      <w:caps w:val="0"/>
      <w:color w:val="2E74B5" w:themeColor="accent1" w:themeShade="BF"/>
      <w:sz w:val="28"/>
      <w:szCs w:val="28"/>
      <w:lang w:eastAsia="ja-JP"/>
    </w:rPr>
  </w:style>
  <w:style w:type="paragraph" w:styleId="TOC1">
    <w:name w:val="toc 1"/>
    <w:basedOn w:val="Normal"/>
    <w:next w:val="Normal"/>
    <w:autoRedefine/>
    <w:uiPriority w:val="39"/>
    <w:unhideWhenUsed/>
    <w:rsid w:val="00FD1DAD"/>
    <w:pPr>
      <w:tabs>
        <w:tab w:val="right" w:leader="dot" w:pos="9627"/>
      </w:tabs>
      <w:spacing w:after="100"/>
    </w:pPr>
  </w:style>
  <w:style w:type="paragraph" w:styleId="TOC2">
    <w:name w:val="toc 2"/>
    <w:basedOn w:val="Normal"/>
    <w:next w:val="Normal"/>
    <w:autoRedefine/>
    <w:uiPriority w:val="39"/>
    <w:unhideWhenUsed/>
    <w:rsid w:val="001D520F"/>
    <w:pPr>
      <w:spacing w:after="100"/>
      <w:ind w:left="220"/>
    </w:pPr>
  </w:style>
  <w:style w:type="character" w:customStyle="1" w:styleId="Heading3Char">
    <w:name w:val="Heading 3 Char"/>
    <w:basedOn w:val="DefaultParagraphFont"/>
    <w:link w:val="Heading3"/>
    <w:uiPriority w:val="9"/>
    <w:rsid w:val="00EB0556"/>
    <w:rPr>
      <w:rFonts w:eastAsiaTheme="majorEastAsia" w:cstheme="majorBidi"/>
      <w:b/>
      <w:bCs/>
      <w:color w:val="5B9BD5" w:themeColor="accent1"/>
    </w:rPr>
  </w:style>
  <w:style w:type="character" w:customStyle="1" w:styleId="FootnoteAnchor">
    <w:name w:val="Footnote Anchor"/>
    <w:rsid w:val="00446251"/>
    <w:rPr>
      <w:vertAlign w:val="superscript"/>
    </w:rPr>
  </w:style>
  <w:style w:type="paragraph" w:customStyle="1" w:styleId="TextBodyIndent">
    <w:name w:val="Text Body Indent"/>
    <w:basedOn w:val="Normal"/>
    <w:rsid w:val="00446251"/>
    <w:pPr>
      <w:suppressAutoHyphens/>
      <w:spacing w:after="120" w:line="256" w:lineRule="auto"/>
      <w:ind w:left="360"/>
    </w:pPr>
    <w:rPr>
      <w:rFonts w:ascii="Calibri" w:eastAsia="SimSun" w:hAnsi="Calibri" w:cs="Calibri"/>
    </w:rPr>
  </w:style>
  <w:style w:type="paragraph" w:customStyle="1" w:styleId="Default">
    <w:name w:val="Default"/>
    <w:rsid w:val="00446251"/>
    <w:pPr>
      <w:suppressAutoHyphens/>
      <w:spacing w:after="0" w:line="100" w:lineRule="atLeast"/>
    </w:pPr>
    <w:rPr>
      <w:rFonts w:ascii="Times New Roman" w:eastAsia="SimSun" w:hAnsi="Times New Roman" w:cs="Times New Roman"/>
      <w:color w:val="000000"/>
      <w:sz w:val="24"/>
      <w:szCs w:val="24"/>
      <w:lang w:val="en-GB"/>
    </w:rPr>
  </w:style>
  <w:style w:type="paragraph" w:customStyle="1" w:styleId="TextBody">
    <w:name w:val="Text Body"/>
    <w:basedOn w:val="Normal"/>
    <w:rsid w:val="00446251"/>
    <w:pPr>
      <w:suppressAutoHyphens/>
      <w:spacing w:after="0" w:line="100" w:lineRule="atLeast"/>
    </w:pPr>
    <w:rPr>
      <w:rFonts w:ascii="Times New Roman" w:eastAsia="Times New Roman" w:hAnsi="Times New Roman" w:cs="Times New Roman"/>
      <w:color w:val="00000A"/>
      <w:sz w:val="24"/>
      <w:szCs w:val="20"/>
    </w:rPr>
  </w:style>
  <w:style w:type="paragraph" w:styleId="BodyTextIndent2">
    <w:name w:val="Body Text Indent 2"/>
    <w:basedOn w:val="Normal"/>
    <w:link w:val="BodyTextIndent2Char"/>
    <w:uiPriority w:val="99"/>
    <w:unhideWhenUsed/>
    <w:rsid w:val="00446251"/>
    <w:pPr>
      <w:spacing w:after="120" w:line="480" w:lineRule="auto"/>
      <w:ind w:left="283"/>
    </w:pPr>
  </w:style>
  <w:style w:type="character" w:customStyle="1" w:styleId="BodyTextIndent2Char">
    <w:name w:val="Body Text Indent 2 Char"/>
    <w:basedOn w:val="DefaultParagraphFont"/>
    <w:link w:val="BodyTextIndent2"/>
    <w:uiPriority w:val="99"/>
    <w:rsid w:val="00446251"/>
  </w:style>
  <w:style w:type="character" w:customStyle="1" w:styleId="Heading4Char">
    <w:name w:val="Heading 4 Char"/>
    <w:basedOn w:val="DefaultParagraphFont"/>
    <w:link w:val="Heading4"/>
    <w:rsid w:val="009F01F6"/>
    <w:rPr>
      <w:rFonts w:eastAsiaTheme="majorEastAsia" w:cstheme="majorBidi"/>
      <w:b/>
      <w:bCs/>
      <w:i/>
      <w:iCs/>
      <w:color w:val="5B9BD5" w:themeColor="accent1"/>
    </w:rPr>
  </w:style>
  <w:style w:type="character" w:styleId="FollowedHyperlink">
    <w:name w:val="FollowedHyperlink"/>
    <w:basedOn w:val="DefaultParagraphFont"/>
    <w:uiPriority w:val="99"/>
    <w:semiHidden/>
    <w:unhideWhenUsed/>
    <w:rsid w:val="00446251"/>
    <w:rPr>
      <w:color w:val="954F72" w:themeColor="followedHyperlink"/>
      <w:u w:val="single"/>
    </w:rPr>
  </w:style>
  <w:style w:type="character" w:styleId="PageNumber">
    <w:name w:val="page number"/>
    <w:basedOn w:val="DefaultParagraphFont"/>
    <w:unhideWhenUsed/>
    <w:rsid w:val="00446251"/>
  </w:style>
  <w:style w:type="paragraph" w:styleId="HTMLPreformatted">
    <w:name w:val="HTML Preformatted"/>
    <w:basedOn w:val="Normal"/>
    <w:link w:val="HTMLPreformattedChar"/>
    <w:uiPriority w:val="99"/>
    <w:unhideWhenUsed/>
    <w:rsid w:val="0044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446251"/>
    <w:rPr>
      <w:rFonts w:ascii="Courier New" w:eastAsia="Times New Roman" w:hAnsi="Courier New" w:cs="Courier New"/>
      <w:sz w:val="20"/>
      <w:szCs w:val="20"/>
      <w:lang w:val="es-PE" w:eastAsia="es-PE"/>
    </w:rPr>
  </w:style>
  <w:style w:type="paragraph" w:styleId="Title">
    <w:name w:val="Title"/>
    <w:basedOn w:val="Normal"/>
    <w:link w:val="TitleChar"/>
    <w:qFormat/>
    <w:rsid w:val="00446251"/>
    <w:pPr>
      <w:spacing w:after="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46251"/>
    <w:rPr>
      <w:rFonts w:ascii="Times New Roman" w:eastAsia="Times New Roman" w:hAnsi="Times New Roman" w:cs="Times New Roman"/>
      <w:b/>
      <w:sz w:val="24"/>
      <w:szCs w:val="20"/>
    </w:rPr>
  </w:style>
  <w:style w:type="paragraph" w:styleId="NoSpacing">
    <w:name w:val="No Spacing"/>
    <w:uiPriority w:val="1"/>
    <w:qFormat/>
    <w:rsid w:val="00446251"/>
    <w:pPr>
      <w:spacing w:after="0" w:line="240" w:lineRule="auto"/>
    </w:pPr>
  </w:style>
  <w:style w:type="paragraph" w:styleId="NormalWeb">
    <w:name w:val="Normal (Web)"/>
    <w:basedOn w:val="Normal"/>
    <w:uiPriority w:val="99"/>
    <w:rsid w:val="00446251"/>
    <w:pPr>
      <w:spacing w:before="100" w:after="100"/>
    </w:pPr>
    <w:rPr>
      <w:rFonts w:ascii="Verdana" w:eastAsia="Times New Roman" w:hAnsi="Verdana" w:cs="Times New Roman"/>
      <w:color w:val="000000"/>
      <w:sz w:val="17"/>
      <w:szCs w:val="20"/>
    </w:rPr>
  </w:style>
  <w:style w:type="character" w:styleId="Strong">
    <w:name w:val="Strong"/>
    <w:uiPriority w:val="22"/>
    <w:qFormat/>
    <w:rsid w:val="00446251"/>
    <w:rPr>
      <w:b/>
    </w:rPr>
  </w:style>
  <w:style w:type="paragraph" w:styleId="Subtitle">
    <w:name w:val="Subtitle"/>
    <w:basedOn w:val="Normal"/>
    <w:link w:val="SubtitleChar"/>
    <w:qFormat/>
    <w:rsid w:val="00446251"/>
    <w:pPr>
      <w:spacing w:after="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46251"/>
    <w:rPr>
      <w:rFonts w:ascii="Times New Roman" w:eastAsia="Times New Roman" w:hAnsi="Times New Roman" w:cs="Times New Roman"/>
      <w:b/>
      <w:szCs w:val="20"/>
    </w:rPr>
  </w:style>
  <w:style w:type="paragraph" w:customStyle="1" w:styleId="SingleTxt">
    <w:name w:val="__Single Txt"/>
    <w:basedOn w:val="Normal"/>
    <w:rsid w:val="0044625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hAnsi="Times New Roman" w:cs="Times New Roman"/>
      <w:spacing w:val="4"/>
      <w:w w:val="103"/>
      <w:kern w:val="14"/>
      <w:sz w:val="20"/>
      <w:szCs w:val="20"/>
    </w:rPr>
  </w:style>
  <w:style w:type="paragraph" w:styleId="TOC3">
    <w:name w:val="toc 3"/>
    <w:basedOn w:val="Normal"/>
    <w:next w:val="Normal"/>
    <w:autoRedefine/>
    <w:uiPriority w:val="39"/>
    <w:unhideWhenUsed/>
    <w:rsid w:val="00830E23"/>
    <w:pPr>
      <w:spacing w:after="100"/>
      <w:ind w:left="440"/>
    </w:pPr>
  </w:style>
  <w:style w:type="paragraph" w:styleId="TOC4">
    <w:name w:val="toc 4"/>
    <w:basedOn w:val="Normal"/>
    <w:next w:val="Normal"/>
    <w:autoRedefine/>
    <w:uiPriority w:val="39"/>
    <w:unhideWhenUsed/>
    <w:rsid w:val="00830E23"/>
    <w:pPr>
      <w:spacing w:after="100" w:line="276" w:lineRule="auto"/>
      <w:ind w:left="660"/>
      <w:jc w:val="left"/>
    </w:pPr>
    <w:rPr>
      <w:rFonts w:eastAsiaTheme="minorEastAsia"/>
      <w:lang w:val="fr-FR" w:eastAsia="zh-CN"/>
    </w:rPr>
  </w:style>
  <w:style w:type="paragraph" w:styleId="TOC5">
    <w:name w:val="toc 5"/>
    <w:basedOn w:val="Normal"/>
    <w:next w:val="Normal"/>
    <w:autoRedefine/>
    <w:uiPriority w:val="39"/>
    <w:unhideWhenUsed/>
    <w:rsid w:val="00830E23"/>
    <w:pPr>
      <w:spacing w:after="100" w:line="276" w:lineRule="auto"/>
      <w:ind w:left="880"/>
      <w:jc w:val="left"/>
    </w:pPr>
    <w:rPr>
      <w:rFonts w:eastAsiaTheme="minorEastAsia"/>
      <w:lang w:val="fr-FR" w:eastAsia="zh-CN"/>
    </w:rPr>
  </w:style>
  <w:style w:type="paragraph" w:styleId="TOC6">
    <w:name w:val="toc 6"/>
    <w:basedOn w:val="Normal"/>
    <w:next w:val="Normal"/>
    <w:autoRedefine/>
    <w:uiPriority w:val="39"/>
    <w:unhideWhenUsed/>
    <w:rsid w:val="00830E23"/>
    <w:pPr>
      <w:spacing w:after="100" w:line="276" w:lineRule="auto"/>
      <w:ind w:left="1100"/>
      <w:jc w:val="left"/>
    </w:pPr>
    <w:rPr>
      <w:rFonts w:eastAsiaTheme="minorEastAsia"/>
      <w:lang w:val="fr-FR" w:eastAsia="zh-CN"/>
    </w:rPr>
  </w:style>
  <w:style w:type="paragraph" w:styleId="TOC7">
    <w:name w:val="toc 7"/>
    <w:basedOn w:val="Normal"/>
    <w:next w:val="Normal"/>
    <w:autoRedefine/>
    <w:uiPriority w:val="39"/>
    <w:unhideWhenUsed/>
    <w:rsid w:val="00830E23"/>
    <w:pPr>
      <w:spacing w:after="100" w:line="276" w:lineRule="auto"/>
      <w:ind w:left="1320"/>
      <w:jc w:val="left"/>
    </w:pPr>
    <w:rPr>
      <w:rFonts w:eastAsiaTheme="minorEastAsia"/>
      <w:lang w:val="fr-FR" w:eastAsia="zh-CN"/>
    </w:rPr>
  </w:style>
  <w:style w:type="paragraph" w:styleId="TOC8">
    <w:name w:val="toc 8"/>
    <w:basedOn w:val="Normal"/>
    <w:next w:val="Normal"/>
    <w:autoRedefine/>
    <w:uiPriority w:val="39"/>
    <w:unhideWhenUsed/>
    <w:rsid w:val="00830E23"/>
    <w:pPr>
      <w:spacing w:after="100" w:line="276" w:lineRule="auto"/>
      <w:ind w:left="1540"/>
      <w:jc w:val="left"/>
    </w:pPr>
    <w:rPr>
      <w:rFonts w:eastAsiaTheme="minorEastAsia"/>
      <w:lang w:val="fr-FR" w:eastAsia="zh-CN"/>
    </w:rPr>
  </w:style>
  <w:style w:type="paragraph" w:styleId="TOC9">
    <w:name w:val="toc 9"/>
    <w:basedOn w:val="Normal"/>
    <w:next w:val="Normal"/>
    <w:autoRedefine/>
    <w:uiPriority w:val="39"/>
    <w:unhideWhenUsed/>
    <w:rsid w:val="00830E23"/>
    <w:pPr>
      <w:spacing w:after="100" w:line="276" w:lineRule="auto"/>
      <w:ind w:left="1760"/>
      <w:jc w:val="left"/>
    </w:pPr>
    <w:rPr>
      <w:rFonts w:eastAsiaTheme="minorEastAsia"/>
      <w:lang w:val="fr-FR" w:eastAsia="zh-CN"/>
    </w:rPr>
  </w:style>
  <w:style w:type="character" w:styleId="Emphasis">
    <w:name w:val="Emphasis"/>
    <w:basedOn w:val="DefaultParagraphFont"/>
    <w:uiPriority w:val="20"/>
    <w:qFormat/>
    <w:rsid w:val="00634BC1"/>
    <w:rPr>
      <w:i/>
      <w:iCs/>
    </w:rPr>
  </w:style>
  <w:style w:type="character" w:styleId="SubtleEmphasis">
    <w:name w:val="Subtle Emphasis"/>
    <w:basedOn w:val="DefaultParagraphFont"/>
    <w:uiPriority w:val="19"/>
    <w:qFormat/>
    <w:rsid w:val="00634BC1"/>
    <w:rPr>
      <w:i/>
      <w:iCs/>
      <w:color w:val="808080" w:themeColor="text1" w:themeTint="7F"/>
    </w:rPr>
  </w:style>
  <w:style w:type="paragraph" w:customStyle="1" w:styleId="Num-DocParagraph">
    <w:name w:val="Num-Doc Paragraph"/>
    <w:basedOn w:val="BodyText"/>
    <w:link w:val="Num-DocParagraphChar1"/>
    <w:autoRedefine/>
    <w:rsid w:val="00A144EC"/>
    <w:pPr>
      <w:tabs>
        <w:tab w:val="left" w:pos="850"/>
        <w:tab w:val="left" w:pos="1191"/>
        <w:tab w:val="left" w:pos="1531"/>
      </w:tabs>
      <w:spacing w:before="120" w:after="120"/>
    </w:pPr>
    <w:rPr>
      <w:rFonts w:asciiTheme="minorHAnsi" w:hAnsiTheme="minorHAnsi" w:cstheme="minorHAnsi"/>
      <w:sz w:val="22"/>
      <w:szCs w:val="22"/>
      <w:lang w:val="en-NZ" w:eastAsia="zh-CN"/>
    </w:rPr>
  </w:style>
  <w:style w:type="character" w:customStyle="1" w:styleId="Num-DocParagraphChar1">
    <w:name w:val="Num-Doc Paragraph Char1"/>
    <w:link w:val="Num-DocParagraph"/>
    <w:rsid w:val="00A144EC"/>
    <w:rPr>
      <w:rFonts w:eastAsia="Times New Roman" w:cstheme="minorHAnsi"/>
      <w:lang w:val="en-NZ" w:eastAsia="zh-CN"/>
    </w:rPr>
  </w:style>
  <w:style w:type="paragraph" w:styleId="BodyTextIndent3">
    <w:name w:val="Body Text Indent 3"/>
    <w:basedOn w:val="Normal"/>
    <w:link w:val="BodyTextIndent3Char"/>
    <w:uiPriority w:val="99"/>
    <w:semiHidden/>
    <w:unhideWhenUsed/>
    <w:rsid w:val="00A144EC"/>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A144EC"/>
    <w:rPr>
      <w:rFonts w:ascii="Times New Roman" w:eastAsia="Times New Roman" w:hAnsi="Times New Roman" w:cs="Times New Roman"/>
      <w:sz w:val="16"/>
      <w:szCs w:val="16"/>
    </w:rPr>
  </w:style>
  <w:style w:type="paragraph" w:customStyle="1" w:styleId="CItext">
    <w:name w:val="CI text"/>
    <w:basedOn w:val="Normal"/>
    <w:rsid w:val="00A144EC"/>
    <w:pPr>
      <w:spacing w:after="0" w:line="260" w:lineRule="exact"/>
      <w:jc w:val="left"/>
    </w:pPr>
    <w:rPr>
      <w:rFonts w:ascii="Times New Roman" w:eastAsia="Times" w:hAnsi="Times New Roman" w:cs="Times New Roman"/>
      <w:szCs w:val="20"/>
    </w:rPr>
  </w:style>
  <w:style w:type="paragraph" w:styleId="Revision">
    <w:name w:val="Revision"/>
    <w:hidden/>
    <w:uiPriority w:val="99"/>
    <w:semiHidden/>
    <w:rsid w:val="00A144EC"/>
    <w:pPr>
      <w:spacing w:after="0" w:line="240" w:lineRule="auto"/>
    </w:pPr>
    <w:rPr>
      <w:rFonts w:ascii="Times New Roman" w:eastAsia="Times New Roman" w:hAnsi="Times New Roman" w:cs="Times New Roman"/>
      <w:szCs w:val="20"/>
    </w:rPr>
  </w:style>
  <w:style w:type="paragraph" w:customStyle="1" w:styleId="TableNote">
    <w:name w:val="Table Note"/>
    <w:basedOn w:val="Normal"/>
    <w:rsid w:val="00A144EC"/>
    <w:pPr>
      <w:tabs>
        <w:tab w:val="left" w:pos="850"/>
        <w:tab w:val="left" w:pos="1191"/>
        <w:tab w:val="left" w:pos="1531"/>
      </w:tabs>
      <w:spacing w:after="120"/>
      <w:jc w:val="left"/>
    </w:pPr>
    <w:rPr>
      <w:rFonts w:ascii="Arial" w:eastAsia="Times New Roman" w:hAnsi="Arial" w:cs="Arial"/>
      <w:noProof/>
      <w:sz w:val="16"/>
      <w:szCs w:val="18"/>
    </w:rPr>
  </w:style>
  <w:style w:type="paragraph" w:customStyle="1" w:styleId="TableTitle">
    <w:name w:val="Table Title"/>
    <w:basedOn w:val="Normal"/>
    <w:rsid w:val="00A144EC"/>
    <w:pPr>
      <w:keepNext/>
      <w:tabs>
        <w:tab w:val="left" w:pos="850"/>
        <w:tab w:val="left" w:pos="1191"/>
        <w:tab w:val="left" w:pos="1531"/>
      </w:tabs>
      <w:spacing w:after="240"/>
      <w:jc w:val="center"/>
    </w:pPr>
    <w:rPr>
      <w:rFonts w:ascii="Arial" w:eastAsia="Times New Roman" w:hAnsi="Arial" w:cs="Arial"/>
      <w:b/>
      <w:bCs/>
      <w:noProof/>
      <w:sz w:val="18"/>
    </w:rPr>
  </w:style>
  <w:style w:type="character" w:customStyle="1" w:styleId="A4">
    <w:name w:val="A4"/>
    <w:uiPriority w:val="99"/>
    <w:rsid w:val="00A144EC"/>
    <w:rPr>
      <w:rFonts w:cs="Gotham"/>
      <w:color w:val="000000"/>
      <w:sz w:val="18"/>
      <w:szCs w:val="18"/>
    </w:rPr>
  </w:style>
  <w:style w:type="character" w:styleId="HTMLCite">
    <w:name w:val="HTML Cite"/>
    <w:basedOn w:val="DefaultParagraphFont"/>
    <w:uiPriority w:val="99"/>
    <w:semiHidden/>
    <w:unhideWhenUsed/>
    <w:rsid w:val="00A144EC"/>
    <w:rPr>
      <w:i/>
      <w:iCs/>
    </w:rPr>
  </w:style>
  <w:style w:type="character" w:customStyle="1" w:styleId="apple-converted-space">
    <w:name w:val="apple-converted-space"/>
    <w:basedOn w:val="DefaultParagraphFont"/>
    <w:rsid w:val="00E8216F"/>
  </w:style>
  <w:style w:type="paragraph" w:styleId="Caption">
    <w:name w:val="caption"/>
    <w:basedOn w:val="Normal"/>
    <w:next w:val="Normal"/>
    <w:qFormat/>
    <w:rsid w:val="00B30AD2"/>
    <w:pPr>
      <w:spacing w:before="120" w:after="120"/>
    </w:pPr>
    <w:rPr>
      <w:rFonts w:asciiTheme="majorHAnsi" w:eastAsia="Times New Roman" w:hAnsiTheme="majorHAnsi" w:cs="Times New Roman"/>
      <w:i/>
      <w:iCs/>
      <w:szCs w:val="20"/>
    </w:rPr>
  </w:style>
  <w:style w:type="paragraph" w:customStyle="1" w:styleId="Text2">
    <w:name w:val="Text 2"/>
    <w:basedOn w:val="Normal"/>
    <w:rsid w:val="00B30AD2"/>
    <w:pPr>
      <w:tabs>
        <w:tab w:val="left" w:pos="2161"/>
      </w:tabs>
      <w:spacing w:before="120" w:after="240"/>
      <w:ind w:left="1202"/>
    </w:pPr>
    <w:rPr>
      <w:rFonts w:ascii="Arial" w:eastAsia="Times New Roman" w:hAnsi="Arial" w:cs="Times New Roman"/>
      <w:sz w:val="20"/>
      <w:szCs w:val="20"/>
      <w:lang w:eastAsia="en-GB"/>
    </w:rPr>
  </w:style>
  <w:style w:type="character" w:customStyle="1" w:styleId="tgc">
    <w:name w:val="_tgc"/>
    <w:basedOn w:val="DefaultParagraphFont"/>
    <w:rsid w:val="00B30AD2"/>
  </w:style>
  <w:style w:type="paragraph" w:styleId="PlainText">
    <w:name w:val="Plain Text"/>
    <w:basedOn w:val="Normal"/>
    <w:link w:val="PlainTextChar"/>
    <w:uiPriority w:val="99"/>
    <w:unhideWhenUsed/>
    <w:rsid w:val="00E979C5"/>
    <w:pPr>
      <w:spacing w:after="0"/>
      <w:jc w:val="left"/>
    </w:pPr>
    <w:rPr>
      <w:rFonts w:ascii="Calibri" w:hAnsi="Calibri"/>
      <w:szCs w:val="21"/>
    </w:rPr>
  </w:style>
  <w:style w:type="character" w:customStyle="1" w:styleId="PlainTextChar">
    <w:name w:val="Plain Text Char"/>
    <w:basedOn w:val="DefaultParagraphFont"/>
    <w:link w:val="PlainText"/>
    <w:uiPriority w:val="99"/>
    <w:rsid w:val="00E979C5"/>
    <w:rPr>
      <w:rFonts w:ascii="Calibri" w:hAnsi="Calibri"/>
      <w:szCs w:val="21"/>
      <w:lang w:val="en-GB"/>
    </w:rPr>
  </w:style>
  <w:style w:type="character" w:customStyle="1" w:styleId="UnresolvedMention1">
    <w:name w:val="Unresolved Mention1"/>
    <w:basedOn w:val="DefaultParagraphFont"/>
    <w:uiPriority w:val="99"/>
    <w:semiHidden/>
    <w:unhideWhenUsed/>
    <w:rsid w:val="00E60214"/>
    <w:rPr>
      <w:color w:val="808080"/>
      <w:shd w:val="clear" w:color="auto" w:fill="E6E6E6"/>
    </w:rPr>
  </w:style>
  <w:style w:type="character" w:customStyle="1" w:styleId="UnresolvedMention">
    <w:name w:val="Unresolved Mention"/>
    <w:basedOn w:val="DefaultParagraphFont"/>
    <w:uiPriority w:val="99"/>
    <w:semiHidden/>
    <w:unhideWhenUsed/>
    <w:rsid w:val="008952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9959">
      <w:bodyDiv w:val="1"/>
      <w:marLeft w:val="0"/>
      <w:marRight w:val="0"/>
      <w:marTop w:val="0"/>
      <w:marBottom w:val="0"/>
      <w:divBdr>
        <w:top w:val="none" w:sz="0" w:space="0" w:color="auto"/>
        <w:left w:val="none" w:sz="0" w:space="0" w:color="auto"/>
        <w:bottom w:val="none" w:sz="0" w:space="0" w:color="auto"/>
        <w:right w:val="none" w:sz="0" w:space="0" w:color="auto"/>
      </w:divBdr>
    </w:div>
    <w:div w:id="13505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ctd.org"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ernetlivestats.com/internet-user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ternationalcompetitionnetwork.org"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igo/" TargetMode="External"/><Relationship Id="rId14" Type="http://schemas.openxmlformats.org/officeDocument/2006/relationships/hyperlink" Target="http://www.oecd.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greatplacetowork.com.pe/storage/documents/suplemento-gptwperu-2014baja.pdf" TargetMode="External"/><Relationship Id="rId18" Type="http://schemas.openxmlformats.org/officeDocument/2006/relationships/hyperlink" Target="http://ec.europa.eu/consumers/consumers_safety/safety_products/rapex/alerts/main/?event=main.listNotifications" TargetMode="External"/><Relationship Id="rId26" Type="http://schemas.openxmlformats.org/officeDocument/2006/relationships/hyperlink" Target="https://www.citizensadvice.org.uk/personal-data-empowerment-time-for-a-fairer-deal/" TargetMode="External"/><Relationship Id="rId39" Type="http://schemas.openxmlformats.org/officeDocument/2006/relationships/hyperlink" Target="http://www.internetworldstats.com/stats.htm" TargetMode="External"/><Relationship Id="rId21" Type="http://schemas.openxmlformats.org/officeDocument/2006/relationships/hyperlink" Target="http://www.cpsc.gov/en/Business--Manufacturing/Business-Education/" TargetMode="External"/><Relationship Id="rId34" Type="http://schemas.openxmlformats.org/officeDocument/2006/relationships/hyperlink" Target="http://www.thisismoney.co.uk/money/news/article-3181723/PPI-bill-soars-27bn-scandal-costs-banks-1-000-family-Britain.html" TargetMode="External"/><Relationship Id="rId42" Type="http://schemas.openxmlformats.org/officeDocument/2006/relationships/hyperlink" Target="http://ec.europa.eu/public%20_opinion/flash/fl_en.pdf" TargetMode="External"/><Relationship Id="rId47" Type="http://schemas.openxmlformats.org/officeDocument/2006/relationships/hyperlink" Target="http://unctad.org/en/Pages/DTL/STI_and_ICTs/ICT4D-Legislation/eCom-Global-Legislation.aspx" TargetMode="External"/><Relationship Id="rId50" Type="http://schemas.openxmlformats.org/officeDocument/2006/relationships/hyperlink" Target="http://unctad.org/en/PublicationsLibrary/dtlstict2015d2_en.pdf" TargetMode="External"/><Relationship Id="rId55" Type="http://schemas.openxmlformats.org/officeDocument/2006/relationships/hyperlink" Target="https://www.privacyinternational.org/privacy-101" TargetMode="External"/><Relationship Id="rId63" Type="http://schemas.openxmlformats.org/officeDocument/2006/relationships/hyperlink" Target="http://bit.ly/1QOoSSE" TargetMode="External"/><Relationship Id="rId68" Type="http://schemas.openxmlformats.org/officeDocument/2006/relationships/hyperlink" Target="http://bit.ly/1RGHLvG" TargetMode="External"/><Relationship Id="rId76" Type="http://schemas.openxmlformats.org/officeDocument/2006/relationships/hyperlink" Target="http://www.thisismoney.co.uk/money/news/article-3181723/PPI-bill-soars-27bn-scandal-costs-banks-1-000-family-Britain.html" TargetMode="External"/><Relationship Id="rId7" Type="http://schemas.openxmlformats.org/officeDocument/2006/relationships/hyperlink" Target="http://www.consumidor.gob.mx/wordpress/wp-content/uploads/2012/04/SENTENCIA_AMPARO_MEXICANA.pdf" TargetMode="External"/><Relationship Id="rId71" Type="http://schemas.openxmlformats.org/officeDocument/2006/relationships/hyperlink" Target="http://ec.europa.eu/justice/data-protection/index_en.htm" TargetMode="External"/><Relationship Id="rId2" Type="http://schemas.openxmlformats.org/officeDocument/2006/relationships/hyperlink" Target="http://www.presidency.ucsb.e-du/ws/index.php?pid=9108" TargetMode="External"/><Relationship Id="rId16" Type="http://schemas.openxmlformats.org/officeDocument/2006/relationships/hyperlink" Target="http://www.smartcampaign.org/about-the-campaign/campaign-sponsors" TargetMode="External"/><Relationship Id="rId29" Type="http://schemas.openxmlformats.org/officeDocument/2006/relationships/hyperlink" Target="http://www.statistica.com" TargetMode="External"/><Relationship Id="rId11" Type="http://schemas.openxmlformats.org/officeDocument/2006/relationships/hyperlink" Target="http://www.wto.org" TargetMode="External"/><Relationship Id="rId24" Type="http://schemas.openxmlformats.org/officeDocument/2006/relationships/hyperlink" Target="http://www.globalrecalls.oecd.org" TargetMode="External"/><Relationship Id="rId32" Type="http://schemas.openxmlformats.org/officeDocument/2006/relationships/hyperlink" Target="http://ec.europa.eu/consumers/solving_consumer_disputes/non-judicial_redress/adr-odr/index_en.htm" TargetMode="External"/><Relationship Id="rId37" Type="http://schemas.openxmlformats.org/officeDocument/2006/relationships/hyperlink" Target="http://www.statista.com/markets/413/e-commerce/" TargetMode="External"/><Relationship Id="rId40" Type="http://schemas.openxmlformats.org/officeDocument/2006/relationships/hyperlink" Target="http://www.economist.com/news/leaders/21693925-battle-indias-e-commerce-market-about-much-more-retailing-india-online" TargetMode="External"/><Relationship Id="rId45" Type="http://schemas.openxmlformats.org/officeDocument/2006/relationships/hyperlink" Target="http://www.bmjv.de/G20/EN/ConsumerSummit/G20_node.html" TargetMode="External"/><Relationship Id="rId53" Type="http://schemas.openxmlformats.org/officeDocument/2006/relationships/hyperlink" Target="http://www.economist.com/news/finance-and-economics/21690106-payments-unicorn-seeks-become-dray-horse-bank-getting-more-ambitious" TargetMode="External"/><Relationship Id="rId58" Type="http://schemas.openxmlformats.org/officeDocument/2006/relationships/hyperlink" Target="http://bit.ly/1NIETKt" TargetMode="External"/><Relationship Id="rId66" Type="http://schemas.openxmlformats.org/officeDocument/2006/relationships/hyperlink" Target="http://bit.ly/1QhHv0C" TargetMode="External"/><Relationship Id="rId74" Type="http://schemas.openxmlformats.org/officeDocument/2006/relationships/hyperlink" Target="http://bit.ly/1XtrIBG" TargetMode="External"/><Relationship Id="rId79" Type="http://schemas.openxmlformats.org/officeDocument/2006/relationships/hyperlink" Target="http://www.justlabelit.org/right-to-know-center/labeling-around-the-world/2016" TargetMode="External"/><Relationship Id="rId5" Type="http://schemas.openxmlformats.org/officeDocument/2006/relationships/hyperlink" Target="http://President" TargetMode="External"/><Relationship Id="rId61" Type="http://schemas.openxmlformats.org/officeDocument/2006/relationships/hyperlink" Target="http://bit.ly/1RGHLvG" TargetMode="External"/><Relationship Id="rId82" Type="http://schemas.openxmlformats.org/officeDocument/2006/relationships/hyperlink" Target="http://www.genewatch.org/sub-532326" TargetMode="External"/><Relationship Id="rId10" Type="http://schemas.openxmlformats.org/officeDocument/2006/relationships/hyperlink" Target="http://www.wto.org" TargetMode="External"/><Relationship Id="rId19" Type="http://schemas.openxmlformats.org/officeDocument/2006/relationships/hyperlink" Target="http://eur-lex.europa.eu/legal-content/EN/TXT/?uri=URISERV%3Al32048" TargetMode="External"/><Relationship Id="rId31" Type="http://schemas.openxmlformats.org/officeDocument/2006/relationships/hyperlink" Target="http://ec.europa.eu/consumers/consumer_research/editions/docs/9th_edition_scoreboard_en.pdf" TargetMode="External"/><Relationship Id="rId44" Type="http://schemas.openxmlformats.org/officeDocument/2006/relationships/hyperlink" Target="http://ec.europa.eu.consumers/consumer_research/market_studies/docs/study_ecommerce_goods_en.pdf" TargetMode="External"/><Relationship Id="rId52" Type="http://schemas.openxmlformats.org/officeDocument/2006/relationships/hyperlink" Target="http://goo.gl/W8JREa" TargetMode="External"/><Relationship Id="rId60" Type="http://schemas.openxmlformats.org/officeDocument/2006/relationships/hyperlink" Target="https://www.cigionline.org/internet-survey-2016" TargetMode="External"/><Relationship Id="rId65" Type="http://schemas.openxmlformats.org/officeDocument/2006/relationships/hyperlink" Target="http://www.is-journal.org" TargetMode="External"/><Relationship Id="rId73" Type="http://schemas.openxmlformats.org/officeDocument/2006/relationships/hyperlink" Target="http://bit.ly/1XtrIBG" TargetMode="External"/><Relationship Id="rId78" Type="http://schemas.openxmlformats.org/officeDocument/2006/relationships/hyperlink" Target="http://www.un.org/millenniumgoals/2015_MDG_Report/pdf/MDG%202015%20rev%20(July%201).pdf" TargetMode="External"/><Relationship Id="rId81" Type="http://schemas.openxmlformats.org/officeDocument/2006/relationships/hyperlink" Target="http://sustainablepulse.com/2015/10/22/gm-crops-now-banned-in-36-countries-worldwide-sustainable-pulse-research/" TargetMode="External"/><Relationship Id="rId4" Type="http://schemas.openxmlformats.org/officeDocument/2006/relationships/hyperlink" Target="https://www.whitehouse.gov/sites/default/files/microsites/ostp/PCAST/pcast_big_data_and_privacy_may_2014.pdf" TargetMode="External"/><Relationship Id="rId9" Type="http://schemas.openxmlformats.org/officeDocument/2006/relationships/hyperlink" Target="http://www.alrc.gov.au/sites/default/files/subs/745._org_choice_submission.docx" TargetMode="External"/><Relationship Id="rId14" Type="http://schemas.openxmlformats.org/officeDocument/2006/relationships/hyperlink" Target="http://www.lauterkeit.chapter/komm1F.htm" TargetMode="External"/><Relationship Id="rId22" Type="http://schemas.openxmlformats.org/officeDocument/2006/relationships/hyperlink" Target="http://ec.europa.eu/consumers/consumers_safety/safety_products/rapex/alerts/main/?event=main.listNotifications" TargetMode="External"/><Relationship Id="rId27" Type="http://schemas.openxmlformats.org/officeDocument/2006/relationships/hyperlink" Target="http://www.isealalliance.org/our-work/defining-credibility/credibility-principles" TargetMode="External"/><Relationship Id="rId30" Type="http://schemas.openxmlformats.org/officeDocument/2006/relationships/hyperlink" Target="http://www.who.int/dietphysicalactivity/publications/recsmarketing/en/" TargetMode="External"/><Relationship Id="rId35" Type="http://schemas.openxmlformats.org/officeDocument/2006/relationships/hyperlink" Target="https://stats.oecd.org/glossary/detail.asp?ID=4721" TargetMode="External"/><Relationship Id="rId43" Type="http://schemas.openxmlformats.org/officeDocument/2006/relationships/hyperlink" Target="http://bit.ly/1V7oDK5" TargetMode="External"/><Relationship Id="rId48" Type="http://schemas.openxmlformats.org/officeDocument/2006/relationships/hyperlink" Target="http://www.uncitral.org/pdf/english/texts/electcom/06-57452_Ebook.pdf" TargetMode="External"/><Relationship Id="rId56" Type="http://schemas.openxmlformats.org/officeDocument/2006/relationships/hyperlink" Target="https://www.technologyreview.com/business-report/big-data-gets-personal/download/?redirectTo=%2Fs%2F514351%2Fhas-big-data-made-anonymity-impossible%2F" TargetMode="External"/><Relationship Id="rId64" Type="http://schemas.openxmlformats.org/officeDocument/2006/relationships/hyperlink" Target="http://symc.ly/1Klmlm7" TargetMode="External"/><Relationship Id="rId69" Type="http://schemas.openxmlformats.org/officeDocument/2006/relationships/hyperlink" Target="http://bit.ly/1XEMyMQ" TargetMode="External"/><Relationship Id="rId77" Type="http://schemas.openxmlformats.org/officeDocument/2006/relationships/hyperlink" Target="http://www.undp.org/content/undp/en/home/librarypage/mdg/the-millennium-development-goals-report-2015.html" TargetMode="External"/><Relationship Id="rId8" Type="http://schemas.openxmlformats.org/officeDocument/2006/relationships/hyperlink" Target="https://www.whitehouse.gov/sites/default/files/microsites/ostp/PCAST/pcast_big_data_and_privacy_may_2014.pdf" TargetMode="External"/><Relationship Id="rId51" Type="http://schemas.openxmlformats.org/officeDocument/2006/relationships/hyperlink" Target="http://www.who.int/disabilities/world_report/2011/report.pdf" TargetMode="External"/><Relationship Id="rId72" Type="http://schemas.openxmlformats.org/officeDocument/2006/relationships/hyperlink" Target="http://bit.ly/1HjvAiI" TargetMode="External"/><Relationship Id="rId80" Type="http://schemas.openxmlformats.org/officeDocument/2006/relationships/hyperlink" Target="http://naturalrevolution.org/list-countries-banned-genetically-modified-food/2016" TargetMode="External"/><Relationship Id="rId3" Type="http://schemas.openxmlformats.org/officeDocument/2006/relationships/hyperlink" Target="http://www.presidency.ucsb.e-du/ws/index.php?pid=9108" TargetMode="External"/><Relationship Id="rId12" Type="http://schemas.openxmlformats.org/officeDocument/2006/relationships/hyperlink" Target="http://www.lexnet.dk/law/download/treaties/Ect-1997.pdf" TargetMode="External"/><Relationship Id="rId17" Type="http://schemas.openxmlformats.org/officeDocument/2006/relationships/hyperlink" Target="http://www.icpen.org" TargetMode="External"/><Relationship Id="rId25" Type="http://schemas.openxmlformats.org/officeDocument/2006/relationships/hyperlink" Target="http://www.iccwbo.org/advocacy-codes-and-rules/bascap/consumer-awareness/consumer-perceptions/" TargetMode="External"/><Relationship Id="rId33" Type="http://schemas.openxmlformats.org/officeDocument/2006/relationships/hyperlink" Target="http://www.colinrule.com/writing/UALR2012.pdf" TargetMode="External"/><Relationship Id="rId38" Type="http://schemas.openxmlformats.org/officeDocument/2006/relationships/hyperlink" Target="https://rjmetrics.com/resources/reports/ecommerce-buyer-behavior/?utm_source=pardot&amp;utm_medium=email&amp;utm_campaign=adr+content" TargetMode="External"/><Relationship Id="rId46" Type="http://schemas.openxmlformats.org/officeDocument/2006/relationships/hyperlink" Target="http://www.oecd.org/sti/ieconomy/2013-oecd-privacy-guidelines.pdf" TargetMode="External"/><Relationship Id="rId59" Type="http://schemas.openxmlformats.org/officeDocument/2006/relationships/hyperlink" Target="http://bit.ly/1e51fJX" TargetMode="External"/><Relationship Id="rId67" Type="http://schemas.openxmlformats.org/officeDocument/2006/relationships/hyperlink" Target="http://bit.ly/1F4S958" TargetMode="External"/><Relationship Id="rId20" Type="http://schemas.openxmlformats.org/officeDocument/2006/relationships/hyperlink" Target="http://www.ec.europa.eu/consumers/ecc/" TargetMode="External"/><Relationship Id="rId41" Type="http://schemas.openxmlformats.org/officeDocument/2006/relationships/hyperlink" Target="http://growwithtrellis.com/blog/top-10-ecommerce-markets-by-country/" TargetMode="External"/><Relationship Id="rId54" Type="http://schemas.openxmlformats.org/officeDocument/2006/relationships/hyperlink" Target="http://www.oecd.org/sti/ieconomy/2013-oecd-privacy-guidelines.pdf" TargetMode="External"/><Relationship Id="rId62" Type="http://schemas.openxmlformats.org/officeDocument/2006/relationships/hyperlink" Target="http://bit.ly/1TjkP5t" TargetMode="External"/><Relationship Id="rId70" Type="http://schemas.openxmlformats.org/officeDocument/2006/relationships/hyperlink" Target="http://unctad.org/en/PublicationsLibrary/dtlstict2016d1_en.pdf" TargetMode="External"/><Relationship Id="rId75" Type="http://schemas.openxmlformats.org/officeDocument/2006/relationships/hyperlink" Target="http://unctad.org/en/PublicationsLibrary/dtlstict2016d1_en.pdf" TargetMode="External"/><Relationship Id="rId83" Type="http://schemas.openxmlformats.org/officeDocument/2006/relationships/hyperlink" Target="http://www.economist.com/news/special-report/21568064-food-companies-play-ambivalent-part-fight-against-flab-food-thought" TargetMode="External"/><Relationship Id="rId1" Type="http://schemas.openxmlformats.org/officeDocument/2006/relationships/hyperlink" Target="http://www.presidency.ucsb.e-du/ws/index.php?pid=9108" TargetMode="External"/><Relationship Id="rId6" Type="http://schemas.openxmlformats.org/officeDocument/2006/relationships/hyperlink" Target="https://en.wikipedia.org/wiki/John_F._Kennedy" TargetMode="External"/><Relationship Id="rId15" Type="http://schemas.openxmlformats.org/officeDocument/2006/relationships/hyperlink" Target="http://www.iccwbo.org/Data/Policies/2011/ICC-Consolidated-Code-of-Advertising-and-Marketing-2011-English/" TargetMode="External"/><Relationship Id="rId23" Type="http://schemas.openxmlformats.org/officeDocument/2006/relationships/hyperlink" Target="http://www.prosafe.org/" TargetMode="External"/><Relationship Id="rId28" Type="http://schemas.openxmlformats.org/officeDocument/2006/relationships/hyperlink" Target="http://www.cmocouncil.org/facts-stats-categories.php?view=all&amp;category...spend" TargetMode="External"/><Relationship Id="rId36" Type="http://schemas.openxmlformats.org/officeDocument/2006/relationships/hyperlink" Target="http://www.internetlivestats.com/internet-users/" TargetMode="External"/><Relationship Id="rId49" Type="http://schemas.openxmlformats.org/officeDocument/2006/relationships/hyperlink" Target="http://unctad.org/en/PublicationsLibrary/dtlstict2013d1_en.pdf" TargetMode="External"/><Relationship Id="rId57" Type="http://schemas.openxmlformats.org/officeDocument/2006/relationships/hyperlink" Target="http://www.technologyreview.com/news/514351/has-big-data-made-anonymity-impo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2616-C090-41A0-8E44-B74CD120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181</Pages>
  <Words>85601</Words>
  <Characters>483647</Characters>
  <Application>Microsoft Office Word</Application>
  <DocSecurity>0</DocSecurity>
  <Lines>8197</Lines>
  <Paragraphs>4412</Paragraphs>
  <ScaleCrop>false</ScaleCrop>
  <HeadingPairs>
    <vt:vector size="2" baseType="variant">
      <vt:variant>
        <vt:lpstr>Title</vt:lpstr>
      </vt:variant>
      <vt:variant>
        <vt:i4>1</vt:i4>
      </vt:variant>
    </vt:vector>
  </HeadingPairs>
  <TitlesOfParts>
    <vt:vector size="1" baseType="lpstr">
      <vt:lpstr/>
    </vt:vector>
  </TitlesOfParts>
  <Company>Consumers International</Company>
  <LinksUpToDate>false</LinksUpToDate>
  <CharactersWithSpaces>564836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rsimpson</dc:creator>
  <cp:lastModifiedBy>Kseniia Pavlenko</cp:lastModifiedBy>
  <cp:revision>2</cp:revision>
  <cp:lastPrinted>2017-10-31T08:22:00Z</cp:lastPrinted>
  <dcterms:created xsi:type="dcterms:W3CDTF">2017-11-02T15:48:00Z</dcterms:created>
  <dcterms:modified xsi:type="dcterms:W3CDTF">2017-11-02T15:48:00Z</dcterms:modified>
</cp:coreProperties>
</file>