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85D43" w:rsidP="00B23430">
            <w:pPr>
              <w:jc w:val="right"/>
            </w:pPr>
            <w:r w:rsidRPr="00B85D43">
              <w:rPr>
                <w:sz w:val="40"/>
              </w:rPr>
              <w:t>ECE</w:t>
            </w:r>
            <w:r>
              <w:t>/CECI/2016/</w:t>
            </w:r>
            <w:r w:rsidR="00B23430">
              <w:t>6</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85D43" w:rsidP="00B85D43">
            <w:pPr>
              <w:spacing w:before="240" w:line="240" w:lineRule="exact"/>
            </w:pPr>
            <w:r>
              <w:t xml:space="preserve">Distr.: </w:t>
            </w:r>
            <w:r w:rsidR="00B23430">
              <w:t>General</w:t>
            </w:r>
          </w:p>
          <w:p w:rsidR="00B85D43" w:rsidRDefault="00AE698A" w:rsidP="00B85D43">
            <w:pPr>
              <w:spacing w:line="240" w:lineRule="exact"/>
            </w:pPr>
            <w:r>
              <w:t>1</w:t>
            </w:r>
            <w:r w:rsidR="00B07BF4">
              <w:t>4</w:t>
            </w:r>
            <w:r w:rsidR="00B85D43">
              <w:t xml:space="preserve"> </w:t>
            </w:r>
            <w:r w:rsidR="00DF1688">
              <w:t>March</w:t>
            </w:r>
            <w:r w:rsidR="00B85D43">
              <w:t xml:space="preserve"> 2016</w:t>
            </w:r>
          </w:p>
          <w:p w:rsidR="00B85D43" w:rsidRDefault="00B85D43" w:rsidP="00B85D43">
            <w:pPr>
              <w:spacing w:line="240" w:lineRule="exact"/>
            </w:pPr>
          </w:p>
          <w:p w:rsidR="00B85D43" w:rsidRDefault="00B23430" w:rsidP="00B85D43">
            <w:pPr>
              <w:spacing w:line="240" w:lineRule="exact"/>
            </w:pPr>
            <w:r>
              <w:t>Original: English</w:t>
            </w:r>
          </w:p>
        </w:tc>
      </w:tr>
    </w:tbl>
    <w:p w:rsidR="0015674D" w:rsidRPr="0015674D" w:rsidRDefault="0015674D" w:rsidP="0015674D">
      <w:pPr>
        <w:spacing w:line="20" w:lineRule="exact"/>
        <w:rPr>
          <w:b/>
          <w:sz w:val="2"/>
          <w:szCs w:val="28"/>
        </w:rPr>
      </w:pPr>
      <w:r>
        <w:rPr>
          <w:rStyle w:val="CommentReference"/>
        </w:rPr>
        <w:commentReference w:id="0"/>
      </w:r>
    </w:p>
    <w:p w:rsidR="00B23430" w:rsidRPr="00542F47" w:rsidRDefault="00B23430" w:rsidP="00B23430">
      <w:pPr>
        <w:spacing w:before="120"/>
        <w:rPr>
          <w:b/>
          <w:sz w:val="28"/>
          <w:szCs w:val="28"/>
        </w:rPr>
      </w:pPr>
      <w:r w:rsidRPr="00542F47">
        <w:rPr>
          <w:b/>
          <w:sz w:val="28"/>
          <w:szCs w:val="28"/>
        </w:rPr>
        <w:t>Economic Commission for Europe</w:t>
      </w:r>
    </w:p>
    <w:p w:rsidR="00B23430" w:rsidRPr="00542F47" w:rsidRDefault="00B23430" w:rsidP="00B23430">
      <w:pPr>
        <w:spacing w:before="120"/>
        <w:rPr>
          <w:sz w:val="24"/>
          <w:szCs w:val="24"/>
          <w:lang w:val="en-US"/>
        </w:rPr>
      </w:pPr>
      <w:r w:rsidRPr="00B113F7">
        <w:rPr>
          <w:sz w:val="28"/>
          <w:szCs w:val="28"/>
        </w:rPr>
        <w:t>Committee on</w:t>
      </w:r>
      <w:r w:rsidRPr="00542F47">
        <w:rPr>
          <w:sz w:val="24"/>
          <w:szCs w:val="24"/>
          <w:lang w:val="en-US"/>
        </w:rPr>
        <w:t xml:space="preserve"> </w:t>
      </w:r>
      <w:r>
        <w:rPr>
          <w:sz w:val="28"/>
          <w:szCs w:val="28"/>
        </w:rPr>
        <w:t>Innovation, Competitiveness and Public-Private Partnerships</w:t>
      </w:r>
    </w:p>
    <w:p w:rsidR="00B23430" w:rsidRPr="002A47EE" w:rsidRDefault="00B23430" w:rsidP="00B23430">
      <w:pPr>
        <w:spacing w:before="120"/>
        <w:rPr>
          <w:lang w:val="en-US"/>
        </w:rPr>
      </w:pPr>
      <w:r>
        <w:rPr>
          <w:b/>
          <w:bCs/>
          <w:lang w:val="en-US"/>
        </w:rPr>
        <w:t>Tenth</w:t>
      </w:r>
      <w:r w:rsidRPr="002A47EE">
        <w:rPr>
          <w:b/>
          <w:bCs/>
          <w:lang w:val="en-US"/>
        </w:rPr>
        <w:t xml:space="preserve"> session</w:t>
      </w:r>
    </w:p>
    <w:p w:rsidR="00B23430" w:rsidRPr="000019DC" w:rsidRDefault="00B23430" w:rsidP="00B23430">
      <w:pPr>
        <w:spacing w:before="5"/>
      </w:pPr>
      <w:r w:rsidRPr="002A47EE">
        <w:rPr>
          <w:lang w:val="en-US"/>
        </w:rPr>
        <w:t xml:space="preserve">Geneva, </w:t>
      </w:r>
      <w:r>
        <w:rPr>
          <w:lang w:val="en-US"/>
        </w:rPr>
        <w:t>23</w:t>
      </w:r>
      <w:r w:rsidRPr="002A47EE">
        <w:rPr>
          <w:lang w:val="en-US"/>
        </w:rPr>
        <w:t xml:space="preserve"> </w:t>
      </w:r>
      <w:r>
        <w:rPr>
          <w:lang w:val="en-US"/>
        </w:rPr>
        <w:t>–</w:t>
      </w:r>
      <w:r w:rsidRPr="002A47EE">
        <w:rPr>
          <w:lang w:val="en-US"/>
        </w:rPr>
        <w:t xml:space="preserve"> </w:t>
      </w:r>
      <w:r>
        <w:rPr>
          <w:lang w:val="en-US"/>
        </w:rPr>
        <w:t>25 May</w:t>
      </w:r>
      <w:r w:rsidRPr="002A47EE">
        <w:rPr>
          <w:lang w:val="en-US"/>
        </w:rPr>
        <w:t xml:space="preserve"> 201</w:t>
      </w:r>
      <w:r>
        <w:rPr>
          <w:lang w:val="en-US"/>
        </w:rPr>
        <w:t>6</w:t>
      </w:r>
    </w:p>
    <w:p w:rsidR="00B23430" w:rsidRPr="00542F47" w:rsidRDefault="00B23430" w:rsidP="00B23430">
      <w:pPr>
        <w:spacing w:before="5"/>
        <w:rPr>
          <w:lang w:val="en-US"/>
        </w:rPr>
      </w:pPr>
      <w:r w:rsidRPr="00542F47">
        <w:rPr>
          <w:lang w:val="en-US"/>
        </w:rPr>
        <w:t xml:space="preserve">Item </w:t>
      </w:r>
      <w:r w:rsidR="004A5E99">
        <w:rPr>
          <w:lang w:val="en-US"/>
        </w:rPr>
        <w:t>5</w:t>
      </w:r>
      <w:r>
        <w:rPr>
          <w:lang w:val="en-US"/>
        </w:rPr>
        <w:t>(b)</w:t>
      </w:r>
      <w:r w:rsidRPr="00542F47">
        <w:rPr>
          <w:lang w:val="en-US"/>
        </w:rPr>
        <w:t xml:space="preserve"> of the provisional agenda</w:t>
      </w:r>
    </w:p>
    <w:p w:rsidR="00B23430" w:rsidRDefault="004A5E99" w:rsidP="00B23430">
      <w:pPr>
        <w:rPr>
          <w:b/>
        </w:rPr>
      </w:pPr>
      <w:r>
        <w:rPr>
          <w:b/>
        </w:rPr>
        <w:t>Team of Specialists on Public-Private Partnerships (TOS-PPP)</w:t>
      </w:r>
    </w:p>
    <w:p w:rsidR="00B85D43" w:rsidRPr="00450D1F" w:rsidRDefault="00450D1F" w:rsidP="00B07BF4">
      <w:pPr>
        <w:pStyle w:val="HMG"/>
        <w:ind w:right="0"/>
      </w:pPr>
      <w:r>
        <w:tab/>
      </w:r>
      <w:r>
        <w:tab/>
      </w:r>
      <w:r w:rsidR="00B85D43" w:rsidRPr="00450D1F">
        <w:t>Proposal</w:t>
      </w:r>
      <w:r w:rsidR="00F05F70">
        <w:t xml:space="preserve"> </w:t>
      </w:r>
      <w:r w:rsidR="00AE74A9">
        <w:t>for</w:t>
      </w:r>
      <w:r w:rsidR="00BE6423">
        <w:t xml:space="preserve"> </w:t>
      </w:r>
      <w:r w:rsidR="00F05F70">
        <w:t>a Working Party on Public-</w:t>
      </w:r>
      <w:r w:rsidR="00B85D43" w:rsidRPr="00450D1F">
        <w:t xml:space="preserve">Private </w:t>
      </w:r>
      <w:r w:rsidR="0070240F">
        <w:t>P</w:t>
      </w:r>
      <w:r w:rsidRPr="00450D1F">
        <w:t xml:space="preserve">artnerships </w:t>
      </w:r>
      <w:r w:rsidR="00B23430">
        <w:t>(PPPs</w:t>
      </w:r>
      <w:r w:rsidR="00B85D43" w:rsidRPr="00450D1F">
        <w:t>)</w:t>
      </w:r>
      <w:r w:rsidR="008466A3">
        <w:t xml:space="preserve"> </w:t>
      </w:r>
      <w:r w:rsidR="00B85D43" w:rsidRPr="00450D1F">
        <w:t>in support</w:t>
      </w:r>
      <w:r w:rsidR="008466A3">
        <w:t xml:space="preserve"> </w:t>
      </w:r>
      <w:r w:rsidR="00B85D43" w:rsidRPr="00450D1F">
        <w:t>of the</w:t>
      </w:r>
      <w:r w:rsidR="008466A3">
        <w:t xml:space="preserve"> </w:t>
      </w:r>
      <w:r w:rsidR="00B85D43" w:rsidRPr="00450D1F">
        <w:t>UN Sustainable</w:t>
      </w:r>
      <w:r w:rsidR="008466A3">
        <w:t xml:space="preserve"> </w:t>
      </w:r>
      <w:r w:rsidR="00B85D43" w:rsidRPr="00450D1F">
        <w:t>Development Goals</w:t>
      </w:r>
    </w:p>
    <w:p w:rsidR="00B85D43" w:rsidRDefault="00FD409C" w:rsidP="00B07BF4">
      <w:pPr>
        <w:pStyle w:val="HChG"/>
      </w:pPr>
      <w:r>
        <w:tab/>
      </w:r>
      <w:r>
        <w:tab/>
      </w:r>
      <w:r w:rsidR="0070240F" w:rsidRPr="00867DB7">
        <w:t xml:space="preserve">Note by the </w:t>
      </w:r>
      <w:r w:rsidR="00B23430">
        <w:t xml:space="preserve">Secretariat </w:t>
      </w:r>
    </w:p>
    <w:p w:rsidR="00B85D43" w:rsidRDefault="00B85D43" w:rsidP="00B85D43">
      <w:pPr>
        <w:rPr>
          <w:b/>
          <w:sz w:val="8"/>
          <w:szCs w:val="8"/>
        </w:rPr>
      </w:pPr>
    </w:p>
    <w:tbl>
      <w:tblPr>
        <w:tblW w:w="8502" w:type="dxa"/>
        <w:tblInd w:w="582"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8502"/>
      </w:tblGrid>
      <w:tr w:rsidR="000E0424" w:rsidTr="000E0424">
        <w:trPr>
          <w:trHeight w:val="613"/>
        </w:trPr>
        <w:tc>
          <w:tcPr>
            <w:tcW w:w="8502" w:type="dxa"/>
            <w:shd w:val="clear" w:color="auto" w:fill="auto"/>
          </w:tcPr>
          <w:p w:rsidR="000E0424" w:rsidRPr="00256FC9" w:rsidRDefault="000E0424" w:rsidP="005A2E69">
            <w:pPr>
              <w:spacing w:before="240" w:after="120" w:line="264" w:lineRule="auto"/>
              <w:ind w:left="255"/>
              <w:rPr>
                <w:b/>
                <w:i/>
                <w:sz w:val="24"/>
              </w:rPr>
            </w:pPr>
            <w:r w:rsidRPr="00256FC9">
              <w:rPr>
                <w:b/>
                <w:i/>
                <w:sz w:val="24"/>
              </w:rPr>
              <w:t>Proposal by the Team of Specialists on P</w:t>
            </w:r>
            <w:r w:rsidR="005A2E69">
              <w:rPr>
                <w:b/>
                <w:i/>
                <w:sz w:val="24"/>
              </w:rPr>
              <w:t>ublic-</w:t>
            </w:r>
            <w:r w:rsidRPr="00256FC9">
              <w:rPr>
                <w:b/>
                <w:i/>
                <w:sz w:val="24"/>
              </w:rPr>
              <w:t>P</w:t>
            </w:r>
            <w:r w:rsidR="005A2E69">
              <w:rPr>
                <w:b/>
                <w:i/>
                <w:sz w:val="24"/>
              </w:rPr>
              <w:t xml:space="preserve">rivate </w:t>
            </w:r>
            <w:r w:rsidRPr="00256FC9">
              <w:rPr>
                <w:b/>
                <w:i/>
                <w:sz w:val="24"/>
              </w:rPr>
              <w:t>P</w:t>
            </w:r>
            <w:r w:rsidR="005A2E69">
              <w:rPr>
                <w:b/>
                <w:i/>
                <w:sz w:val="24"/>
              </w:rPr>
              <w:t>artnership</w:t>
            </w:r>
            <w:r w:rsidRPr="00256FC9">
              <w:rPr>
                <w:b/>
                <w:i/>
                <w:sz w:val="24"/>
              </w:rPr>
              <w:t>s (TOS PPP)</w:t>
            </w:r>
            <w:r w:rsidR="005A2E69">
              <w:rPr>
                <w:b/>
                <w:i/>
                <w:sz w:val="24"/>
              </w:rPr>
              <w:t xml:space="preserve"> </w:t>
            </w:r>
            <w:r w:rsidRPr="00B07BF4">
              <w:rPr>
                <w:i/>
                <w:sz w:val="24"/>
              </w:rPr>
              <w:t>Summary</w:t>
            </w:r>
          </w:p>
        </w:tc>
      </w:tr>
      <w:tr w:rsidR="000E0424" w:rsidTr="000E0424">
        <w:tc>
          <w:tcPr>
            <w:tcW w:w="8502" w:type="dxa"/>
            <w:shd w:val="clear" w:color="auto" w:fill="auto"/>
          </w:tcPr>
          <w:p w:rsidR="000E0424" w:rsidRPr="00E24DF2" w:rsidRDefault="000E0424" w:rsidP="00B07BF4">
            <w:pPr>
              <w:pStyle w:val="SingleTxtG"/>
              <w:spacing w:after="0"/>
              <w:ind w:firstLine="567"/>
            </w:pPr>
            <w:r w:rsidRPr="000E0424">
              <w:t>In</w:t>
            </w:r>
            <w:r w:rsidR="005A2E69">
              <w:t xml:space="preserve"> the light </w:t>
            </w:r>
            <w:r w:rsidRPr="000E0424">
              <w:t xml:space="preserve">of the work on the elaboration of international PPP standards and the global support which the UNECE PPP work has generated, the TOS PPP requests the </w:t>
            </w:r>
            <w:r w:rsidRPr="00B07BF4">
              <w:t>CICPPP</w:t>
            </w:r>
            <w:r w:rsidRPr="000E0424">
              <w:t xml:space="preserve"> to recommend to the Executive Committee (EXCOM) a resource neutral change in the intergovernmental structure of the PPP work from a TOS into a Working Party with a revision in the terms of reference to reflect the development of international PPP standards and recommendations. The draft terms of reference are contained in </w:t>
            </w:r>
            <w:r w:rsidR="00BA57BA">
              <w:t>the Annex</w:t>
            </w:r>
            <w:r w:rsidRPr="000E0424">
              <w:t>.</w:t>
            </w:r>
          </w:p>
        </w:tc>
      </w:tr>
      <w:tr w:rsidR="000E0424" w:rsidRPr="00411A78" w:rsidTr="000E0424">
        <w:trPr>
          <w:trHeight w:val="80"/>
        </w:trPr>
        <w:tc>
          <w:tcPr>
            <w:tcW w:w="8502" w:type="dxa"/>
            <w:shd w:val="clear" w:color="auto" w:fill="auto"/>
          </w:tcPr>
          <w:p w:rsidR="000E0424" w:rsidRPr="00411A78" w:rsidRDefault="000E0424" w:rsidP="00014BB4">
            <w:pPr>
              <w:spacing w:line="264" w:lineRule="auto"/>
              <w:rPr>
                <w:sz w:val="12"/>
                <w:szCs w:val="12"/>
              </w:rPr>
            </w:pPr>
          </w:p>
        </w:tc>
      </w:tr>
    </w:tbl>
    <w:p w:rsidR="00B07BF4" w:rsidRDefault="00B07BF4" w:rsidP="00B07BF4">
      <w:pPr>
        <w:pStyle w:val="SingleTxtG"/>
      </w:pPr>
    </w:p>
    <w:p w:rsidR="00110EB6" w:rsidRDefault="00110EB6" w:rsidP="00B07BF4">
      <w:pPr>
        <w:pStyle w:val="SingleTxtG"/>
      </w:pPr>
      <w:r>
        <w:br w:type="page"/>
      </w:r>
      <w:bookmarkStart w:id="1" w:name="_GoBack"/>
      <w:bookmarkEnd w:id="1"/>
    </w:p>
    <w:p w:rsidR="00B85D43" w:rsidRPr="009A379D" w:rsidRDefault="00CF671F" w:rsidP="00FD409C">
      <w:pPr>
        <w:pStyle w:val="HChG"/>
        <w:numPr>
          <w:ilvl w:val="0"/>
          <w:numId w:val="41"/>
        </w:numPr>
        <w:tabs>
          <w:tab w:val="clear" w:pos="851"/>
        </w:tabs>
        <w:ind w:left="1134" w:hanging="567"/>
      </w:pPr>
      <w:r>
        <w:lastRenderedPageBreak/>
        <w:t>Background and H</w:t>
      </w:r>
      <w:r w:rsidR="00B85D43" w:rsidRPr="009A379D">
        <w:t>istory</w:t>
      </w:r>
    </w:p>
    <w:p w:rsidR="00B85D43" w:rsidRPr="00450D1F" w:rsidRDefault="000E0424" w:rsidP="00FD409C">
      <w:pPr>
        <w:pStyle w:val="H1G"/>
      </w:pPr>
      <w:r>
        <w:tab/>
        <w:t>A.</w:t>
      </w:r>
      <w:r>
        <w:tab/>
      </w:r>
      <w:r w:rsidR="00B85D43" w:rsidRPr="00450D1F">
        <w:t>Early stages</w:t>
      </w:r>
    </w:p>
    <w:p w:rsidR="00B85D43" w:rsidRPr="009A379D" w:rsidRDefault="0072778A" w:rsidP="004A33BA">
      <w:pPr>
        <w:pStyle w:val="SingleTxtG"/>
        <w:ind w:right="0"/>
      </w:pPr>
      <w:r>
        <w:t>1</w:t>
      </w:r>
      <w:r w:rsidR="00275E7E">
        <w:t>.</w:t>
      </w:r>
      <w:r>
        <w:tab/>
      </w:r>
      <w:r w:rsidR="00B85D43" w:rsidRPr="009A379D">
        <w:t>The UNECE has achieved considerable prominence, based on a lon</w:t>
      </w:r>
      <w:r w:rsidR="00161EA0">
        <w:t>g history in the area of Public-</w:t>
      </w:r>
      <w:r w:rsidR="00B85D43" w:rsidRPr="009A379D">
        <w:t xml:space="preserve">Private Partnerships (PPPs) for infrastructure development. </w:t>
      </w:r>
      <w:r w:rsidR="005A2E69">
        <w:t>This work was first launched u</w:t>
      </w:r>
      <w:r w:rsidR="00B85D43" w:rsidRPr="009A379D">
        <w:t>nder the Working Party on International Legal and Commercial Practi</w:t>
      </w:r>
      <w:r w:rsidR="00161EA0">
        <w:t>ces (WP</w:t>
      </w:r>
      <w:r w:rsidR="005A2E69">
        <w:t>.</w:t>
      </w:r>
      <w:r w:rsidR="00161EA0">
        <w:t xml:space="preserve">5) </w:t>
      </w:r>
      <w:r w:rsidR="005A2E69">
        <w:t xml:space="preserve">when, </w:t>
      </w:r>
      <w:r w:rsidR="00161EA0">
        <w:t>in 1997, a Group of E</w:t>
      </w:r>
      <w:r w:rsidR="00B85D43" w:rsidRPr="009A379D">
        <w:t xml:space="preserve">xperts </w:t>
      </w:r>
      <w:r w:rsidR="005A2E69">
        <w:t xml:space="preserve">was established, with participation </w:t>
      </w:r>
      <w:r w:rsidR="00B85D43" w:rsidRPr="009A379D">
        <w:t>from the public an</w:t>
      </w:r>
      <w:r w:rsidR="000E0424">
        <w:t>d private sectors</w:t>
      </w:r>
      <w:r w:rsidR="005A2E69">
        <w:t>,</w:t>
      </w:r>
      <w:r w:rsidR="000E0424">
        <w:t xml:space="preserve"> </w:t>
      </w:r>
      <w:r w:rsidR="005A2E69">
        <w:t xml:space="preserve">and </w:t>
      </w:r>
      <w:r w:rsidR="000E0424">
        <w:t>called the “</w:t>
      </w:r>
      <w:r w:rsidR="00B85D43" w:rsidRPr="009A379D">
        <w:t>Build Operate and Transfer</w:t>
      </w:r>
      <w:r w:rsidR="000E0424">
        <w:t>”</w:t>
      </w:r>
      <w:r w:rsidR="00B85D43" w:rsidRPr="009A379D">
        <w:t xml:space="preserve"> (BOT) group</w:t>
      </w:r>
      <w:r w:rsidR="005A2E69">
        <w:t>. The objective of this Group was</w:t>
      </w:r>
      <w:r w:rsidR="00B85D43" w:rsidRPr="009A379D">
        <w:t xml:space="preserve"> to develop guidelines </w:t>
      </w:r>
      <w:r w:rsidR="005A2E69">
        <w:t>for</w:t>
      </w:r>
      <w:r w:rsidR="005A2E69" w:rsidRPr="009A379D">
        <w:t xml:space="preserve"> </w:t>
      </w:r>
      <w:r w:rsidR="00B85D43" w:rsidRPr="009A379D">
        <w:t xml:space="preserve">new project financing techniques. </w:t>
      </w:r>
    </w:p>
    <w:p w:rsidR="00B85D43" w:rsidRPr="009A379D" w:rsidRDefault="0072778A" w:rsidP="004A33BA">
      <w:pPr>
        <w:pStyle w:val="SingleTxtG"/>
        <w:ind w:right="0"/>
      </w:pPr>
      <w:r>
        <w:t>2</w:t>
      </w:r>
      <w:r w:rsidR="00275E7E">
        <w:t>.</w:t>
      </w:r>
      <w:r>
        <w:tab/>
      </w:r>
      <w:r w:rsidR="00EC0EC7">
        <w:t>After preparing these</w:t>
      </w:r>
      <w:r w:rsidR="00B85D43" w:rsidRPr="009A379D">
        <w:t xml:space="preserve"> </w:t>
      </w:r>
      <w:r w:rsidR="00EC0EC7">
        <w:t>g</w:t>
      </w:r>
      <w:r w:rsidR="00B85D43" w:rsidRPr="009A379D">
        <w:t xml:space="preserve">uidelines, the work of the Group continued as a </w:t>
      </w:r>
      <w:r w:rsidR="00CF671F">
        <w:t xml:space="preserve">networking </w:t>
      </w:r>
      <w:r w:rsidR="00B85D43" w:rsidRPr="009A379D">
        <w:t xml:space="preserve">platform to raise awareness </w:t>
      </w:r>
      <w:r w:rsidR="005A2E69">
        <w:t>about</w:t>
      </w:r>
      <w:r w:rsidR="005A2E69" w:rsidRPr="009A379D">
        <w:t xml:space="preserve"> </w:t>
      </w:r>
      <w:r w:rsidR="00B85D43" w:rsidRPr="009A379D">
        <w:t>PPP</w:t>
      </w:r>
      <w:r w:rsidR="00690EBF">
        <w:t>s</w:t>
      </w:r>
      <w:r w:rsidR="00B85D43" w:rsidRPr="009A379D">
        <w:t xml:space="preserve"> and </w:t>
      </w:r>
      <w:r w:rsidR="005A2E69">
        <w:t xml:space="preserve">for </w:t>
      </w:r>
      <w:r w:rsidR="00B85D43" w:rsidRPr="009A379D">
        <w:t>develop</w:t>
      </w:r>
      <w:r w:rsidR="005A2E69">
        <w:t>ing</w:t>
      </w:r>
      <w:r w:rsidR="00B85D43" w:rsidRPr="009A379D">
        <w:t xml:space="preserve"> and exchang</w:t>
      </w:r>
      <w:r w:rsidR="005A2E69">
        <w:t>ing</w:t>
      </w:r>
      <w:r w:rsidR="00B85D43" w:rsidRPr="009A379D">
        <w:t xml:space="preserve"> best practices. In 2007</w:t>
      </w:r>
      <w:r w:rsidR="005A2E69">
        <w:t>,</w:t>
      </w:r>
      <w:r w:rsidR="00B85D43" w:rsidRPr="009A379D">
        <w:t xml:space="preserve"> this work was </w:t>
      </w:r>
      <w:r w:rsidR="005A2E69">
        <w:t>transferred to</w:t>
      </w:r>
      <w:r w:rsidR="00B85D43" w:rsidRPr="009A379D">
        <w:t xml:space="preserve"> a Team of Specialists on PPPs (TOS PPP) with the specific task of preparing traini</w:t>
      </w:r>
      <w:r w:rsidR="00D61BCA">
        <w:t>ng modules</w:t>
      </w:r>
      <w:r w:rsidR="00CF671F">
        <w:t xml:space="preserve"> and organis</w:t>
      </w:r>
      <w:r w:rsidR="005A2E69">
        <w:t>ing</w:t>
      </w:r>
      <w:r w:rsidR="00CF671F">
        <w:t xml:space="preserve"> ad hoc capacity building activities</w:t>
      </w:r>
      <w:r w:rsidR="00D61BCA">
        <w:t>.</w:t>
      </w:r>
    </w:p>
    <w:p w:rsidR="00B85D43" w:rsidRPr="00765D13" w:rsidRDefault="00765D13" w:rsidP="00FD409C">
      <w:pPr>
        <w:pStyle w:val="H1G"/>
      </w:pPr>
      <w:r>
        <w:tab/>
        <w:t>B.</w:t>
      </w:r>
      <w:r>
        <w:tab/>
      </w:r>
      <w:r w:rsidR="00B85D43" w:rsidRPr="00450D1F">
        <w:t xml:space="preserve">TOS PPP and the UNECE International PPP Centre of Excellence </w:t>
      </w:r>
    </w:p>
    <w:p w:rsidR="00B85D43" w:rsidRPr="009A379D" w:rsidRDefault="0072778A" w:rsidP="004A33BA">
      <w:pPr>
        <w:pStyle w:val="SingleTxtG"/>
        <w:ind w:right="0"/>
      </w:pPr>
      <w:r>
        <w:t>3</w:t>
      </w:r>
      <w:r w:rsidR="00275E7E">
        <w:t>.</w:t>
      </w:r>
      <w:r>
        <w:tab/>
      </w:r>
      <w:r w:rsidR="00B85D43" w:rsidRPr="009A379D">
        <w:t>Since then, the work of th</w:t>
      </w:r>
      <w:r w:rsidR="008A648E">
        <w:t>e UNECE in PPP</w:t>
      </w:r>
      <w:r w:rsidR="005A2E69">
        <w:t>s</w:t>
      </w:r>
      <w:r w:rsidR="008A648E">
        <w:t xml:space="preserve"> has grown, and t</w:t>
      </w:r>
      <w:r w:rsidR="00B85D43" w:rsidRPr="009A379D">
        <w:t xml:space="preserve">he UNECE Executive Committee (EXCOM) </w:t>
      </w:r>
      <w:r w:rsidR="008A648E">
        <w:t>decided</w:t>
      </w:r>
      <w:r w:rsidR="00CF671F">
        <w:t xml:space="preserve"> in February 2012</w:t>
      </w:r>
      <w:r w:rsidR="008A648E">
        <w:t xml:space="preserve"> to establish the UNECE International PPP Centre of Excellence under the auspices of the TOS PPP to develop international PPP standards and recommendations, identify </w:t>
      </w:r>
      <w:r w:rsidR="00CF671F">
        <w:t xml:space="preserve">international PPP </w:t>
      </w:r>
      <w:r w:rsidR="008A648E">
        <w:t>best practices, and implement them in countries through targeted capacity building activities</w:t>
      </w:r>
      <w:r w:rsidR="00CF671F">
        <w:t>, training, and policy advisory services</w:t>
      </w:r>
      <w:r w:rsidR="008A648E">
        <w:t>.</w:t>
      </w:r>
      <w:r w:rsidR="00B85D43" w:rsidRPr="009A379D">
        <w:t xml:space="preserve"> This decision by</w:t>
      </w:r>
      <w:r w:rsidR="008466A3">
        <w:t xml:space="preserve"> EXCOM followed the holding of “</w:t>
      </w:r>
      <w:r w:rsidR="00B85D43" w:rsidRPr="009A379D">
        <w:t>PPP Days 2012</w:t>
      </w:r>
      <w:r w:rsidR="008466A3">
        <w:t>”</w:t>
      </w:r>
      <w:r w:rsidR="00B85D43" w:rsidRPr="009A379D">
        <w:t xml:space="preserve"> </w:t>
      </w:r>
      <w:r w:rsidR="00CF671F">
        <w:t xml:space="preserve">in Geneva, hosted by UNECE </w:t>
      </w:r>
      <w:r w:rsidR="00B85D43" w:rsidRPr="009A379D">
        <w:t>and organised with the World Bank</w:t>
      </w:r>
      <w:r w:rsidR="00CF671F">
        <w:t xml:space="preserve"> and the Asian Development Bank:</w:t>
      </w:r>
      <w:r w:rsidR="00B85D43" w:rsidRPr="009A379D">
        <w:t xml:space="preserve"> one of the largest events in the UNECE’s history, attracting 89 Governments and over 800 participants. </w:t>
      </w:r>
    </w:p>
    <w:p w:rsidR="00B85D43" w:rsidRPr="009A379D" w:rsidRDefault="0072778A" w:rsidP="004A33BA">
      <w:pPr>
        <w:pStyle w:val="SingleTxtG"/>
        <w:ind w:right="0"/>
      </w:pPr>
      <w:r>
        <w:t>4</w:t>
      </w:r>
      <w:r w:rsidR="00275E7E">
        <w:t>.</w:t>
      </w:r>
      <w:r>
        <w:tab/>
      </w:r>
      <w:r w:rsidR="00B85D43" w:rsidRPr="009A379D">
        <w:t xml:space="preserve">In 2013, </w:t>
      </w:r>
      <w:r w:rsidR="00B90E51">
        <w:t xml:space="preserve">the </w:t>
      </w:r>
      <w:r w:rsidR="00161EA0">
        <w:t>TOS PPP</w:t>
      </w:r>
      <w:r w:rsidR="00B85D43" w:rsidRPr="009A379D">
        <w:t xml:space="preserve"> considered </w:t>
      </w:r>
      <w:r w:rsidR="005A2E69">
        <w:t>increasing</w:t>
      </w:r>
      <w:r w:rsidR="00B85D43" w:rsidRPr="009A379D">
        <w:t xml:space="preserve"> its contribution to the UN Development Goals and</w:t>
      </w:r>
      <w:r w:rsidR="005A2E69">
        <w:t>,</w:t>
      </w:r>
      <w:r w:rsidR="00B85D43" w:rsidRPr="009A379D">
        <w:t xml:space="preserve"> specifically</w:t>
      </w:r>
      <w:r w:rsidR="005A2E69">
        <w:t>,</w:t>
      </w:r>
      <w:r w:rsidR="00B85D43" w:rsidRPr="009A379D">
        <w:t xml:space="preserve"> prepar</w:t>
      </w:r>
      <w:r w:rsidR="005A2E69">
        <w:t>ing</w:t>
      </w:r>
      <w:r w:rsidR="00B85D43" w:rsidRPr="009A379D">
        <w:t xml:space="preserve"> international PPP standards to address the </w:t>
      </w:r>
      <w:r w:rsidR="008A648E">
        <w:t>Sustainable Development Goals (SDGs)</w:t>
      </w:r>
      <w:r w:rsidR="00B85D43" w:rsidRPr="009A379D">
        <w:t xml:space="preserve">. This proposal was approved by </w:t>
      </w:r>
      <w:r w:rsidR="00161EA0">
        <w:t xml:space="preserve">the </w:t>
      </w:r>
      <w:r w:rsidR="00B85D43" w:rsidRPr="009A379D">
        <w:t>Committee on Economic Cooperation and Integration</w:t>
      </w:r>
      <w:r w:rsidR="00161EA0">
        <w:t xml:space="preserve"> (CECI)</w:t>
      </w:r>
      <w:r w:rsidR="00B85D43" w:rsidRPr="009A379D">
        <w:t xml:space="preserve"> in February 2014 and by the sixth session of </w:t>
      </w:r>
      <w:r w:rsidR="00BD7471">
        <w:t>the TOS </w:t>
      </w:r>
      <w:r w:rsidR="00B85D43" w:rsidRPr="009A379D">
        <w:t xml:space="preserve">PPP in June 2014. </w:t>
      </w:r>
      <w:r w:rsidR="00AE698A">
        <w:t xml:space="preserve">As a result, </w:t>
      </w:r>
      <w:r w:rsidR="00B85D43" w:rsidRPr="009A379D">
        <w:t xml:space="preserve">international Project Teams are elaborating international PPP standards in </w:t>
      </w:r>
      <w:r w:rsidR="008A648E">
        <w:t>a variety of sectors (health, renewable energy, water and sanitation, transport and good governance)</w:t>
      </w:r>
      <w:r w:rsidR="00B85D43" w:rsidRPr="009A379D">
        <w:t>.</w:t>
      </w:r>
    </w:p>
    <w:p w:rsidR="00B85D43" w:rsidRPr="00765D13" w:rsidRDefault="00765D13" w:rsidP="00765D13">
      <w:pPr>
        <w:pStyle w:val="HChG"/>
      </w:pPr>
      <w:r>
        <w:tab/>
        <w:t>2.</w:t>
      </w:r>
      <w:r>
        <w:tab/>
      </w:r>
      <w:r w:rsidR="00B85D43" w:rsidRPr="00765D13">
        <w:t>Rationale for Proposed Action</w:t>
      </w:r>
    </w:p>
    <w:p w:rsidR="0015674D" w:rsidRDefault="0072778A" w:rsidP="0015674D">
      <w:pPr>
        <w:pStyle w:val="SingleTxtG"/>
        <w:ind w:right="0"/>
      </w:pPr>
      <w:r>
        <w:t>5</w:t>
      </w:r>
      <w:r w:rsidR="00275E7E">
        <w:t>.</w:t>
      </w:r>
      <w:r>
        <w:tab/>
      </w:r>
      <w:r w:rsidR="00216043">
        <w:t>A team of s</w:t>
      </w:r>
      <w:r w:rsidR="00B85D43" w:rsidRPr="009A379D">
        <w:t>pecialists is typically established to service a short term</w:t>
      </w:r>
      <w:r w:rsidR="00216043">
        <w:t xml:space="preserve"> activity. Once completed, the team of s</w:t>
      </w:r>
      <w:r w:rsidR="00B85D43" w:rsidRPr="009A379D">
        <w:t>pecialist</w:t>
      </w:r>
      <w:r w:rsidR="00CF671F">
        <w:t>s</w:t>
      </w:r>
      <w:r w:rsidR="00B85D43" w:rsidRPr="009A379D">
        <w:t xml:space="preserve"> may </w:t>
      </w:r>
      <w:r w:rsidR="00216043">
        <w:t>be dissolved.</w:t>
      </w:r>
      <w:r w:rsidR="00B85D43" w:rsidRPr="009A379D">
        <w:t xml:space="preserve"> As a general rule the UNECE standards work </w:t>
      </w:r>
      <w:r w:rsidR="008828B5">
        <w:t xml:space="preserve">which is longer term and requires periodic review/maintenance </w:t>
      </w:r>
      <w:r w:rsidR="00B85D43" w:rsidRPr="009A379D">
        <w:t xml:space="preserve">is carried out by Working Parties such as Working Party 7 on agricultural standards and the </w:t>
      </w:r>
      <w:r w:rsidR="00216043">
        <w:t xml:space="preserve">UN </w:t>
      </w:r>
      <w:r w:rsidR="00B85D43" w:rsidRPr="009A379D">
        <w:t>CEFACT in standards and recommendations in trade facilitation.</w:t>
      </w:r>
      <w:r w:rsidR="00161EA0">
        <w:t xml:space="preserve"> </w:t>
      </w:r>
      <w:r w:rsidR="008828B5">
        <w:t xml:space="preserve">Because a </w:t>
      </w:r>
      <w:proofErr w:type="spellStart"/>
      <w:r w:rsidR="008828B5">
        <w:t>ToS</w:t>
      </w:r>
      <w:proofErr w:type="spellEnd"/>
      <w:r w:rsidR="008828B5">
        <w:t xml:space="preserve"> is reviewed every two-years, it does not provide the necessary stability for such processes given that a standard usually takes 18-36 months to be developed.</w:t>
      </w:r>
    </w:p>
    <w:p w:rsidR="00B85D43" w:rsidRPr="009A379D" w:rsidRDefault="0072778A" w:rsidP="0015674D">
      <w:pPr>
        <w:pStyle w:val="SingleTxtG"/>
        <w:ind w:right="0"/>
      </w:pPr>
      <w:r>
        <w:t>6</w:t>
      </w:r>
      <w:r w:rsidR="00275E7E">
        <w:t>.</w:t>
      </w:r>
      <w:r>
        <w:tab/>
      </w:r>
      <w:r w:rsidR="008828B5">
        <w:t>In addition</w:t>
      </w:r>
      <w:r w:rsidR="00B85D43" w:rsidRPr="009A379D">
        <w:t>, the work of the TOS PPP has now grown and expanded globally. This interest in PPP</w:t>
      </w:r>
      <w:r w:rsidR="00B90E51">
        <w:t>s</w:t>
      </w:r>
      <w:r w:rsidR="00B85D43" w:rsidRPr="009A379D">
        <w:t xml:space="preserve"> has been stimulated by the SDGs and in particular SDG 17 which validates PPP</w:t>
      </w:r>
      <w:r w:rsidR="00B90E51">
        <w:t>s</w:t>
      </w:r>
      <w:r w:rsidR="00B85D43" w:rsidRPr="009A379D">
        <w:t xml:space="preserve"> as a key tool </w:t>
      </w:r>
      <w:r w:rsidR="008828B5">
        <w:t xml:space="preserve">for </w:t>
      </w:r>
      <w:r w:rsidR="00B85D43" w:rsidRPr="009A379D">
        <w:t>implement</w:t>
      </w:r>
      <w:r w:rsidR="008828B5">
        <w:t>ing</w:t>
      </w:r>
      <w:r w:rsidR="00B85D43" w:rsidRPr="009A379D">
        <w:t xml:space="preserve"> the SDGs.</w:t>
      </w:r>
      <w:r>
        <w:rPr>
          <w:rStyle w:val="FootnoteReference"/>
        </w:rPr>
        <w:footnoteReference w:id="2"/>
      </w:r>
      <w:r w:rsidR="00B85D43" w:rsidRPr="009A379D">
        <w:t xml:space="preserve"> Moreover, several countries have created affiliated centres in specific sectors to prepare international best practices and support the standards being developed by international Project Teams </w:t>
      </w:r>
      <w:r w:rsidR="008828B5">
        <w:t xml:space="preserve">and there are </w:t>
      </w:r>
      <w:r w:rsidR="00B85D43" w:rsidRPr="009A379D">
        <w:t xml:space="preserve">other countries eager to </w:t>
      </w:r>
      <w:r w:rsidR="000B6FC4">
        <w:t>b</w:t>
      </w:r>
      <w:r w:rsidR="00B85D43" w:rsidRPr="009A379D">
        <w:t xml:space="preserve">ecome part of this network of centres. Furthermore, a PPP Business Advisory Board has been created to advise member States on </w:t>
      </w:r>
      <w:r w:rsidR="008828B5">
        <w:t xml:space="preserve">the UNECE </w:t>
      </w:r>
      <w:r w:rsidR="00B85D43" w:rsidRPr="009A379D">
        <w:t>standards and their implementation</w:t>
      </w:r>
      <w:r w:rsidR="008A648E">
        <w:t>.</w:t>
      </w:r>
      <w:r w:rsidR="00B85D43" w:rsidRPr="009A379D">
        <w:t xml:space="preserve"> </w:t>
      </w:r>
    </w:p>
    <w:p w:rsidR="00B85D43" w:rsidRPr="007C39EC" w:rsidRDefault="00765D13" w:rsidP="00765D13">
      <w:pPr>
        <w:pStyle w:val="HChG"/>
      </w:pPr>
      <w:r>
        <w:tab/>
        <w:t>3.</w:t>
      </w:r>
      <w:r>
        <w:tab/>
      </w:r>
      <w:r w:rsidR="00275E7E">
        <w:t>P</w:t>
      </w:r>
      <w:r w:rsidR="00BD7471">
        <w:t>urpose and Scope of the Proposed C</w:t>
      </w:r>
      <w:r w:rsidR="00B85D43" w:rsidRPr="007C39EC">
        <w:t>hange</w:t>
      </w:r>
      <w:r w:rsidR="00BD7471">
        <w:t>s</w:t>
      </w:r>
    </w:p>
    <w:p w:rsidR="00B85D43" w:rsidRDefault="008A648E" w:rsidP="004A33BA">
      <w:pPr>
        <w:pStyle w:val="SingleTxtG"/>
        <w:ind w:right="0"/>
      </w:pPr>
      <w:r>
        <w:t>7</w:t>
      </w:r>
      <w:r w:rsidR="00275E7E">
        <w:t>.</w:t>
      </w:r>
      <w:r w:rsidR="00275E7E">
        <w:tab/>
      </w:r>
      <w:r w:rsidR="00B85D43" w:rsidRPr="009A379D">
        <w:t>The scope of this proposed change is in effect extrem</w:t>
      </w:r>
      <w:r w:rsidR="008466A3">
        <w:t>ely limited. It has a “</w:t>
      </w:r>
      <w:r w:rsidR="00B85D43" w:rsidRPr="009A379D">
        <w:t>resource neutral</w:t>
      </w:r>
      <w:r w:rsidR="008466A3">
        <w:t>”</w:t>
      </w:r>
      <w:r w:rsidR="00B85D43" w:rsidRPr="009A379D">
        <w:t xml:space="preserve"> impact and the work will be carried out within existing resources already devoted to the work. Along with no change in the resources required for servicing the TOS PPP, the work will </w:t>
      </w:r>
      <w:r w:rsidR="008828B5">
        <w:t xml:space="preserve">also </w:t>
      </w:r>
      <w:r w:rsidR="00B85D43" w:rsidRPr="009A379D">
        <w:t xml:space="preserve">remain the same. </w:t>
      </w:r>
    </w:p>
    <w:p w:rsidR="00B85D43" w:rsidRPr="007C39EC" w:rsidRDefault="00765D13" w:rsidP="00765D13">
      <w:pPr>
        <w:pStyle w:val="HChG"/>
      </w:pPr>
      <w:r>
        <w:tab/>
        <w:t>4.</w:t>
      </w:r>
      <w:r>
        <w:tab/>
      </w:r>
      <w:r w:rsidR="00BD7471">
        <w:t>Anticipated Impact on the PPP P</w:t>
      </w:r>
      <w:r w:rsidR="00B85D43" w:rsidRPr="007C39EC">
        <w:t xml:space="preserve">rogramme </w:t>
      </w:r>
    </w:p>
    <w:p w:rsidR="00454FBC" w:rsidRPr="00765D13" w:rsidRDefault="00765D13" w:rsidP="00FD409C">
      <w:pPr>
        <w:pStyle w:val="H1G"/>
      </w:pPr>
      <w:r>
        <w:tab/>
      </w:r>
      <w:r w:rsidR="00454FBC" w:rsidRPr="00454FBC">
        <w:t>A.</w:t>
      </w:r>
      <w:r w:rsidR="00454FBC" w:rsidRPr="00454FBC">
        <w:tab/>
        <w:t>B</w:t>
      </w:r>
      <w:r w:rsidR="00454FBC" w:rsidRPr="00765D13">
        <w:t>etter reflect the status of UNECE’s PPP work</w:t>
      </w:r>
    </w:p>
    <w:p w:rsidR="00454FBC" w:rsidRDefault="00A9523C" w:rsidP="00110EB6">
      <w:pPr>
        <w:pStyle w:val="SingleTxtG"/>
        <w:ind w:right="0"/>
        <w:rPr>
          <w:bCs/>
        </w:rPr>
      </w:pPr>
      <w:r>
        <w:t>8</w:t>
      </w:r>
      <w:r w:rsidR="00483F0E">
        <w:t>.</w:t>
      </w:r>
      <w:r w:rsidR="00483F0E">
        <w:tab/>
      </w:r>
      <w:r w:rsidR="00843E2B">
        <w:t>The proposed</w:t>
      </w:r>
      <w:r w:rsidR="00B85D43" w:rsidRPr="009A379D">
        <w:t xml:space="preserve"> revision will have several positive impacts</w:t>
      </w:r>
      <w:r w:rsidR="00483F0E">
        <w:t xml:space="preserve"> and will b</w:t>
      </w:r>
      <w:r w:rsidR="00B85D43" w:rsidRPr="00110EB6">
        <w:t>etter reflect the status of UNECE’s PPP work</w:t>
      </w:r>
      <w:r w:rsidR="00483F0E" w:rsidRPr="00110EB6">
        <w:t>.</w:t>
      </w:r>
      <w:r w:rsidR="00454FBC">
        <w:rPr>
          <w:bCs/>
        </w:rPr>
        <w:t xml:space="preserve"> </w:t>
      </w:r>
    </w:p>
    <w:p w:rsidR="00B85D43" w:rsidRPr="00110EB6" w:rsidRDefault="00447E6A" w:rsidP="004A33BA">
      <w:pPr>
        <w:pStyle w:val="Bullet1G"/>
        <w:ind w:left="1134" w:right="0"/>
        <w:rPr>
          <w:rStyle w:val="SingleTxtGChar"/>
        </w:rPr>
      </w:pPr>
      <w:r>
        <w:t>9</w:t>
      </w:r>
      <w:r w:rsidR="00483F0E">
        <w:t>.</w:t>
      </w:r>
      <w:r w:rsidR="00483F0E">
        <w:tab/>
      </w:r>
      <w:r w:rsidR="00B85D43" w:rsidRPr="00110EB6">
        <w:rPr>
          <w:rStyle w:val="SingleTxtGChar"/>
        </w:rPr>
        <w:t xml:space="preserve">The UNECE has now </w:t>
      </w:r>
      <w:r w:rsidR="00483F0E" w:rsidRPr="00110EB6">
        <w:rPr>
          <w:rStyle w:val="SingleTxtGChar"/>
        </w:rPr>
        <w:t>Memorandums of Understanding (MoUs) and Contribution Agreements (CAs) w</w:t>
      </w:r>
      <w:r w:rsidR="00B85D43" w:rsidRPr="00110EB6">
        <w:rPr>
          <w:rStyle w:val="SingleTxtGChar"/>
        </w:rPr>
        <w:t>ith several countries which have established their own Centres of Excellence all over the world, notably in France, Spain, Russian Federation</w:t>
      </w:r>
      <w:r w:rsidR="00483F0E" w:rsidRPr="00110EB6">
        <w:rPr>
          <w:rStyle w:val="SingleTxtGChar"/>
        </w:rPr>
        <w:t>, China</w:t>
      </w:r>
      <w:r w:rsidR="00B85D43" w:rsidRPr="00110EB6">
        <w:rPr>
          <w:rStyle w:val="SingleTxtGChar"/>
        </w:rPr>
        <w:t xml:space="preserve"> and the Philippines</w:t>
      </w:r>
      <w:r w:rsidR="00483F0E" w:rsidRPr="00110EB6">
        <w:rPr>
          <w:rStyle w:val="SingleTxtGChar"/>
        </w:rPr>
        <w:t>,</w:t>
      </w:r>
      <w:r w:rsidR="00B85D43" w:rsidRPr="00110EB6">
        <w:rPr>
          <w:rStyle w:val="SingleTxtGChar"/>
        </w:rPr>
        <w:t xml:space="preserve"> and other countries are eager to become part of this network of centres as well. </w:t>
      </w:r>
      <w:r w:rsidR="00483F0E" w:rsidRPr="00110EB6">
        <w:rPr>
          <w:rStyle w:val="SingleTxtGChar"/>
        </w:rPr>
        <w:t>Furthermore, around</w:t>
      </w:r>
      <w:r w:rsidR="00B85D43" w:rsidRPr="00110EB6">
        <w:rPr>
          <w:rStyle w:val="SingleTxtGChar"/>
        </w:rPr>
        <w:t xml:space="preserve"> 200 individual experts </w:t>
      </w:r>
      <w:r w:rsidR="00483F0E" w:rsidRPr="00110EB6">
        <w:rPr>
          <w:rStyle w:val="SingleTxtGChar"/>
        </w:rPr>
        <w:t xml:space="preserve">are </w:t>
      </w:r>
      <w:r w:rsidR="00B85D43" w:rsidRPr="00110EB6">
        <w:rPr>
          <w:rStyle w:val="SingleTxtGChar"/>
        </w:rPr>
        <w:t>working in international Project Teams</w:t>
      </w:r>
      <w:r w:rsidR="00483F0E" w:rsidRPr="00110EB6">
        <w:rPr>
          <w:rStyle w:val="SingleTxtGChar"/>
        </w:rPr>
        <w:t xml:space="preserve"> developing the standards</w:t>
      </w:r>
      <w:r w:rsidR="00B85D43" w:rsidRPr="00110EB6">
        <w:rPr>
          <w:rStyle w:val="SingleTxtGChar"/>
        </w:rPr>
        <w:t>.</w:t>
      </w:r>
    </w:p>
    <w:p w:rsidR="00B85D43" w:rsidRPr="00765D13" w:rsidRDefault="00765D13" w:rsidP="00FD409C">
      <w:pPr>
        <w:pStyle w:val="H1G"/>
      </w:pPr>
      <w:r>
        <w:tab/>
      </w:r>
      <w:r w:rsidR="00454FBC" w:rsidRPr="00454FBC">
        <w:t>B.</w:t>
      </w:r>
      <w:r w:rsidR="00454FBC" w:rsidRPr="00454FBC">
        <w:tab/>
      </w:r>
      <w:r w:rsidR="00B85D43" w:rsidRPr="00454FBC">
        <w:t>Facilitate closer links with international partners</w:t>
      </w:r>
    </w:p>
    <w:p w:rsidR="00B85D43" w:rsidRPr="009A379D" w:rsidRDefault="00454FBC" w:rsidP="004A33BA">
      <w:pPr>
        <w:pStyle w:val="SingleTxtG"/>
        <w:ind w:right="0"/>
      </w:pPr>
      <w:r>
        <w:t>1</w:t>
      </w:r>
      <w:r w:rsidR="00447E6A">
        <w:t>0</w:t>
      </w:r>
      <w:r>
        <w:t>.</w:t>
      </w:r>
      <w:r>
        <w:tab/>
      </w:r>
      <w:r w:rsidR="00B85D43" w:rsidRPr="009A379D">
        <w:t>The TOS PPP has extensive and high level contacts with international partners</w:t>
      </w:r>
      <w:r w:rsidR="00CB33FD">
        <w:t>, including the World Bank</w:t>
      </w:r>
      <w:r w:rsidR="00FF3E2E">
        <w:t xml:space="preserve"> Group</w:t>
      </w:r>
      <w:r w:rsidR="00CB33FD">
        <w:t xml:space="preserve"> and other Multilateral Development Banks (such as EBRD, EIB, Eurasi</w:t>
      </w:r>
      <w:r w:rsidR="00F01AC8">
        <w:t xml:space="preserve">an Development Bank, ADB and </w:t>
      </w:r>
      <w:proofErr w:type="spellStart"/>
      <w:r w:rsidR="00F01AC8">
        <w:t>Ia</w:t>
      </w:r>
      <w:r w:rsidR="00CB33FD">
        <w:t>D</w:t>
      </w:r>
      <w:r w:rsidR="00F01AC8">
        <w:t>B</w:t>
      </w:r>
      <w:proofErr w:type="spellEnd"/>
      <w:r w:rsidR="00CB33FD">
        <w:t>),</w:t>
      </w:r>
      <w:r w:rsidR="00B85D43" w:rsidRPr="009A379D">
        <w:t xml:space="preserve"> which will be facilitated by the </w:t>
      </w:r>
      <w:r w:rsidR="00843E2B">
        <w:t>evolution of the Team of Specialists</w:t>
      </w:r>
      <w:r w:rsidR="00B85D43" w:rsidRPr="009A379D">
        <w:t xml:space="preserve"> into </w:t>
      </w:r>
      <w:r w:rsidR="00FF3E2E">
        <w:t>a</w:t>
      </w:r>
      <w:r w:rsidR="00B85D43" w:rsidRPr="009A379D">
        <w:t xml:space="preserve"> Working Party. </w:t>
      </w:r>
    </w:p>
    <w:p w:rsidR="00B85D43" w:rsidRPr="007C39EC" w:rsidRDefault="00765D13" w:rsidP="00765D13">
      <w:pPr>
        <w:pStyle w:val="HChG"/>
      </w:pPr>
      <w:r>
        <w:tab/>
        <w:t>5.</w:t>
      </w:r>
      <w:r>
        <w:tab/>
      </w:r>
      <w:r w:rsidR="00B85D43" w:rsidRPr="007C39EC">
        <w:t>Propos</w:t>
      </w:r>
      <w:r w:rsidR="00851E6F">
        <w:t>al</w:t>
      </w:r>
      <w:r w:rsidR="00B85D43" w:rsidRPr="007C39EC">
        <w:t xml:space="preserve"> </w:t>
      </w:r>
      <w:r w:rsidR="00CB33FD">
        <w:t xml:space="preserve">by the TOS PPP </w:t>
      </w:r>
    </w:p>
    <w:p w:rsidR="00AE74A9" w:rsidRDefault="00110EB6" w:rsidP="004A33BA">
      <w:pPr>
        <w:pStyle w:val="SingleTxtG"/>
        <w:ind w:right="0"/>
      </w:pPr>
      <w:r>
        <w:t>11</w:t>
      </w:r>
      <w:r w:rsidR="00AE74A9">
        <w:t>.</w:t>
      </w:r>
      <w:r w:rsidR="00AE74A9">
        <w:tab/>
      </w:r>
      <w:r w:rsidR="00AE74A9" w:rsidRPr="001A3999">
        <w:t xml:space="preserve">At </w:t>
      </w:r>
      <w:r w:rsidR="003A48B0">
        <w:t>the</w:t>
      </w:r>
      <w:r w:rsidR="00AE74A9" w:rsidRPr="001A3999">
        <w:t xml:space="preserve"> ninth session </w:t>
      </w:r>
      <w:r w:rsidR="003A48B0">
        <w:t xml:space="preserve">of the CICPPP </w:t>
      </w:r>
      <w:r w:rsidR="00AE74A9" w:rsidRPr="001A3999">
        <w:t>in September 2015, the</w:t>
      </w:r>
      <w:r w:rsidR="00AE74A9">
        <w:t xml:space="preserve"> Chairperson of the TOS PPP informed the CICPPP </w:t>
      </w:r>
      <w:r w:rsidR="00843E2B">
        <w:t xml:space="preserve">of </w:t>
      </w:r>
      <w:r w:rsidR="00AE74A9">
        <w:t>how the PPP work had evolved since the TOS PPP was established in 2007, especially with the addition of PPP standards to its mandate and how the Bureau of the TOS PPP was of the view that it made much more sense for the PPP work to be undertaken by a body that has a longer-term mandate than the two years given to teams of specialists. The Chairperson also informed the CICPPP that the Bureau was planning for the TOS PPP to discuss a possible request for changing its intergovernmental status.</w:t>
      </w:r>
      <w:r w:rsidR="00AE74A9" w:rsidRPr="001A3999">
        <w:t xml:space="preserve"> </w:t>
      </w:r>
      <w:r w:rsidR="00AE74A9">
        <w:t>The CICPPP</w:t>
      </w:r>
      <w:r w:rsidR="00AE74A9" w:rsidRPr="001A3999">
        <w:t xml:space="preserve"> </w:t>
      </w:r>
      <w:r w:rsidR="00AE74A9">
        <w:t>agreed that the TOS PPP should first discuss this issue in more detail and then make a recommendation to the CICPPP for its consideration.</w:t>
      </w:r>
      <w:r w:rsidR="00AE74A9">
        <w:rPr>
          <w:rStyle w:val="FootnoteReference"/>
        </w:rPr>
        <w:footnoteReference w:id="3"/>
      </w:r>
    </w:p>
    <w:p w:rsidR="001B6E35" w:rsidRDefault="001B6E35" w:rsidP="004A33BA">
      <w:pPr>
        <w:pStyle w:val="SingleTxtG"/>
        <w:ind w:right="0"/>
      </w:pPr>
      <w:r>
        <w:t>1</w:t>
      </w:r>
      <w:r w:rsidR="00110EB6">
        <w:t>2</w:t>
      </w:r>
      <w:r>
        <w:t>.</w:t>
      </w:r>
      <w:r>
        <w:tab/>
        <w:t xml:space="preserve">Under the leadership of the Bureau, </w:t>
      </w:r>
      <w:r w:rsidR="00FF3E2E">
        <w:t xml:space="preserve">the </w:t>
      </w:r>
      <w:r>
        <w:t>TOS PPP members were requested to express their views on the matter</w:t>
      </w:r>
      <w:r w:rsidR="00BE6423">
        <w:t xml:space="preserve">. </w:t>
      </w:r>
      <w:r w:rsidR="00DF1688">
        <w:t xml:space="preserve">Over 50 per cent of the </w:t>
      </w:r>
      <w:r w:rsidR="00BE6423">
        <w:t xml:space="preserve">members of </w:t>
      </w:r>
      <w:r w:rsidR="00DF1688">
        <w:t xml:space="preserve">the </w:t>
      </w:r>
      <w:r w:rsidR="00BE6423">
        <w:t>TOS PPP took part in the consultation which was performed through an online survey</w:t>
      </w:r>
      <w:r w:rsidR="000C0338">
        <w:t xml:space="preserve">, and they unanimously </w:t>
      </w:r>
      <w:r>
        <w:t xml:space="preserve">expressed their </w:t>
      </w:r>
      <w:r w:rsidR="00843E2B">
        <w:t xml:space="preserve">support </w:t>
      </w:r>
      <w:r>
        <w:t>to a resource neutral change in the intergovernmental status of the UNECE PPP work from a TOS to a Working Party.</w:t>
      </w:r>
      <w:r w:rsidR="000C0338">
        <w:rPr>
          <w:rStyle w:val="FootnoteReference"/>
        </w:rPr>
        <w:footnoteReference w:id="4"/>
      </w:r>
      <w:r w:rsidR="00BE6423">
        <w:t xml:space="preserve"> The results of the survey are available from the secretariat </w:t>
      </w:r>
      <w:r w:rsidR="00843E2B">
        <w:t>upon request</w:t>
      </w:r>
      <w:r w:rsidR="00BE6423">
        <w:t xml:space="preserve">. </w:t>
      </w:r>
    </w:p>
    <w:p w:rsidR="001B6E35" w:rsidRDefault="001B6E35" w:rsidP="004A33BA">
      <w:pPr>
        <w:pStyle w:val="SingleTxtG"/>
        <w:ind w:right="0"/>
      </w:pPr>
      <w:r>
        <w:t>1</w:t>
      </w:r>
      <w:r w:rsidR="00110EB6">
        <w:t>3</w:t>
      </w:r>
      <w:r>
        <w:t>.</w:t>
      </w:r>
      <w:r>
        <w:tab/>
      </w:r>
      <w:r w:rsidR="00CB33FD" w:rsidRPr="009A379D">
        <w:t xml:space="preserve">In view of </w:t>
      </w:r>
      <w:r w:rsidR="00CB33FD">
        <w:t>the</w:t>
      </w:r>
      <w:r w:rsidR="00CB33FD" w:rsidRPr="009A379D">
        <w:t xml:space="preserve"> work on the elaboration of international PPP standards and the global support which </w:t>
      </w:r>
      <w:r w:rsidR="00CB33FD">
        <w:t xml:space="preserve">the </w:t>
      </w:r>
      <w:r w:rsidR="00F01AC8">
        <w:t xml:space="preserve">UNECE </w:t>
      </w:r>
      <w:r w:rsidR="00CB33FD">
        <w:t>PPP</w:t>
      </w:r>
      <w:r w:rsidR="00F01AC8">
        <w:t xml:space="preserve"> work</w:t>
      </w:r>
      <w:r w:rsidR="00CB33FD" w:rsidRPr="009A379D">
        <w:t xml:space="preserve"> has generated, </w:t>
      </w:r>
      <w:r w:rsidR="00CB33FD">
        <w:t>the TOS PPP</w:t>
      </w:r>
      <w:r w:rsidR="00CB33FD" w:rsidRPr="009A379D">
        <w:t xml:space="preserve"> </w:t>
      </w:r>
      <w:r w:rsidR="00447E6A">
        <w:t xml:space="preserve">requests the </w:t>
      </w:r>
      <w:r w:rsidR="003E131B">
        <w:t>CICPPP</w:t>
      </w:r>
      <w:r w:rsidR="00447E6A">
        <w:t xml:space="preserve"> </w:t>
      </w:r>
      <w:r w:rsidR="00CB33FD">
        <w:t>to</w:t>
      </w:r>
      <w:r w:rsidR="00CB33FD" w:rsidRPr="009A379D">
        <w:t xml:space="preserve"> </w:t>
      </w:r>
      <w:r w:rsidR="00447E6A">
        <w:t xml:space="preserve">recommend to EXCOM a </w:t>
      </w:r>
      <w:r>
        <w:t xml:space="preserve">resource neutral </w:t>
      </w:r>
      <w:r w:rsidR="00447E6A">
        <w:t xml:space="preserve">change in </w:t>
      </w:r>
      <w:r w:rsidR="00CB33FD" w:rsidRPr="009A379D">
        <w:t>the</w:t>
      </w:r>
      <w:r w:rsidR="00CB33FD">
        <w:t xml:space="preserve"> intergovernmental structure of </w:t>
      </w:r>
      <w:r w:rsidR="00447E6A">
        <w:t xml:space="preserve">the PPP work from a </w:t>
      </w:r>
      <w:r w:rsidR="00CB33FD">
        <w:t xml:space="preserve">TOS </w:t>
      </w:r>
      <w:r w:rsidR="00CB33FD" w:rsidRPr="009A379D">
        <w:t xml:space="preserve">into a Working Party. </w:t>
      </w:r>
      <w:r w:rsidR="00A56602">
        <w:t xml:space="preserve">The draft terms of reference are contained in </w:t>
      </w:r>
      <w:r w:rsidR="00A01C79">
        <w:t xml:space="preserve">the </w:t>
      </w:r>
      <w:r w:rsidR="00A56602">
        <w:t>Annex.</w:t>
      </w:r>
    </w:p>
    <w:p w:rsidR="00DF1688" w:rsidRDefault="00DF1688" w:rsidP="001B6E35">
      <w:pPr>
        <w:pStyle w:val="SingleTxtG"/>
      </w:pPr>
    </w:p>
    <w:p w:rsidR="00DF1688" w:rsidRDefault="00DF1688">
      <w:pPr>
        <w:suppressAutoHyphens w:val="0"/>
        <w:spacing w:line="240" w:lineRule="auto"/>
      </w:pPr>
      <w:r>
        <w:br w:type="page"/>
      </w:r>
    </w:p>
    <w:p w:rsidR="00D744A3" w:rsidRDefault="00110EB6" w:rsidP="00110EB6">
      <w:pPr>
        <w:pStyle w:val="HMG"/>
      </w:pPr>
      <w:r>
        <w:tab/>
      </w:r>
      <w:r>
        <w:tab/>
      </w:r>
      <w:r w:rsidR="00F82CC8">
        <w:t xml:space="preserve">Annex </w:t>
      </w:r>
    </w:p>
    <w:p w:rsidR="00843E2B" w:rsidRDefault="00765D13" w:rsidP="00843E2B">
      <w:pPr>
        <w:pStyle w:val="HChG"/>
        <w:spacing w:after="120"/>
      </w:pPr>
      <w:r>
        <w:tab/>
      </w:r>
      <w:r>
        <w:tab/>
      </w:r>
      <w:r w:rsidR="00DF1688" w:rsidRPr="00765D13">
        <w:t xml:space="preserve">Draft Terms of Reference </w:t>
      </w:r>
    </w:p>
    <w:p w:rsidR="00DF1688" w:rsidRPr="00765D13" w:rsidRDefault="005A7CDA" w:rsidP="00843E2B">
      <w:pPr>
        <w:pStyle w:val="HChG"/>
        <w:spacing w:before="120" w:after="120" w:line="240" w:lineRule="auto"/>
        <w:ind w:left="0" w:firstLine="0"/>
      </w:pPr>
      <w:r>
        <w:tab/>
      </w:r>
      <w:r>
        <w:tab/>
      </w:r>
      <w:r w:rsidR="00D744A3" w:rsidRPr="00765D13">
        <w:t>Working Party on P</w:t>
      </w:r>
      <w:r w:rsidR="00A54469" w:rsidRPr="00765D13">
        <w:t>ublic-</w:t>
      </w:r>
      <w:r w:rsidR="00D744A3" w:rsidRPr="00765D13">
        <w:t>P</w:t>
      </w:r>
      <w:r w:rsidR="00A54469" w:rsidRPr="00765D13">
        <w:t xml:space="preserve">rivate </w:t>
      </w:r>
      <w:r w:rsidR="00D744A3" w:rsidRPr="00765D13">
        <w:t>P</w:t>
      </w:r>
      <w:r w:rsidR="00A54469" w:rsidRPr="00765D13">
        <w:t>artnership</w:t>
      </w:r>
      <w:r w:rsidR="00D744A3" w:rsidRPr="00765D13">
        <w:t>s</w:t>
      </w:r>
    </w:p>
    <w:p w:rsidR="008903EC" w:rsidRDefault="00765D13" w:rsidP="00256FC9">
      <w:pPr>
        <w:pStyle w:val="H1G"/>
      </w:pPr>
      <w:r>
        <w:tab/>
      </w:r>
      <w:r w:rsidR="0095188F">
        <w:t>A</w:t>
      </w:r>
      <w:r>
        <w:t>.</w:t>
      </w:r>
      <w:r>
        <w:tab/>
      </w:r>
      <w:r w:rsidR="008903EC">
        <w:t xml:space="preserve">Mandate </w:t>
      </w:r>
    </w:p>
    <w:p w:rsidR="008903EC" w:rsidRPr="00110EB6" w:rsidRDefault="0095188F" w:rsidP="00110EB6">
      <w:pPr>
        <w:pStyle w:val="SingleTxtG"/>
        <w:ind w:right="0"/>
        <w:rPr>
          <w:rStyle w:val="SingleTxtGChar"/>
        </w:rPr>
      </w:pPr>
      <w:r w:rsidRPr="003E131B">
        <w:t>1</w:t>
      </w:r>
      <w:r w:rsidR="002B1C1E">
        <w:t>.</w:t>
      </w:r>
      <w:r w:rsidR="002B1C1E">
        <w:tab/>
      </w:r>
      <w:r w:rsidR="008903EC" w:rsidRPr="00110EB6">
        <w:rPr>
          <w:rStyle w:val="SingleTxtGChar"/>
        </w:rPr>
        <w:t xml:space="preserve">The </w:t>
      </w:r>
      <w:r w:rsidRPr="00110EB6">
        <w:rPr>
          <w:rStyle w:val="SingleTxtGChar"/>
        </w:rPr>
        <w:t>Working Party</w:t>
      </w:r>
      <w:r w:rsidR="008903EC" w:rsidRPr="00110EB6">
        <w:rPr>
          <w:rStyle w:val="SingleTxtGChar"/>
        </w:rPr>
        <w:t xml:space="preserve"> on Public-Private Partnerships</w:t>
      </w:r>
      <w:r w:rsidRPr="00110EB6">
        <w:rPr>
          <w:rStyle w:val="SingleTxtGChar"/>
        </w:rPr>
        <w:t xml:space="preserve"> </w:t>
      </w:r>
      <w:r w:rsidR="008903EC" w:rsidRPr="00110EB6">
        <w:rPr>
          <w:rStyle w:val="SingleTxtGChar"/>
        </w:rPr>
        <w:t xml:space="preserve">supports the implementation of the parts of the Programme of Work of </w:t>
      </w:r>
      <w:r w:rsidRPr="00110EB6">
        <w:rPr>
          <w:rStyle w:val="SingleTxtGChar"/>
        </w:rPr>
        <w:t>the Committee on Innovation, Competitiveness and Public-Private Partnerships (CICPPP)</w:t>
      </w:r>
      <w:r w:rsidR="008903EC" w:rsidRPr="00110EB6">
        <w:rPr>
          <w:rStyle w:val="SingleTxtGChar"/>
        </w:rPr>
        <w:t xml:space="preserve"> related to public-private partnerships. Its main task is</w:t>
      </w:r>
      <w:r w:rsidRPr="00110EB6">
        <w:rPr>
          <w:rStyle w:val="SingleTxtGChar"/>
        </w:rPr>
        <w:t xml:space="preserve"> </w:t>
      </w:r>
      <w:r w:rsidR="00922DDC" w:rsidRPr="00110EB6">
        <w:rPr>
          <w:rStyle w:val="SingleTxtGChar"/>
        </w:rPr>
        <w:t xml:space="preserve">to </w:t>
      </w:r>
      <w:r w:rsidRPr="00110EB6">
        <w:rPr>
          <w:rStyle w:val="SingleTxtGChar"/>
        </w:rPr>
        <w:t>identify international PPP best practices, develop international PPP standards</w:t>
      </w:r>
      <w:r w:rsidR="008903EC" w:rsidRPr="00110EB6">
        <w:rPr>
          <w:rStyle w:val="SingleTxtGChar"/>
        </w:rPr>
        <w:t xml:space="preserve"> </w:t>
      </w:r>
      <w:r w:rsidRPr="00110EB6">
        <w:rPr>
          <w:rStyle w:val="SingleTxtGChar"/>
        </w:rPr>
        <w:t xml:space="preserve">and </w:t>
      </w:r>
      <w:r w:rsidR="008903EC" w:rsidRPr="00110EB6">
        <w:rPr>
          <w:rStyle w:val="SingleTxtGChar"/>
        </w:rPr>
        <w:t>to contribute to the preparation, implementation and evaluation of a capacity-building</w:t>
      </w:r>
      <w:r w:rsidR="00922DDC" w:rsidRPr="00110EB6">
        <w:rPr>
          <w:rStyle w:val="SingleTxtGChar"/>
        </w:rPr>
        <w:t xml:space="preserve"> and policy advisory</w:t>
      </w:r>
      <w:r w:rsidR="008903EC" w:rsidRPr="00110EB6">
        <w:rPr>
          <w:rStyle w:val="SingleTxtGChar"/>
        </w:rPr>
        <w:t xml:space="preserve"> programme for public and private sectors officials </w:t>
      </w:r>
      <w:r w:rsidRPr="00110EB6">
        <w:rPr>
          <w:rStyle w:val="SingleTxtGChar"/>
        </w:rPr>
        <w:t>in low and middle income countries</w:t>
      </w:r>
      <w:r w:rsidR="008903EC" w:rsidRPr="00110EB6">
        <w:rPr>
          <w:rStyle w:val="SingleTxtGChar"/>
        </w:rPr>
        <w:t xml:space="preserve"> on this topic. </w:t>
      </w:r>
    </w:p>
    <w:p w:rsidR="00110EB6" w:rsidRDefault="0095188F" w:rsidP="00110EB6">
      <w:pPr>
        <w:pStyle w:val="SingleTxtG"/>
        <w:ind w:right="0"/>
      </w:pPr>
      <w:r w:rsidRPr="003E131B">
        <w:t>2</w:t>
      </w:r>
      <w:r w:rsidR="002B1C1E">
        <w:t>.</w:t>
      </w:r>
      <w:r w:rsidR="002B1C1E">
        <w:tab/>
      </w:r>
      <w:r w:rsidR="008903EC" w:rsidRPr="003E131B">
        <w:t xml:space="preserve">On the basis of this work, the </w:t>
      </w:r>
      <w:r w:rsidRPr="003E131B">
        <w:t>Working Party</w:t>
      </w:r>
      <w:r w:rsidR="008903EC" w:rsidRPr="003E131B">
        <w:t xml:space="preserve"> is expected to prepare </w:t>
      </w:r>
      <w:r w:rsidR="00B32200" w:rsidRPr="003E131B">
        <w:t xml:space="preserve">standards and </w:t>
      </w:r>
      <w:r w:rsidR="008903EC" w:rsidRPr="003E131B">
        <w:t xml:space="preserve">policy recommendations for consideration and possible adoption by </w:t>
      </w:r>
      <w:r w:rsidRPr="003E131B">
        <w:t>CICPPP</w:t>
      </w:r>
      <w:r w:rsidR="008903EC" w:rsidRPr="003E131B">
        <w:t xml:space="preserve">. </w:t>
      </w:r>
    </w:p>
    <w:p w:rsidR="008903EC" w:rsidRPr="003E131B" w:rsidRDefault="00B32200" w:rsidP="00110EB6">
      <w:pPr>
        <w:pStyle w:val="SingleTxtG"/>
        <w:ind w:right="0"/>
      </w:pPr>
      <w:r w:rsidRPr="003E131B">
        <w:t>3</w:t>
      </w:r>
      <w:r w:rsidR="002B1C1E">
        <w:t>.</w:t>
      </w:r>
      <w:r w:rsidR="002B1C1E">
        <w:tab/>
      </w:r>
      <w:r w:rsidR="008903EC" w:rsidRPr="003E131B">
        <w:t xml:space="preserve">In its work, the </w:t>
      </w:r>
      <w:r w:rsidR="0095188F" w:rsidRPr="003E131B">
        <w:t>Working Party</w:t>
      </w:r>
      <w:r w:rsidR="008903EC" w:rsidRPr="003E131B">
        <w:t xml:space="preserve"> responds to the needs of governments, and takes into account the needs of the private sector, consumers, the academic and business communities, and civil society. It will also facilitate cooperation </w:t>
      </w:r>
      <w:r w:rsidRPr="003E131B">
        <w:t>with</w:t>
      </w:r>
      <w:r w:rsidR="00136687" w:rsidRPr="003E131B">
        <w:t xml:space="preserve">in the UN system </w:t>
      </w:r>
      <w:r w:rsidRPr="003E131B">
        <w:t xml:space="preserve">and </w:t>
      </w:r>
      <w:r w:rsidR="008903EC" w:rsidRPr="003E131B">
        <w:t>with various international bodies working in this field, in particular the European Bank for Reconstruction and Development (EBRD)</w:t>
      </w:r>
      <w:r w:rsidR="0095188F" w:rsidRPr="003E131B">
        <w:t>, the European Investment Bank (EIB), the Eurasian Development Bank, the World Bank Group, and the Asian Development Bank (ADB)</w:t>
      </w:r>
      <w:r w:rsidR="008903EC" w:rsidRPr="003E131B">
        <w:t xml:space="preserve">. </w:t>
      </w:r>
    </w:p>
    <w:p w:rsidR="008903EC" w:rsidRPr="00765D13" w:rsidRDefault="00765D13" w:rsidP="00256FC9">
      <w:pPr>
        <w:pStyle w:val="H1G"/>
        <w:rPr>
          <w:sz w:val="28"/>
        </w:rPr>
      </w:pPr>
      <w:r>
        <w:tab/>
      </w:r>
      <w:r w:rsidR="00A54469" w:rsidRPr="00256FC9">
        <w:t>B</w:t>
      </w:r>
      <w:r w:rsidR="008903EC" w:rsidRPr="00256FC9">
        <w:t xml:space="preserve">. </w:t>
      </w:r>
      <w:r>
        <w:tab/>
      </w:r>
      <w:r w:rsidR="008903EC" w:rsidRPr="00256FC9">
        <w:t xml:space="preserve">Areas of work </w:t>
      </w:r>
    </w:p>
    <w:p w:rsidR="00765D13" w:rsidRDefault="00C545E2" w:rsidP="00110EB6">
      <w:pPr>
        <w:pStyle w:val="SingleTxtG"/>
        <w:ind w:right="0"/>
      </w:pPr>
      <w:r w:rsidRPr="003E131B">
        <w:t>4</w:t>
      </w:r>
      <w:r w:rsidR="002B1C1E">
        <w:t>.</w:t>
      </w:r>
      <w:r w:rsidR="002B1C1E">
        <w:tab/>
      </w:r>
      <w:r w:rsidR="008903EC" w:rsidRPr="00110EB6">
        <w:rPr>
          <w:rStyle w:val="SingleTxtGChar"/>
        </w:rPr>
        <w:t xml:space="preserve">To support </w:t>
      </w:r>
      <w:r w:rsidRPr="00110EB6">
        <w:rPr>
          <w:rStyle w:val="SingleTxtGChar"/>
        </w:rPr>
        <w:t>CICPPP</w:t>
      </w:r>
      <w:r w:rsidR="008903EC" w:rsidRPr="00110EB6">
        <w:rPr>
          <w:rStyle w:val="SingleTxtGChar"/>
        </w:rPr>
        <w:t xml:space="preserve"> in achieving its relevant objectives, the </w:t>
      </w:r>
      <w:r w:rsidRPr="00110EB6">
        <w:rPr>
          <w:rStyle w:val="SingleTxtGChar"/>
        </w:rPr>
        <w:t>Working Party</w:t>
      </w:r>
      <w:r w:rsidR="008903EC" w:rsidRPr="00110EB6">
        <w:rPr>
          <w:rStyle w:val="SingleTxtGChar"/>
        </w:rPr>
        <w:t xml:space="preserve"> will engage in the following</w:t>
      </w:r>
      <w:r w:rsidR="00490F13" w:rsidRPr="00110EB6">
        <w:rPr>
          <w:rStyle w:val="SingleTxtGChar"/>
        </w:rPr>
        <w:t xml:space="preserve"> main</w:t>
      </w:r>
      <w:r w:rsidR="008903EC" w:rsidRPr="00110EB6">
        <w:rPr>
          <w:rStyle w:val="SingleTxtGChar"/>
        </w:rPr>
        <w:t xml:space="preserve"> activities</w:t>
      </w:r>
      <w:r w:rsidR="008903EC" w:rsidRPr="003E131B">
        <w:t xml:space="preserve">: </w:t>
      </w:r>
    </w:p>
    <w:p w:rsidR="00765D13" w:rsidRPr="00765D13" w:rsidRDefault="00765D13" w:rsidP="00110EB6">
      <w:pPr>
        <w:pStyle w:val="Bullet1G"/>
        <w:ind w:left="1701" w:right="0"/>
      </w:pPr>
      <w:r w:rsidRPr="00765D13">
        <w:t>(a)</w:t>
      </w:r>
      <w:r w:rsidRPr="00765D13">
        <w:tab/>
        <w:t>Development of international PPP standards</w:t>
      </w:r>
      <w:r w:rsidR="008353FA">
        <w:t xml:space="preserve"> and recommendations</w:t>
      </w:r>
      <w:r w:rsidRPr="00765D13">
        <w:t xml:space="preserve"> in a number of sectors and subsectors that contribute to achieving the UN Sustainable Development Goals (SDGs);</w:t>
      </w:r>
    </w:p>
    <w:p w:rsidR="00765D13" w:rsidRPr="00765D13" w:rsidRDefault="00765D13" w:rsidP="00110EB6">
      <w:pPr>
        <w:pStyle w:val="Bullet1G"/>
        <w:ind w:left="1701" w:right="0"/>
      </w:pPr>
      <w:r w:rsidRPr="00765D13">
        <w:t>(b)</w:t>
      </w:r>
      <w:r w:rsidRPr="00765D13">
        <w:tab/>
        <w:t>Preparation of international PPP best practices with the support of international PPP specialist centres of excellence</w:t>
      </w:r>
      <w:r w:rsidR="003C63B4">
        <w:t xml:space="preserve"> which are</w:t>
      </w:r>
      <w:r w:rsidRPr="00765D13">
        <w:t xml:space="preserve"> affiliated to the UNECE International PPP Centre of Excellence; and </w:t>
      </w:r>
    </w:p>
    <w:p w:rsidR="00765D13" w:rsidRPr="003E131B" w:rsidRDefault="00765D13" w:rsidP="00110EB6">
      <w:pPr>
        <w:pStyle w:val="Bullet1G"/>
        <w:ind w:left="1701" w:right="0"/>
      </w:pPr>
      <w:r w:rsidRPr="00765D13">
        <w:t>(c)</w:t>
      </w:r>
      <w:r w:rsidRPr="00765D13">
        <w:tab/>
        <w:t>Facilitating broad dissemination of international best practices and standards in the area of PPPs subject to the availability of extrabudgetary resources, through the organization of targeted capacity-building activities, policy advisory services and training programmes.</w:t>
      </w:r>
    </w:p>
    <w:p w:rsidR="008903EC" w:rsidRPr="00765D13" w:rsidRDefault="00765D13" w:rsidP="00256FC9">
      <w:pPr>
        <w:pStyle w:val="H1G"/>
        <w:rPr>
          <w:sz w:val="28"/>
        </w:rPr>
      </w:pPr>
      <w:r>
        <w:tab/>
      </w:r>
      <w:r w:rsidR="007D3B6D" w:rsidRPr="00256FC9">
        <w:t>C</w:t>
      </w:r>
      <w:r w:rsidR="008903EC" w:rsidRPr="00256FC9">
        <w:t xml:space="preserve">. </w:t>
      </w:r>
      <w:r>
        <w:tab/>
      </w:r>
      <w:r w:rsidR="008903EC" w:rsidRPr="00256FC9">
        <w:t xml:space="preserve">Membership </w:t>
      </w:r>
      <w:r w:rsidR="009C4482" w:rsidRPr="00256FC9">
        <w:t>and Officers</w:t>
      </w:r>
    </w:p>
    <w:p w:rsidR="009C4482" w:rsidRPr="005563B3" w:rsidRDefault="00A30EA6" w:rsidP="00110EB6">
      <w:pPr>
        <w:pStyle w:val="SingleTxtG"/>
        <w:ind w:right="0"/>
      </w:pPr>
      <w:r w:rsidRPr="005563B3">
        <w:t>5</w:t>
      </w:r>
      <w:r w:rsidR="000B3A11">
        <w:t>.</w:t>
      </w:r>
      <w:r w:rsidR="000B3A11">
        <w:tab/>
      </w:r>
      <w:r w:rsidR="00DF0450" w:rsidRPr="005563B3">
        <w:t>The Working Party is open for participation by all UN member States</w:t>
      </w:r>
      <w:r w:rsidR="0095188F" w:rsidRPr="005563B3">
        <w:t xml:space="preserve"> in compliance with the accreditation process contained in the guidelines on procedures and practices for ECE bodies (</w:t>
      </w:r>
      <w:r w:rsidR="00D15739" w:rsidRPr="005563B3">
        <w:t>E/</w:t>
      </w:r>
      <w:r w:rsidR="00D15739">
        <w:t>2013/37 E/</w:t>
      </w:r>
      <w:r w:rsidR="00D15739" w:rsidRPr="005563B3">
        <w:t>ECE/14</w:t>
      </w:r>
      <w:r w:rsidR="00D15739">
        <w:t>64</w:t>
      </w:r>
      <w:r w:rsidR="0095188F" w:rsidRPr="005563B3">
        <w:t>)</w:t>
      </w:r>
      <w:r w:rsidR="00DF0450" w:rsidRPr="005563B3">
        <w:t xml:space="preserve">. In addition, representatives from the private sector, relevant international organizations and non-governmental organizations (NGOs) can also be invited as observers, in compliance with the UN rules and practices in this </w:t>
      </w:r>
      <w:r w:rsidR="00304FA4" w:rsidRPr="005563B3">
        <w:t>respect</w:t>
      </w:r>
      <w:r w:rsidR="0095188F" w:rsidRPr="005563B3">
        <w:t>.</w:t>
      </w:r>
      <w:r w:rsidR="00304FA4" w:rsidRPr="005563B3">
        <w:t xml:space="preserve"> </w:t>
      </w:r>
    </w:p>
    <w:p w:rsidR="00DF0450" w:rsidRPr="005563B3" w:rsidRDefault="00A30EA6" w:rsidP="00110EB6">
      <w:pPr>
        <w:pStyle w:val="SingleTxtG"/>
        <w:ind w:right="0"/>
      </w:pPr>
      <w:r w:rsidRPr="005563B3">
        <w:t>6</w:t>
      </w:r>
      <w:r w:rsidR="009C4482" w:rsidRPr="005563B3">
        <w:t>.</w:t>
      </w:r>
      <w:r w:rsidR="000B3A11">
        <w:tab/>
      </w:r>
      <w:r w:rsidR="009C4482" w:rsidRPr="005563B3">
        <w:t>The</w:t>
      </w:r>
      <w:r w:rsidR="00DF0450" w:rsidRPr="005563B3">
        <w:t xml:space="preserve"> Working Party elect</w:t>
      </w:r>
      <w:r w:rsidR="009C4482" w:rsidRPr="005563B3">
        <w:t>s</w:t>
      </w:r>
      <w:r w:rsidR="00DF0450" w:rsidRPr="005563B3">
        <w:t xml:space="preserve"> its officers</w:t>
      </w:r>
      <w:r w:rsidR="00BD128C">
        <w:t xml:space="preserve"> (</w:t>
      </w:r>
      <w:r w:rsidR="009C4482" w:rsidRPr="005563B3">
        <w:t>Chairperson</w:t>
      </w:r>
      <w:r w:rsidR="00BD128C">
        <w:t>(s)</w:t>
      </w:r>
      <w:r w:rsidR="009C4482" w:rsidRPr="005563B3">
        <w:t xml:space="preserve"> and an agreed number of vice-Chairpersons)</w:t>
      </w:r>
      <w:r w:rsidR="00DF0450" w:rsidRPr="005563B3">
        <w:t xml:space="preserve"> </w:t>
      </w:r>
      <w:r w:rsidR="00205B87" w:rsidRPr="005563B3">
        <w:t xml:space="preserve">in accordance with the guidelines on procedure and practices for ECE bodies </w:t>
      </w:r>
      <w:r w:rsidR="00304FA4" w:rsidRPr="005563B3">
        <w:t>(</w:t>
      </w:r>
      <w:r w:rsidR="00205B87" w:rsidRPr="005563B3">
        <w:t>E/</w:t>
      </w:r>
      <w:r w:rsidR="00513726">
        <w:t>2013/37 E/</w:t>
      </w:r>
      <w:r w:rsidR="00205B87" w:rsidRPr="005563B3">
        <w:t>ECE/14</w:t>
      </w:r>
      <w:r w:rsidR="00513726">
        <w:t>64</w:t>
      </w:r>
      <w:r w:rsidR="00304FA4" w:rsidRPr="005563B3">
        <w:t>)</w:t>
      </w:r>
      <w:r w:rsidR="00DF0450" w:rsidRPr="005563B3">
        <w:t xml:space="preserve">. </w:t>
      </w:r>
    </w:p>
    <w:p w:rsidR="008903EC" w:rsidRPr="00256FC9" w:rsidRDefault="00765D13" w:rsidP="00256FC9">
      <w:pPr>
        <w:pStyle w:val="H1G"/>
      </w:pPr>
      <w:r>
        <w:tab/>
      </w:r>
      <w:r w:rsidR="007D3B6D" w:rsidRPr="00256FC9">
        <w:t>D</w:t>
      </w:r>
      <w:r w:rsidR="008903EC" w:rsidRPr="00256FC9">
        <w:t xml:space="preserve">. </w:t>
      </w:r>
      <w:r>
        <w:tab/>
      </w:r>
      <w:r w:rsidR="008903EC" w:rsidRPr="00256FC9">
        <w:t>M</w:t>
      </w:r>
      <w:r w:rsidR="000739B1" w:rsidRPr="00256FC9">
        <w:t>ethods of Work</w:t>
      </w:r>
    </w:p>
    <w:p w:rsidR="008903EC" w:rsidRPr="005A00D5" w:rsidRDefault="008903EC" w:rsidP="00110EB6">
      <w:pPr>
        <w:pStyle w:val="SingleTxtG"/>
        <w:ind w:right="0"/>
      </w:pPr>
      <w:r w:rsidRPr="005A00D5">
        <w:t>7</w:t>
      </w:r>
      <w:r w:rsidR="000B3A11">
        <w:t>.</w:t>
      </w:r>
      <w:r w:rsidR="000B3A11">
        <w:tab/>
      </w:r>
      <w:r w:rsidRPr="005A00D5">
        <w:t xml:space="preserve">The </w:t>
      </w:r>
      <w:r w:rsidR="000739B1" w:rsidRPr="005A00D5">
        <w:t>Working Party</w:t>
      </w:r>
      <w:r w:rsidRPr="005A00D5">
        <w:t xml:space="preserve"> operates in accordance with the Guidelines for the Establishment and Functioning of </w:t>
      </w:r>
      <w:r w:rsidR="000739B1" w:rsidRPr="005A00D5">
        <w:t>Working Parties</w:t>
      </w:r>
      <w:r w:rsidRPr="005A00D5">
        <w:t xml:space="preserve"> within the UNECE (ECE/EX/</w:t>
      </w:r>
      <w:r w:rsidR="000739B1" w:rsidRPr="005A00D5">
        <w:t>1</w:t>
      </w:r>
      <w:r w:rsidRPr="005A00D5">
        <w:t xml:space="preserve">). </w:t>
      </w:r>
    </w:p>
    <w:p w:rsidR="008903EC" w:rsidRPr="005A00D5" w:rsidRDefault="000B3A11" w:rsidP="00110EB6">
      <w:pPr>
        <w:pStyle w:val="SingleTxtG"/>
        <w:ind w:right="0"/>
      </w:pPr>
      <w:r>
        <w:t>8.</w:t>
      </w:r>
      <w:r>
        <w:tab/>
      </w:r>
      <w:r w:rsidR="008903EC" w:rsidRPr="005A00D5">
        <w:t xml:space="preserve">The </w:t>
      </w:r>
      <w:r w:rsidR="000739B1" w:rsidRPr="005A00D5">
        <w:t>Working Party</w:t>
      </w:r>
      <w:r w:rsidR="008903EC" w:rsidRPr="005A00D5">
        <w:t xml:space="preserve"> is established for a period of </w:t>
      </w:r>
      <w:r w:rsidR="000739B1" w:rsidRPr="005A00D5">
        <w:t>five</w:t>
      </w:r>
      <w:r w:rsidR="008903EC" w:rsidRPr="005A00D5">
        <w:t xml:space="preserve"> years with a possibility of extension, if so decided by </w:t>
      </w:r>
      <w:r w:rsidR="00792F4C" w:rsidRPr="005A00D5">
        <w:t>CICPPP</w:t>
      </w:r>
      <w:r w:rsidR="008903EC" w:rsidRPr="005A00D5">
        <w:t xml:space="preserve">. The </w:t>
      </w:r>
      <w:r w:rsidR="00792F4C" w:rsidRPr="005A00D5">
        <w:t>CICPPP</w:t>
      </w:r>
      <w:r w:rsidR="008903EC" w:rsidRPr="005A00D5">
        <w:t xml:space="preserve"> may wish to modify the Terms of Reference as required. </w:t>
      </w:r>
      <w:r w:rsidR="000739B1" w:rsidRPr="005A00D5">
        <w:t xml:space="preserve">The Working Party will develop its plan of work and reports to the annual session of </w:t>
      </w:r>
      <w:r w:rsidR="00792F4C" w:rsidRPr="005A00D5">
        <w:t>CICPPP</w:t>
      </w:r>
      <w:r w:rsidR="000739B1" w:rsidRPr="005A00D5">
        <w:t xml:space="preserve"> on its implementation.</w:t>
      </w:r>
    </w:p>
    <w:p w:rsidR="008903EC" w:rsidRPr="005A00D5" w:rsidRDefault="000B3A11" w:rsidP="00110EB6">
      <w:pPr>
        <w:pStyle w:val="SingleTxtG"/>
        <w:ind w:right="0"/>
      </w:pPr>
      <w:r>
        <w:t>9.</w:t>
      </w:r>
      <w:r>
        <w:tab/>
      </w:r>
      <w:r w:rsidR="000739B1" w:rsidRPr="005A00D5">
        <w:t>The UNECE s</w:t>
      </w:r>
      <w:r w:rsidR="008903EC" w:rsidRPr="005A00D5">
        <w:t xml:space="preserve">ecretariat </w:t>
      </w:r>
      <w:r w:rsidR="000739B1" w:rsidRPr="005A00D5">
        <w:t>services the meetings of</w:t>
      </w:r>
      <w:r w:rsidR="008903EC" w:rsidRPr="005A00D5">
        <w:t xml:space="preserve"> to the </w:t>
      </w:r>
      <w:r w:rsidR="000739B1" w:rsidRPr="005A00D5">
        <w:t>Working Party, providing logistical support and preparing documentation, including draft reports.</w:t>
      </w:r>
      <w:r w:rsidR="008903EC" w:rsidRPr="005A00D5">
        <w:t xml:space="preserve"> </w:t>
      </w:r>
    </w:p>
    <w:p w:rsidR="00DF1688" w:rsidRPr="00765D13" w:rsidRDefault="00765D13" w:rsidP="00765D13">
      <w:pPr>
        <w:pStyle w:val="SingleTxtG"/>
        <w:spacing w:before="240" w:after="0"/>
        <w:jc w:val="center"/>
        <w:rPr>
          <w:u w:val="single"/>
        </w:rPr>
      </w:pPr>
      <w:r>
        <w:rPr>
          <w:u w:val="single"/>
        </w:rPr>
        <w:tab/>
      </w:r>
      <w:r>
        <w:rPr>
          <w:u w:val="single"/>
        </w:rPr>
        <w:tab/>
      </w:r>
      <w:r>
        <w:rPr>
          <w:u w:val="single"/>
        </w:rPr>
        <w:tab/>
      </w:r>
    </w:p>
    <w:p w:rsidR="00F507EC" w:rsidRPr="001B6E35" w:rsidRDefault="00F507EC" w:rsidP="001B6E35">
      <w:pPr>
        <w:pStyle w:val="SingleTxtG"/>
        <w:jc w:val="center"/>
        <w:rPr>
          <w:u w:val="single"/>
        </w:rPr>
      </w:pPr>
    </w:p>
    <w:sectPr w:rsidR="00F507EC" w:rsidRPr="001B6E35" w:rsidSect="0015674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2268"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29T18:19:00Z" w:initials="Start">
    <w:p w:rsidR="0015674D" w:rsidRDefault="001567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NO&gt;&gt;N1605221E&lt;&lt;ODS JOB NO&gt;&gt;</w:t>
      </w:r>
    </w:p>
    <w:p w:rsidR="0015674D" w:rsidRPr="001C2EF5" w:rsidRDefault="0015674D">
      <w:pPr>
        <w:pStyle w:val="CommentText"/>
        <w:rPr>
          <w:lang w:val="fr-CH"/>
        </w:rPr>
      </w:pPr>
      <w:r w:rsidRPr="001C2EF5">
        <w:rPr>
          <w:lang w:val="fr-CH"/>
        </w:rPr>
        <w:t>&lt;&lt;ODS DOC SYMBOL1&gt;&gt;ECE/CECI/2016/6&lt;&lt;ODS DOC SYMBOL1&gt;&gt;</w:t>
      </w:r>
    </w:p>
    <w:p w:rsidR="0015674D" w:rsidRDefault="001567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50" w:rsidRDefault="00B90B50"/>
  </w:endnote>
  <w:endnote w:type="continuationSeparator" w:id="0">
    <w:p w:rsidR="00B90B50" w:rsidRDefault="00B90B50"/>
  </w:endnote>
  <w:endnote w:type="continuationNotice" w:id="1">
    <w:p w:rsidR="00B90B50" w:rsidRDefault="00B9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3" w:rsidRPr="00B85D43" w:rsidRDefault="00B85D43" w:rsidP="00B85D43">
    <w:pPr>
      <w:pStyle w:val="Footer"/>
      <w:tabs>
        <w:tab w:val="right" w:pos="9638"/>
      </w:tabs>
      <w:rPr>
        <w:sz w:val="18"/>
      </w:rPr>
    </w:pPr>
    <w:r w:rsidRPr="00B85D43">
      <w:rPr>
        <w:b/>
        <w:sz w:val="18"/>
      </w:rPr>
      <w:fldChar w:fldCharType="begin"/>
    </w:r>
    <w:r w:rsidRPr="00B85D43">
      <w:rPr>
        <w:b/>
        <w:sz w:val="18"/>
      </w:rPr>
      <w:instrText xml:space="preserve"> PAGE  \* MERGEFORMAT </w:instrText>
    </w:r>
    <w:r w:rsidRPr="00B85D43">
      <w:rPr>
        <w:b/>
        <w:sz w:val="18"/>
      </w:rPr>
      <w:fldChar w:fldCharType="separate"/>
    </w:r>
    <w:r w:rsidR="001C2EF5">
      <w:rPr>
        <w:b/>
        <w:noProof/>
        <w:sz w:val="18"/>
      </w:rPr>
      <w:t>2</w:t>
    </w:r>
    <w:r w:rsidRPr="00B85D4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3" w:rsidRPr="00B85D43" w:rsidRDefault="00B85D43" w:rsidP="00B85D43">
    <w:pPr>
      <w:pStyle w:val="Footer"/>
      <w:tabs>
        <w:tab w:val="right" w:pos="9638"/>
      </w:tabs>
      <w:rPr>
        <w:b/>
        <w:sz w:val="18"/>
      </w:rPr>
    </w:pPr>
    <w:r>
      <w:tab/>
    </w:r>
    <w:r w:rsidRPr="00B85D43">
      <w:rPr>
        <w:b/>
        <w:sz w:val="18"/>
      </w:rPr>
      <w:fldChar w:fldCharType="begin"/>
    </w:r>
    <w:r w:rsidRPr="00B85D43">
      <w:rPr>
        <w:b/>
        <w:sz w:val="18"/>
      </w:rPr>
      <w:instrText xml:space="preserve"> PAGE  \* MERGEFORMAT </w:instrText>
    </w:r>
    <w:r w:rsidRPr="00B85D43">
      <w:rPr>
        <w:b/>
        <w:sz w:val="18"/>
      </w:rPr>
      <w:fldChar w:fldCharType="separate"/>
    </w:r>
    <w:r w:rsidR="001C2EF5">
      <w:rPr>
        <w:b/>
        <w:noProof/>
        <w:sz w:val="18"/>
      </w:rPr>
      <w:t>5</w:t>
    </w:r>
    <w:r w:rsidRPr="00B85D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361"/>
    </w:tblGrid>
    <w:tr w:rsidR="0015674D" w:rsidTr="0015674D">
      <w:tc>
        <w:tcPr>
          <w:tcW w:w="3758" w:type="dxa"/>
          <w:shd w:val="clear" w:color="auto" w:fill="auto"/>
        </w:tcPr>
        <w:p w:rsidR="0015674D" w:rsidRDefault="0015674D" w:rsidP="0015674D">
          <w:pPr>
            <w:pStyle w:val="Footer"/>
            <w:rPr>
              <w:sz w:val="20"/>
            </w:rPr>
          </w:pPr>
          <w:r>
            <w:rPr>
              <w:sz w:val="20"/>
            </w:rPr>
            <w:t>GE.16-04042(E)</w:t>
          </w:r>
        </w:p>
        <w:p w:rsidR="0015674D" w:rsidRPr="0015674D" w:rsidRDefault="0015674D" w:rsidP="0015674D">
          <w:pPr>
            <w:pStyle w:val="Footer"/>
            <w:rPr>
              <w:rFonts w:ascii="Barcode 3 of 9 by request" w:hAnsi="Barcode 3 of 9 by request"/>
              <w:sz w:val="24"/>
            </w:rPr>
          </w:pPr>
          <w:r>
            <w:rPr>
              <w:rFonts w:ascii="Barcode 3 of 9 by request" w:hAnsi="Barcode 3 of 9 by request"/>
              <w:sz w:val="24"/>
            </w:rPr>
            <w:t>*1604042*</w:t>
          </w:r>
        </w:p>
      </w:tc>
      <w:tc>
        <w:tcPr>
          <w:tcW w:w="4361" w:type="dxa"/>
          <w:shd w:val="clear" w:color="auto" w:fill="auto"/>
        </w:tcPr>
        <w:p w:rsidR="0015674D" w:rsidRDefault="001C2EF5" w:rsidP="0015674D">
          <w:pPr>
            <w:pStyle w:val="Footer"/>
            <w:spacing w:line="240" w:lineRule="atLeast"/>
            <w:jc w:val="right"/>
            <w:rPr>
              <w:sz w:val="20"/>
            </w:rPr>
          </w:pPr>
          <w:r>
            <w:rPr>
              <w:noProof/>
              <w:sz w:val="20"/>
              <w:lang w:val="en-US" w:eastAsia="zh-CN"/>
            </w:rPr>
            <w:drawing>
              <wp:anchor distT="0" distB="0" distL="114300" distR="114300" simplePos="0" relativeHeight="251658240" behindDoc="0" locked="0" layoutInCell="1" allowOverlap="1" wp14:anchorId="6D3130D8" wp14:editId="132BC8FB">
                <wp:simplePos x="0" y="0"/>
                <wp:positionH relativeFrom="column">
                  <wp:posOffset>2764790</wp:posOffset>
                </wp:positionH>
                <wp:positionV relativeFrom="paragraph">
                  <wp:posOffset>-373380</wp:posOffset>
                </wp:positionV>
                <wp:extent cx="694690" cy="694690"/>
                <wp:effectExtent l="0" t="0" r="0" b="0"/>
                <wp:wrapNone/>
                <wp:docPr id="4" name="Picture 4" descr="http://undocs.org/m2/QRCode2.ashx?DS=ECE/CECI/201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CI/201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5674D">
            <w:rPr>
              <w:noProof/>
              <w:sz w:val="20"/>
              <w:lang w:val="en-US" w:eastAsia="zh-CN"/>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5674D" w:rsidRPr="0015674D" w:rsidRDefault="0015674D" w:rsidP="0015674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50" w:rsidRPr="000B175B" w:rsidRDefault="00B90B50" w:rsidP="000B175B">
      <w:pPr>
        <w:tabs>
          <w:tab w:val="right" w:pos="2155"/>
        </w:tabs>
        <w:spacing w:after="80"/>
        <w:ind w:left="680"/>
        <w:rPr>
          <w:u w:val="single"/>
        </w:rPr>
      </w:pPr>
      <w:r>
        <w:rPr>
          <w:u w:val="single"/>
        </w:rPr>
        <w:tab/>
      </w:r>
    </w:p>
  </w:footnote>
  <w:footnote w:type="continuationSeparator" w:id="0">
    <w:p w:rsidR="00B90B50" w:rsidRPr="00FC68B7" w:rsidRDefault="00B90B50" w:rsidP="00FC68B7">
      <w:pPr>
        <w:tabs>
          <w:tab w:val="left" w:pos="2155"/>
        </w:tabs>
        <w:spacing w:after="80"/>
        <w:ind w:left="680"/>
        <w:rPr>
          <w:u w:val="single"/>
        </w:rPr>
      </w:pPr>
      <w:r>
        <w:rPr>
          <w:u w:val="single"/>
        </w:rPr>
        <w:tab/>
      </w:r>
    </w:p>
  </w:footnote>
  <w:footnote w:type="continuationNotice" w:id="1">
    <w:p w:rsidR="00B90B50" w:rsidRDefault="00B90B50"/>
  </w:footnote>
  <w:footnote w:id="2">
    <w:p w:rsidR="0072778A" w:rsidRPr="00765D13" w:rsidRDefault="00765D13" w:rsidP="00110EB6">
      <w:pPr>
        <w:pStyle w:val="FootnoteText"/>
        <w:ind w:right="0"/>
      </w:pPr>
      <w:r>
        <w:tab/>
      </w:r>
      <w:r>
        <w:tab/>
      </w:r>
      <w:r w:rsidR="0072778A" w:rsidRPr="00765D13">
        <w:rPr>
          <w:rStyle w:val="FootnoteReference"/>
        </w:rPr>
        <w:footnoteRef/>
      </w:r>
      <w:r w:rsidR="0072778A" w:rsidRPr="00765D13">
        <w:t xml:space="preserve"> </w:t>
      </w:r>
      <w:r w:rsidR="00EE7D18" w:rsidRPr="00765D13">
        <w:t>At</w:t>
      </w:r>
      <w:r w:rsidR="0072778A" w:rsidRPr="00765D13">
        <w:t xml:space="preserve"> the World Economic Forum </w:t>
      </w:r>
      <w:r w:rsidR="00EE7D18" w:rsidRPr="00765D13">
        <w:t>in Davos on 20</w:t>
      </w:r>
      <w:r w:rsidR="0072778A" w:rsidRPr="00765D13">
        <w:t xml:space="preserve"> January 2016, the </w:t>
      </w:r>
      <w:r w:rsidR="00EE7D18" w:rsidRPr="00765D13">
        <w:t xml:space="preserve">United Nations </w:t>
      </w:r>
      <w:r w:rsidR="0072778A" w:rsidRPr="00765D13">
        <w:t>Secretary-</w:t>
      </w:r>
      <w:r w:rsidR="00EE7D18" w:rsidRPr="00765D13">
        <w:t>General, Ban Ki-moon,</w:t>
      </w:r>
      <w:r w:rsidR="0072778A" w:rsidRPr="00765D13">
        <w:t xml:space="preserve"> </w:t>
      </w:r>
      <w:r w:rsidR="00D92421" w:rsidRPr="00765D13">
        <w:t>remarks at “m</w:t>
      </w:r>
      <w:r w:rsidR="00EE7D18" w:rsidRPr="00765D13">
        <w:t>aking Public-Private Partnerships work for the Sustainable Development Goals”.</w:t>
      </w:r>
    </w:p>
  </w:footnote>
  <w:footnote w:id="3">
    <w:p w:rsidR="00AE74A9" w:rsidRPr="00765D13" w:rsidRDefault="00765D13" w:rsidP="00110EB6">
      <w:pPr>
        <w:pStyle w:val="FootnoteText"/>
        <w:ind w:right="0"/>
      </w:pPr>
      <w:r>
        <w:tab/>
      </w:r>
      <w:r>
        <w:tab/>
      </w:r>
      <w:r w:rsidR="00AE74A9" w:rsidRPr="00765D13">
        <w:rPr>
          <w:rStyle w:val="FootnoteReference"/>
        </w:rPr>
        <w:footnoteRef/>
      </w:r>
      <w:r w:rsidR="00AE74A9" w:rsidRPr="00765D13">
        <w:t xml:space="preserve"> See paragraph 23 of the report of the ninth session of the Committee on Innovation, Competitiveness and Public-Private Partnerships in document ECE/CECI/2015/2 dated 8 October 2015</w:t>
      </w:r>
    </w:p>
  </w:footnote>
  <w:footnote w:id="4">
    <w:p w:rsidR="000C0338" w:rsidRPr="00690EBF" w:rsidRDefault="00765D13" w:rsidP="00110EB6">
      <w:pPr>
        <w:pStyle w:val="FootnoteText"/>
        <w:ind w:right="0"/>
      </w:pPr>
      <w:r>
        <w:tab/>
      </w:r>
      <w:r>
        <w:tab/>
      </w:r>
      <w:r w:rsidR="000C0338" w:rsidRPr="00765D13">
        <w:rPr>
          <w:rStyle w:val="FootnoteReference"/>
        </w:rPr>
        <w:footnoteRef/>
      </w:r>
      <w:r w:rsidR="000C0338" w:rsidRPr="00765D13">
        <w:rPr>
          <w:vertAlign w:val="superscript"/>
        </w:rPr>
        <w:t xml:space="preserve"> </w:t>
      </w:r>
      <w:r w:rsidR="000C0338" w:rsidRPr="00765D13">
        <w:t>All the TOS PPP members who took part in an electronic survey under the auspices of the TOS PPP Bureau, representing over 50 per cent of the TOS PPP membership, were in favour of a change in the intergovernmental status of the UNECE PPP work. For the purpose of this exercise, the TOS PPP members were considered to be government officials from the UNECE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3" w:rsidRPr="00B85D43" w:rsidRDefault="00B90E51">
    <w:pPr>
      <w:pStyle w:val="Header"/>
    </w:pPr>
    <w:r>
      <w:t>ECE/CECI/</w:t>
    </w:r>
    <w:r w:rsidR="00B85D43">
      <w:t>2016/</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3" w:rsidRPr="00B85D43" w:rsidRDefault="00B90E51" w:rsidP="00B85D43">
    <w:pPr>
      <w:pStyle w:val="Header"/>
      <w:jc w:val="right"/>
    </w:pPr>
    <w:r>
      <w:t>ECE/CECI/</w:t>
    </w:r>
    <w:r w:rsidR="00B85D43">
      <w:t>2016/</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1C51F7"/>
    <w:multiLevelType w:val="hybridMultilevel"/>
    <w:tmpl w:val="F6140398"/>
    <w:lvl w:ilvl="0" w:tplc="72582C40">
      <w:start w:val="1"/>
      <w:numFmt w:val="decimal"/>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2">
    <w:nsid w:val="199931DB"/>
    <w:multiLevelType w:val="hybridMultilevel"/>
    <w:tmpl w:val="B29A2A74"/>
    <w:lvl w:ilvl="0" w:tplc="2564CEE8">
      <w:start w:val="1"/>
      <w:numFmt w:val="lowerLetter"/>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419CC"/>
    <w:multiLevelType w:val="hybridMultilevel"/>
    <w:tmpl w:val="9FD40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6490E"/>
    <w:multiLevelType w:val="hybridMultilevel"/>
    <w:tmpl w:val="3E88396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611074"/>
    <w:multiLevelType w:val="hybridMultilevel"/>
    <w:tmpl w:val="E800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A6080E"/>
    <w:multiLevelType w:val="hybridMultilevel"/>
    <w:tmpl w:val="2EBC6F94"/>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3B10166B"/>
    <w:multiLevelType w:val="hybridMultilevel"/>
    <w:tmpl w:val="956E2696"/>
    <w:lvl w:ilvl="0" w:tplc="32EE5EAE">
      <w:start w:val="1"/>
      <w:numFmt w:val="lowerLetter"/>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23">
    <w:nsid w:val="40112015"/>
    <w:multiLevelType w:val="hybridMultilevel"/>
    <w:tmpl w:val="B6C42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0F66E8"/>
    <w:multiLevelType w:val="hybridMultilevel"/>
    <w:tmpl w:val="590A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B868FE"/>
    <w:multiLevelType w:val="hybridMultilevel"/>
    <w:tmpl w:val="2F984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7F1D75"/>
    <w:multiLevelType w:val="hybridMultilevel"/>
    <w:tmpl w:val="1B2C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9A6E52"/>
    <w:multiLevelType w:val="hybridMultilevel"/>
    <w:tmpl w:val="1A48B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BD528A"/>
    <w:multiLevelType w:val="hybridMultilevel"/>
    <w:tmpl w:val="4F9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D30396"/>
    <w:multiLevelType w:val="hybridMultilevel"/>
    <w:tmpl w:val="196A800C"/>
    <w:lvl w:ilvl="0" w:tplc="3D8CA714">
      <w:start w:val="1"/>
      <w:numFmt w:val="upp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635433C"/>
    <w:multiLevelType w:val="hybridMultilevel"/>
    <w:tmpl w:val="04E64B30"/>
    <w:lvl w:ilvl="0" w:tplc="601EC16C">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FA7073"/>
    <w:multiLevelType w:val="hybridMultilevel"/>
    <w:tmpl w:val="6D3622F0"/>
    <w:lvl w:ilvl="0" w:tplc="601EC16C">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1E6E7E"/>
    <w:multiLevelType w:val="hybridMultilevel"/>
    <w:tmpl w:val="3EE68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7B410D3"/>
    <w:multiLevelType w:val="hybridMultilevel"/>
    <w:tmpl w:val="452AE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442C99"/>
    <w:multiLevelType w:val="hybridMultilevel"/>
    <w:tmpl w:val="78862AB0"/>
    <w:lvl w:ilvl="0" w:tplc="39969AC8">
      <w:start w:val="4"/>
      <w:numFmt w:val="decimal"/>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7">
    <w:nsid w:val="7F8F69D6"/>
    <w:multiLevelType w:val="hybridMultilevel"/>
    <w:tmpl w:val="DC9A80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30"/>
  </w:num>
  <w:num w:numId="18">
    <w:abstractNumId w:val="34"/>
  </w:num>
  <w:num w:numId="19">
    <w:abstractNumId w:val="28"/>
  </w:num>
  <w:num w:numId="20">
    <w:abstractNumId w:val="20"/>
  </w:num>
  <w:num w:numId="21">
    <w:abstractNumId w:val="24"/>
  </w:num>
  <w:num w:numId="22">
    <w:abstractNumId w:val="33"/>
  </w:num>
  <w:num w:numId="23">
    <w:abstractNumId w:val="16"/>
  </w:num>
  <w:num w:numId="24">
    <w:abstractNumId w:val="27"/>
  </w:num>
  <w:num w:numId="25">
    <w:abstractNumId w:val="26"/>
  </w:num>
  <w:num w:numId="26">
    <w:abstractNumId w:val="23"/>
  </w:num>
  <w:num w:numId="27">
    <w:abstractNumId w:val="35"/>
  </w:num>
  <w:num w:numId="28">
    <w:abstractNumId w:val="30"/>
  </w:num>
  <w:num w:numId="29">
    <w:abstractNumId w:val="30"/>
  </w:num>
  <w:num w:numId="30">
    <w:abstractNumId w:val="30"/>
  </w:num>
  <w:num w:numId="31">
    <w:abstractNumId w:val="37"/>
  </w:num>
  <w:num w:numId="32">
    <w:abstractNumId w:val="25"/>
  </w:num>
  <w:num w:numId="33">
    <w:abstractNumId w:val="31"/>
  </w:num>
  <w:num w:numId="34">
    <w:abstractNumId w:val="32"/>
  </w:num>
  <w:num w:numId="35">
    <w:abstractNumId w:val="21"/>
  </w:num>
  <w:num w:numId="36">
    <w:abstractNumId w:val="29"/>
  </w:num>
  <w:num w:numId="37">
    <w:abstractNumId w:val="22"/>
  </w:num>
  <w:num w:numId="38">
    <w:abstractNumId w:val="36"/>
  </w:num>
  <w:num w:numId="39">
    <w:abstractNumId w:val="12"/>
  </w:num>
  <w:num w:numId="40">
    <w:abstractNumId w:val="11"/>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43"/>
    <w:rsid w:val="00002A7D"/>
    <w:rsid w:val="000038A8"/>
    <w:rsid w:val="00006790"/>
    <w:rsid w:val="00027624"/>
    <w:rsid w:val="00050F6B"/>
    <w:rsid w:val="000678CD"/>
    <w:rsid w:val="00072C8C"/>
    <w:rsid w:val="000739B1"/>
    <w:rsid w:val="00081CE0"/>
    <w:rsid w:val="00084D30"/>
    <w:rsid w:val="00090320"/>
    <w:rsid w:val="000931C0"/>
    <w:rsid w:val="000A2E09"/>
    <w:rsid w:val="000B175B"/>
    <w:rsid w:val="000B3A0F"/>
    <w:rsid w:val="000B3A11"/>
    <w:rsid w:val="000B6FC4"/>
    <w:rsid w:val="000C0338"/>
    <w:rsid w:val="000C0A09"/>
    <w:rsid w:val="000E0415"/>
    <w:rsid w:val="000E0424"/>
    <w:rsid w:val="000F7715"/>
    <w:rsid w:val="00106609"/>
    <w:rsid w:val="00110EB6"/>
    <w:rsid w:val="001206D4"/>
    <w:rsid w:val="00136687"/>
    <w:rsid w:val="0015674D"/>
    <w:rsid w:val="00156B99"/>
    <w:rsid w:val="00161EA0"/>
    <w:rsid w:val="00162DD1"/>
    <w:rsid w:val="001640EA"/>
    <w:rsid w:val="00166124"/>
    <w:rsid w:val="00184DDA"/>
    <w:rsid w:val="001900CD"/>
    <w:rsid w:val="001A0452"/>
    <w:rsid w:val="001A3999"/>
    <w:rsid w:val="001B4B04"/>
    <w:rsid w:val="001B5875"/>
    <w:rsid w:val="001B6E35"/>
    <w:rsid w:val="001C2EF5"/>
    <w:rsid w:val="001C4B9C"/>
    <w:rsid w:val="001C6663"/>
    <w:rsid w:val="001C7895"/>
    <w:rsid w:val="001D26DF"/>
    <w:rsid w:val="001F1146"/>
    <w:rsid w:val="001F1599"/>
    <w:rsid w:val="001F19C4"/>
    <w:rsid w:val="00200C06"/>
    <w:rsid w:val="00201445"/>
    <w:rsid w:val="002043F0"/>
    <w:rsid w:val="00205B87"/>
    <w:rsid w:val="00211E0B"/>
    <w:rsid w:val="00216043"/>
    <w:rsid w:val="00232575"/>
    <w:rsid w:val="00234989"/>
    <w:rsid w:val="00240DDA"/>
    <w:rsid w:val="00240E5C"/>
    <w:rsid w:val="00247258"/>
    <w:rsid w:val="00250C5F"/>
    <w:rsid w:val="00256FC9"/>
    <w:rsid w:val="00257CAC"/>
    <w:rsid w:val="0027237A"/>
    <w:rsid w:val="00275E7E"/>
    <w:rsid w:val="002974E9"/>
    <w:rsid w:val="002A1DC1"/>
    <w:rsid w:val="002A7F94"/>
    <w:rsid w:val="002B109A"/>
    <w:rsid w:val="002B1C1E"/>
    <w:rsid w:val="002B28FC"/>
    <w:rsid w:val="002C1E4F"/>
    <w:rsid w:val="002C6D45"/>
    <w:rsid w:val="002D6E53"/>
    <w:rsid w:val="002F046D"/>
    <w:rsid w:val="00301764"/>
    <w:rsid w:val="00304FA4"/>
    <w:rsid w:val="003229D8"/>
    <w:rsid w:val="00336C97"/>
    <w:rsid w:val="00337F88"/>
    <w:rsid w:val="00342432"/>
    <w:rsid w:val="00342504"/>
    <w:rsid w:val="0035223F"/>
    <w:rsid w:val="00352D4B"/>
    <w:rsid w:val="0035638C"/>
    <w:rsid w:val="003672C4"/>
    <w:rsid w:val="003A46BB"/>
    <w:rsid w:val="003A48B0"/>
    <w:rsid w:val="003A4EC7"/>
    <w:rsid w:val="003A7295"/>
    <w:rsid w:val="003B1F60"/>
    <w:rsid w:val="003C2CC4"/>
    <w:rsid w:val="003C63B4"/>
    <w:rsid w:val="003D4B23"/>
    <w:rsid w:val="003E131B"/>
    <w:rsid w:val="003E278A"/>
    <w:rsid w:val="004049F2"/>
    <w:rsid w:val="00413520"/>
    <w:rsid w:val="004325CB"/>
    <w:rsid w:val="00440A07"/>
    <w:rsid w:val="00447E6A"/>
    <w:rsid w:val="00450D1F"/>
    <w:rsid w:val="00452473"/>
    <w:rsid w:val="00454FBC"/>
    <w:rsid w:val="00462880"/>
    <w:rsid w:val="0046655B"/>
    <w:rsid w:val="00476F24"/>
    <w:rsid w:val="00483F0E"/>
    <w:rsid w:val="00490F13"/>
    <w:rsid w:val="004A33BA"/>
    <w:rsid w:val="004A5E99"/>
    <w:rsid w:val="004C55B0"/>
    <w:rsid w:val="004F6BA0"/>
    <w:rsid w:val="00503BEA"/>
    <w:rsid w:val="00511975"/>
    <w:rsid w:val="00512543"/>
    <w:rsid w:val="00513726"/>
    <w:rsid w:val="00517F5F"/>
    <w:rsid w:val="00533616"/>
    <w:rsid w:val="00535ABA"/>
    <w:rsid w:val="0053768B"/>
    <w:rsid w:val="005420F2"/>
    <w:rsid w:val="0054285C"/>
    <w:rsid w:val="005563B3"/>
    <w:rsid w:val="00584173"/>
    <w:rsid w:val="00595520"/>
    <w:rsid w:val="005A00D5"/>
    <w:rsid w:val="005A2E69"/>
    <w:rsid w:val="005A44B9"/>
    <w:rsid w:val="005A7CDA"/>
    <w:rsid w:val="005B1BA0"/>
    <w:rsid w:val="005B3DB3"/>
    <w:rsid w:val="005D15CA"/>
    <w:rsid w:val="005E3D30"/>
    <w:rsid w:val="005F3066"/>
    <w:rsid w:val="005F3E61"/>
    <w:rsid w:val="0060228F"/>
    <w:rsid w:val="00604DDD"/>
    <w:rsid w:val="006115CC"/>
    <w:rsid w:val="00611FC4"/>
    <w:rsid w:val="006176FB"/>
    <w:rsid w:val="00620103"/>
    <w:rsid w:val="00630FCB"/>
    <w:rsid w:val="006366DB"/>
    <w:rsid w:val="00640B26"/>
    <w:rsid w:val="00641BD9"/>
    <w:rsid w:val="00671184"/>
    <w:rsid w:val="00672CA6"/>
    <w:rsid w:val="00674B97"/>
    <w:rsid w:val="006770B2"/>
    <w:rsid w:val="00690EBF"/>
    <w:rsid w:val="006940E1"/>
    <w:rsid w:val="0069534A"/>
    <w:rsid w:val="006A3C72"/>
    <w:rsid w:val="006A7392"/>
    <w:rsid w:val="006B03A1"/>
    <w:rsid w:val="006B67D9"/>
    <w:rsid w:val="006C5535"/>
    <w:rsid w:val="006D0589"/>
    <w:rsid w:val="006E564B"/>
    <w:rsid w:val="006E7154"/>
    <w:rsid w:val="007003CD"/>
    <w:rsid w:val="0070240F"/>
    <w:rsid w:val="0070701E"/>
    <w:rsid w:val="0072632A"/>
    <w:rsid w:val="0072778A"/>
    <w:rsid w:val="007358E8"/>
    <w:rsid w:val="00736ECE"/>
    <w:rsid w:val="0074533B"/>
    <w:rsid w:val="00746AEB"/>
    <w:rsid w:val="00761D87"/>
    <w:rsid w:val="007643BC"/>
    <w:rsid w:val="00765D13"/>
    <w:rsid w:val="00792F4C"/>
    <w:rsid w:val="007959FE"/>
    <w:rsid w:val="007A0CF1"/>
    <w:rsid w:val="007B6BA5"/>
    <w:rsid w:val="007C3390"/>
    <w:rsid w:val="007C42D8"/>
    <w:rsid w:val="007C4F4B"/>
    <w:rsid w:val="007D3B6D"/>
    <w:rsid w:val="007D7362"/>
    <w:rsid w:val="007F5CE2"/>
    <w:rsid w:val="007F6611"/>
    <w:rsid w:val="00810BAC"/>
    <w:rsid w:val="008175E9"/>
    <w:rsid w:val="008242D7"/>
    <w:rsid w:val="0082577B"/>
    <w:rsid w:val="00831DE7"/>
    <w:rsid w:val="008353FA"/>
    <w:rsid w:val="00843E2B"/>
    <w:rsid w:val="008466A3"/>
    <w:rsid w:val="00851E6F"/>
    <w:rsid w:val="00866893"/>
    <w:rsid w:val="00866F02"/>
    <w:rsid w:val="00867D18"/>
    <w:rsid w:val="0087084B"/>
    <w:rsid w:val="00871DA4"/>
    <w:rsid w:val="00871F9A"/>
    <w:rsid w:val="00871FD5"/>
    <w:rsid w:val="0088172E"/>
    <w:rsid w:val="00881EFA"/>
    <w:rsid w:val="008828B5"/>
    <w:rsid w:val="00885BB8"/>
    <w:rsid w:val="008879CB"/>
    <w:rsid w:val="008903EC"/>
    <w:rsid w:val="008979B1"/>
    <w:rsid w:val="008A648E"/>
    <w:rsid w:val="008A6B25"/>
    <w:rsid w:val="008A6C4F"/>
    <w:rsid w:val="008B389E"/>
    <w:rsid w:val="008D045E"/>
    <w:rsid w:val="008D3F25"/>
    <w:rsid w:val="008D4D82"/>
    <w:rsid w:val="008E0E46"/>
    <w:rsid w:val="008E7116"/>
    <w:rsid w:val="008F143B"/>
    <w:rsid w:val="008F3882"/>
    <w:rsid w:val="008F4B7C"/>
    <w:rsid w:val="00922DDC"/>
    <w:rsid w:val="00926E47"/>
    <w:rsid w:val="00947162"/>
    <w:rsid w:val="0095188F"/>
    <w:rsid w:val="0095242F"/>
    <w:rsid w:val="009610D0"/>
    <w:rsid w:val="0096375C"/>
    <w:rsid w:val="009662E6"/>
    <w:rsid w:val="0097095E"/>
    <w:rsid w:val="0098592B"/>
    <w:rsid w:val="00985FC4"/>
    <w:rsid w:val="00990766"/>
    <w:rsid w:val="00991261"/>
    <w:rsid w:val="009964C4"/>
    <w:rsid w:val="009A486C"/>
    <w:rsid w:val="009A7B81"/>
    <w:rsid w:val="009B4D8F"/>
    <w:rsid w:val="009C4482"/>
    <w:rsid w:val="009D01C0"/>
    <w:rsid w:val="009D2972"/>
    <w:rsid w:val="009D6A08"/>
    <w:rsid w:val="009E0A16"/>
    <w:rsid w:val="009E6CB7"/>
    <w:rsid w:val="009E7970"/>
    <w:rsid w:val="009F18F2"/>
    <w:rsid w:val="009F2EAC"/>
    <w:rsid w:val="009F57E3"/>
    <w:rsid w:val="00A01C79"/>
    <w:rsid w:val="00A10F4F"/>
    <w:rsid w:val="00A11067"/>
    <w:rsid w:val="00A1704A"/>
    <w:rsid w:val="00A24A02"/>
    <w:rsid w:val="00A30151"/>
    <w:rsid w:val="00A30EA6"/>
    <w:rsid w:val="00A425EB"/>
    <w:rsid w:val="00A54469"/>
    <w:rsid w:val="00A56602"/>
    <w:rsid w:val="00A72F22"/>
    <w:rsid w:val="00A733BC"/>
    <w:rsid w:val="00A748A6"/>
    <w:rsid w:val="00A76A69"/>
    <w:rsid w:val="00A879A4"/>
    <w:rsid w:val="00A9523C"/>
    <w:rsid w:val="00AA0FF8"/>
    <w:rsid w:val="00AB0500"/>
    <w:rsid w:val="00AC0F2C"/>
    <w:rsid w:val="00AC502A"/>
    <w:rsid w:val="00AC6692"/>
    <w:rsid w:val="00AE698A"/>
    <w:rsid w:val="00AE74A9"/>
    <w:rsid w:val="00AF58C1"/>
    <w:rsid w:val="00B04A3F"/>
    <w:rsid w:val="00B06643"/>
    <w:rsid w:val="00B07BF4"/>
    <w:rsid w:val="00B15055"/>
    <w:rsid w:val="00B23430"/>
    <w:rsid w:val="00B30179"/>
    <w:rsid w:val="00B32200"/>
    <w:rsid w:val="00B37B15"/>
    <w:rsid w:val="00B45C02"/>
    <w:rsid w:val="00B55C20"/>
    <w:rsid w:val="00B72A1E"/>
    <w:rsid w:val="00B81E12"/>
    <w:rsid w:val="00B85D43"/>
    <w:rsid w:val="00B90B50"/>
    <w:rsid w:val="00B90E51"/>
    <w:rsid w:val="00BA339B"/>
    <w:rsid w:val="00BA57BA"/>
    <w:rsid w:val="00BC1E7E"/>
    <w:rsid w:val="00BC74E9"/>
    <w:rsid w:val="00BC7F91"/>
    <w:rsid w:val="00BD125D"/>
    <w:rsid w:val="00BD128C"/>
    <w:rsid w:val="00BD20F7"/>
    <w:rsid w:val="00BD7471"/>
    <w:rsid w:val="00BE36A9"/>
    <w:rsid w:val="00BE618E"/>
    <w:rsid w:val="00BE6423"/>
    <w:rsid w:val="00BE7BEC"/>
    <w:rsid w:val="00BF0A5A"/>
    <w:rsid w:val="00BF0E63"/>
    <w:rsid w:val="00BF12A3"/>
    <w:rsid w:val="00BF16D7"/>
    <w:rsid w:val="00BF2373"/>
    <w:rsid w:val="00C02454"/>
    <w:rsid w:val="00C044E2"/>
    <w:rsid w:val="00C048CB"/>
    <w:rsid w:val="00C066F3"/>
    <w:rsid w:val="00C1760C"/>
    <w:rsid w:val="00C463DD"/>
    <w:rsid w:val="00C545E2"/>
    <w:rsid w:val="00C7391A"/>
    <w:rsid w:val="00C745C3"/>
    <w:rsid w:val="00CA24A4"/>
    <w:rsid w:val="00CB33FD"/>
    <w:rsid w:val="00CB348D"/>
    <w:rsid w:val="00CC39FB"/>
    <w:rsid w:val="00CD46F5"/>
    <w:rsid w:val="00CE4A8F"/>
    <w:rsid w:val="00CF071D"/>
    <w:rsid w:val="00CF671F"/>
    <w:rsid w:val="00D15739"/>
    <w:rsid w:val="00D15B04"/>
    <w:rsid w:val="00D2031B"/>
    <w:rsid w:val="00D25FE2"/>
    <w:rsid w:val="00D3193B"/>
    <w:rsid w:val="00D33D77"/>
    <w:rsid w:val="00D37DA9"/>
    <w:rsid w:val="00D406A7"/>
    <w:rsid w:val="00D43252"/>
    <w:rsid w:val="00D44D86"/>
    <w:rsid w:val="00D50B7D"/>
    <w:rsid w:val="00D52012"/>
    <w:rsid w:val="00D61BCA"/>
    <w:rsid w:val="00D704E5"/>
    <w:rsid w:val="00D72727"/>
    <w:rsid w:val="00D744A3"/>
    <w:rsid w:val="00D7768E"/>
    <w:rsid w:val="00D92421"/>
    <w:rsid w:val="00D978C6"/>
    <w:rsid w:val="00DA0956"/>
    <w:rsid w:val="00DA357F"/>
    <w:rsid w:val="00DA3E12"/>
    <w:rsid w:val="00DC18AD"/>
    <w:rsid w:val="00DC22ED"/>
    <w:rsid w:val="00DF0450"/>
    <w:rsid w:val="00DF1688"/>
    <w:rsid w:val="00DF3D25"/>
    <w:rsid w:val="00DF7CAE"/>
    <w:rsid w:val="00E02AB3"/>
    <w:rsid w:val="00E03FE9"/>
    <w:rsid w:val="00E423C0"/>
    <w:rsid w:val="00E52402"/>
    <w:rsid w:val="00E6414C"/>
    <w:rsid w:val="00E7260F"/>
    <w:rsid w:val="00E8702D"/>
    <w:rsid w:val="00E916A9"/>
    <w:rsid w:val="00E916DE"/>
    <w:rsid w:val="00E925AD"/>
    <w:rsid w:val="00E96630"/>
    <w:rsid w:val="00EC0EC7"/>
    <w:rsid w:val="00EC5F99"/>
    <w:rsid w:val="00ED18DC"/>
    <w:rsid w:val="00ED6201"/>
    <w:rsid w:val="00ED7A2A"/>
    <w:rsid w:val="00EE7D18"/>
    <w:rsid w:val="00EF1D7F"/>
    <w:rsid w:val="00F0137E"/>
    <w:rsid w:val="00F01AC8"/>
    <w:rsid w:val="00F05F70"/>
    <w:rsid w:val="00F21786"/>
    <w:rsid w:val="00F3742B"/>
    <w:rsid w:val="00F41FDB"/>
    <w:rsid w:val="00F507EC"/>
    <w:rsid w:val="00F56D63"/>
    <w:rsid w:val="00F609A9"/>
    <w:rsid w:val="00F80C99"/>
    <w:rsid w:val="00F82CC8"/>
    <w:rsid w:val="00F867EC"/>
    <w:rsid w:val="00F91B2B"/>
    <w:rsid w:val="00FB47DB"/>
    <w:rsid w:val="00FC03CD"/>
    <w:rsid w:val="00FC0646"/>
    <w:rsid w:val="00FC68B7"/>
    <w:rsid w:val="00FD409C"/>
    <w:rsid w:val="00FD4FFF"/>
    <w:rsid w:val="00FE4938"/>
    <w:rsid w:val="00FE6985"/>
    <w:rsid w:val="00FF3E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B85D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5D43"/>
    <w:rPr>
      <w:rFonts w:ascii="Tahoma" w:hAnsi="Tahoma" w:cs="Tahoma"/>
      <w:sz w:val="16"/>
      <w:szCs w:val="16"/>
      <w:lang w:eastAsia="en-US"/>
    </w:rPr>
  </w:style>
  <w:style w:type="character" w:customStyle="1" w:styleId="H1GChar">
    <w:name w:val="_ H_1_G Char"/>
    <w:basedOn w:val="DefaultParagraphFont"/>
    <w:link w:val="H1G"/>
    <w:rsid w:val="00B85D43"/>
    <w:rPr>
      <w:b/>
      <w:sz w:val="24"/>
      <w:lang w:eastAsia="en-US"/>
    </w:rPr>
  </w:style>
  <w:style w:type="paragraph" w:styleId="ListParagraph">
    <w:name w:val="List Paragraph"/>
    <w:basedOn w:val="Normal"/>
    <w:uiPriority w:val="34"/>
    <w:qFormat/>
    <w:rsid w:val="00B85D43"/>
    <w:pPr>
      <w:ind w:left="720"/>
      <w:contextualSpacing/>
    </w:pPr>
  </w:style>
  <w:style w:type="paragraph" w:styleId="NoSpacing">
    <w:name w:val="No Spacing"/>
    <w:uiPriority w:val="1"/>
    <w:qFormat/>
    <w:rsid w:val="001B6E35"/>
    <w:pPr>
      <w:suppressAutoHyphens/>
    </w:pPr>
    <w:rPr>
      <w:lang w:eastAsia="en-US"/>
    </w:rPr>
  </w:style>
  <w:style w:type="paragraph" w:customStyle="1" w:styleId="Default">
    <w:name w:val="Default"/>
    <w:rsid w:val="008903EC"/>
    <w:pPr>
      <w:autoSpaceDE w:val="0"/>
      <w:autoSpaceDN w:val="0"/>
      <w:adjustRightInd w:val="0"/>
    </w:pPr>
    <w:rPr>
      <w:color w:val="000000"/>
      <w:sz w:val="24"/>
      <w:szCs w:val="24"/>
    </w:rPr>
  </w:style>
  <w:style w:type="character" w:customStyle="1" w:styleId="SingleTxtGChar">
    <w:name w:val="_ Single Txt_G Char"/>
    <w:link w:val="SingleTxtG"/>
    <w:rsid w:val="000E0424"/>
    <w:rPr>
      <w:lang w:eastAsia="en-US"/>
    </w:rPr>
  </w:style>
  <w:style w:type="character" w:styleId="CommentReference">
    <w:name w:val="annotation reference"/>
    <w:basedOn w:val="DefaultParagraphFont"/>
    <w:rsid w:val="008828B5"/>
    <w:rPr>
      <w:sz w:val="16"/>
      <w:szCs w:val="16"/>
    </w:rPr>
  </w:style>
  <w:style w:type="paragraph" w:styleId="CommentText">
    <w:name w:val="annotation text"/>
    <w:basedOn w:val="Normal"/>
    <w:link w:val="CommentTextChar"/>
    <w:rsid w:val="008828B5"/>
    <w:pPr>
      <w:spacing w:line="240" w:lineRule="auto"/>
    </w:pPr>
  </w:style>
  <w:style w:type="character" w:customStyle="1" w:styleId="CommentTextChar">
    <w:name w:val="Comment Text Char"/>
    <w:basedOn w:val="DefaultParagraphFont"/>
    <w:link w:val="CommentText"/>
    <w:rsid w:val="008828B5"/>
    <w:rPr>
      <w:lang w:eastAsia="en-US"/>
    </w:rPr>
  </w:style>
  <w:style w:type="paragraph" w:styleId="CommentSubject">
    <w:name w:val="annotation subject"/>
    <w:basedOn w:val="CommentText"/>
    <w:next w:val="CommentText"/>
    <w:link w:val="CommentSubjectChar"/>
    <w:rsid w:val="008828B5"/>
    <w:rPr>
      <w:b/>
      <w:bCs/>
    </w:rPr>
  </w:style>
  <w:style w:type="character" w:customStyle="1" w:styleId="CommentSubjectChar">
    <w:name w:val="Comment Subject Char"/>
    <w:basedOn w:val="CommentTextChar"/>
    <w:link w:val="CommentSubject"/>
    <w:rsid w:val="008828B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B85D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5D43"/>
    <w:rPr>
      <w:rFonts w:ascii="Tahoma" w:hAnsi="Tahoma" w:cs="Tahoma"/>
      <w:sz w:val="16"/>
      <w:szCs w:val="16"/>
      <w:lang w:eastAsia="en-US"/>
    </w:rPr>
  </w:style>
  <w:style w:type="character" w:customStyle="1" w:styleId="H1GChar">
    <w:name w:val="_ H_1_G Char"/>
    <w:basedOn w:val="DefaultParagraphFont"/>
    <w:link w:val="H1G"/>
    <w:rsid w:val="00B85D43"/>
    <w:rPr>
      <w:b/>
      <w:sz w:val="24"/>
      <w:lang w:eastAsia="en-US"/>
    </w:rPr>
  </w:style>
  <w:style w:type="paragraph" w:styleId="ListParagraph">
    <w:name w:val="List Paragraph"/>
    <w:basedOn w:val="Normal"/>
    <w:uiPriority w:val="34"/>
    <w:qFormat/>
    <w:rsid w:val="00B85D43"/>
    <w:pPr>
      <w:ind w:left="720"/>
      <w:contextualSpacing/>
    </w:pPr>
  </w:style>
  <w:style w:type="paragraph" w:styleId="NoSpacing">
    <w:name w:val="No Spacing"/>
    <w:uiPriority w:val="1"/>
    <w:qFormat/>
    <w:rsid w:val="001B6E35"/>
    <w:pPr>
      <w:suppressAutoHyphens/>
    </w:pPr>
    <w:rPr>
      <w:lang w:eastAsia="en-US"/>
    </w:rPr>
  </w:style>
  <w:style w:type="paragraph" w:customStyle="1" w:styleId="Default">
    <w:name w:val="Default"/>
    <w:rsid w:val="008903EC"/>
    <w:pPr>
      <w:autoSpaceDE w:val="0"/>
      <w:autoSpaceDN w:val="0"/>
      <w:adjustRightInd w:val="0"/>
    </w:pPr>
    <w:rPr>
      <w:color w:val="000000"/>
      <w:sz w:val="24"/>
      <w:szCs w:val="24"/>
    </w:rPr>
  </w:style>
  <w:style w:type="character" w:customStyle="1" w:styleId="SingleTxtGChar">
    <w:name w:val="_ Single Txt_G Char"/>
    <w:link w:val="SingleTxtG"/>
    <w:rsid w:val="000E0424"/>
    <w:rPr>
      <w:lang w:eastAsia="en-US"/>
    </w:rPr>
  </w:style>
  <w:style w:type="character" w:styleId="CommentReference">
    <w:name w:val="annotation reference"/>
    <w:basedOn w:val="DefaultParagraphFont"/>
    <w:rsid w:val="008828B5"/>
    <w:rPr>
      <w:sz w:val="16"/>
      <w:szCs w:val="16"/>
    </w:rPr>
  </w:style>
  <w:style w:type="paragraph" w:styleId="CommentText">
    <w:name w:val="annotation text"/>
    <w:basedOn w:val="Normal"/>
    <w:link w:val="CommentTextChar"/>
    <w:rsid w:val="008828B5"/>
    <w:pPr>
      <w:spacing w:line="240" w:lineRule="auto"/>
    </w:pPr>
  </w:style>
  <w:style w:type="character" w:customStyle="1" w:styleId="CommentTextChar">
    <w:name w:val="Comment Text Char"/>
    <w:basedOn w:val="DefaultParagraphFont"/>
    <w:link w:val="CommentText"/>
    <w:rsid w:val="008828B5"/>
    <w:rPr>
      <w:lang w:eastAsia="en-US"/>
    </w:rPr>
  </w:style>
  <w:style w:type="paragraph" w:styleId="CommentSubject">
    <w:name w:val="annotation subject"/>
    <w:basedOn w:val="CommentText"/>
    <w:next w:val="CommentText"/>
    <w:link w:val="CommentSubjectChar"/>
    <w:rsid w:val="008828B5"/>
    <w:rPr>
      <w:b/>
      <w:bCs/>
    </w:rPr>
  </w:style>
  <w:style w:type="character" w:customStyle="1" w:styleId="CommentSubjectChar">
    <w:name w:val="Comment Subject Char"/>
    <w:basedOn w:val="CommentTextChar"/>
    <w:link w:val="CommentSubject"/>
    <w:rsid w:val="008828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za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DE62-C94A-4F30-8B34-A0C49CB7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6</Pages>
  <Words>1644</Words>
  <Characters>9377</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Natalia Ryazanova</dc:creator>
  <cp:lastModifiedBy>pdfeng</cp:lastModifiedBy>
  <cp:revision>2</cp:revision>
  <cp:lastPrinted>2016-03-10T15:02:00Z</cp:lastPrinted>
  <dcterms:created xsi:type="dcterms:W3CDTF">2016-03-29T16:19:00Z</dcterms:created>
  <dcterms:modified xsi:type="dcterms:W3CDTF">2016-03-29T16:19:00Z</dcterms:modified>
</cp:coreProperties>
</file>