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D6" w:rsidRDefault="002972D6" w:rsidP="000732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 DU DROIT INTERNATIONAL (CDI)</w:t>
      </w:r>
    </w:p>
    <w:p w:rsidR="00485640" w:rsidRDefault="00485640" w:rsidP="0007320B">
      <w:pPr>
        <w:jc w:val="center"/>
        <w:rPr>
          <w:b/>
          <w:sz w:val="24"/>
          <w:szCs w:val="24"/>
        </w:rPr>
      </w:pPr>
    </w:p>
    <w:p w:rsidR="002972D6" w:rsidRDefault="002972D6" w:rsidP="0007320B">
      <w:pPr>
        <w:jc w:val="center"/>
        <w:rPr>
          <w:b/>
          <w:sz w:val="24"/>
          <w:szCs w:val="24"/>
        </w:rPr>
      </w:pPr>
    </w:p>
    <w:p w:rsidR="0007320B" w:rsidRDefault="0007320B" w:rsidP="0007320B">
      <w:pPr>
        <w:jc w:val="center"/>
        <w:rPr>
          <w:b/>
        </w:rPr>
      </w:pPr>
      <w:r w:rsidRPr="00485640">
        <w:rPr>
          <w:b/>
        </w:rPr>
        <w:t>LES TROIS STADES DE L’EXAMEN D’UN SUJET</w:t>
      </w:r>
    </w:p>
    <w:p w:rsidR="004248DE" w:rsidRDefault="004248DE" w:rsidP="0007320B">
      <w:pPr>
        <w:jc w:val="center"/>
        <w:rPr>
          <w:b/>
        </w:rPr>
      </w:pPr>
    </w:p>
    <w:p w:rsidR="002972D6" w:rsidRPr="004248DE" w:rsidRDefault="002972D6" w:rsidP="0007320B">
      <w:pPr>
        <w:jc w:val="center"/>
        <w:rPr>
          <w:sz w:val="24"/>
          <w:szCs w:val="24"/>
        </w:rPr>
      </w:pPr>
    </w:p>
    <w:p w:rsidR="0007320B" w:rsidRPr="0007320B" w:rsidRDefault="0007320B" w:rsidP="0007320B"/>
    <w:p w:rsidR="0007320B" w:rsidRPr="0007320B" w:rsidRDefault="0007320B" w:rsidP="004A490B">
      <w:pPr>
        <w:jc w:val="both"/>
      </w:pPr>
      <w:r w:rsidRPr="0007320B">
        <w:rPr>
          <w:b/>
        </w:rPr>
        <w:t>STADE 1 :</w:t>
      </w:r>
      <w:r w:rsidRPr="0007320B">
        <w:t xml:space="preserve"> stade préliminaire, consacré essentiellement à l’organisation et à la planification des travaux, à la désignation d’un rapporteur spécial et au rassemblement de la documentation pertinente</w:t>
      </w:r>
    </w:p>
    <w:p w:rsidR="0007320B" w:rsidRPr="0007320B" w:rsidRDefault="0007320B" w:rsidP="004A490B">
      <w:pPr>
        <w:jc w:val="both"/>
      </w:pPr>
    </w:p>
    <w:p w:rsidR="0007320B" w:rsidRPr="0007320B" w:rsidRDefault="0007320B" w:rsidP="004A490B">
      <w:pPr>
        <w:jc w:val="both"/>
      </w:pPr>
      <w:r w:rsidRPr="0007320B">
        <w:rPr>
          <w:b/>
        </w:rPr>
        <w:t>STADE 2 :</w:t>
      </w:r>
      <w:r w:rsidRPr="0007320B">
        <w:t xml:space="preserve"> première lecture des projets d’article présentés par le rapporteur spécial</w:t>
      </w:r>
    </w:p>
    <w:p w:rsidR="0007320B" w:rsidRPr="0007320B" w:rsidRDefault="0007320B" w:rsidP="004A490B">
      <w:pPr>
        <w:jc w:val="both"/>
      </w:pPr>
    </w:p>
    <w:p w:rsidR="0007320B" w:rsidRDefault="0007320B" w:rsidP="004A490B">
      <w:pPr>
        <w:jc w:val="both"/>
      </w:pPr>
      <w:r w:rsidRPr="0007320B">
        <w:rPr>
          <w:b/>
        </w:rPr>
        <w:t>STADE 3 :</w:t>
      </w:r>
      <w:r w:rsidRPr="0007320B">
        <w:t xml:space="preserve">  étape finale, consacrée à la deuxième lecture des projets d’article précédemment adoptés à titre provisoire</w:t>
      </w:r>
      <w:r w:rsidR="0003262E">
        <w:t xml:space="preserve">, </w:t>
      </w:r>
      <w:r w:rsidR="0003262E" w:rsidRPr="0007320B">
        <w:t xml:space="preserve">à la lumière des observations formulées par les gouvernements et, le cas échéant, par les organisations </w:t>
      </w:r>
      <w:proofErr w:type="spellStart"/>
      <w:r w:rsidR="0003262E" w:rsidRPr="0007320B">
        <w:t>intergouvernementales</w:t>
      </w:r>
      <w:proofErr w:type="spellEnd"/>
      <w:r w:rsidR="0003262E" w:rsidRPr="0007320B">
        <w:t xml:space="preserve"> intéressées</w:t>
      </w:r>
      <w:r w:rsidR="0003262E">
        <w:t>.</w:t>
      </w:r>
    </w:p>
    <w:p w:rsidR="0007320B" w:rsidRPr="0007320B" w:rsidRDefault="0007320B" w:rsidP="004A490B">
      <w:pPr>
        <w:jc w:val="both"/>
      </w:pPr>
    </w:p>
    <w:p w:rsidR="0007320B" w:rsidRPr="0007320B" w:rsidRDefault="0007320B" w:rsidP="004A490B">
      <w:pPr>
        <w:jc w:val="both"/>
      </w:pPr>
    </w:p>
    <w:p w:rsidR="0007320B" w:rsidRDefault="0007320B" w:rsidP="0007320B">
      <w:pPr>
        <w:rPr>
          <w:b/>
        </w:rPr>
      </w:pPr>
      <w:r w:rsidRPr="0007320B">
        <w:rPr>
          <w:b/>
        </w:rPr>
        <w:t>STADE 1</w:t>
      </w:r>
    </w:p>
    <w:p w:rsidR="0007320B" w:rsidRPr="0007320B" w:rsidRDefault="0007320B" w:rsidP="0007320B">
      <w:pPr>
        <w:rPr>
          <w:b/>
        </w:rPr>
      </w:pPr>
    </w:p>
    <w:p w:rsidR="0007320B" w:rsidRPr="0007320B" w:rsidRDefault="0007320B" w:rsidP="0007320B">
      <w:r w:rsidRPr="0007320B">
        <w:t>Comporte normalement les phases suivantes :</w:t>
      </w:r>
    </w:p>
    <w:p w:rsidR="0007320B" w:rsidRPr="0007320B" w:rsidRDefault="0007320B" w:rsidP="0007320B"/>
    <w:p w:rsidR="0007320B" w:rsidRPr="0007320B" w:rsidRDefault="00485640" w:rsidP="004A490B">
      <w:pPr>
        <w:numPr>
          <w:ilvl w:val="0"/>
          <w:numId w:val="14"/>
        </w:numPr>
        <w:jc w:val="both"/>
      </w:pPr>
      <w:r>
        <w:t>N</w:t>
      </w:r>
      <w:r w:rsidR="0007320B" w:rsidRPr="0007320B">
        <w:t xml:space="preserve">omination d’un rapporteur spécial </w:t>
      </w:r>
    </w:p>
    <w:p w:rsidR="0007320B" w:rsidRPr="0007320B" w:rsidRDefault="00485640" w:rsidP="004A490B">
      <w:pPr>
        <w:numPr>
          <w:ilvl w:val="0"/>
          <w:numId w:val="14"/>
        </w:numPr>
        <w:jc w:val="both"/>
      </w:pPr>
      <w:r>
        <w:t>É</w:t>
      </w:r>
      <w:r w:rsidR="0007320B" w:rsidRPr="0007320B">
        <w:t>tablissement d’un plan de travail</w:t>
      </w:r>
    </w:p>
    <w:p w:rsidR="0007320B" w:rsidRPr="0007320B" w:rsidRDefault="00485640" w:rsidP="004A490B">
      <w:pPr>
        <w:numPr>
          <w:ilvl w:val="0"/>
          <w:numId w:val="14"/>
        </w:numPr>
        <w:jc w:val="both"/>
      </w:pPr>
      <w:r>
        <w:t>Si</w:t>
      </w:r>
      <w:r w:rsidR="0007320B" w:rsidRPr="0007320B">
        <w:t xml:space="preserve"> la chose est nécessaire et souhaitable, invitation aux gouvernements</w:t>
      </w:r>
      <w:r w:rsidR="003C41A2">
        <w:rPr>
          <w:rStyle w:val="Appelnotedebasdep"/>
        </w:rPr>
        <w:footnoteReference w:id="2"/>
      </w:r>
      <w:r w:rsidR="0007320B" w:rsidRPr="0007320B">
        <w:t xml:space="preserve">  ainsi qu’aux organisations internationales à fournir des données et des renseignements en vue de la préparation par le secrétariat de projets de recherche, d’études, d’examens d’ensemble et de compilations.</w:t>
      </w:r>
    </w:p>
    <w:p w:rsidR="0007320B" w:rsidRPr="0007320B" w:rsidRDefault="0007320B" w:rsidP="0007320B"/>
    <w:p w:rsidR="0007320B" w:rsidRDefault="0007320B" w:rsidP="0007320B">
      <w:pPr>
        <w:rPr>
          <w:b/>
        </w:rPr>
      </w:pPr>
      <w:r w:rsidRPr="0007320B">
        <w:rPr>
          <w:b/>
        </w:rPr>
        <w:t>STADE 2</w:t>
      </w:r>
    </w:p>
    <w:p w:rsidR="0007320B" w:rsidRPr="0007320B" w:rsidRDefault="0007320B" w:rsidP="0007320B">
      <w:pPr>
        <w:rPr>
          <w:b/>
        </w:rPr>
      </w:pPr>
    </w:p>
    <w:p w:rsidR="0007320B" w:rsidRDefault="0007320B" w:rsidP="0007320B">
      <w:r w:rsidRPr="0007320B">
        <w:t xml:space="preserve">Se décompose généralement comme suit : </w:t>
      </w:r>
    </w:p>
    <w:p w:rsidR="0007320B" w:rsidRPr="0007320B" w:rsidRDefault="0007320B" w:rsidP="0007320B"/>
    <w:p w:rsidR="0007320B" w:rsidRDefault="00485640" w:rsidP="004A490B">
      <w:pPr>
        <w:numPr>
          <w:ilvl w:val="0"/>
          <w:numId w:val="15"/>
        </w:numPr>
        <w:jc w:val="both"/>
      </w:pPr>
      <w:r>
        <w:t>E</w:t>
      </w:r>
      <w:r w:rsidR="0007320B" w:rsidRPr="0007320B">
        <w:t xml:space="preserve">xamen des rapports </w:t>
      </w:r>
      <w:r>
        <w:t>du rapporteur spécial — par la C</w:t>
      </w:r>
      <w:r w:rsidR="0007320B" w:rsidRPr="0007320B">
        <w:t xml:space="preserve">ommission en plénière — et des projets d’article </w:t>
      </w:r>
      <w:r w:rsidR="001A260D">
        <w:t xml:space="preserve">qui y sont </w:t>
      </w:r>
      <w:r w:rsidR="0007320B" w:rsidRPr="0007320B">
        <w:t>proposés</w:t>
      </w:r>
      <w:r>
        <w:t xml:space="preserve"> — d’abord en plénière puis au C</w:t>
      </w:r>
      <w:r w:rsidR="0007320B" w:rsidRPr="0007320B">
        <w:t>omité de rédaction; élaboration de projets d’article accompagnés de commentaires présentant les précédents, les divergences de vues révélées par les débats de la Commission et les alternatives envisagées</w:t>
      </w:r>
      <w:r w:rsidR="003C41A2">
        <w:rPr>
          <w:rStyle w:val="Appelnotedebasdep"/>
        </w:rPr>
        <w:footnoteReference w:id="3"/>
      </w:r>
      <w:r w:rsidR="0007320B" w:rsidRPr="0007320B">
        <w:t xml:space="preserve"> </w:t>
      </w:r>
    </w:p>
    <w:p w:rsidR="0007320B" w:rsidRPr="0007320B" w:rsidRDefault="001A260D" w:rsidP="004A490B">
      <w:pPr>
        <w:numPr>
          <w:ilvl w:val="0"/>
          <w:numId w:val="15"/>
        </w:numPr>
        <w:jc w:val="both"/>
      </w:pPr>
      <w:r>
        <w:t>Adoption</w:t>
      </w:r>
      <w:r w:rsidRPr="0007320B">
        <w:t xml:space="preserve"> </w:t>
      </w:r>
      <w:r w:rsidR="0003262E">
        <w:t xml:space="preserve">par le </w:t>
      </w:r>
      <w:r w:rsidR="0003262E" w:rsidRPr="0007320B">
        <w:t xml:space="preserve">Comité de rédaction </w:t>
      </w:r>
      <w:r w:rsidR="0007320B" w:rsidRPr="0007320B">
        <w:t>de projets d’article provisoires</w:t>
      </w:r>
      <w:r w:rsidR="0003262E">
        <w:t>,</w:t>
      </w:r>
      <w:r w:rsidR="0007320B" w:rsidRPr="0007320B">
        <w:t xml:space="preserve"> puis </w:t>
      </w:r>
      <w:r w:rsidR="0003262E">
        <w:t xml:space="preserve">adoption par la Commission plénière </w:t>
      </w:r>
      <w:r w:rsidR="0007320B" w:rsidRPr="0007320B">
        <w:t xml:space="preserve">de projets d’article accompagnés de commentaires </w:t>
      </w:r>
    </w:p>
    <w:p w:rsidR="0007320B" w:rsidRDefault="00485640" w:rsidP="004A490B">
      <w:pPr>
        <w:numPr>
          <w:ilvl w:val="0"/>
          <w:numId w:val="15"/>
        </w:numPr>
        <w:jc w:val="both"/>
      </w:pPr>
      <w:r>
        <w:t>P</w:t>
      </w:r>
      <w:r w:rsidR="0007320B" w:rsidRPr="0007320B">
        <w:t>ublication en tant que document de la Commission du projet provisoire accompagné de commentaires, suivi</w:t>
      </w:r>
      <w:r w:rsidR="009B71C1">
        <w:t>e</w:t>
      </w:r>
      <w:r w:rsidR="0007320B" w:rsidRPr="0007320B">
        <w:t xml:space="preserve"> de sa présentation à l’Assemblée générale ainsi  qu’aux  gouvernements</w:t>
      </w:r>
      <w:r w:rsidR="0003262E">
        <w:t>,</w:t>
      </w:r>
      <w:r w:rsidR="0007320B" w:rsidRPr="0007320B">
        <w:t xml:space="preserve"> pour  observations  écrites.  </w:t>
      </w:r>
    </w:p>
    <w:p w:rsidR="0007320B" w:rsidRDefault="0007320B" w:rsidP="0007320B"/>
    <w:p w:rsidR="0007320B" w:rsidRPr="0007320B" w:rsidRDefault="0007320B" w:rsidP="0007320B"/>
    <w:p w:rsidR="0007320B" w:rsidRPr="0007320B" w:rsidRDefault="0007320B" w:rsidP="004A490B">
      <w:pPr>
        <w:jc w:val="both"/>
      </w:pPr>
      <w:r w:rsidRPr="0007320B">
        <w:lastRenderedPageBreak/>
        <w:t xml:space="preserve">L’expérience ayant montré </w:t>
      </w:r>
      <w:r w:rsidR="001A260D">
        <w:t>que</w:t>
      </w:r>
      <w:r w:rsidRPr="0007320B">
        <w:t xml:space="preserve">, pour obtenir un nombre suffisant de réponses, </w:t>
      </w:r>
      <w:r w:rsidR="001A260D">
        <w:t xml:space="preserve">il fallait </w:t>
      </w:r>
      <w:r w:rsidRPr="0007320B">
        <w:t xml:space="preserve">laisser aux gouvernements le temps de réagir, </w:t>
      </w:r>
      <w:r w:rsidR="001A260D">
        <w:t>les gouvernements</w:t>
      </w:r>
      <w:r w:rsidR="001A260D" w:rsidRPr="0007320B">
        <w:t xml:space="preserve"> </w:t>
      </w:r>
      <w:r w:rsidRPr="0007320B">
        <w:t>disposent normalement d’un an ou plus pour étudier le projet d’article</w:t>
      </w:r>
      <w:r w:rsidR="00485640">
        <w:t>s</w:t>
      </w:r>
      <w:r w:rsidRPr="0007320B">
        <w:t xml:space="preserve"> provisoire et présenter leurs observations écrites à la Commission avant que celle</w:t>
      </w:r>
      <w:r w:rsidR="006D7460">
        <w:t>-ci n’aborde la deuxième lecture</w:t>
      </w:r>
      <w:r w:rsidRPr="0007320B">
        <w:t>.</w:t>
      </w:r>
    </w:p>
    <w:p w:rsidR="0007320B" w:rsidRPr="0007320B" w:rsidRDefault="0007320B" w:rsidP="004A490B">
      <w:pPr>
        <w:jc w:val="both"/>
      </w:pPr>
    </w:p>
    <w:p w:rsidR="00971A3E" w:rsidRDefault="00971A3E" w:rsidP="00971A3E">
      <w:pPr>
        <w:rPr>
          <w:b/>
        </w:rPr>
      </w:pPr>
      <w:r w:rsidRPr="0007320B">
        <w:rPr>
          <w:b/>
        </w:rPr>
        <w:t xml:space="preserve">STADE </w:t>
      </w:r>
      <w:r>
        <w:rPr>
          <w:b/>
        </w:rPr>
        <w:t>3</w:t>
      </w:r>
    </w:p>
    <w:p w:rsidR="0007320B" w:rsidRPr="0007320B" w:rsidRDefault="0007320B" w:rsidP="0007320B"/>
    <w:p w:rsidR="00971A3E" w:rsidRDefault="00971A3E" w:rsidP="0007320B">
      <w:r>
        <w:t>C</w:t>
      </w:r>
      <w:r w:rsidR="0007320B" w:rsidRPr="0007320B">
        <w:t xml:space="preserve">omporte normalement les phases suivantes : </w:t>
      </w:r>
    </w:p>
    <w:p w:rsidR="006D7460" w:rsidRDefault="006D7460" w:rsidP="0007320B"/>
    <w:p w:rsidR="00971A3E" w:rsidRDefault="00485640" w:rsidP="004A490B">
      <w:pPr>
        <w:numPr>
          <w:ilvl w:val="0"/>
          <w:numId w:val="16"/>
        </w:numPr>
        <w:jc w:val="both"/>
      </w:pPr>
      <w:r>
        <w:t>E</w:t>
      </w:r>
      <w:r w:rsidR="00971A3E">
        <w:t>xa</w:t>
      </w:r>
      <w:r w:rsidR="0007320B" w:rsidRPr="0007320B">
        <w:t>men par le rapporteur spécial des réac</w:t>
      </w:r>
      <w:r w:rsidR="00971A3E">
        <w:t>tions des gouvernements, y com</w:t>
      </w:r>
      <w:r w:rsidR="0007320B" w:rsidRPr="0007320B">
        <w:t xml:space="preserve">pris </w:t>
      </w:r>
      <w:r w:rsidR="009B71C1">
        <w:t>d</w:t>
      </w:r>
      <w:r w:rsidR="0007320B" w:rsidRPr="0007320B">
        <w:t>es observations formul</w:t>
      </w:r>
      <w:r w:rsidR="00971A3E">
        <w:t>ées au cours des débats de la Sixième Commission</w:t>
      </w:r>
    </w:p>
    <w:p w:rsidR="00971A3E" w:rsidRDefault="00485640" w:rsidP="004A490B">
      <w:pPr>
        <w:numPr>
          <w:ilvl w:val="0"/>
          <w:numId w:val="16"/>
        </w:numPr>
        <w:jc w:val="both"/>
      </w:pPr>
      <w:r>
        <w:t>P</w:t>
      </w:r>
      <w:r w:rsidR="00971A3E">
        <w:t>résentation à la C</w:t>
      </w:r>
      <w:r w:rsidR="0007320B" w:rsidRPr="0007320B">
        <w:t xml:space="preserve">ommission d’un nouveau rapport recommandant </w:t>
      </w:r>
      <w:r w:rsidR="009B71C1">
        <w:t>les</w:t>
      </w:r>
      <w:r w:rsidR="009B71C1" w:rsidRPr="0007320B">
        <w:t xml:space="preserve"> </w:t>
      </w:r>
      <w:r w:rsidR="0007320B" w:rsidRPr="0007320B">
        <w:t>modifications qui semble</w:t>
      </w:r>
      <w:r w:rsidR="00971A3E">
        <w:t>nt appropriées</w:t>
      </w:r>
    </w:p>
    <w:p w:rsidR="00971A3E" w:rsidRDefault="00485640" w:rsidP="004A490B">
      <w:pPr>
        <w:numPr>
          <w:ilvl w:val="0"/>
          <w:numId w:val="16"/>
        </w:numPr>
        <w:jc w:val="both"/>
      </w:pPr>
      <w:r>
        <w:t>E</w:t>
      </w:r>
      <w:r w:rsidR="0007320B" w:rsidRPr="0007320B">
        <w:t xml:space="preserve">xamen et </w:t>
      </w:r>
      <w:r w:rsidR="001A260D">
        <w:t>adoption par le C</w:t>
      </w:r>
      <w:r w:rsidR="001A260D" w:rsidRPr="0007320B">
        <w:t>omité de rédaction</w:t>
      </w:r>
      <w:r w:rsidR="001A260D">
        <w:t xml:space="preserve"> </w:t>
      </w:r>
      <w:r w:rsidR="00971A3E">
        <w:t>du projet révisé</w:t>
      </w:r>
      <w:r w:rsidR="009B71C1">
        <w:t>,</w:t>
      </w:r>
      <w:r w:rsidR="0007320B" w:rsidRPr="0007320B">
        <w:t xml:space="preserve"> à la lumière des observations écrites et orales des gouvernements</w:t>
      </w:r>
    </w:p>
    <w:p w:rsidR="0007320B" w:rsidRDefault="00485640" w:rsidP="004A490B">
      <w:pPr>
        <w:numPr>
          <w:ilvl w:val="0"/>
          <w:numId w:val="16"/>
        </w:numPr>
        <w:jc w:val="both"/>
      </w:pPr>
      <w:r>
        <w:t>A</w:t>
      </w:r>
      <w:r w:rsidR="00971A3E">
        <w:t>doption par la C</w:t>
      </w:r>
      <w:r w:rsidR="0007320B" w:rsidRPr="0007320B">
        <w:t>ommission en plénière du projet défin</w:t>
      </w:r>
      <w:r w:rsidR="00971A3E">
        <w:t>itif accompagné de commentaires</w:t>
      </w:r>
      <w:r w:rsidR="00F10585">
        <w:rPr>
          <w:rStyle w:val="Appelnotedebasdep"/>
        </w:rPr>
        <w:footnoteReference w:id="4"/>
      </w:r>
      <w:r w:rsidR="0007320B" w:rsidRPr="0007320B">
        <w:t xml:space="preserve"> et adoption d’une recommandation </w:t>
      </w:r>
      <w:r w:rsidR="001A260D">
        <w:t xml:space="preserve">adressée à l’Assemblée générale à propos de </w:t>
      </w:r>
      <w:r w:rsidR="00971A3E">
        <w:t>la suite à donner au projet</w:t>
      </w:r>
      <w:r w:rsidR="0007320B" w:rsidRPr="0007320B">
        <w:t>.</w:t>
      </w:r>
    </w:p>
    <w:p w:rsidR="00971A3E" w:rsidRPr="0007320B" w:rsidRDefault="00971A3E" w:rsidP="004A490B">
      <w:pPr>
        <w:jc w:val="both"/>
      </w:pPr>
    </w:p>
    <w:p w:rsidR="00971A3E" w:rsidRDefault="00971A3E" w:rsidP="0007320B"/>
    <w:p w:rsidR="00971A3E" w:rsidRDefault="00971A3E" w:rsidP="00971A3E">
      <w:pPr>
        <w:jc w:val="center"/>
      </w:pPr>
      <w:r>
        <w:t>*****</w:t>
      </w:r>
    </w:p>
    <w:p w:rsidR="00971A3E" w:rsidRDefault="00971A3E" w:rsidP="00971A3E">
      <w:pPr>
        <w:jc w:val="center"/>
      </w:pPr>
    </w:p>
    <w:p w:rsidR="0007320B" w:rsidRDefault="00971A3E" w:rsidP="004A490B">
      <w:pPr>
        <w:jc w:val="both"/>
      </w:pPr>
      <w:r>
        <w:t>La tâche de la Co</w:t>
      </w:r>
      <w:r w:rsidR="0007320B" w:rsidRPr="0007320B">
        <w:t>mmission sur un sujet donné est ac</w:t>
      </w:r>
      <w:r>
        <w:t>hevée lorsqu’elle présente à l’A</w:t>
      </w:r>
      <w:r w:rsidR="0007320B" w:rsidRPr="0007320B">
        <w:t>ssemblée générale un texte déf</w:t>
      </w:r>
      <w:r>
        <w:t>initif, gé</w:t>
      </w:r>
      <w:r w:rsidR="0007320B" w:rsidRPr="0007320B">
        <w:t>néralement accompagné d’une recommandation concernan</w:t>
      </w:r>
      <w:r>
        <w:t>t la suite à y donner. Dans certains cas, l’A</w:t>
      </w:r>
      <w:r w:rsidR="00F10585">
        <w:t>ssemblée générale a prié la C</w:t>
      </w:r>
      <w:r w:rsidR="0007320B" w:rsidRPr="0007320B">
        <w:t xml:space="preserve">ommission de poursuivre ses travaux sur un sujet </w:t>
      </w:r>
      <w:r w:rsidR="009B71C1">
        <w:t>qui</w:t>
      </w:r>
      <w:r w:rsidR="0007320B" w:rsidRPr="0007320B">
        <w:t xml:space="preserve"> avait déjà </w:t>
      </w:r>
      <w:r w:rsidR="009B71C1">
        <w:t>fait l’objet</w:t>
      </w:r>
      <w:r w:rsidR="009B71C1" w:rsidRPr="0007320B">
        <w:t xml:space="preserve"> </w:t>
      </w:r>
      <w:r w:rsidR="009B71C1">
        <w:t>d’</w:t>
      </w:r>
      <w:r w:rsidR="0007320B" w:rsidRPr="0007320B">
        <w:t>un rapport définitif.</w:t>
      </w:r>
    </w:p>
    <w:p w:rsidR="00F10585" w:rsidRPr="0007320B" w:rsidRDefault="00F10585" w:rsidP="004A490B">
      <w:pPr>
        <w:jc w:val="both"/>
      </w:pPr>
    </w:p>
    <w:p w:rsidR="00971A3E" w:rsidRDefault="00971A3E" w:rsidP="004A490B">
      <w:pPr>
        <w:jc w:val="both"/>
      </w:pPr>
      <w:r>
        <w:t>La Co</w:t>
      </w:r>
      <w:r w:rsidR="0007320B" w:rsidRPr="0007320B">
        <w:t>mmission a généralement considéré que ses projets relevaient à la fois de la codification et du dévelo</w:t>
      </w:r>
      <w:r>
        <w:t>ppement progressif du droit in</w:t>
      </w:r>
      <w:r w:rsidR="0007320B" w:rsidRPr="0007320B">
        <w:t>ternational au sens que re</w:t>
      </w:r>
      <w:r>
        <w:t>vêtent ces expressions dans le S</w:t>
      </w:r>
      <w:r w:rsidR="0007320B" w:rsidRPr="0007320B">
        <w:t xml:space="preserve">tatut et </w:t>
      </w:r>
      <w:r w:rsidR="00190AEA">
        <w:t xml:space="preserve">a </w:t>
      </w:r>
      <w:bookmarkStart w:id="0" w:name="_GoBack"/>
      <w:bookmarkEnd w:id="0"/>
      <w:r w:rsidR="0007320B" w:rsidRPr="0007320B">
        <w:t>estimé impossible de dire à quelle catégorie appartenait chaque disposition</w:t>
      </w:r>
      <w:r>
        <w:t>. E</w:t>
      </w:r>
      <w:r w:rsidR="0007320B" w:rsidRPr="0007320B">
        <w:t xml:space="preserve">lle a </w:t>
      </w:r>
      <w:r>
        <w:t>le plus souvent recommandé à l’A</w:t>
      </w:r>
      <w:r w:rsidR="0007320B" w:rsidRPr="0007320B">
        <w:t>ssemblée générale de suivre l’une</w:t>
      </w:r>
      <w:r>
        <w:t xml:space="preserve"> </w:t>
      </w:r>
      <w:r w:rsidRPr="0007320B">
        <w:t>des voies prévues par son statut pour ce qui est de la codification du droit international, c’est-à-dire :</w:t>
      </w:r>
    </w:p>
    <w:p w:rsidR="00F10585" w:rsidRDefault="00F10585" w:rsidP="004A490B">
      <w:pPr>
        <w:jc w:val="both"/>
      </w:pPr>
    </w:p>
    <w:p w:rsidR="00971A3E" w:rsidRDefault="00971A3E" w:rsidP="004A490B">
      <w:pPr>
        <w:jc w:val="both"/>
      </w:pPr>
      <w:r w:rsidRPr="0007320B">
        <w:t>a) de n’entr</w:t>
      </w:r>
      <w:r>
        <w:t>eprendre aucun</w:t>
      </w:r>
      <w:r w:rsidR="009B71C1">
        <w:t>e</w:t>
      </w:r>
      <w:r>
        <w:t xml:space="preserve"> action, le rapport ayant été publié</w:t>
      </w:r>
    </w:p>
    <w:p w:rsidR="00971A3E" w:rsidRDefault="00971A3E" w:rsidP="004A490B">
      <w:pPr>
        <w:jc w:val="both"/>
      </w:pPr>
      <w:r w:rsidRPr="0007320B">
        <w:t>b) de prendre acte du rapport ou d</w:t>
      </w:r>
      <w:r>
        <w:t>e l’adopter dans une résolution</w:t>
      </w:r>
    </w:p>
    <w:p w:rsidR="00971A3E" w:rsidRDefault="00971A3E" w:rsidP="004A490B">
      <w:pPr>
        <w:jc w:val="both"/>
      </w:pPr>
      <w:r w:rsidRPr="0007320B">
        <w:t xml:space="preserve">c) de recommander le projet aux </w:t>
      </w:r>
      <w:r w:rsidR="009B71C1">
        <w:t>États M</w:t>
      </w:r>
      <w:r w:rsidRPr="0007320B">
        <w:t>embres en vue de</w:t>
      </w:r>
      <w:r>
        <w:t xml:space="preserve"> la conclusion d’une convention</w:t>
      </w:r>
      <w:r w:rsidRPr="0007320B">
        <w:t xml:space="preserve"> </w:t>
      </w:r>
    </w:p>
    <w:p w:rsidR="00971A3E" w:rsidRPr="0007320B" w:rsidRDefault="00971A3E" w:rsidP="004A490B">
      <w:pPr>
        <w:jc w:val="both"/>
      </w:pPr>
      <w:r>
        <w:t>d</w:t>
      </w:r>
      <w:r w:rsidRPr="0007320B">
        <w:t>) de convoquer une conférence pou</w:t>
      </w:r>
      <w:r>
        <w:t xml:space="preserve">r </w:t>
      </w:r>
      <w:r w:rsidR="009B71C1">
        <w:t>la conclusion d’</w:t>
      </w:r>
      <w:r>
        <w:t>une convention.</w:t>
      </w:r>
    </w:p>
    <w:p w:rsidR="0007320B" w:rsidRPr="0007320B" w:rsidRDefault="0007320B" w:rsidP="0007320B"/>
    <w:p w:rsidR="0007320B" w:rsidRPr="0007320B" w:rsidRDefault="0007320B" w:rsidP="0007320B"/>
    <w:p w:rsidR="0007320B" w:rsidRPr="0007320B" w:rsidRDefault="0007320B" w:rsidP="0007320B"/>
    <w:p w:rsidR="00F10585" w:rsidRPr="0007320B" w:rsidRDefault="00F10585" w:rsidP="0081043A"/>
    <w:sectPr w:rsidR="00F10585" w:rsidRPr="0007320B" w:rsidSect="00B12372">
      <w:headerReference w:type="default" r:id="rId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0B" w:rsidRPr="00927979" w:rsidRDefault="0007320B" w:rsidP="00927979">
      <w:pPr>
        <w:pStyle w:val="Pieddepage"/>
      </w:pPr>
    </w:p>
  </w:endnote>
  <w:endnote w:type="continuationSeparator" w:id="0">
    <w:p w:rsidR="0007320B" w:rsidRPr="00927979" w:rsidRDefault="0007320B" w:rsidP="00927979">
      <w:pPr>
        <w:pStyle w:val="Pieddepage"/>
      </w:pPr>
    </w:p>
  </w:endnote>
  <w:endnote w:type="continuationNotice" w:id="1">
    <w:p w:rsidR="0007320B" w:rsidRPr="00927979" w:rsidRDefault="0007320B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0B" w:rsidRPr="00927979" w:rsidRDefault="0007320B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07320B" w:rsidRPr="00927979" w:rsidRDefault="0007320B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320B" w:rsidRPr="00927979" w:rsidRDefault="0007320B">
      <w:pPr>
        <w:spacing w:line="240" w:lineRule="auto"/>
        <w:rPr>
          <w:sz w:val="2"/>
          <w:szCs w:val="2"/>
        </w:rPr>
      </w:pPr>
    </w:p>
  </w:footnote>
  <w:footnote w:id="2">
    <w:p w:rsidR="003C41A2" w:rsidRPr="009A6CBB" w:rsidRDefault="003C41A2" w:rsidP="0023024B">
      <w:pPr>
        <w:pStyle w:val="Notedebasdepage"/>
        <w:tabs>
          <w:tab w:val="clear" w:pos="1021"/>
        </w:tabs>
        <w:ind w:left="0" w:firstLine="0"/>
        <w:jc w:val="both"/>
        <w:rPr>
          <w:szCs w:val="18"/>
        </w:rPr>
      </w:pPr>
      <w:r w:rsidRPr="009A6CBB">
        <w:rPr>
          <w:rStyle w:val="Appelnotedebasdep"/>
          <w:szCs w:val="18"/>
        </w:rPr>
        <w:footnoteRef/>
      </w:r>
      <w:r w:rsidRPr="009A6CBB">
        <w:rPr>
          <w:szCs w:val="18"/>
        </w:rPr>
        <w:t xml:space="preserve"> </w:t>
      </w:r>
      <w:r w:rsidR="003E42C2">
        <w:t>L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95"/>
          <w:szCs w:val="18"/>
          <w:lang w:val="fr-FR"/>
        </w:rPr>
        <w:t>s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94"/>
          <w:szCs w:val="18"/>
          <w:lang w:val="fr-FR"/>
        </w:rPr>
        <w:t>g</w:t>
      </w:r>
      <w:r w:rsidRPr="009A6CBB">
        <w:rPr>
          <w:color w:val="231F20"/>
          <w:w w:val="103"/>
          <w:szCs w:val="18"/>
          <w:lang w:val="fr-FR"/>
        </w:rPr>
        <w:t>o</w:t>
      </w:r>
      <w:r w:rsidRPr="009A6CBB">
        <w:rPr>
          <w:color w:val="231F20"/>
          <w:w w:val="107"/>
          <w:szCs w:val="18"/>
          <w:lang w:val="fr-FR"/>
        </w:rPr>
        <w:t>u</w:t>
      </w:r>
      <w:r w:rsidRPr="009A6CBB">
        <w:rPr>
          <w:color w:val="231F20"/>
          <w:w w:val="93"/>
          <w:szCs w:val="18"/>
          <w:lang w:val="fr-FR"/>
        </w:rPr>
        <w:t>v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112"/>
          <w:szCs w:val="18"/>
          <w:lang w:val="fr-FR"/>
        </w:rPr>
        <w:t>r</w:t>
      </w:r>
      <w:r w:rsidRPr="009A6CBB">
        <w:rPr>
          <w:color w:val="231F20"/>
          <w:w w:val="104"/>
          <w:szCs w:val="18"/>
          <w:lang w:val="fr-FR"/>
        </w:rPr>
        <w:t>ne</w:t>
      </w:r>
      <w:r w:rsidRPr="009A6CBB">
        <w:rPr>
          <w:color w:val="231F20"/>
          <w:w w:val="106"/>
          <w:szCs w:val="18"/>
          <w:lang w:val="fr-FR"/>
        </w:rPr>
        <w:t>m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110"/>
          <w:szCs w:val="18"/>
          <w:lang w:val="fr-FR"/>
        </w:rPr>
        <w:t>n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w w:val="95"/>
          <w:szCs w:val="18"/>
          <w:lang w:val="fr-FR"/>
        </w:rPr>
        <w:t>s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106"/>
          <w:szCs w:val="18"/>
          <w:lang w:val="fr-FR"/>
        </w:rPr>
        <w:t>p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107"/>
          <w:szCs w:val="18"/>
          <w:lang w:val="fr-FR"/>
        </w:rPr>
        <w:t>u</w:t>
      </w:r>
      <w:r w:rsidRPr="009A6CBB">
        <w:rPr>
          <w:color w:val="231F20"/>
          <w:w w:val="93"/>
          <w:szCs w:val="18"/>
          <w:lang w:val="fr-FR"/>
        </w:rPr>
        <w:t>v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110"/>
          <w:szCs w:val="18"/>
          <w:lang w:val="fr-FR"/>
        </w:rPr>
        <w:t>n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106"/>
          <w:szCs w:val="18"/>
          <w:lang w:val="fr-FR"/>
        </w:rPr>
        <w:t>p</w:t>
      </w:r>
      <w:r w:rsidRPr="009A6CBB">
        <w:rPr>
          <w:color w:val="231F20"/>
          <w:szCs w:val="18"/>
          <w:lang w:val="fr-FR"/>
        </w:rPr>
        <w:t>a</w:t>
      </w:r>
      <w:r w:rsidRPr="009A6CBB">
        <w:rPr>
          <w:color w:val="231F20"/>
          <w:w w:val="112"/>
          <w:szCs w:val="18"/>
          <w:lang w:val="fr-FR"/>
        </w:rPr>
        <w:t>r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95"/>
          <w:szCs w:val="18"/>
          <w:lang w:val="fr-FR"/>
        </w:rPr>
        <w:t>x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106"/>
          <w:szCs w:val="18"/>
          <w:lang w:val="fr-FR"/>
        </w:rPr>
        <w:t>mp</w:t>
      </w:r>
      <w:r w:rsidRPr="009A6CBB">
        <w:rPr>
          <w:color w:val="231F20"/>
          <w:w w:val="95"/>
          <w:szCs w:val="18"/>
          <w:lang w:val="fr-FR"/>
        </w:rPr>
        <w:t>le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96"/>
          <w:szCs w:val="18"/>
          <w:lang w:val="fr-FR"/>
        </w:rPr>
        <w:t>ê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w w:val="103"/>
          <w:szCs w:val="18"/>
          <w:lang w:val="fr-FR"/>
        </w:rPr>
        <w:t>re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97"/>
          <w:szCs w:val="18"/>
          <w:lang w:val="fr-FR"/>
        </w:rPr>
        <w:t>i</w:t>
      </w:r>
      <w:r w:rsidRPr="009A6CBB">
        <w:rPr>
          <w:color w:val="231F20"/>
          <w:w w:val="110"/>
          <w:szCs w:val="18"/>
          <w:lang w:val="fr-FR"/>
        </w:rPr>
        <w:t>n</w:t>
      </w:r>
      <w:r w:rsidRPr="009A6CBB">
        <w:rPr>
          <w:color w:val="231F20"/>
          <w:w w:val="93"/>
          <w:szCs w:val="18"/>
          <w:lang w:val="fr-FR"/>
        </w:rPr>
        <w:t>v</w:t>
      </w:r>
      <w:r w:rsidRPr="009A6CBB">
        <w:rPr>
          <w:color w:val="231F20"/>
          <w:w w:val="97"/>
          <w:szCs w:val="18"/>
          <w:lang w:val="fr-FR"/>
        </w:rPr>
        <w:t>i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w w:val="96"/>
          <w:szCs w:val="18"/>
          <w:lang w:val="fr-FR"/>
        </w:rPr>
        <w:t>é</w:t>
      </w:r>
      <w:r w:rsidRPr="009A6CBB">
        <w:rPr>
          <w:color w:val="231F20"/>
          <w:w w:val="95"/>
          <w:szCs w:val="18"/>
          <w:lang w:val="fr-FR"/>
        </w:rPr>
        <w:t>s</w:t>
      </w:r>
      <w:r w:rsidRPr="009A6CBB">
        <w:rPr>
          <w:color w:val="231F20"/>
          <w:szCs w:val="18"/>
          <w:lang w:val="fr-FR"/>
        </w:rPr>
        <w:t xml:space="preserve"> à </w:t>
      </w:r>
      <w:r w:rsidRPr="009A6CBB">
        <w:rPr>
          <w:color w:val="231F20"/>
          <w:w w:val="89"/>
          <w:szCs w:val="18"/>
          <w:lang w:val="fr-FR"/>
        </w:rPr>
        <w:t>f</w:t>
      </w:r>
      <w:r w:rsidRPr="009A6CBB">
        <w:rPr>
          <w:color w:val="231F20"/>
          <w:w w:val="103"/>
          <w:szCs w:val="18"/>
          <w:lang w:val="fr-FR"/>
        </w:rPr>
        <w:t>o</w:t>
      </w:r>
      <w:r w:rsidRPr="009A6CBB">
        <w:rPr>
          <w:color w:val="231F20"/>
          <w:w w:val="107"/>
          <w:szCs w:val="18"/>
          <w:lang w:val="fr-FR"/>
        </w:rPr>
        <w:t>u</w:t>
      </w:r>
      <w:r w:rsidRPr="009A6CBB">
        <w:rPr>
          <w:color w:val="231F20"/>
          <w:w w:val="112"/>
          <w:szCs w:val="18"/>
          <w:lang w:val="fr-FR"/>
        </w:rPr>
        <w:t>r</w:t>
      </w:r>
      <w:r w:rsidRPr="009A6CBB">
        <w:rPr>
          <w:color w:val="231F20"/>
          <w:w w:val="110"/>
          <w:szCs w:val="18"/>
          <w:lang w:val="fr-FR"/>
        </w:rPr>
        <w:t>n</w:t>
      </w:r>
      <w:r w:rsidRPr="009A6CBB">
        <w:rPr>
          <w:color w:val="231F20"/>
          <w:w w:val="97"/>
          <w:szCs w:val="18"/>
          <w:lang w:val="fr-FR"/>
        </w:rPr>
        <w:t>i</w:t>
      </w:r>
      <w:r w:rsidRPr="009A6CBB">
        <w:rPr>
          <w:color w:val="231F20"/>
          <w:w w:val="112"/>
          <w:szCs w:val="18"/>
          <w:lang w:val="fr-FR"/>
        </w:rPr>
        <w:t>r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95"/>
          <w:szCs w:val="18"/>
          <w:lang w:val="fr-FR"/>
        </w:rPr>
        <w:t>le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w w:val="95"/>
          <w:szCs w:val="18"/>
          <w:lang w:val="fr-FR"/>
        </w:rPr>
        <w:t>x</w:t>
      </w:r>
      <w:r w:rsidRPr="009A6CBB">
        <w:rPr>
          <w:color w:val="231F20"/>
          <w:w w:val="111"/>
          <w:szCs w:val="18"/>
          <w:lang w:val="fr-FR"/>
        </w:rPr>
        <w:t>t</w:t>
      </w:r>
      <w:r w:rsidRPr="009A6CBB">
        <w:rPr>
          <w:color w:val="231F20"/>
          <w:w w:val="96"/>
          <w:szCs w:val="18"/>
          <w:lang w:val="fr-FR"/>
        </w:rPr>
        <w:t>e</w:t>
      </w:r>
      <w:r w:rsidRPr="009A6CBB">
        <w:rPr>
          <w:color w:val="231F20"/>
          <w:szCs w:val="18"/>
          <w:lang w:val="fr-FR"/>
        </w:rPr>
        <w:t xml:space="preserve"> </w:t>
      </w:r>
      <w:r w:rsidRPr="009A6CBB">
        <w:rPr>
          <w:color w:val="231F20"/>
          <w:w w:val="106"/>
          <w:szCs w:val="18"/>
          <w:lang w:val="fr-FR"/>
        </w:rPr>
        <w:t>d</w:t>
      </w:r>
      <w:r w:rsidRPr="009A6CBB">
        <w:rPr>
          <w:color w:val="231F20"/>
          <w:w w:val="96"/>
          <w:szCs w:val="18"/>
          <w:lang w:val="fr-FR"/>
        </w:rPr>
        <w:t xml:space="preserve">e </w:t>
      </w:r>
      <w:r w:rsidR="00AD4D7A" w:rsidRPr="009A6CBB">
        <w:rPr>
          <w:color w:val="231F20"/>
          <w:w w:val="105"/>
          <w:szCs w:val="18"/>
          <w:lang w:val="fr-FR"/>
        </w:rPr>
        <w:t xml:space="preserve">lois, </w:t>
      </w:r>
      <w:r w:rsidR="00784113">
        <w:rPr>
          <w:color w:val="231F20"/>
          <w:w w:val="105"/>
          <w:szCs w:val="18"/>
          <w:lang w:val="fr-FR"/>
        </w:rPr>
        <w:t xml:space="preserve">de </w:t>
      </w:r>
      <w:r w:rsidR="00AD4D7A" w:rsidRPr="009A6CBB">
        <w:rPr>
          <w:color w:val="231F20"/>
          <w:w w:val="105"/>
          <w:szCs w:val="18"/>
          <w:lang w:val="fr-FR"/>
        </w:rPr>
        <w:t xml:space="preserve">décrets, </w:t>
      </w:r>
      <w:r w:rsidR="00784113">
        <w:rPr>
          <w:color w:val="231F20"/>
          <w:w w:val="105"/>
          <w:szCs w:val="18"/>
          <w:lang w:val="fr-FR"/>
        </w:rPr>
        <w:t xml:space="preserve">de </w:t>
      </w:r>
      <w:r w:rsidR="00AD4D7A" w:rsidRPr="009A6CBB">
        <w:rPr>
          <w:color w:val="231F20"/>
          <w:w w:val="105"/>
          <w:szCs w:val="18"/>
          <w:lang w:val="fr-FR"/>
        </w:rPr>
        <w:t xml:space="preserve">décisions </w:t>
      </w:r>
      <w:r w:rsidRPr="009A6CBB">
        <w:rPr>
          <w:color w:val="231F20"/>
          <w:w w:val="105"/>
          <w:szCs w:val="18"/>
          <w:lang w:val="fr-FR"/>
        </w:rPr>
        <w:t xml:space="preserve">judiciaires, </w:t>
      </w:r>
      <w:r w:rsidR="00784113">
        <w:rPr>
          <w:color w:val="231F20"/>
          <w:w w:val="105"/>
          <w:szCs w:val="18"/>
          <w:lang w:val="fr-FR"/>
        </w:rPr>
        <w:t xml:space="preserve">de </w:t>
      </w:r>
      <w:r w:rsidRPr="009A6CBB">
        <w:rPr>
          <w:color w:val="231F20"/>
          <w:w w:val="105"/>
          <w:szCs w:val="18"/>
          <w:lang w:val="fr-FR"/>
        </w:rPr>
        <w:t xml:space="preserve">traités, </w:t>
      </w:r>
      <w:r w:rsidR="00784113">
        <w:rPr>
          <w:color w:val="231F20"/>
          <w:w w:val="105"/>
          <w:szCs w:val="18"/>
          <w:lang w:val="fr-FR"/>
        </w:rPr>
        <w:t xml:space="preserve">d’une </w:t>
      </w:r>
      <w:r w:rsidRPr="009A6CBB">
        <w:rPr>
          <w:color w:val="231F20"/>
          <w:w w:val="105"/>
          <w:szCs w:val="18"/>
          <w:lang w:val="fr-FR"/>
        </w:rPr>
        <w:t xml:space="preserve">correspondance diplomatique et </w:t>
      </w:r>
      <w:r w:rsidR="00784113">
        <w:rPr>
          <w:color w:val="231F20"/>
          <w:w w:val="105"/>
          <w:szCs w:val="18"/>
          <w:lang w:val="fr-FR"/>
        </w:rPr>
        <w:t>d’</w:t>
      </w:r>
      <w:r w:rsidRPr="009A6CBB">
        <w:rPr>
          <w:color w:val="231F20"/>
          <w:w w:val="105"/>
          <w:szCs w:val="18"/>
          <w:lang w:val="fr-FR"/>
        </w:rPr>
        <w:t>autres documents relatifs aux sujets à l’étude, comme prévu à l’article 19 du Statut.</w:t>
      </w:r>
    </w:p>
  </w:footnote>
  <w:footnote w:id="3">
    <w:p w:rsidR="003C41A2" w:rsidRPr="009A6CBB" w:rsidRDefault="003C41A2" w:rsidP="0023024B">
      <w:pPr>
        <w:spacing w:before="31" w:line="244" w:lineRule="auto"/>
        <w:ind w:right="117"/>
        <w:jc w:val="both"/>
        <w:rPr>
          <w:sz w:val="18"/>
          <w:szCs w:val="18"/>
          <w:lang w:val="fr-FR"/>
        </w:rPr>
      </w:pPr>
      <w:r w:rsidRPr="009A6CBB">
        <w:rPr>
          <w:rStyle w:val="Appelnotedebasdep"/>
          <w:szCs w:val="18"/>
        </w:rPr>
        <w:footnoteRef/>
      </w:r>
      <w:r w:rsidRPr="009A6CBB">
        <w:rPr>
          <w:sz w:val="18"/>
          <w:szCs w:val="18"/>
        </w:rPr>
        <w:t xml:space="preserve"> </w:t>
      </w:r>
      <w:r w:rsidR="003E42C2">
        <w:t>L’</w:t>
      </w:r>
      <w:r w:rsidRPr="009A6CBB">
        <w:rPr>
          <w:color w:val="231F20"/>
          <w:spacing w:val="4"/>
          <w:sz w:val="18"/>
          <w:szCs w:val="18"/>
          <w:lang w:val="fr-FR"/>
        </w:rPr>
        <w:t>a</w:t>
      </w:r>
      <w:r w:rsidRPr="009A6CBB">
        <w:rPr>
          <w:color w:val="231F20"/>
          <w:spacing w:val="5"/>
          <w:w w:val="112"/>
          <w:sz w:val="18"/>
          <w:szCs w:val="18"/>
          <w:lang w:val="fr-FR"/>
        </w:rPr>
        <w:t>r</w:t>
      </w:r>
      <w:r w:rsidRPr="009A6CBB">
        <w:rPr>
          <w:color w:val="231F20"/>
          <w:spacing w:val="4"/>
          <w:w w:val="111"/>
          <w:sz w:val="18"/>
          <w:szCs w:val="18"/>
          <w:lang w:val="fr-FR"/>
        </w:rPr>
        <w:t>t</w:t>
      </w:r>
      <w:r w:rsidRPr="009A6CBB">
        <w:rPr>
          <w:color w:val="231F20"/>
          <w:spacing w:val="-2"/>
          <w:w w:val="97"/>
          <w:sz w:val="18"/>
          <w:szCs w:val="18"/>
          <w:lang w:val="fr-FR"/>
        </w:rPr>
        <w:t>i</w:t>
      </w:r>
      <w:r w:rsidRPr="009A6CBB">
        <w:rPr>
          <w:color w:val="231F20"/>
          <w:spacing w:val="1"/>
          <w:w w:val="96"/>
          <w:sz w:val="18"/>
          <w:szCs w:val="18"/>
          <w:lang w:val="fr-FR"/>
        </w:rPr>
        <w:t>c</w:t>
      </w:r>
      <w:r w:rsidRPr="009A6CBB">
        <w:rPr>
          <w:color w:val="231F20"/>
          <w:spacing w:val="-1"/>
          <w:w w:val="95"/>
          <w:sz w:val="18"/>
          <w:szCs w:val="18"/>
          <w:lang w:val="fr-FR"/>
        </w:rPr>
        <w:t>l</w:t>
      </w:r>
      <w:r w:rsidRPr="009A6CBB">
        <w:rPr>
          <w:color w:val="231F20"/>
          <w:w w:val="95"/>
          <w:sz w:val="18"/>
          <w:szCs w:val="18"/>
          <w:lang w:val="fr-FR"/>
        </w:rPr>
        <w:t>e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2"/>
          <w:w w:val="97"/>
          <w:sz w:val="18"/>
          <w:szCs w:val="18"/>
          <w:lang w:val="fr-FR"/>
        </w:rPr>
        <w:t>2</w:t>
      </w:r>
      <w:r w:rsidRPr="009A6CBB">
        <w:rPr>
          <w:color w:val="231F20"/>
          <w:w w:val="97"/>
          <w:sz w:val="18"/>
          <w:szCs w:val="18"/>
          <w:lang w:val="fr-FR"/>
        </w:rPr>
        <w:t>0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-2"/>
          <w:w w:val="106"/>
          <w:sz w:val="18"/>
          <w:szCs w:val="18"/>
          <w:lang w:val="fr-FR"/>
        </w:rPr>
        <w:t>d</w:t>
      </w:r>
      <w:r w:rsidRPr="009A6CBB">
        <w:rPr>
          <w:color w:val="231F20"/>
          <w:w w:val="107"/>
          <w:sz w:val="18"/>
          <w:szCs w:val="18"/>
          <w:lang w:val="fr-FR"/>
        </w:rPr>
        <w:t>u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1"/>
          <w:w w:val="95"/>
          <w:sz w:val="18"/>
          <w:szCs w:val="18"/>
          <w:lang w:val="fr-FR"/>
        </w:rPr>
        <w:t>S</w:t>
      </w:r>
      <w:r w:rsidRPr="009A6CBB">
        <w:rPr>
          <w:color w:val="231F20"/>
          <w:spacing w:val="2"/>
          <w:w w:val="111"/>
          <w:sz w:val="18"/>
          <w:szCs w:val="18"/>
          <w:lang w:val="fr-FR"/>
        </w:rPr>
        <w:t>t</w:t>
      </w:r>
      <w:r w:rsidRPr="009A6CBB">
        <w:rPr>
          <w:color w:val="231F20"/>
          <w:spacing w:val="-1"/>
          <w:w w:val="104"/>
          <w:sz w:val="18"/>
          <w:szCs w:val="18"/>
          <w:lang w:val="fr-FR"/>
        </w:rPr>
        <w:t>a</w:t>
      </w:r>
      <w:r w:rsidRPr="009A6CBB">
        <w:rPr>
          <w:color w:val="231F20"/>
          <w:spacing w:val="3"/>
          <w:w w:val="104"/>
          <w:sz w:val="18"/>
          <w:szCs w:val="18"/>
          <w:lang w:val="fr-FR"/>
        </w:rPr>
        <w:t>t</w:t>
      </w:r>
      <w:r w:rsidRPr="009A6CBB">
        <w:rPr>
          <w:color w:val="231F20"/>
          <w:spacing w:val="-2"/>
          <w:w w:val="107"/>
          <w:sz w:val="18"/>
          <w:szCs w:val="18"/>
          <w:lang w:val="fr-FR"/>
        </w:rPr>
        <w:t>u</w:t>
      </w:r>
      <w:r w:rsidRPr="009A6CBB">
        <w:rPr>
          <w:color w:val="231F20"/>
          <w:w w:val="111"/>
          <w:sz w:val="18"/>
          <w:szCs w:val="18"/>
          <w:lang w:val="fr-FR"/>
        </w:rPr>
        <w:t>t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-2"/>
          <w:w w:val="106"/>
          <w:sz w:val="18"/>
          <w:szCs w:val="18"/>
          <w:lang w:val="fr-FR"/>
        </w:rPr>
        <w:t>p</w:t>
      </w:r>
      <w:r w:rsidRPr="009A6CBB">
        <w:rPr>
          <w:color w:val="231F20"/>
          <w:spacing w:val="-1"/>
          <w:w w:val="103"/>
          <w:sz w:val="18"/>
          <w:szCs w:val="18"/>
          <w:lang w:val="fr-FR"/>
        </w:rPr>
        <w:t>r</w:t>
      </w:r>
      <w:r w:rsidRPr="009A6CBB">
        <w:rPr>
          <w:color w:val="231F20"/>
          <w:spacing w:val="1"/>
          <w:w w:val="103"/>
          <w:sz w:val="18"/>
          <w:szCs w:val="18"/>
          <w:lang w:val="fr-FR"/>
        </w:rPr>
        <w:t>é</w:t>
      </w:r>
      <w:r w:rsidRPr="009A6CBB">
        <w:rPr>
          <w:color w:val="231F20"/>
          <w:spacing w:val="1"/>
          <w:w w:val="96"/>
          <w:sz w:val="18"/>
          <w:szCs w:val="18"/>
          <w:lang w:val="fr-FR"/>
        </w:rPr>
        <w:t>c</w:t>
      </w:r>
      <w:r w:rsidRPr="009A6CBB">
        <w:rPr>
          <w:color w:val="231F20"/>
          <w:spacing w:val="1"/>
          <w:w w:val="97"/>
          <w:sz w:val="18"/>
          <w:szCs w:val="18"/>
          <w:lang w:val="fr-FR"/>
        </w:rPr>
        <w:t>i</w:t>
      </w:r>
      <w:r w:rsidRPr="009A6CBB">
        <w:rPr>
          <w:color w:val="231F20"/>
          <w:spacing w:val="1"/>
          <w:w w:val="95"/>
          <w:sz w:val="18"/>
          <w:szCs w:val="18"/>
          <w:lang w:val="fr-FR"/>
        </w:rPr>
        <w:t>s</w:t>
      </w:r>
      <w:r w:rsidRPr="009A6CBB">
        <w:rPr>
          <w:color w:val="231F20"/>
          <w:w w:val="96"/>
          <w:sz w:val="18"/>
          <w:szCs w:val="18"/>
          <w:lang w:val="fr-FR"/>
        </w:rPr>
        <w:t>e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1"/>
          <w:w w:val="96"/>
          <w:sz w:val="18"/>
          <w:szCs w:val="18"/>
          <w:lang w:val="fr-FR"/>
        </w:rPr>
        <w:t>c</w:t>
      </w:r>
      <w:r w:rsidRPr="009A6CBB">
        <w:rPr>
          <w:color w:val="231F20"/>
          <w:w w:val="96"/>
          <w:sz w:val="18"/>
          <w:szCs w:val="18"/>
          <w:lang w:val="fr-FR"/>
        </w:rPr>
        <w:t>e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-1"/>
          <w:w w:val="103"/>
          <w:sz w:val="18"/>
          <w:szCs w:val="18"/>
          <w:lang w:val="fr-FR"/>
        </w:rPr>
        <w:t>q</w:t>
      </w:r>
      <w:r w:rsidRPr="009A6CBB">
        <w:rPr>
          <w:color w:val="231F20"/>
          <w:w w:val="107"/>
          <w:sz w:val="18"/>
          <w:szCs w:val="18"/>
          <w:lang w:val="fr-FR"/>
        </w:rPr>
        <w:t>u</w:t>
      </w:r>
      <w:r w:rsidRPr="009A6CBB">
        <w:rPr>
          <w:color w:val="231F20"/>
          <w:w w:val="96"/>
          <w:sz w:val="18"/>
          <w:szCs w:val="18"/>
          <w:lang w:val="fr-FR"/>
        </w:rPr>
        <w:t>e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="00784113">
        <w:rPr>
          <w:color w:val="231F20"/>
          <w:spacing w:val="-1"/>
          <w:w w:val="106"/>
          <w:sz w:val="18"/>
          <w:szCs w:val="18"/>
          <w:lang w:val="fr-FR"/>
        </w:rPr>
        <w:t>doivent</w:t>
      </w:r>
      <w:r w:rsidR="00784113"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1"/>
          <w:w w:val="96"/>
          <w:sz w:val="18"/>
          <w:szCs w:val="18"/>
          <w:lang w:val="fr-FR"/>
        </w:rPr>
        <w:t>c</w:t>
      </w:r>
      <w:r w:rsidRPr="009A6CBB">
        <w:rPr>
          <w:color w:val="231F20"/>
          <w:spacing w:val="-2"/>
          <w:w w:val="103"/>
          <w:sz w:val="18"/>
          <w:szCs w:val="18"/>
          <w:lang w:val="fr-FR"/>
        </w:rPr>
        <w:t>o</w:t>
      </w:r>
      <w:r w:rsidRPr="009A6CBB">
        <w:rPr>
          <w:color w:val="231F20"/>
          <w:spacing w:val="-3"/>
          <w:w w:val="110"/>
          <w:sz w:val="18"/>
          <w:szCs w:val="18"/>
          <w:lang w:val="fr-FR"/>
        </w:rPr>
        <w:t>n</w:t>
      </w:r>
      <w:r w:rsidRPr="009A6CBB">
        <w:rPr>
          <w:color w:val="231F20"/>
          <w:w w:val="111"/>
          <w:sz w:val="18"/>
          <w:szCs w:val="18"/>
          <w:lang w:val="fr-FR"/>
        </w:rPr>
        <w:t>t</w:t>
      </w:r>
      <w:r w:rsidRPr="009A6CBB">
        <w:rPr>
          <w:color w:val="231F20"/>
          <w:w w:val="96"/>
          <w:sz w:val="18"/>
          <w:szCs w:val="18"/>
          <w:lang w:val="fr-FR"/>
        </w:rPr>
        <w:t>e</w:t>
      </w:r>
      <w:r w:rsidRPr="009A6CBB">
        <w:rPr>
          <w:color w:val="231F20"/>
          <w:spacing w:val="2"/>
          <w:w w:val="110"/>
          <w:sz w:val="18"/>
          <w:szCs w:val="18"/>
          <w:lang w:val="fr-FR"/>
        </w:rPr>
        <w:t>n</w:t>
      </w:r>
      <w:r w:rsidRPr="009A6CBB">
        <w:rPr>
          <w:color w:val="231F20"/>
          <w:spacing w:val="3"/>
          <w:w w:val="97"/>
          <w:sz w:val="18"/>
          <w:szCs w:val="18"/>
          <w:lang w:val="fr-FR"/>
        </w:rPr>
        <w:t>i</w:t>
      </w:r>
      <w:r w:rsidRPr="009A6CBB">
        <w:rPr>
          <w:color w:val="231F20"/>
          <w:w w:val="112"/>
          <w:sz w:val="18"/>
          <w:szCs w:val="18"/>
          <w:lang w:val="fr-FR"/>
        </w:rPr>
        <w:t>r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-1"/>
          <w:w w:val="95"/>
          <w:sz w:val="18"/>
          <w:szCs w:val="18"/>
          <w:lang w:val="fr-FR"/>
        </w:rPr>
        <w:t>l</w:t>
      </w:r>
      <w:r w:rsidRPr="009A6CBB">
        <w:rPr>
          <w:color w:val="231F20"/>
          <w:w w:val="95"/>
          <w:sz w:val="18"/>
          <w:szCs w:val="18"/>
          <w:lang w:val="fr-FR"/>
        </w:rPr>
        <w:t>e</w:t>
      </w:r>
      <w:r w:rsidR="00784113">
        <w:rPr>
          <w:color w:val="231F20"/>
          <w:w w:val="95"/>
          <w:sz w:val="18"/>
          <w:szCs w:val="18"/>
          <w:lang w:val="fr-FR"/>
        </w:rPr>
        <w:t>s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1"/>
          <w:w w:val="96"/>
          <w:sz w:val="18"/>
          <w:szCs w:val="18"/>
          <w:lang w:val="fr-FR"/>
        </w:rPr>
        <w:t>c</w:t>
      </w:r>
      <w:r w:rsidRPr="009A6CBB">
        <w:rPr>
          <w:color w:val="231F20"/>
          <w:spacing w:val="-2"/>
          <w:w w:val="103"/>
          <w:sz w:val="18"/>
          <w:szCs w:val="18"/>
          <w:lang w:val="fr-FR"/>
        </w:rPr>
        <w:t>o</w:t>
      </w:r>
      <w:r w:rsidRPr="009A6CBB">
        <w:rPr>
          <w:color w:val="231F20"/>
          <w:spacing w:val="3"/>
          <w:w w:val="106"/>
          <w:sz w:val="18"/>
          <w:szCs w:val="18"/>
          <w:lang w:val="fr-FR"/>
        </w:rPr>
        <w:t>m</w:t>
      </w:r>
      <w:r w:rsidRPr="009A6CBB">
        <w:rPr>
          <w:color w:val="231F20"/>
          <w:spacing w:val="-1"/>
          <w:w w:val="106"/>
          <w:sz w:val="18"/>
          <w:szCs w:val="18"/>
          <w:lang w:val="fr-FR"/>
        </w:rPr>
        <w:t>m</w:t>
      </w:r>
      <w:r w:rsidRPr="009A6CBB">
        <w:rPr>
          <w:color w:val="231F20"/>
          <w:w w:val="96"/>
          <w:sz w:val="18"/>
          <w:szCs w:val="18"/>
          <w:lang w:val="fr-FR"/>
        </w:rPr>
        <w:t>e</w:t>
      </w:r>
      <w:r w:rsidRPr="009A6CBB">
        <w:rPr>
          <w:color w:val="231F20"/>
          <w:spacing w:val="-3"/>
          <w:w w:val="110"/>
          <w:sz w:val="18"/>
          <w:szCs w:val="18"/>
          <w:lang w:val="fr-FR"/>
        </w:rPr>
        <w:t>n</w:t>
      </w:r>
      <w:r w:rsidRPr="009A6CBB">
        <w:rPr>
          <w:color w:val="231F20"/>
          <w:spacing w:val="2"/>
          <w:w w:val="111"/>
          <w:sz w:val="18"/>
          <w:szCs w:val="18"/>
          <w:lang w:val="fr-FR"/>
        </w:rPr>
        <w:t>t</w:t>
      </w:r>
      <w:r w:rsidRPr="009A6CBB">
        <w:rPr>
          <w:color w:val="231F20"/>
          <w:spacing w:val="4"/>
          <w:sz w:val="18"/>
          <w:szCs w:val="18"/>
          <w:lang w:val="fr-FR"/>
        </w:rPr>
        <w:t>a</w:t>
      </w:r>
      <w:r w:rsidRPr="009A6CBB">
        <w:rPr>
          <w:color w:val="231F20"/>
          <w:spacing w:val="3"/>
          <w:w w:val="97"/>
          <w:sz w:val="18"/>
          <w:szCs w:val="18"/>
          <w:lang w:val="fr-FR"/>
        </w:rPr>
        <w:t>i</w:t>
      </w:r>
      <w:r w:rsidRPr="009A6CBB">
        <w:rPr>
          <w:color w:val="231F20"/>
          <w:spacing w:val="-1"/>
          <w:w w:val="103"/>
          <w:sz w:val="18"/>
          <w:szCs w:val="18"/>
          <w:lang w:val="fr-FR"/>
        </w:rPr>
        <w:t>r</w:t>
      </w:r>
      <w:r w:rsidRPr="009A6CBB">
        <w:rPr>
          <w:color w:val="231F20"/>
          <w:w w:val="103"/>
          <w:sz w:val="18"/>
          <w:szCs w:val="18"/>
          <w:lang w:val="fr-FR"/>
        </w:rPr>
        <w:t>e</w:t>
      </w:r>
      <w:r w:rsidR="00784113">
        <w:rPr>
          <w:color w:val="231F20"/>
          <w:w w:val="103"/>
          <w:sz w:val="18"/>
          <w:szCs w:val="18"/>
          <w:lang w:val="fr-FR"/>
        </w:rPr>
        <w:t>s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w w:val="106"/>
          <w:sz w:val="18"/>
          <w:szCs w:val="18"/>
          <w:lang w:val="fr-FR"/>
        </w:rPr>
        <w:t>d</w:t>
      </w:r>
      <w:r w:rsidRPr="009A6CBB">
        <w:rPr>
          <w:color w:val="231F20"/>
          <w:spacing w:val="2"/>
          <w:w w:val="96"/>
          <w:sz w:val="18"/>
          <w:szCs w:val="18"/>
          <w:lang w:val="fr-FR"/>
        </w:rPr>
        <w:t>e</w:t>
      </w:r>
      <w:r w:rsidRPr="009A6CBB">
        <w:rPr>
          <w:color w:val="231F20"/>
          <w:w w:val="95"/>
          <w:sz w:val="18"/>
          <w:szCs w:val="18"/>
          <w:lang w:val="fr-FR"/>
        </w:rPr>
        <w:t>s</w:t>
      </w:r>
      <w:r w:rsidRPr="009A6CBB">
        <w:rPr>
          <w:color w:val="231F20"/>
          <w:spacing w:val="-1"/>
          <w:sz w:val="18"/>
          <w:szCs w:val="18"/>
          <w:lang w:val="fr-FR"/>
        </w:rPr>
        <w:t xml:space="preserve"> </w:t>
      </w:r>
      <w:r w:rsidRPr="009A6CBB">
        <w:rPr>
          <w:color w:val="231F20"/>
          <w:spacing w:val="-2"/>
          <w:w w:val="106"/>
          <w:sz w:val="18"/>
          <w:szCs w:val="18"/>
          <w:lang w:val="fr-FR"/>
        </w:rPr>
        <w:t>p</w:t>
      </w:r>
      <w:r w:rsidRPr="009A6CBB">
        <w:rPr>
          <w:color w:val="231F20"/>
          <w:spacing w:val="-1"/>
          <w:w w:val="112"/>
          <w:sz w:val="18"/>
          <w:szCs w:val="18"/>
          <w:lang w:val="fr-FR"/>
        </w:rPr>
        <w:t>r</w:t>
      </w:r>
      <w:r w:rsidRPr="009A6CBB">
        <w:rPr>
          <w:color w:val="231F20"/>
          <w:spacing w:val="2"/>
          <w:w w:val="103"/>
          <w:sz w:val="18"/>
          <w:szCs w:val="18"/>
          <w:lang w:val="fr-FR"/>
        </w:rPr>
        <w:t>o</w:t>
      </w:r>
      <w:r w:rsidRPr="009A6CBB">
        <w:rPr>
          <w:color w:val="231F20"/>
          <w:w w:val="105"/>
          <w:sz w:val="18"/>
          <w:szCs w:val="18"/>
          <w:lang w:val="fr-FR"/>
        </w:rPr>
        <w:t>jets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d’article.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="00485640" w:rsidRPr="009A6CBB">
        <w:rPr>
          <w:color w:val="231F20"/>
          <w:w w:val="105"/>
          <w:sz w:val="18"/>
          <w:szCs w:val="18"/>
          <w:lang w:val="fr-FR"/>
        </w:rPr>
        <w:t>O</w:t>
      </w:r>
      <w:r w:rsidRPr="009A6CBB">
        <w:rPr>
          <w:color w:val="231F20"/>
          <w:w w:val="105"/>
          <w:sz w:val="18"/>
          <w:szCs w:val="18"/>
          <w:lang w:val="fr-FR"/>
        </w:rPr>
        <w:t>n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peut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distinguer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entre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les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commentaires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rédigés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en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première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lecture,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qui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peuvent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="00784113">
        <w:rPr>
          <w:color w:val="231F20"/>
          <w:w w:val="105"/>
          <w:sz w:val="18"/>
          <w:szCs w:val="18"/>
          <w:lang w:val="fr-FR"/>
        </w:rPr>
        <w:t>refléter</w:t>
      </w:r>
      <w:r w:rsidR="00784113"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des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opinions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minoritaires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au</w:t>
      </w:r>
      <w:r w:rsidRPr="009A6CBB">
        <w:rPr>
          <w:color w:val="231F20"/>
          <w:spacing w:val="-5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sein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de</w:t>
      </w:r>
      <w:r w:rsidRPr="009A6CBB">
        <w:rPr>
          <w:color w:val="231F20"/>
          <w:spacing w:val="-6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la</w:t>
      </w:r>
      <w:r w:rsidRPr="009A6CBB">
        <w:rPr>
          <w:color w:val="231F20"/>
          <w:spacing w:val="-4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 xml:space="preserve">Commission </w:t>
      </w:r>
      <w:r w:rsidR="00784113">
        <w:rPr>
          <w:color w:val="231F20"/>
          <w:w w:val="105"/>
          <w:sz w:val="18"/>
          <w:szCs w:val="18"/>
          <w:lang w:val="fr-FR"/>
        </w:rPr>
        <w:t>et décrire les</w:t>
      </w:r>
      <w:r w:rsidRPr="009A6CBB">
        <w:rPr>
          <w:color w:val="231F20"/>
          <w:w w:val="105"/>
          <w:sz w:val="18"/>
          <w:szCs w:val="18"/>
          <w:lang w:val="fr-FR"/>
        </w:rPr>
        <w:t xml:space="preserve"> autres solutions qui auraient pu être retenues, et les commentaires</w:t>
      </w:r>
      <w:r w:rsidRPr="009A6CBB">
        <w:rPr>
          <w:color w:val="231F20"/>
          <w:spacing w:val="-1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adoptés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en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seconde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lecture,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qui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reflètent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uniquement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les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décisions</w:t>
      </w:r>
      <w:r w:rsidRPr="009A6CBB">
        <w:rPr>
          <w:color w:val="231F20"/>
          <w:spacing w:val="-1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et positions</w:t>
      </w:r>
      <w:r w:rsidRPr="009A6CBB">
        <w:rPr>
          <w:color w:val="231F20"/>
          <w:spacing w:val="-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prises</w:t>
      </w:r>
      <w:r w:rsidRPr="009A6CBB">
        <w:rPr>
          <w:color w:val="231F20"/>
          <w:spacing w:val="-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par</w:t>
      </w:r>
      <w:r w:rsidRPr="009A6CBB">
        <w:rPr>
          <w:color w:val="231F20"/>
          <w:spacing w:val="-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la</w:t>
      </w:r>
      <w:r w:rsidRPr="009A6CBB">
        <w:rPr>
          <w:color w:val="231F20"/>
          <w:spacing w:val="-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Commission</w:t>
      </w:r>
      <w:r w:rsidRPr="009A6CBB">
        <w:rPr>
          <w:color w:val="231F20"/>
          <w:spacing w:val="-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dans</w:t>
      </w:r>
      <w:r w:rsidRPr="009A6CBB">
        <w:rPr>
          <w:color w:val="231F20"/>
          <w:spacing w:val="-9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son</w:t>
      </w:r>
      <w:r w:rsidRPr="009A6CBB">
        <w:rPr>
          <w:color w:val="231F20"/>
          <w:spacing w:val="-8"/>
          <w:w w:val="105"/>
          <w:sz w:val="18"/>
          <w:szCs w:val="18"/>
          <w:lang w:val="fr-FR"/>
        </w:rPr>
        <w:t xml:space="preserve"> </w:t>
      </w:r>
      <w:r w:rsidRPr="009A6CBB">
        <w:rPr>
          <w:color w:val="231F20"/>
          <w:w w:val="105"/>
          <w:sz w:val="18"/>
          <w:szCs w:val="18"/>
          <w:lang w:val="fr-FR"/>
        </w:rPr>
        <w:t>ensemble.</w:t>
      </w:r>
    </w:p>
    <w:p w:rsidR="003C41A2" w:rsidRPr="009A6CBB" w:rsidRDefault="003C41A2" w:rsidP="0023024B">
      <w:pPr>
        <w:pStyle w:val="Notedebasdepage"/>
        <w:jc w:val="both"/>
        <w:rPr>
          <w:szCs w:val="18"/>
        </w:rPr>
      </w:pPr>
    </w:p>
  </w:footnote>
  <w:footnote w:id="4">
    <w:p w:rsidR="00F10585" w:rsidRPr="0007320B" w:rsidRDefault="00F10585" w:rsidP="0023024B">
      <w:pPr>
        <w:jc w:val="both"/>
      </w:pPr>
      <w:r>
        <w:rPr>
          <w:rStyle w:val="Appelnotedebasdep"/>
        </w:rPr>
        <w:footnoteRef/>
      </w:r>
      <w:r>
        <w:t xml:space="preserve"> Le</w:t>
      </w:r>
      <w:r w:rsidRPr="0007320B">
        <w:t xml:space="preserve">s commentaires sont, d’une part, </w:t>
      </w:r>
      <w:r w:rsidR="009B71C1">
        <w:t>modifiés</w:t>
      </w:r>
      <w:r w:rsidR="009B71C1" w:rsidRPr="0007320B">
        <w:t xml:space="preserve"> </w:t>
      </w:r>
      <w:r w:rsidRPr="0007320B">
        <w:t>pour étayer la version finale du projet d’article</w:t>
      </w:r>
      <w:r>
        <w:t>s</w:t>
      </w:r>
      <w:r w:rsidRPr="0007320B">
        <w:t xml:space="preserve"> et notamment les solutions adoptées pour résoudre les questions prêtant à controverse et, d’autre part, actualisés pour rendre compte des précédents les plus récents.</w:t>
      </w:r>
    </w:p>
    <w:p w:rsidR="00F10585" w:rsidRDefault="00F10585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28" w:rsidRDefault="00A72A28">
    <w:pPr>
      <w:pStyle w:val="En-tte"/>
      <w:rPr>
        <w:i/>
      </w:rPr>
    </w:pPr>
    <w:r w:rsidRPr="00A72A28">
      <w:rPr>
        <w:i/>
      </w:rPr>
      <w:t>C. Vitielli, juillet 2018</w:t>
    </w:r>
  </w:p>
  <w:p w:rsidR="00A72A28" w:rsidRPr="00A72A28" w:rsidRDefault="00A72A28" w:rsidP="00A72A28">
    <w:pPr>
      <w:rPr>
        <w:sz w:val="18"/>
        <w:szCs w:val="18"/>
      </w:rPr>
    </w:pPr>
    <w:r w:rsidRPr="00A72A28">
      <w:rPr>
        <w:sz w:val="18"/>
        <w:szCs w:val="18"/>
      </w:rPr>
      <w:t>Adapté de</w:t>
    </w:r>
    <w:r w:rsidRPr="00A72A28">
      <w:rPr>
        <w:i/>
        <w:sz w:val="18"/>
        <w:szCs w:val="18"/>
      </w:rPr>
      <w:t xml:space="preserve"> La Commission du droit international et son œuvre, </w:t>
    </w:r>
    <w:r w:rsidRPr="00A72A28">
      <w:rPr>
        <w:sz w:val="18"/>
        <w:szCs w:val="18"/>
      </w:rPr>
      <w:t>7</w:t>
    </w:r>
    <w:r w:rsidRPr="00A72A28">
      <w:rPr>
        <w:sz w:val="18"/>
        <w:szCs w:val="18"/>
        <w:vertAlign w:val="superscript"/>
      </w:rPr>
      <w:t>e</w:t>
    </w:r>
    <w:r w:rsidRPr="00A72A28">
      <w:rPr>
        <w:sz w:val="18"/>
        <w:szCs w:val="18"/>
      </w:rPr>
      <w:t xml:space="preserve"> édition, Nations Unies, New York, 2009.</w:t>
    </w:r>
  </w:p>
  <w:p w:rsidR="00A72A28" w:rsidRPr="00A72A28" w:rsidRDefault="00A72A28" w:rsidP="00A72A28"/>
  <w:p w:rsidR="00A72A28" w:rsidRDefault="00A72A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AEB"/>
    <w:multiLevelType w:val="hybridMultilevel"/>
    <w:tmpl w:val="3892ABBE"/>
    <w:lvl w:ilvl="0" w:tplc="73CCC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16B71B6"/>
    <w:multiLevelType w:val="hybridMultilevel"/>
    <w:tmpl w:val="51185CCA"/>
    <w:lvl w:ilvl="0" w:tplc="73CCC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62DD"/>
    <w:multiLevelType w:val="hybridMultilevel"/>
    <w:tmpl w:val="16180CAC"/>
    <w:lvl w:ilvl="0" w:tplc="73CCC9F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6FE74E27"/>
    <w:multiLevelType w:val="hybridMultilevel"/>
    <w:tmpl w:val="FA506D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8"/>
  </w:num>
  <w:num w:numId="8">
    <w:abstractNumId w:val="4"/>
  </w:num>
  <w:num w:numId="9">
    <w:abstractNumId w:val="1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activeWritingStyle w:appName="MSWord" w:lang="fr-CH" w:vendorID="64" w:dllVersion="131078" w:nlCheck="1" w:checkStyle="1"/>
  <w:activeWritingStyle w:appName="MSWord" w:lang="fr-FR" w:vendorID="9" w:dllVersion="512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B"/>
    <w:rsid w:val="00021B5E"/>
    <w:rsid w:val="00023B43"/>
    <w:rsid w:val="0003262E"/>
    <w:rsid w:val="000419F9"/>
    <w:rsid w:val="00042311"/>
    <w:rsid w:val="00063F96"/>
    <w:rsid w:val="000672C4"/>
    <w:rsid w:val="0007320B"/>
    <w:rsid w:val="000770C9"/>
    <w:rsid w:val="00092D7C"/>
    <w:rsid w:val="00097564"/>
    <w:rsid w:val="000F52FD"/>
    <w:rsid w:val="00115C0E"/>
    <w:rsid w:val="00151061"/>
    <w:rsid w:val="00190AEA"/>
    <w:rsid w:val="001A0959"/>
    <w:rsid w:val="001A260D"/>
    <w:rsid w:val="001B5375"/>
    <w:rsid w:val="001E1154"/>
    <w:rsid w:val="0023024B"/>
    <w:rsid w:val="002509A0"/>
    <w:rsid w:val="0027216F"/>
    <w:rsid w:val="002948E5"/>
    <w:rsid w:val="002972D6"/>
    <w:rsid w:val="002C4A37"/>
    <w:rsid w:val="002E09B5"/>
    <w:rsid w:val="002F2A3C"/>
    <w:rsid w:val="002F5889"/>
    <w:rsid w:val="002F7E91"/>
    <w:rsid w:val="00312414"/>
    <w:rsid w:val="00323A01"/>
    <w:rsid w:val="003301D2"/>
    <w:rsid w:val="00345FEA"/>
    <w:rsid w:val="003539CE"/>
    <w:rsid w:val="00360972"/>
    <w:rsid w:val="0038728C"/>
    <w:rsid w:val="003C41A2"/>
    <w:rsid w:val="003E42C2"/>
    <w:rsid w:val="004248DE"/>
    <w:rsid w:val="004341FD"/>
    <w:rsid w:val="00455683"/>
    <w:rsid w:val="0045799B"/>
    <w:rsid w:val="00466DB9"/>
    <w:rsid w:val="00485640"/>
    <w:rsid w:val="00496A01"/>
    <w:rsid w:val="004A3DD6"/>
    <w:rsid w:val="004A490B"/>
    <w:rsid w:val="004D7BDB"/>
    <w:rsid w:val="0050022F"/>
    <w:rsid w:val="005222DC"/>
    <w:rsid w:val="00550A7B"/>
    <w:rsid w:val="006528E0"/>
    <w:rsid w:val="00682AA0"/>
    <w:rsid w:val="006A1CEB"/>
    <w:rsid w:val="006B0EE1"/>
    <w:rsid w:val="006B6852"/>
    <w:rsid w:val="006D7460"/>
    <w:rsid w:val="00755E2A"/>
    <w:rsid w:val="00784113"/>
    <w:rsid w:val="007E6C7F"/>
    <w:rsid w:val="00807E38"/>
    <w:rsid w:val="0081043A"/>
    <w:rsid w:val="0081677C"/>
    <w:rsid w:val="00872593"/>
    <w:rsid w:val="008A322F"/>
    <w:rsid w:val="008A3263"/>
    <w:rsid w:val="00927979"/>
    <w:rsid w:val="00941536"/>
    <w:rsid w:val="00971A3E"/>
    <w:rsid w:val="00973FAE"/>
    <w:rsid w:val="009A6CBB"/>
    <w:rsid w:val="009B0328"/>
    <w:rsid w:val="009B71C1"/>
    <w:rsid w:val="009C6861"/>
    <w:rsid w:val="009D3700"/>
    <w:rsid w:val="009E5394"/>
    <w:rsid w:val="00A00E4B"/>
    <w:rsid w:val="00A16017"/>
    <w:rsid w:val="00A201F2"/>
    <w:rsid w:val="00A478BB"/>
    <w:rsid w:val="00A53843"/>
    <w:rsid w:val="00A5540C"/>
    <w:rsid w:val="00A66881"/>
    <w:rsid w:val="00A72A28"/>
    <w:rsid w:val="00AA4364"/>
    <w:rsid w:val="00AD4D7A"/>
    <w:rsid w:val="00AF3B64"/>
    <w:rsid w:val="00B12372"/>
    <w:rsid w:val="00B23BF1"/>
    <w:rsid w:val="00B309B1"/>
    <w:rsid w:val="00B734B0"/>
    <w:rsid w:val="00B93053"/>
    <w:rsid w:val="00BD41C1"/>
    <w:rsid w:val="00BF4D45"/>
    <w:rsid w:val="00C126C2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62A5"/>
    <w:rsid w:val="00D478D1"/>
    <w:rsid w:val="00D51BBF"/>
    <w:rsid w:val="00D55762"/>
    <w:rsid w:val="00D85AD4"/>
    <w:rsid w:val="00DF5D16"/>
    <w:rsid w:val="00E57748"/>
    <w:rsid w:val="00E66241"/>
    <w:rsid w:val="00E66E56"/>
    <w:rsid w:val="00E812EF"/>
    <w:rsid w:val="00E862D7"/>
    <w:rsid w:val="00F10585"/>
    <w:rsid w:val="00F268B8"/>
    <w:rsid w:val="00F27761"/>
    <w:rsid w:val="00F3660C"/>
    <w:rsid w:val="00F6508F"/>
    <w:rsid w:val="00F81F99"/>
    <w:rsid w:val="00F841D8"/>
    <w:rsid w:val="00F94129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65BD12B"/>
  <w15:chartTrackingRefBased/>
  <w15:docId w15:val="{4739D46E-9429-477D-9D46-D2072E2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uiPriority w:val="99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9054-FFB8-4462-878D-76718A09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Vitielli</dc:creator>
  <cp:keywords/>
  <dc:description/>
  <cp:lastModifiedBy>Christine Vitielli</cp:lastModifiedBy>
  <cp:revision>2</cp:revision>
  <cp:lastPrinted>2014-05-15T08:26:00Z</cp:lastPrinted>
  <dcterms:created xsi:type="dcterms:W3CDTF">2018-07-18T09:59:00Z</dcterms:created>
  <dcterms:modified xsi:type="dcterms:W3CDTF">2018-07-18T09:59:00Z</dcterms:modified>
</cp:coreProperties>
</file>