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E5" w:rsidRPr="00337803" w:rsidRDefault="00841AE5" w:rsidP="003F10C2">
      <w:pPr>
        <w:jc w:val="center"/>
        <w:rPr>
          <w:b/>
          <w:sz w:val="28"/>
          <w:szCs w:val="28"/>
        </w:rPr>
      </w:pPr>
      <w:r w:rsidRPr="00337803">
        <w:rPr>
          <w:b/>
          <w:sz w:val="28"/>
          <w:szCs w:val="28"/>
        </w:rPr>
        <w:t>CEE</w:t>
      </w:r>
      <w:r w:rsidR="00337803">
        <w:rPr>
          <w:b/>
          <w:sz w:val="28"/>
          <w:szCs w:val="28"/>
        </w:rPr>
        <w:t xml:space="preserve"> : </w:t>
      </w:r>
      <w:r w:rsidRPr="00337803">
        <w:rPr>
          <w:b/>
          <w:sz w:val="28"/>
          <w:szCs w:val="28"/>
        </w:rPr>
        <w:t>Vieillissement de la population - droits des personnes âgées</w:t>
      </w:r>
    </w:p>
    <w:p w:rsidR="00841AE5" w:rsidRPr="00337803" w:rsidRDefault="00841AE5" w:rsidP="0081043A">
      <w:pPr>
        <w:rPr>
          <w:sz w:val="28"/>
          <w:szCs w:val="28"/>
        </w:rPr>
      </w:pPr>
    </w:p>
    <w:p w:rsidR="00841AE5" w:rsidRDefault="00841AE5" w:rsidP="0081043A">
      <w:r>
        <w:t xml:space="preserve">Page du </w:t>
      </w:r>
      <w:r w:rsidRPr="003F10C2">
        <w:rPr>
          <w:b/>
        </w:rPr>
        <w:t>site de l’ONU</w:t>
      </w:r>
      <w:r>
        <w:t xml:space="preserve"> consacrée aux personnes âgées :</w:t>
      </w:r>
    </w:p>
    <w:p w:rsidR="00841AE5" w:rsidRPr="00B36695" w:rsidRDefault="00A96C92" w:rsidP="0081043A">
      <w:pPr>
        <w:rPr>
          <w:u w:val="single"/>
        </w:rPr>
      </w:pPr>
      <w:hyperlink r:id="rId7" w:history="1">
        <w:r w:rsidR="00841AE5" w:rsidRPr="00B36695">
          <w:rPr>
            <w:rStyle w:val="Lienhypertexte"/>
            <w:color w:val="548DD4" w:themeColor="text2" w:themeTint="99"/>
            <w:u w:val="single"/>
          </w:rPr>
          <w:t>http://www.un.org/fr/sections/issues-depth/ageing/index.html</w:t>
        </w:r>
      </w:hyperlink>
    </w:p>
    <w:p w:rsidR="006432AC" w:rsidRDefault="006432AC" w:rsidP="0081043A"/>
    <w:p w:rsidR="006432AC" w:rsidRDefault="006432AC" w:rsidP="006432AC">
      <w:r>
        <w:t xml:space="preserve">Page du </w:t>
      </w:r>
      <w:r w:rsidRPr="003F10C2">
        <w:rPr>
          <w:b/>
        </w:rPr>
        <w:t>Département des affaires économiques et sociales</w:t>
      </w:r>
      <w:r>
        <w:t xml:space="preserve"> consacrée au vieillissement [</w:t>
      </w:r>
      <w:r w:rsidRPr="00153415">
        <w:rPr>
          <w:i/>
        </w:rPr>
        <w:t>en anglais seulement</w:t>
      </w:r>
      <w:r>
        <w:t>]</w:t>
      </w:r>
      <w:r w:rsidR="00B36695">
        <w:t> :</w:t>
      </w:r>
    </w:p>
    <w:p w:rsidR="006432AC" w:rsidRPr="00B36695" w:rsidRDefault="00A96C92" w:rsidP="0081043A">
      <w:pPr>
        <w:rPr>
          <w:color w:val="548DD4" w:themeColor="text2" w:themeTint="99"/>
          <w:u w:val="single"/>
        </w:rPr>
      </w:pPr>
      <w:hyperlink r:id="rId8" w:history="1">
        <w:r w:rsidR="006432AC" w:rsidRPr="00B36695">
          <w:rPr>
            <w:rStyle w:val="Lienhypertexte"/>
            <w:color w:val="548DD4" w:themeColor="text2" w:themeTint="99"/>
            <w:u w:val="single"/>
          </w:rPr>
          <w:t>http://www.un.org/en/development/desa/population/theme/ageing/index.shtml</w:t>
        </w:r>
      </w:hyperlink>
      <w:r w:rsidR="006432AC" w:rsidRPr="00B36695">
        <w:rPr>
          <w:color w:val="548DD4" w:themeColor="text2" w:themeTint="99"/>
          <w:u w:val="single"/>
        </w:rPr>
        <w:t xml:space="preserve"> </w:t>
      </w:r>
    </w:p>
    <w:p w:rsidR="00A11AD9" w:rsidRDefault="00A96C92" w:rsidP="0081043A">
      <w:hyperlink r:id="rId9" w:history="1">
        <w:r w:rsidR="00A11AD9" w:rsidRPr="00B36695">
          <w:rPr>
            <w:rStyle w:val="Lienhypertexte"/>
            <w:color w:val="548DD4" w:themeColor="text2" w:themeTint="99"/>
            <w:u w:val="single"/>
          </w:rPr>
          <w:t>https://www.un.org/development/desa/ageing/</w:t>
        </w:r>
      </w:hyperlink>
    </w:p>
    <w:p w:rsidR="006432AC" w:rsidRDefault="006432AC" w:rsidP="0081043A"/>
    <w:p w:rsidR="006432AC" w:rsidRDefault="006432AC" w:rsidP="003F10C2">
      <w:r>
        <w:t xml:space="preserve">Page du site du </w:t>
      </w:r>
      <w:r w:rsidRPr="003F10C2">
        <w:rPr>
          <w:b/>
        </w:rPr>
        <w:t>Haut-Commissariat aux droits de l’homme</w:t>
      </w:r>
      <w:r>
        <w:t xml:space="preserve"> consacrée à l’Experte indépendante </w:t>
      </w:r>
      <w:r w:rsidR="003F10C2">
        <w:t xml:space="preserve">chargée de promouvoir l’exercice par les personnes âgées de tous les droits de l’homme, Rosa </w:t>
      </w:r>
      <w:proofErr w:type="spellStart"/>
      <w:r w:rsidR="003F10C2">
        <w:t>Kornfeld</w:t>
      </w:r>
      <w:proofErr w:type="spellEnd"/>
      <w:r w:rsidR="003F10C2">
        <w:t>-Matte (Chili) :</w:t>
      </w:r>
    </w:p>
    <w:p w:rsidR="003F10C2" w:rsidRPr="00B36695" w:rsidRDefault="00A96C92" w:rsidP="0081043A">
      <w:pPr>
        <w:rPr>
          <w:u w:val="single"/>
        </w:rPr>
      </w:pPr>
      <w:hyperlink r:id="rId10" w:history="1">
        <w:r w:rsidR="003F10C2" w:rsidRPr="00B36695">
          <w:rPr>
            <w:rStyle w:val="Lienhypertexte"/>
            <w:color w:val="548DD4" w:themeColor="text2" w:themeTint="99"/>
            <w:u w:val="single"/>
          </w:rPr>
          <w:t>https://www.ohchr.org/FR/Issues/OlderPersons/IE/Pages/IEOlderPersons.aspx</w:t>
        </w:r>
      </w:hyperlink>
    </w:p>
    <w:p w:rsidR="00B36695" w:rsidRDefault="00B36695" w:rsidP="0081043A"/>
    <w:p w:rsidR="00B36695" w:rsidRDefault="00B36695" w:rsidP="0081043A">
      <w:r>
        <w:t xml:space="preserve">Page du </w:t>
      </w:r>
      <w:r w:rsidRPr="00B36695">
        <w:rPr>
          <w:b/>
        </w:rPr>
        <w:t>Groupe de travail à composition non limitée sur le vieillissement</w:t>
      </w:r>
      <w:r>
        <w:t> [</w:t>
      </w:r>
      <w:r w:rsidRPr="00153415">
        <w:rPr>
          <w:i/>
        </w:rPr>
        <w:t>en anglais seulement</w:t>
      </w:r>
      <w:r>
        <w:t>] :</w:t>
      </w:r>
    </w:p>
    <w:p w:rsidR="00B36695" w:rsidRPr="00B36695" w:rsidRDefault="00A96C92" w:rsidP="0081043A">
      <w:pPr>
        <w:rPr>
          <w:u w:val="single"/>
        </w:rPr>
      </w:pPr>
      <w:hyperlink r:id="rId11" w:history="1">
        <w:r w:rsidR="00B36695" w:rsidRPr="00B36695">
          <w:rPr>
            <w:rStyle w:val="Lienhypertexte"/>
            <w:color w:val="548DD4" w:themeColor="text2" w:themeTint="99"/>
            <w:u w:val="single"/>
          </w:rPr>
          <w:t>https://social.un.org/ageing-working-group/index.shtml</w:t>
        </w:r>
      </w:hyperlink>
    </w:p>
    <w:p w:rsidR="00B36695" w:rsidRDefault="00B36695" w:rsidP="0081043A">
      <w:r>
        <w:t xml:space="preserve">Les documents produits par ce groupe de travail (qui se réunit à New York) portent la cote </w:t>
      </w:r>
      <w:r w:rsidRPr="00B36695">
        <w:rPr>
          <w:b/>
        </w:rPr>
        <w:t>A/AC.278</w:t>
      </w:r>
      <w:r>
        <w:t>/YYYY/x (disponible sur ODS, traduits à NY)</w:t>
      </w:r>
    </w:p>
    <w:p w:rsidR="003F10C2" w:rsidRDefault="003F10C2" w:rsidP="0081043A"/>
    <w:p w:rsidR="006432AC" w:rsidRPr="00337803" w:rsidRDefault="006432AC" w:rsidP="00337803">
      <w:pPr>
        <w:jc w:val="center"/>
        <w:rPr>
          <w:b/>
          <w:sz w:val="28"/>
          <w:szCs w:val="28"/>
        </w:rPr>
      </w:pPr>
      <w:r w:rsidRPr="00337803">
        <w:rPr>
          <w:b/>
          <w:sz w:val="28"/>
          <w:szCs w:val="28"/>
        </w:rPr>
        <w:t>Documents phares</w:t>
      </w:r>
    </w:p>
    <w:p w:rsidR="006432AC" w:rsidRDefault="006432AC" w:rsidP="0081043A"/>
    <w:p w:rsidR="00841AE5" w:rsidRDefault="00841AE5" w:rsidP="0081043A">
      <w:r w:rsidRPr="00B36695">
        <w:rPr>
          <w:b/>
          <w:color w:val="002060"/>
        </w:rPr>
        <w:t>Principes des Nations Unies pour les personnes âgées</w:t>
      </w:r>
      <w:r w:rsidRPr="00B36695">
        <w:rPr>
          <w:color w:val="002060"/>
        </w:rPr>
        <w:t> </w:t>
      </w:r>
      <w:r w:rsidR="00B36695">
        <w:t xml:space="preserve">- </w:t>
      </w:r>
      <w:r>
        <w:t>« Mieux vivre les années gagnées »</w:t>
      </w:r>
    </w:p>
    <w:p w:rsidR="00841AE5" w:rsidRDefault="00841AE5" w:rsidP="0081043A">
      <w:r>
        <w:t>A/RES/46/91 - Annexe</w:t>
      </w:r>
    </w:p>
    <w:p w:rsidR="00A16D0E" w:rsidRDefault="00A16D0E" w:rsidP="0081043A">
      <w:r>
        <w:t>où sont énoncées les règles générales préconisées en matière d’indépendance, de participation, de soins, d’épanouissement personnel et de dignité des personnes âgées</w:t>
      </w:r>
    </w:p>
    <w:p w:rsidR="00A16D0E" w:rsidRDefault="00A16D0E" w:rsidP="0081043A"/>
    <w:p w:rsidR="00A16D0E" w:rsidRDefault="00A16D0E" w:rsidP="0081043A">
      <w:r>
        <w:t xml:space="preserve">Rapport de la deuxième Assemblée mondiale sur le vieillissement, tenue à Madrid du 8 au 12 avril 2002 =&gt; </w:t>
      </w:r>
    </w:p>
    <w:p w:rsidR="00A16D0E" w:rsidRPr="00B36695" w:rsidRDefault="00A16D0E" w:rsidP="0081043A">
      <w:pPr>
        <w:rPr>
          <w:b/>
        </w:rPr>
      </w:pPr>
      <w:r w:rsidRPr="00B36695">
        <w:rPr>
          <w:b/>
          <w:color w:val="002060"/>
        </w:rPr>
        <w:t>Déclaration politique et Plan d’action international de Madrid sur le vieillissement</w:t>
      </w:r>
      <w:r w:rsidRPr="00B36695">
        <w:rPr>
          <w:b/>
        </w:rPr>
        <w:t xml:space="preserve"> </w:t>
      </w:r>
    </w:p>
    <w:p w:rsidR="006432AC" w:rsidRDefault="006432AC" w:rsidP="0081043A">
      <w:r>
        <w:t xml:space="preserve">[anglais] = </w:t>
      </w:r>
      <w:hyperlink r:id="rId12" w:history="1">
        <w:r w:rsidRPr="00B36695">
          <w:rPr>
            <w:rStyle w:val="Lienhypertexte"/>
            <w:color w:val="548DD4" w:themeColor="text2" w:themeTint="99"/>
            <w:u w:val="single"/>
          </w:rPr>
          <w:t>http://www.un.org/en/events/pastevents/pdfs/Madrid_plan.pdf</w:t>
        </w:r>
      </w:hyperlink>
    </w:p>
    <w:p w:rsidR="003F10C2" w:rsidRDefault="003F10C2" w:rsidP="0081043A">
      <w:r>
        <w:t xml:space="preserve">[français] = </w:t>
      </w:r>
      <w:hyperlink r:id="rId13" w:history="1">
        <w:r w:rsidRPr="00B36695">
          <w:rPr>
            <w:rStyle w:val="Lienhypertexte"/>
            <w:color w:val="548DD4" w:themeColor="text2" w:themeTint="99"/>
            <w:u w:val="single"/>
          </w:rPr>
          <w:t>https://social.un.org/ageing-working-group/documents/mipaa-fr.pdf</w:t>
        </w:r>
      </w:hyperlink>
    </w:p>
    <w:p w:rsidR="00A16D0E" w:rsidRDefault="00A16D0E" w:rsidP="0081043A">
      <w:r>
        <w:t>« Rapport de la deuxième Assemblée mondiale sur le vieillissement, Madrid, 8-12 avril 2002 », publication des Nations Unies, numéro de vente F.02.IV.4</w:t>
      </w:r>
    </w:p>
    <w:p w:rsidR="00841AE5" w:rsidRDefault="00841AE5" w:rsidP="0081043A"/>
    <w:p w:rsidR="00841AE5" w:rsidRDefault="00841AE5" w:rsidP="0081043A">
      <w:r w:rsidRPr="00A4723E">
        <w:rPr>
          <w:b/>
          <w:color w:val="002060"/>
        </w:rPr>
        <w:t>Résolution</w:t>
      </w:r>
      <w:r w:rsidRPr="00A4723E">
        <w:rPr>
          <w:color w:val="002060"/>
        </w:rPr>
        <w:t xml:space="preserve"> </w:t>
      </w:r>
      <w:r w:rsidR="00A4723E">
        <w:t xml:space="preserve">67/139 </w:t>
      </w:r>
      <w:r>
        <w:t>de l’</w:t>
      </w:r>
      <w:r w:rsidRPr="00A4723E">
        <w:rPr>
          <w:b/>
          <w:color w:val="002060"/>
        </w:rPr>
        <w:t>Assemblée générale</w:t>
      </w:r>
      <w:r w:rsidR="00A4723E">
        <w:rPr>
          <w:b/>
          <w:color w:val="002060"/>
        </w:rPr>
        <w:t>,</w:t>
      </w:r>
      <w:r>
        <w:t xml:space="preserve"> intitulée « Vers un instrument international global et intégré pour la promotion et la protection des droits et de la dignité des personnes âgées » </w:t>
      </w:r>
      <w:r w:rsidR="00A4723E">
        <w:t>[</w:t>
      </w:r>
      <w:hyperlink r:id="rId14" w:history="1">
        <w:r w:rsidR="00A4723E" w:rsidRPr="00A4723E">
          <w:rPr>
            <w:rStyle w:val="Lienhypertexte"/>
            <w:color w:val="0070C0"/>
            <w:u w:val="single"/>
          </w:rPr>
          <w:t>http://undocs.org/fr/A/RES/67/139</w:t>
        </w:r>
      </w:hyperlink>
      <w:r w:rsidR="00A4723E">
        <w:t>]</w:t>
      </w:r>
    </w:p>
    <w:p w:rsidR="00841AE5" w:rsidRDefault="00841AE5" w:rsidP="0081043A"/>
    <w:p w:rsidR="00153415" w:rsidRDefault="00153415" w:rsidP="0081043A">
      <w:r w:rsidRPr="00B36695">
        <w:rPr>
          <w:b/>
          <w:color w:val="002060"/>
        </w:rPr>
        <w:t>Résolution</w:t>
      </w:r>
      <w:r w:rsidRPr="00B36695">
        <w:rPr>
          <w:color w:val="002060"/>
        </w:rPr>
        <w:t xml:space="preserve"> </w:t>
      </w:r>
      <w:r>
        <w:t>7</w:t>
      </w:r>
      <w:r w:rsidR="006432AC">
        <w:t>2</w:t>
      </w:r>
      <w:r>
        <w:t>/1</w:t>
      </w:r>
      <w:r w:rsidR="006432AC">
        <w:t>4</w:t>
      </w:r>
      <w:r>
        <w:t xml:space="preserve">4 de </w:t>
      </w:r>
      <w:r w:rsidR="00A4723E">
        <w:t>l’</w:t>
      </w:r>
      <w:r w:rsidR="00A4723E" w:rsidRPr="00A4723E">
        <w:rPr>
          <w:b/>
          <w:color w:val="002060"/>
        </w:rPr>
        <w:t>Assemblée générale</w:t>
      </w:r>
      <w:r>
        <w:t>, intitulée « Suite donnée à la deuxième Assemblée mondiale sur le vieillissement »</w:t>
      </w:r>
      <w:r w:rsidR="006432AC">
        <w:t xml:space="preserve"> [</w:t>
      </w:r>
      <w:hyperlink r:id="rId15" w:history="1">
        <w:r w:rsidR="006432AC" w:rsidRPr="00B36695">
          <w:rPr>
            <w:rStyle w:val="Lienhypertexte"/>
            <w:color w:val="548DD4" w:themeColor="text2" w:themeTint="99"/>
          </w:rPr>
          <w:t>http://undocs.org/fr/A/RES/72/144</w:t>
        </w:r>
      </w:hyperlink>
      <w:r w:rsidR="006432AC">
        <w:t>]</w:t>
      </w:r>
    </w:p>
    <w:p w:rsidR="00153415" w:rsidRDefault="00153415" w:rsidP="0081043A">
      <w:r w:rsidRPr="00B36695">
        <w:rPr>
          <w:b/>
          <w:color w:val="002060"/>
        </w:rPr>
        <w:t>Rapport du Secrétaire général</w:t>
      </w:r>
      <w:r>
        <w:t xml:space="preserve"> intitulé « Suite donnée à </w:t>
      </w:r>
      <w:r w:rsidR="00A16D0E">
        <w:t>l’Année</w:t>
      </w:r>
      <w:r>
        <w:t xml:space="preserve"> internationale des personnes âgées : deuxième Assemblée mondiale sur le vieillissement » (A/</w:t>
      </w:r>
      <w:r w:rsidR="00A16D0E">
        <w:t>72/161</w:t>
      </w:r>
      <w:r>
        <w:t>) [</w:t>
      </w:r>
      <w:hyperlink r:id="rId16" w:history="1">
        <w:r w:rsidR="00A16D0E" w:rsidRPr="00B36695">
          <w:rPr>
            <w:rStyle w:val="Lienhypertexte"/>
            <w:color w:val="548DD4" w:themeColor="text2" w:themeTint="99"/>
            <w:u w:val="single"/>
          </w:rPr>
          <w:t>http://undocs.org/fr/A/72/161</w:t>
        </w:r>
      </w:hyperlink>
      <w:r>
        <w:t>]</w:t>
      </w:r>
    </w:p>
    <w:p w:rsidR="006432AC" w:rsidRDefault="006432AC" w:rsidP="0081043A"/>
    <w:p w:rsidR="006432AC" w:rsidRDefault="006432AC" w:rsidP="0081043A">
      <w:r w:rsidRPr="00B36695">
        <w:rPr>
          <w:b/>
          <w:i/>
          <w:color w:val="002060"/>
        </w:rPr>
        <w:t xml:space="preserve">World Population Prospects - The 2017 </w:t>
      </w:r>
      <w:proofErr w:type="spellStart"/>
      <w:r w:rsidRPr="00B36695">
        <w:rPr>
          <w:b/>
          <w:i/>
          <w:color w:val="002060"/>
        </w:rPr>
        <w:t>Revision</w:t>
      </w:r>
      <w:proofErr w:type="spellEnd"/>
      <w:r w:rsidRPr="00B36695">
        <w:rPr>
          <w:color w:val="002060"/>
        </w:rPr>
        <w:t xml:space="preserve"> </w:t>
      </w:r>
      <w:r>
        <w:t xml:space="preserve">[en anglais] : consultable à l’adresse </w:t>
      </w:r>
      <w:hyperlink r:id="rId17" w:history="1">
        <w:r w:rsidRPr="00B36695">
          <w:rPr>
            <w:rStyle w:val="Lienhypertexte"/>
            <w:color w:val="548DD4" w:themeColor="text2" w:themeTint="99"/>
            <w:u w:val="single"/>
          </w:rPr>
          <w:t>https://esa.un.org/unpd/wpp/Publications/Files/WPP2017_KeyFindings.pdf</w:t>
        </w:r>
      </w:hyperlink>
      <w:r>
        <w:t>.</w:t>
      </w:r>
    </w:p>
    <w:p w:rsidR="00D564F0" w:rsidRDefault="00D564F0" w:rsidP="0081043A"/>
    <w:p w:rsidR="00D564F0" w:rsidRPr="00B41BFC" w:rsidRDefault="00D564F0" w:rsidP="00B41BFC">
      <w:pPr>
        <w:jc w:val="center"/>
        <w:rPr>
          <w:b/>
          <w:sz w:val="28"/>
          <w:szCs w:val="28"/>
        </w:rPr>
      </w:pPr>
      <w:r w:rsidRPr="00B41BFC">
        <w:rPr>
          <w:b/>
          <w:sz w:val="28"/>
          <w:szCs w:val="28"/>
        </w:rPr>
        <w:t>Autres sources</w:t>
      </w:r>
    </w:p>
    <w:p w:rsidR="00D564F0" w:rsidRDefault="00D564F0" w:rsidP="0081043A"/>
    <w:p w:rsidR="00D564F0" w:rsidRDefault="00D564F0" w:rsidP="0081043A">
      <w:r>
        <w:t xml:space="preserve">Page du site de l’Organisation mondiale de la Santé consacrée au vieillissement : </w:t>
      </w:r>
    </w:p>
    <w:p w:rsidR="00D564F0" w:rsidRPr="00B41BFC" w:rsidRDefault="00B41BFC" w:rsidP="0081043A">
      <w:pPr>
        <w:rPr>
          <w:u w:val="single"/>
        </w:rPr>
      </w:pPr>
      <w:hyperlink r:id="rId18" w:history="1">
        <w:r w:rsidR="00D564F0" w:rsidRPr="00B41BFC">
          <w:rPr>
            <w:rStyle w:val="Lienhypertexte"/>
            <w:color w:val="0070C0"/>
            <w:u w:val="single"/>
          </w:rPr>
          <w:t>http://www.who.int/topics/ageing/fr/</w:t>
        </w:r>
      </w:hyperlink>
    </w:p>
    <w:p w:rsidR="00D564F0" w:rsidRDefault="00D564F0" w:rsidP="0081043A"/>
    <w:p w:rsidR="00D564F0" w:rsidRPr="00B41BFC" w:rsidRDefault="00D564F0" w:rsidP="0081043A">
      <w:pPr>
        <w:rPr>
          <w:b/>
        </w:rPr>
      </w:pPr>
      <w:r w:rsidRPr="00B41BFC">
        <w:rPr>
          <w:b/>
        </w:rPr>
        <w:t xml:space="preserve">Personnes âgées et démence </w:t>
      </w:r>
    </w:p>
    <w:p w:rsidR="00D564F0" w:rsidRDefault="00D564F0" w:rsidP="0081043A">
      <w:r>
        <w:t>un ar</w:t>
      </w:r>
      <w:r w:rsidR="00B41BFC">
        <w:t xml:space="preserve">ticle qui peut éclairer pour la terminologie </w:t>
      </w:r>
      <w:r>
        <w:t xml:space="preserve">: </w:t>
      </w:r>
      <w:hyperlink r:id="rId19" w:history="1">
        <w:r w:rsidRPr="00B41BFC">
          <w:rPr>
            <w:rStyle w:val="Lienhypertexte"/>
            <w:color w:val="0070C0"/>
            <w:u w:val="single"/>
          </w:rPr>
          <w:t>http://www.bichat-larib.com/bichat_bibliotheque_articles/492_reco</w:t>
        </w:r>
        <w:r w:rsidRPr="00B41BFC">
          <w:rPr>
            <w:rStyle w:val="Lienhypertexte"/>
            <w:color w:val="0070C0"/>
            <w:u w:val="single"/>
          </w:rPr>
          <w:t>n</w:t>
        </w:r>
        <w:r w:rsidRPr="00B41BFC">
          <w:rPr>
            <w:rStyle w:val="Lienhypertexte"/>
            <w:color w:val="0070C0"/>
            <w:u w:val="single"/>
          </w:rPr>
          <w:t>naitre_les_personnes_agees_atteintes_de_demence._Evaluer_les_repercussions_et_reperer_les_affections</w:t>
        </w:r>
        <w:r w:rsidR="00431EE3" w:rsidRPr="00B41BFC">
          <w:rPr>
            <w:rStyle w:val="Lienhypertexte"/>
            <w:color w:val="0070C0"/>
            <w:u w:val="single"/>
          </w:rPr>
          <w:t>_curables.pdf?numero_etudiant=</w:t>
        </w:r>
      </w:hyperlink>
      <w:r w:rsidR="00431EE3">
        <w:t>.</w:t>
      </w:r>
    </w:p>
    <w:p w:rsidR="00431EE3" w:rsidRDefault="00431EE3" w:rsidP="0081043A">
      <w:r w:rsidRPr="00B41BFC">
        <w:rPr>
          <w:b/>
        </w:rPr>
        <w:t>Évaluation</w:t>
      </w:r>
      <w:r>
        <w:t xml:space="preserve"> du niveau de </w:t>
      </w:r>
      <w:r w:rsidRPr="00B41BFC">
        <w:rPr>
          <w:b/>
        </w:rPr>
        <w:t>perte d’autonomie</w:t>
      </w:r>
      <w:r>
        <w:t xml:space="preserve"> d’</w:t>
      </w:r>
      <w:r w:rsidR="00B41BFC">
        <w:t>une personne</w:t>
      </w:r>
      <w:r>
        <w:t xml:space="preserve"> âgée : </w:t>
      </w:r>
    </w:p>
    <w:p w:rsidR="00431EE3" w:rsidRDefault="00431EE3" w:rsidP="0081043A">
      <w:r>
        <w:t>Le GIR (groupe iso-ressources) correspond au niveau de perte d’autonomie d’une personne âgée. Le GIR d’une personne est calculé à partir de l’évaluation effectuée à l’aide de la grille AGGIR. Il existe six GIR : le GIR 1 est le niveau de perte d’autonomie le plus fort et le GIR 6 le plus faible. Seules les personnes évaluées en GIR 1 à 4 peuvent bénéficier de l'APA (allocation personnalisée d’autonomie)</w:t>
      </w:r>
    </w:p>
    <w:p w:rsidR="00431EE3" w:rsidRDefault="00431EE3" w:rsidP="0081043A">
      <w:r>
        <w:t xml:space="preserve">Deux </w:t>
      </w:r>
      <w:r w:rsidRPr="00B41BFC">
        <w:rPr>
          <w:b/>
        </w:rPr>
        <w:t>sites</w:t>
      </w:r>
      <w:r>
        <w:t xml:space="preserve"> à consulter à ce sujet :</w:t>
      </w:r>
    </w:p>
    <w:p w:rsidR="00431EE3" w:rsidRPr="00B41BFC" w:rsidRDefault="00B41BFC" w:rsidP="0081043A">
      <w:pPr>
        <w:rPr>
          <w:color w:val="0070C0"/>
          <w:u w:val="single"/>
        </w:rPr>
      </w:pPr>
      <w:hyperlink r:id="rId20" w:history="1">
        <w:r w:rsidR="00431EE3" w:rsidRPr="00B41BFC">
          <w:rPr>
            <w:rStyle w:val="Lienhypertexte"/>
            <w:color w:val="0070C0"/>
            <w:u w:val="single"/>
          </w:rPr>
          <w:t>https://www.service-public.fr/particuliers/vosdroits/F1229</w:t>
        </w:r>
      </w:hyperlink>
    </w:p>
    <w:p w:rsidR="00431EE3" w:rsidRDefault="00B41BFC" w:rsidP="0081043A">
      <w:hyperlink r:id="rId21" w:history="1">
        <w:r w:rsidR="00431EE3" w:rsidRPr="00B41BFC">
          <w:rPr>
            <w:rStyle w:val="Lienhypertexte"/>
            <w:color w:val="0070C0"/>
            <w:u w:val="single"/>
          </w:rPr>
          <w:t>https://www.cnsa.fr/documentation/guide_aggir_2008.pdf</w:t>
        </w:r>
      </w:hyperlink>
    </w:p>
    <w:p w:rsidR="00B41BFC" w:rsidRDefault="00B41BFC" w:rsidP="0081043A"/>
    <w:p w:rsidR="00B41BFC" w:rsidRDefault="00B41BFC" w:rsidP="0081043A"/>
    <w:p w:rsidR="00431EE3" w:rsidRDefault="00467EE1" w:rsidP="0081043A">
      <w:r w:rsidRPr="007D3015">
        <w:rPr>
          <w:b/>
        </w:rPr>
        <w:t>Le</w:t>
      </w:r>
      <w:r w:rsidR="007D3015" w:rsidRPr="007D3015">
        <w:rPr>
          <w:b/>
        </w:rPr>
        <w:t>(</w:t>
      </w:r>
      <w:r w:rsidRPr="007D3015">
        <w:rPr>
          <w:b/>
        </w:rPr>
        <w:t>s</w:t>
      </w:r>
      <w:r w:rsidR="007D3015" w:rsidRPr="007D3015">
        <w:rPr>
          <w:b/>
        </w:rPr>
        <w:t>)</w:t>
      </w:r>
      <w:r w:rsidRPr="007D3015">
        <w:rPr>
          <w:b/>
        </w:rPr>
        <w:t xml:space="preserve"> droit</w:t>
      </w:r>
      <w:r w:rsidR="007D3015" w:rsidRPr="007D3015">
        <w:rPr>
          <w:b/>
        </w:rPr>
        <w:t>(</w:t>
      </w:r>
      <w:r w:rsidRPr="007D3015">
        <w:rPr>
          <w:b/>
        </w:rPr>
        <w:t>s</w:t>
      </w:r>
      <w:r w:rsidR="007D3015" w:rsidRPr="007D3015">
        <w:rPr>
          <w:b/>
        </w:rPr>
        <w:t>)</w:t>
      </w:r>
      <w:r>
        <w:t xml:space="preserve"> des personnes âgées</w:t>
      </w:r>
    </w:p>
    <w:p w:rsidR="00467EE1" w:rsidRDefault="007D3015" w:rsidP="0081043A">
      <w:r>
        <w:t>Avis</w:t>
      </w:r>
      <w:r w:rsidR="00467EE1">
        <w:t xml:space="preserve"> de la Commission nationale consultative des droits de l’homme (France) </w:t>
      </w:r>
      <w:r>
        <w:t>sur l’effectivité des droits des personnes âgées </w:t>
      </w:r>
      <w:r w:rsidR="00467EE1">
        <w:t>:</w:t>
      </w:r>
    </w:p>
    <w:p w:rsidR="007D3015" w:rsidRPr="0034435F" w:rsidRDefault="0034435F" w:rsidP="0081043A">
      <w:pPr>
        <w:rPr>
          <w:u w:val="single"/>
        </w:rPr>
      </w:pPr>
      <w:hyperlink r:id="rId22" w:history="1">
        <w:r w:rsidRPr="0034435F">
          <w:rPr>
            <w:rStyle w:val="Lienhypertexte"/>
            <w:color w:val="0070C0"/>
            <w:u w:val="single"/>
          </w:rPr>
          <w:t>https://www.legifrance.gouv.fr/affichTexte.do?cidTexte=JORFTEXT000027778812</w:t>
        </w:r>
      </w:hyperlink>
    </w:p>
    <w:p w:rsidR="0034435F" w:rsidRDefault="0034435F" w:rsidP="0081043A"/>
    <w:p w:rsidR="0034435F" w:rsidRDefault="0034435F" w:rsidP="0081043A"/>
    <w:p w:rsidR="0034435F" w:rsidRDefault="0034435F" w:rsidP="0081043A"/>
    <w:p w:rsidR="007D3015" w:rsidRDefault="007D3015" w:rsidP="0081043A"/>
    <w:p w:rsidR="00431EE3" w:rsidRPr="00D564F0" w:rsidRDefault="00431EE3" w:rsidP="0081043A"/>
    <w:sectPr w:rsidR="00431EE3" w:rsidRPr="00D564F0" w:rsidSect="00B1237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E5" w:rsidRPr="00927979" w:rsidRDefault="00841AE5" w:rsidP="00927979">
      <w:pPr>
        <w:pStyle w:val="Pieddepage"/>
      </w:pPr>
    </w:p>
  </w:endnote>
  <w:endnote w:type="continuationSeparator" w:id="0">
    <w:p w:rsidR="00841AE5" w:rsidRPr="00927979" w:rsidRDefault="00841AE5" w:rsidP="00927979">
      <w:pPr>
        <w:pStyle w:val="Pieddepage"/>
      </w:pPr>
    </w:p>
  </w:endnote>
  <w:endnote w:type="continuationNotice" w:id="1">
    <w:p w:rsidR="00841AE5" w:rsidRPr="00927979" w:rsidRDefault="00841AE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92" w:rsidRDefault="00A96C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B4" w:rsidRPr="004655B4" w:rsidRDefault="004655B4">
    <w:pPr>
      <w:pStyle w:val="Pieddepage"/>
      <w:rPr>
        <w:i/>
      </w:rPr>
    </w:pPr>
    <w:r w:rsidRPr="004655B4">
      <w:rPr>
        <w:i/>
      </w:rPr>
      <w:t xml:space="preserve">Document </w:t>
    </w:r>
    <w:r w:rsidR="00A96C92">
      <w:rPr>
        <w:i/>
      </w:rPr>
      <w:t>actualisé</w:t>
    </w:r>
    <w:r w:rsidRPr="004655B4">
      <w:rPr>
        <w:i/>
      </w:rPr>
      <w:t xml:space="preserve"> le 9 août 2018, par Françoise Amirghasemi</w:t>
    </w:r>
  </w:p>
  <w:p w:rsidR="004655B4" w:rsidRDefault="004655B4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92" w:rsidRDefault="00A96C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E5" w:rsidRPr="00927979" w:rsidRDefault="00841AE5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841AE5" w:rsidRPr="00927979" w:rsidRDefault="00841AE5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1AE5" w:rsidRPr="00927979" w:rsidRDefault="00841AE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92" w:rsidRDefault="00A96C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92" w:rsidRDefault="00A96C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92" w:rsidRDefault="00A96C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fr-CH" w:vendorID="64" w:dllVersion="131078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5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151061"/>
    <w:rsid w:val="00153415"/>
    <w:rsid w:val="001A0959"/>
    <w:rsid w:val="001B5375"/>
    <w:rsid w:val="001E1154"/>
    <w:rsid w:val="002509A0"/>
    <w:rsid w:val="0027216F"/>
    <w:rsid w:val="002948E5"/>
    <w:rsid w:val="002A280F"/>
    <w:rsid w:val="002C4A37"/>
    <w:rsid w:val="002E09B5"/>
    <w:rsid w:val="002F2A3C"/>
    <w:rsid w:val="002F5889"/>
    <w:rsid w:val="002F7E91"/>
    <w:rsid w:val="00323A01"/>
    <w:rsid w:val="003301D2"/>
    <w:rsid w:val="00337803"/>
    <w:rsid w:val="0034435F"/>
    <w:rsid w:val="00345FEA"/>
    <w:rsid w:val="003539CE"/>
    <w:rsid w:val="00360972"/>
    <w:rsid w:val="0038728C"/>
    <w:rsid w:val="003F10C2"/>
    <w:rsid w:val="00431EE3"/>
    <w:rsid w:val="004341FD"/>
    <w:rsid w:val="00455683"/>
    <w:rsid w:val="0045799B"/>
    <w:rsid w:val="004655B4"/>
    <w:rsid w:val="00466DB9"/>
    <w:rsid w:val="00467EE1"/>
    <w:rsid w:val="00496A01"/>
    <w:rsid w:val="004A3DD6"/>
    <w:rsid w:val="004D7BDB"/>
    <w:rsid w:val="0050022F"/>
    <w:rsid w:val="0051281D"/>
    <w:rsid w:val="005222DC"/>
    <w:rsid w:val="00550A7B"/>
    <w:rsid w:val="006432AC"/>
    <w:rsid w:val="006528E0"/>
    <w:rsid w:val="00682AA0"/>
    <w:rsid w:val="006A1CEB"/>
    <w:rsid w:val="006B0EE1"/>
    <w:rsid w:val="006B6852"/>
    <w:rsid w:val="00755E2A"/>
    <w:rsid w:val="007D3015"/>
    <w:rsid w:val="007E6C7F"/>
    <w:rsid w:val="00807E38"/>
    <w:rsid w:val="0081043A"/>
    <w:rsid w:val="0081677C"/>
    <w:rsid w:val="00841AE5"/>
    <w:rsid w:val="00872593"/>
    <w:rsid w:val="008917F6"/>
    <w:rsid w:val="008A322F"/>
    <w:rsid w:val="008A3263"/>
    <w:rsid w:val="00927979"/>
    <w:rsid w:val="00941536"/>
    <w:rsid w:val="00973FAE"/>
    <w:rsid w:val="009B0328"/>
    <w:rsid w:val="009C6861"/>
    <w:rsid w:val="009D3700"/>
    <w:rsid w:val="009E5394"/>
    <w:rsid w:val="00A00E4B"/>
    <w:rsid w:val="00A11AD9"/>
    <w:rsid w:val="00A16017"/>
    <w:rsid w:val="00A16D0E"/>
    <w:rsid w:val="00A201F2"/>
    <w:rsid w:val="00A4723E"/>
    <w:rsid w:val="00A478BB"/>
    <w:rsid w:val="00A53843"/>
    <w:rsid w:val="00A5540C"/>
    <w:rsid w:val="00A66881"/>
    <w:rsid w:val="00A96C92"/>
    <w:rsid w:val="00AA4364"/>
    <w:rsid w:val="00AF3B64"/>
    <w:rsid w:val="00B12372"/>
    <w:rsid w:val="00B23BF1"/>
    <w:rsid w:val="00B309B1"/>
    <w:rsid w:val="00B36695"/>
    <w:rsid w:val="00B41BFC"/>
    <w:rsid w:val="00B734B0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478D1"/>
    <w:rsid w:val="00D51BBF"/>
    <w:rsid w:val="00D55762"/>
    <w:rsid w:val="00D564F0"/>
    <w:rsid w:val="00D85AD4"/>
    <w:rsid w:val="00DF5D16"/>
    <w:rsid w:val="00E57748"/>
    <w:rsid w:val="00E66241"/>
    <w:rsid w:val="00E66E56"/>
    <w:rsid w:val="00E812EF"/>
    <w:rsid w:val="00E862D7"/>
    <w:rsid w:val="00F268B8"/>
    <w:rsid w:val="00F27761"/>
    <w:rsid w:val="00F3660C"/>
    <w:rsid w:val="00F6508F"/>
    <w:rsid w:val="00F81F99"/>
    <w:rsid w:val="00F841D8"/>
    <w:rsid w:val="00F94129"/>
    <w:rsid w:val="00FA20B8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C181FB1"/>
  <w15:chartTrackingRefBased/>
  <w15:docId w15:val="{501DD0D2-52A4-4DAA-972C-23778C1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FR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development/desa/population/theme/ageing/index.shtml" TargetMode="External"/><Relationship Id="rId13" Type="http://schemas.openxmlformats.org/officeDocument/2006/relationships/hyperlink" Target="https://social.un.org/ageing-working-group/documents/mipaa-fr.pdf" TargetMode="External"/><Relationship Id="rId18" Type="http://schemas.openxmlformats.org/officeDocument/2006/relationships/hyperlink" Target="http://www.who.int/topics/ageing/fr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nsa.fr/documentation/guide_aggir_2008.pdf" TargetMode="External"/><Relationship Id="rId7" Type="http://schemas.openxmlformats.org/officeDocument/2006/relationships/hyperlink" Target="http://www.un.org/fr/sections/issues-depth/ageing/index.html" TargetMode="External"/><Relationship Id="rId12" Type="http://schemas.openxmlformats.org/officeDocument/2006/relationships/hyperlink" Target="http://www.un.org/en/events/pastevents/pdfs/Madrid_plan.pdf" TargetMode="External"/><Relationship Id="rId17" Type="http://schemas.openxmlformats.org/officeDocument/2006/relationships/hyperlink" Target="https://esa.un.org/unpd/wpp/Publications/Files/WPP2017_KeyFindings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undocs.org/fr/A/72/161" TargetMode="External"/><Relationship Id="rId20" Type="http://schemas.openxmlformats.org/officeDocument/2006/relationships/hyperlink" Target="https://www.service-public.fr/particuliers/vosdroits/F122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ial.un.org/ageing-working-group/index.s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undocs.org/fr/A/RES/72/14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ohchr.org/FR/Issues/OlderPersons/IE/Pages/IEOlderPersons.aspx" TargetMode="External"/><Relationship Id="rId19" Type="http://schemas.openxmlformats.org/officeDocument/2006/relationships/hyperlink" Target="http://www.bichat-larib.com/bichat_bibliotheque_articles/492_reconnaitre_les_personnes_agees_atteintes_de_demence._Evaluer_les_repercussions_et_reperer_les_affections_curables.pdf?numero_etudian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development/desa/ageing/" TargetMode="External"/><Relationship Id="rId14" Type="http://schemas.openxmlformats.org/officeDocument/2006/relationships/hyperlink" Target="http://undocs.org/fr/A/RES/67/139" TargetMode="External"/><Relationship Id="rId22" Type="http://schemas.openxmlformats.org/officeDocument/2006/relationships/hyperlink" Target="https://www.legifrance.gouv.fr/affichTexte.do?cidTexte=JORFTEXT000027778812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447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Amirghasemi</dc:creator>
  <cp:keywords/>
  <dc:description/>
  <cp:lastModifiedBy>Francoise Amirghasemi</cp:lastModifiedBy>
  <cp:revision>11</cp:revision>
  <cp:lastPrinted>2014-05-15T08:26:00Z</cp:lastPrinted>
  <dcterms:created xsi:type="dcterms:W3CDTF">2018-08-09T07:21:00Z</dcterms:created>
  <dcterms:modified xsi:type="dcterms:W3CDTF">2018-08-09T12:04:00Z</dcterms:modified>
</cp:coreProperties>
</file>